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337F9" w14:textId="77777777" w:rsidR="00AE4368" w:rsidRDefault="002023F4">
      <w:pPr>
        <w:widowControl w:val="0"/>
        <w:spacing w:after="0"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Санкт-Петербургский государственный университет</w:t>
      </w:r>
    </w:p>
    <w:p w14:paraId="374714BD" w14:textId="77777777" w:rsidR="00AE4368" w:rsidRDefault="00AE4368">
      <w:pPr>
        <w:widowControl w:val="0"/>
        <w:spacing w:after="0" w:line="240" w:lineRule="auto"/>
        <w:contextualSpacing/>
        <w:jc w:val="right"/>
        <w:rPr>
          <w:rFonts w:ascii="Times New Roman" w:hAnsi="Times New Roman" w:cs="Times New Roman"/>
          <w:sz w:val="24"/>
          <w:szCs w:val="24"/>
          <w:lang w:val="ru-RU"/>
        </w:rPr>
      </w:pPr>
    </w:p>
    <w:p w14:paraId="3CF362DD" w14:textId="77777777" w:rsidR="00AE4368" w:rsidRDefault="00AE4368">
      <w:pPr>
        <w:widowControl w:val="0"/>
        <w:spacing w:after="0" w:line="240" w:lineRule="auto"/>
        <w:contextualSpacing/>
        <w:jc w:val="right"/>
        <w:rPr>
          <w:rFonts w:ascii="Times New Roman" w:hAnsi="Times New Roman" w:cs="Times New Roman"/>
          <w:sz w:val="24"/>
          <w:szCs w:val="24"/>
          <w:lang w:val="ru-RU"/>
        </w:rPr>
      </w:pPr>
    </w:p>
    <w:p w14:paraId="602487B5" w14:textId="77777777" w:rsidR="00AE4368" w:rsidRDefault="00AE4368">
      <w:pPr>
        <w:widowControl w:val="0"/>
        <w:spacing w:after="0" w:line="240" w:lineRule="auto"/>
        <w:contextualSpacing/>
        <w:jc w:val="right"/>
        <w:rPr>
          <w:rFonts w:ascii="Times New Roman" w:hAnsi="Times New Roman" w:cs="Times New Roman"/>
          <w:sz w:val="24"/>
          <w:szCs w:val="24"/>
          <w:lang w:val="ru-RU"/>
        </w:rPr>
      </w:pPr>
    </w:p>
    <w:p w14:paraId="74771945" w14:textId="77777777" w:rsidR="00AE4368" w:rsidRDefault="00AE4368">
      <w:pPr>
        <w:widowControl w:val="0"/>
        <w:spacing w:after="0" w:line="326" w:lineRule="exact"/>
        <w:contextualSpacing/>
        <w:rPr>
          <w:rFonts w:ascii="Times New Roman" w:hAnsi="Times New Roman" w:cs="Times New Roman"/>
          <w:sz w:val="24"/>
          <w:szCs w:val="24"/>
          <w:lang w:val="ru-RU"/>
        </w:rPr>
      </w:pPr>
    </w:p>
    <w:p w14:paraId="18116933" w14:textId="77777777" w:rsidR="00AE4368" w:rsidRDefault="002023F4">
      <w:pPr>
        <w:widowControl w:val="0"/>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b/>
          <w:bCs/>
          <w:sz w:val="24"/>
          <w:szCs w:val="24"/>
          <w:lang w:val="ru-RU"/>
        </w:rPr>
        <w:t>ВЛАСОВ Максим Сергеевич</w:t>
      </w:r>
    </w:p>
    <w:p w14:paraId="6EFD8A30"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0FAB4A47"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394D3C91"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6319580C" w14:textId="77777777" w:rsidR="00AE4368" w:rsidRDefault="002023F4">
      <w:pPr>
        <w:widowControl w:val="0"/>
        <w:spacing w:after="0" w:line="360" w:lineRule="auto"/>
        <w:contextualSpacing/>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Выпускная квалификационная работа</w:t>
      </w:r>
    </w:p>
    <w:p w14:paraId="5E53A83D" w14:textId="77777777" w:rsidR="00AE4368" w:rsidRDefault="00AE4368">
      <w:pPr>
        <w:widowControl w:val="0"/>
        <w:spacing w:after="0" w:line="200" w:lineRule="exact"/>
        <w:contextualSpacing/>
        <w:jc w:val="center"/>
        <w:rPr>
          <w:rFonts w:ascii="Times New Roman" w:hAnsi="Times New Roman" w:cs="Times New Roman"/>
          <w:sz w:val="24"/>
          <w:szCs w:val="24"/>
          <w:lang w:val="ru-RU"/>
        </w:rPr>
      </w:pPr>
    </w:p>
    <w:p w14:paraId="4A6A0ADF"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612FD744" w14:textId="77777777" w:rsidR="00AE4368" w:rsidRDefault="00AE4368">
      <w:pPr>
        <w:widowControl w:val="0"/>
        <w:spacing w:after="0" w:line="400" w:lineRule="exact"/>
        <w:contextualSpacing/>
        <w:rPr>
          <w:rFonts w:ascii="Times New Roman" w:hAnsi="Times New Roman" w:cs="Times New Roman"/>
          <w:sz w:val="24"/>
          <w:szCs w:val="24"/>
          <w:lang w:val="ru-RU"/>
        </w:rPr>
      </w:pPr>
    </w:p>
    <w:p w14:paraId="036225C5" w14:textId="77777777" w:rsidR="00AE4368" w:rsidRDefault="002023F4">
      <w:pPr>
        <w:widowControl w:val="0"/>
        <w:spacing w:after="0" w:line="326" w:lineRule="auto"/>
        <w:ind w:right="-1"/>
        <w:contextualSpacing/>
        <w:jc w:val="center"/>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Развитие международных финансовых центров:</w:t>
      </w:r>
    </w:p>
    <w:p w14:paraId="674FB6C7" w14:textId="77777777" w:rsidR="00AE4368" w:rsidRDefault="002023F4">
      <w:pPr>
        <w:widowControl w:val="0"/>
        <w:spacing w:after="0" w:line="326" w:lineRule="auto"/>
        <w:ind w:right="-1"/>
        <w:contextualSpacing/>
        <w:jc w:val="center"/>
        <w:rPr>
          <w:rFonts w:ascii="Times New Roman" w:hAnsi="Times New Roman" w:cs="Times New Roman"/>
          <w:b/>
          <w:bCs/>
          <w:i/>
          <w:iCs/>
          <w:sz w:val="24"/>
          <w:szCs w:val="24"/>
          <w:lang w:val="ru-RU"/>
        </w:rPr>
      </w:pPr>
      <w:r>
        <w:rPr>
          <w:rFonts w:ascii="Times New Roman" w:hAnsi="Times New Roman" w:cs="Times New Roman"/>
          <w:b/>
          <w:bCs/>
          <w:i/>
          <w:iCs/>
          <w:sz w:val="24"/>
          <w:szCs w:val="24"/>
          <w:lang w:val="ru-RU"/>
        </w:rPr>
        <w:t>особенности России и Китая</w:t>
      </w:r>
    </w:p>
    <w:p w14:paraId="7823E3AE" w14:textId="77777777" w:rsidR="00AE4368" w:rsidRDefault="00AE4368">
      <w:pPr>
        <w:widowControl w:val="0"/>
        <w:spacing w:after="0" w:line="326" w:lineRule="auto"/>
        <w:ind w:right="-1"/>
        <w:contextualSpacing/>
        <w:jc w:val="center"/>
        <w:rPr>
          <w:rFonts w:ascii="Times New Roman" w:hAnsi="Times New Roman" w:cs="Times New Roman"/>
          <w:b/>
          <w:bCs/>
          <w:i/>
          <w:iCs/>
          <w:sz w:val="24"/>
          <w:szCs w:val="24"/>
          <w:lang w:val="ru-RU"/>
        </w:rPr>
      </w:pPr>
    </w:p>
    <w:p w14:paraId="13E27FED" w14:textId="77777777" w:rsidR="00AE4368" w:rsidRDefault="002023F4">
      <w:pPr>
        <w:widowControl w:val="0"/>
        <w:spacing w:after="0" w:line="326" w:lineRule="auto"/>
        <w:ind w:right="-1"/>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Уровень образования: подготовка кадров высшей квалификации</w:t>
      </w:r>
    </w:p>
    <w:p w14:paraId="7352685B" w14:textId="77777777" w:rsidR="00AE4368" w:rsidRDefault="002023F4">
      <w:pPr>
        <w:widowControl w:val="0"/>
        <w:spacing w:after="0" w:line="331" w:lineRule="auto"/>
        <w:ind w:right="-1"/>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Направление 38.06.01 Экономика</w:t>
      </w:r>
    </w:p>
    <w:p w14:paraId="3B7A7347" w14:textId="77777777" w:rsidR="00AE4368" w:rsidRDefault="002023F4">
      <w:pPr>
        <w:widowControl w:val="0"/>
        <w:spacing w:after="0" w:line="331" w:lineRule="auto"/>
        <w:ind w:right="-1"/>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Основная образовательная программа МК.3026</w:t>
      </w:r>
    </w:p>
    <w:p w14:paraId="63A54D52" w14:textId="77777777" w:rsidR="00AE4368" w:rsidRDefault="002023F4">
      <w:pPr>
        <w:widowControl w:val="0"/>
        <w:spacing w:after="0" w:line="331" w:lineRule="auto"/>
        <w:ind w:right="-1"/>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«Экономика»</w:t>
      </w:r>
    </w:p>
    <w:p w14:paraId="57943D85"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6D090562"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0E207A4A"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0F001BC3"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1235C822" w14:textId="77777777" w:rsidR="00AE4368" w:rsidRDefault="00AE4368">
      <w:pPr>
        <w:widowControl w:val="0"/>
        <w:spacing w:after="0" w:line="293" w:lineRule="exact"/>
        <w:contextualSpacing/>
        <w:jc w:val="right"/>
        <w:rPr>
          <w:rFonts w:ascii="Times New Roman" w:hAnsi="Times New Roman" w:cs="Times New Roman"/>
          <w:sz w:val="24"/>
          <w:szCs w:val="24"/>
          <w:lang w:val="ru-RU"/>
        </w:rPr>
      </w:pPr>
    </w:p>
    <w:p w14:paraId="344B6DFC" w14:textId="77777777" w:rsidR="00AE4368" w:rsidRDefault="002023F4">
      <w:pPr>
        <w:widowControl w:val="0"/>
        <w:spacing w:after="0" w:line="360" w:lineRule="auto"/>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Научный руководитель:</w:t>
      </w:r>
    </w:p>
    <w:p w14:paraId="4CC727C6" w14:textId="77777777" w:rsidR="00AE4368" w:rsidRDefault="002023F4">
      <w:pPr>
        <w:widowControl w:val="0"/>
        <w:spacing w:after="0" w:line="360" w:lineRule="auto"/>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профессор Кафедры теории кредита </w:t>
      </w:r>
      <w:r>
        <w:rPr>
          <w:rFonts w:ascii="Times New Roman" w:hAnsi="Times New Roman" w:cs="Times New Roman"/>
          <w:sz w:val="24"/>
          <w:szCs w:val="24"/>
          <w:lang w:val="ru-RU"/>
        </w:rPr>
        <w:br/>
        <w:t>и финансового менеджмента СПбГУ,</w:t>
      </w:r>
    </w:p>
    <w:p w14:paraId="0F4DBEDC" w14:textId="77777777" w:rsidR="00AE4368" w:rsidRDefault="002023F4">
      <w:pPr>
        <w:widowControl w:val="0"/>
        <w:spacing w:after="0" w:line="360" w:lineRule="auto"/>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доктор экономических наук, профессор Львова Н. А.</w:t>
      </w:r>
    </w:p>
    <w:p w14:paraId="349FAEED" w14:textId="77777777" w:rsidR="00AE4368" w:rsidRDefault="00AE4368">
      <w:pPr>
        <w:widowControl w:val="0"/>
        <w:spacing w:after="0" w:line="360" w:lineRule="auto"/>
        <w:contextualSpacing/>
        <w:jc w:val="right"/>
        <w:rPr>
          <w:rFonts w:ascii="Times New Roman" w:hAnsi="Times New Roman" w:cs="Times New Roman"/>
          <w:sz w:val="24"/>
          <w:szCs w:val="24"/>
          <w:lang w:val="ru-RU"/>
        </w:rPr>
      </w:pPr>
    </w:p>
    <w:p w14:paraId="6D068BFE" w14:textId="77777777" w:rsidR="00AE4368" w:rsidRDefault="002023F4">
      <w:pPr>
        <w:widowControl w:val="0"/>
        <w:spacing w:after="0" w:line="360" w:lineRule="auto"/>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Научный рецензент: </w:t>
      </w:r>
    </w:p>
    <w:p w14:paraId="2F357D92" w14:textId="08FB7E84" w:rsidR="00AE4368" w:rsidRDefault="002023F4">
      <w:pPr>
        <w:widowControl w:val="0"/>
        <w:spacing w:after="0" w:line="360" w:lineRule="auto"/>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доцент </w:t>
      </w:r>
      <w:r w:rsidR="00B05AAE">
        <w:rPr>
          <w:rFonts w:ascii="Times New Roman" w:hAnsi="Times New Roman" w:cs="Times New Roman"/>
          <w:sz w:val="24"/>
          <w:szCs w:val="24"/>
          <w:lang w:val="ru-RU"/>
        </w:rPr>
        <w:t>Кафедры бухгалтерского учета и аудита</w:t>
      </w:r>
    </w:p>
    <w:p w14:paraId="321F0BE7" w14:textId="14C67746" w:rsidR="00AE4368" w:rsidRDefault="00B05AAE">
      <w:pPr>
        <w:widowControl w:val="0"/>
        <w:spacing w:after="0" w:line="360" w:lineRule="auto"/>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 xml:space="preserve">ПГУПС Императора Александра </w:t>
      </w:r>
      <w:r>
        <w:rPr>
          <w:rFonts w:ascii="Times New Roman" w:hAnsi="Times New Roman" w:cs="Times New Roman"/>
          <w:sz w:val="24"/>
          <w:szCs w:val="24"/>
        </w:rPr>
        <w:t>I</w:t>
      </w:r>
      <w:r w:rsidR="002023F4">
        <w:rPr>
          <w:rFonts w:ascii="Times New Roman" w:hAnsi="Times New Roman" w:cs="Times New Roman"/>
          <w:sz w:val="24"/>
          <w:szCs w:val="24"/>
          <w:lang w:val="ru-RU"/>
        </w:rPr>
        <w:t xml:space="preserve">, </w:t>
      </w:r>
    </w:p>
    <w:p w14:paraId="6C1869CB" w14:textId="77777777" w:rsidR="00AE4368" w:rsidRDefault="002023F4">
      <w:pPr>
        <w:widowControl w:val="0"/>
        <w:spacing w:after="0" w:line="360" w:lineRule="auto"/>
        <w:contextualSpacing/>
        <w:jc w:val="right"/>
        <w:rPr>
          <w:rFonts w:ascii="Times New Roman" w:hAnsi="Times New Roman" w:cs="Times New Roman"/>
          <w:sz w:val="24"/>
          <w:szCs w:val="24"/>
          <w:lang w:val="ru-RU"/>
        </w:rPr>
      </w:pPr>
      <w:r>
        <w:rPr>
          <w:rFonts w:ascii="Times New Roman" w:hAnsi="Times New Roman" w:cs="Times New Roman"/>
          <w:sz w:val="24"/>
          <w:szCs w:val="24"/>
          <w:lang w:val="ru-RU"/>
        </w:rPr>
        <w:t>кандидат экономических наук, доцент Татаринцева С. Г.</w:t>
      </w:r>
    </w:p>
    <w:p w14:paraId="7F9F7885"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23DF7630"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4EC5CA41"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14ED1002" w14:textId="77777777" w:rsidR="00AE4368" w:rsidRDefault="00AE4368">
      <w:pPr>
        <w:widowControl w:val="0"/>
        <w:spacing w:after="0" w:line="200" w:lineRule="exact"/>
        <w:contextualSpacing/>
        <w:rPr>
          <w:rFonts w:ascii="Times New Roman" w:hAnsi="Times New Roman" w:cs="Times New Roman"/>
          <w:sz w:val="24"/>
          <w:szCs w:val="24"/>
          <w:lang w:val="ru-RU"/>
        </w:rPr>
      </w:pPr>
    </w:p>
    <w:p w14:paraId="658BE1E2" w14:textId="77777777" w:rsidR="00AE4368" w:rsidRDefault="00AE4368">
      <w:pPr>
        <w:widowControl w:val="0"/>
        <w:spacing w:after="0" w:line="210" w:lineRule="exact"/>
        <w:contextualSpacing/>
        <w:rPr>
          <w:rFonts w:ascii="Times New Roman" w:hAnsi="Times New Roman" w:cs="Times New Roman"/>
          <w:sz w:val="24"/>
          <w:szCs w:val="24"/>
          <w:lang w:val="ru-RU"/>
        </w:rPr>
      </w:pPr>
    </w:p>
    <w:p w14:paraId="42658E0B" w14:textId="77777777" w:rsidR="00AE4368" w:rsidRDefault="00AE4368">
      <w:pPr>
        <w:widowControl w:val="0"/>
        <w:spacing w:after="0" w:line="210" w:lineRule="exact"/>
        <w:contextualSpacing/>
        <w:rPr>
          <w:rFonts w:ascii="Times New Roman" w:hAnsi="Times New Roman" w:cs="Times New Roman"/>
          <w:sz w:val="24"/>
          <w:szCs w:val="24"/>
          <w:lang w:val="ru-RU"/>
        </w:rPr>
      </w:pPr>
    </w:p>
    <w:p w14:paraId="4D0707E6" w14:textId="77777777" w:rsidR="00AE4368" w:rsidRDefault="00AE4368">
      <w:pPr>
        <w:widowControl w:val="0"/>
        <w:spacing w:after="0" w:line="210" w:lineRule="exact"/>
        <w:contextualSpacing/>
        <w:rPr>
          <w:rFonts w:ascii="Times New Roman" w:hAnsi="Times New Roman" w:cs="Times New Roman"/>
          <w:sz w:val="24"/>
          <w:szCs w:val="24"/>
          <w:lang w:val="ru-RU"/>
        </w:rPr>
      </w:pPr>
    </w:p>
    <w:p w14:paraId="21C6DC79" w14:textId="77777777" w:rsidR="00AE4368" w:rsidRDefault="00AE4368">
      <w:pPr>
        <w:widowControl w:val="0"/>
        <w:spacing w:after="0" w:line="210" w:lineRule="exact"/>
        <w:contextualSpacing/>
        <w:rPr>
          <w:rFonts w:ascii="Times New Roman" w:hAnsi="Times New Roman" w:cs="Times New Roman"/>
          <w:sz w:val="24"/>
          <w:szCs w:val="24"/>
          <w:lang w:val="ru-RU"/>
        </w:rPr>
      </w:pPr>
    </w:p>
    <w:p w14:paraId="6504C03B" w14:textId="77777777" w:rsidR="00AE4368" w:rsidRDefault="00AE4368">
      <w:pPr>
        <w:widowControl w:val="0"/>
        <w:spacing w:after="0" w:line="210" w:lineRule="exact"/>
        <w:contextualSpacing/>
        <w:rPr>
          <w:rFonts w:ascii="Times New Roman" w:hAnsi="Times New Roman" w:cs="Times New Roman"/>
          <w:sz w:val="24"/>
          <w:szCs w:val="24"/>
          <w:lang w:val="ru-RU"/>
        </w:rPr>
      </w:pPr>
    </w:p>
    <w:p w14:paraId="024F9312" w14:textId="77777777" w:rsidR="00AE4368" w:rsidRDefault="00AE4368">
      <w:pPr>
        <w:widowControl w:val="0"/>
        <w:spacing w:after="0" w:line="210" w:lineRule="exact"/>
        <w:contextualSpacing/>
        <w:rPr>
          <w:rFonts w:ascii="Times New Roman" w:hAnsi="Times New Roman" w:cs="Times New Roman"/>
          <w:sz w:val="24"/>
          <w:szCs w:val="24"/>
          <w:lang w:val="ru-RU"/>
        </w:rPr>
      </w:pPr>
    </w:p>
    <w:p w14:paraId="41C9C1C7" w14:textId="77777777" w:rsidR="00AE4368" w:rsidRDefault="00AE4368">
      <w:pPr>
        <w:widowControl w:val="0"/>
        <w:spacing w:after="0" w:line="210" w:lineRule="exact"/>
        <w:contextualSpacing/>
        <w:rPr>
          <w:rFonts w:ascii="Times New Roman" w:hAnsi="Times New Roman" w:cs="Times New Roman"/>
          <w:sz w:val="24"/>
          <w:szCs w:val="24"/>
          <w:lang w:val="ru-RU"/>
        </w:rPr>
      </w:pPr>
    </w:p>
    <w:p w14:paraId="741BB786" w14:textId="77777777" w:rsidR="00AE4368" w:rsidRDefault="002023F4">
      <w:pPr>
        <w:widowControl w:val="0"/>
        <w:spacing w:after="0"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Санкт-Петербург</w:t>
      </w:r>
    </w:p>
    <w:p w14:paraId="665C846A" w14:textId="77777777" w:rsidR="00AE4368" w:rsidRDefault="002023F4">
      <w:pPr>
        <w:widowControl w:val="0"/>
        <w:spacing w:after="0" w:line="240" w:lineRule="auto"/>
        <w:contextualSpacing/>
        <w:jc w:val="center"/>
        <w:rPr>
          <w:rFonts w:ascii="Times New Roman" w:hAnsi="Times New Roman" w:cs="Times New Roman"/>
          <w:sz w:val="24"/>
          <w:szCs w:val="24"/>
          <w:lang w:val="ru-RU"/>
        </w:rPr>
        <w:sectPr w:rsidR="00AE4368" w:rsidSect="0065782D">
          <w:footerReference w:type="default" r:id="rId8"/>
          <w:footerReference w:type="first" r:id="rId9"/>
          <w:pgSz w:w="11906" w:h="16838"/>
          <w:pgMar w:top="1134" w:right="850" w:bottom="709" w:left="1701" w:header="708" w:footer="708" w:gutter="0"/>
          <w:cols w:space="708"/>
          <w:titlePg/>
          <w:docGrid w:linePitch="360"/>
        </w:sectPr>
      </w:pPr>
      <w:r>
        <w:rPr>
          <w:rFonts w:ascii="Times New Roman" w:hAnsi="Times New Roman" w:cs="Times New Roman"/>
          <w:sz w:val="24"/>
          <w:szCs w:val="24"/>
          <w:lang w:val="ru-RU"/>
        </w:rPr>
        <w:t>2023</w:t>
      </w:r>
    </w:p>
    <w:p w14:paraId="399B7FC6" w14:textId="1FCA49E8" w:rsidR="00AE4368" w:rsidRDefault="002023F4" w:rsidP="00067E59">
      <w:pPr>
        <w:pStyle w:val="afa"/>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ОГЛАВЛЕНИЕ</w:t>
      </w:r>
    </w:p>
    <w:sdt>
      <w:sdtPr>
        <w:rPr>
          <w:rFonts w:ascii="Times New Roman" w:hAnsi="Times New Roman" w:cs="Times New Roman"/>
          <w:b/>
          <w:bCs/>
          <w:sz w:val="24"/>
          <w:szCs w:val="24"/>
        </w:rPr>
        <w:id w:val="4231991"/>
        <w:docPartObj>
          <w:docPartGallery w:val="Table of Contents"/>
          <w:docPartUnique/>
        </w:docPartObj>
      </w:sdtPr>
      <w:sdtEndPr/>
      <w:sdtContent>
        <w:p w14:paraId="1D819D28" w14:textId="77777777" w:rsidR="00AE4368" w:rsidRPr="00801D78" w:rsidRDefault="002023F4">
          <w:pPr>
            <w:spacing w:after="0" w:line="360" w:lineRule="auto"/>
            <w:contextualSpacing/>
            <w:rPr>
              <w:rFonts w:ascii="Times New Roman" w:hAnsi="Times New Roman" w:cs="Times New Roman"/>
              <w:sz w:val="24"/>
              <w:szCs w:val="24"/>
              <w:lang w:val="ru-RU"/>
            </w:rPr>
          </w:pPr>
          <w:r w:rsidRPr="00801D78">
            <w:rPr>
              <w:rFonts w:ascii="Times New Roman" w:hAnsi="Times New Roman" w:cs="Times New Roman"/>
              <w:sz w:val="24"/>
              <w:szCs w:val="24"/>
              <w:lang w:val="ru-RU"/>
            </w:rPr>
            <w:t xml:space="preserve"> </w:t>
          </w:r>
        </w:p>
        <w:p w14:paraId="50BF5955" w14:textId="4FC6B8C3" w:rsidR="00E54A81" w:rsidRPr="00E54A81" w:rsidRDefault="002023F4">
          <w:pPr>
            <w:pStyle w:val="12"/>
            <w:tabs>
              <w:tab w:val="right" w:leader="dot" w:pos="9911"/>
            </w:tabs>
            <w:rPr>
              <w:rFonts w:ascii="Times New Roman" w:hAnsi="Times New Roman" w:cs="Times New Roman"/>
              <w:b w:val="0"/>
              <w:bCs w:val="0"/>
              <w:caps w:val="0"/>
              <w:noProof/>
              <w:sz w:val="24"/>
              <w:szCs w:val="24"/>
              <w:lang w:val="ru-RU" w:eastAsia="ru-RU" w:bidi="ar-SA"/>
            </w:rPr>
          </w:pPr>
          <w:r w:rsidRPr="00E54A81">
            <w:rPr>
              <w:rFonts w:ascii="Times New Roman" w:hAnsi="Times New Roman" w:cs="Times New Roman"/>
              <w:sz w:val="24"/>
              <w:szCs w:val="24"/>
              <w:lang w:val="ru-RU"/>
            </w:rPr>
            <w:fldChar w:fldCharType="begin"/>
          </w:r>
          <w:r w:rsidRPr="00E54A81">
            <w:rPr>
              <w:rFonts w:ascii="Times New Roman" w:hAnsi="Times New Roman" w:cs="Times New Roman"/>
              <w:sz w:val="24"/>
              <w:szCs w:val="24"/>
              <w:lang w:val="ru-RU"/>
            </w:rPr>
            <w:instrText xml:space="preserve"> TOC \o "1-3" \h \z \u </w:instrText>
          </w:r>
          <w:r w:rsidRPr="00E54A81">
            <w:rPr>
              <w:rFonts w:ascii="Times New Roman" w:hAnsi="Times New Roman" w:cs="Times New Roman"/>
              <w:sz w:val="24"/>
              <w:szCs w:val="24"/>
              <w:lang w:val="ru-RU"/>
            </w:rPr>
            <w:fldChar w:fldCharType="separate"/>
          </w:r>
          <w:hyperlink w:anchor="_Toc136448472" w:history="1">
            <w:r w:rsidR="00E54A81" w:rsidRPr="00E54A81">
              <w:rPr>
                <w:rStyle w:val="a9"/>
                <w:rFonts w:ascii="Times New Roman" w:hAnsi="Times New Roman" w:cs="Times New Roman"/>
                <w:noProof/>
                <w:sz w:val="24"/>
                <w:szCs w:val="24"/>
              </w:rPr>
              <w:t>ВВЕДЕНИЕ</w:t>
            </w:r>
            <w:r w:rsidR="00E54A81" w:rsidRPr="00E54A81">
              <w:rPr>
                <w:rFonts w:ascii="Times New Roman" w:hAnsi="Times New Roman" w:cs="Times New Roman"/>
                <w:noProof/>
                <w:webHidden/>
                <w:sz w:val="24"/>
                <w:szCs w:val="24"/>
              </w:rPr>
              <w:tab/>
            </w:r>
            <w:r w:rsidR="00E54A81" w:rsidRPr="00E54A81">
              <w:rPr>
                <w:rFonts w:ascii="Times New Roman" w:hAnsi="Times New Roman" w:cs="Times New Roman"/>
                <w:noProof/>
                <w:webHidden/>
                <w:sz w:val="24"/>
                <w:szCs w:val="24"/>
              </w:rPr>
              <w:fldChar w:fldCharType="begin"/>
            </w:r>
            <w:r w:rsidR="00E54A81" w:rsidRPr="00E54A81">
              <w:rPr>
                <w:rFonts w:ascii="Times New Roman" w:hAnsi="Times New Roman" w:cs="Times New Roman"/>
                <w:noProof/>
                <w:webHidden/>
                <w:sz w:val="24"/>
                <w:szCs w:val="24"/>
              </w:rPr>
              <w:instrText xml:space="preserve"> PAGEREF _Toc136448472 \h </w:instrText>
            </w:r>
            <w:r w:rsidR="00E54A81" w:rsidRPr="00E54A81">
              <w:rPr>
                <w:rFonts w:ascii="Times New Roman" w:hAnsi="Times New Roman" w:cs="Times New Roman"/>
                <w:noProof/>
                <w:webHidden/>
                <w:sz w:val="24"/>
                <w:szCs w:val="24"/>
              </w:rPr>
            </w:r>
            <w:r w:rsidR="00E54A81" w:rsidRPr="00E54A81">
              <w:rPr>
                <w:rFonts w:ascii="Times New Roman" w:hAnsi="Times New Roman" w:cs="Times New Roman"/>
                <w:noProof/>
                <w:webHidden/>
                <w:sz w:val="24"/>
                <w:szCs w:val="24"/>
              </w:rPr>
              <w:fldChar w:fldCharType="separate"/>
            </w:r>
            <w:r w:rsidR="00E54A81" w:rsidRPr="00E54A81">
              <w:rPr>
                <w:rFonts w:ascii="Times New Roman" w:hAnsi="Times New Roman" w:cs="Times New Roman"/>
                <w:noProof/>
                <w:webHidden/>
                <w:sz w:val="24"/>
                <w:szCs w:val="24"/>
              </w:rPr>
              <w:t>3</w:t>
            </w:r>
            <w:r w:rsidR="00E54A81" w:rsidRPr="00E54A81">
              <w:rPr>
                <w:rFonts w:ascii="Times New Roman" w:hAnsi="Times New Roman" w:cs="Times New Roman"/>
                <w:noProof/>
                <w:webHidden/>
                <w:sz w:val="24"/>
                <w:szCs w:val="24"/>
              </w:rPr>
              <w:fldChar w:fldCharType="end"/>
            </w:r>
          </w:hyperlink>
        </w:p>
        <w:p w14:paraId="57D2EBDE" w14:textId="1B9C5AEB" w:rsidR="00E54A81" w:rsidRPr="00E54A81" w:rsidRDefault="00E54A81">
          <w:pPr>
            <w:pStyle w:val="12"/>
            <w:tabs>
              <w:tab w:val="right" w:leader="dot" w:pos="9911"/>
            </w:tabs>
            <w:rPr>
              <w:rFonts w:ascii="Times New Roman" w:hAnsi="Times New Roman" w:cs="Times New Roman"/>
              <w:b w:val="0"/>
              <w:bCs w:val="0"/>
              <w:caps w:val="0"/>
              <w:noProof/>
              <w:sz w:val="24"/>
              <w:szCs w:val="24"/>
              <w:lang w:val="ru-RU" w:eastAsia="ru-RU" w:bidi="ar-SA"/>
            </w:rPr>
          </w:pPr>
          <w:hyperlink w:anchor="_Toc136448473" w:history="1">
            <w:r w:rsidRPr="00E54A81">
              <w:rPr>
                <w:rStyle w:val="a9"/>
                <w:rFonts w:ascii="Times New Roman" w:hAnsi="Times New Roman" w:cs="Times New Roman"/>
                <w:noProof/>
                <w:sz w:val="24"/>
                <w:szCs w:val="24"/>
              </w:rPr>
              <w:t>ГЛАВА 1. ТЕОРЕТИЧЕСКИЕ ПРЕДСТАВЛЕНИЯ О ФЕНОМЕНЕ МИРОВЫХ ФИНАНСОВЫХ ЦЕНТРОВ</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_Toc136448473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13</w:t>
            </w:r>
            <w:r w:rsidRPr="00E54A81">
              <w:rPr>
                <w:rFonts w:ascii="Times New Roman" w:hAnsi="Times New Roman" w:cs="Times New Roman"/>
                <w:noProof/>
                <w:webHidden/>
                <w:sz w:val="24"/>
                <w:szCs w:val="24"/>
              </w:rPr>
              <w:fldChar w:fldCharType="end"/>
            </w:r>
          </w:hyperlink>
        </w:p>
        <w:p w14:paraId="51AF8342" w14:textId="4E08823A"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74" w:history="1">
            <w:r w:rsidRPr="00E54A81">
              <w:rPr>
                <w:rStyle w:val="a9"/>
                <w:rFonts w:ascii="Times New Roman" w:hAnsi="Times New Roman" w:cs="Times New Roman"/>
                <w:noProof/>
                <w:sz w:val="24"/>
                <w:szCs w:val="24"/>
              </w:rPr>
              <w:t>§ 1.1 Мировой финансовый центр как научная категория</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_Toc136448474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13</w:t>
            </w:r>
            <w:r w:rsidRPr="00E54A81">
              <w:rPr>
                <w:rFonts w:ascii="Times New Roman" w:hAnsi="Times New Roman" w:cs="Times New Roman"/>
                <w:noProof/>
                <w:webHidden/>
                <w:sz w:val="24"/>
                <w:szCs w:val="24"/>
              </w:rPr>
              <w:fldChar w:fldCharType="end"/>
            </w:r>
          </w:hyperlink>
        </w:p>
        <w:p w14:paraId="554B4C1F" w14:textId="43728F1C"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75" w:history="1">
            <w:r w:rsidRPr="00E54A81">
              <w:rPr>
                <w:rStyle w:val="a9"/>
                <w:rFonts w:ascii="Times New Roman" w:hAnsi="Times New Roman" w:cs="Times New Roman"/>
                <w:noProof/>
                <w:sz w:val="24"/>
                <w:szCs w:val="24"/>
              </w:rPr>
              <w:t>§ 1.2 Виды мировых финансовых центров</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_Toc136448475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25</w:t>
            </w:r>
            <w:r w:rsidRPr="00E54A81">
              <w:rPr>
                <w:rFonts w:ascii="Times New Roman" w:hAnsi="Times New Roman" w:cs="Times New Roman"/>
                <w:noProof/>
                <w:webHidden/>
                <w:sz w:val="24"/>
                <w:szCs w:val="24"/>
              </w:rPr>
              <w:fldChar w:fldCharType="end"/>
            </w:r>
          </w:hyperlink>
        </w:p>
        <w:p w14:paraId="44B43699" w14:textId="47695B2B" w:rsidR="00E54A81" w:rsidRPr="00E54A81" w:rsidRDefault="00E54A81">
          <w:pPr>
            <w:pStyle w:val="12"/>
            <w:tabs>
              <w:tab w:val="right" w:leader="dot" w:pos="9911"/>
            </w:tabs>
            <w:rPr>
              <w:rFonts w:ascii="Times New Roman" w:hAnsi="Times New Roman" w:cs="Times New Roman"/>
              <w:b w:val="0"/>
              <w:bCs w:val="0"/>
              <w:caps w:val="0"/>
              <w:noProof/>
              <w:sz w:val="24"/>
              <w:szCs w:val="24"/>
              <w:lang w:val="ru-RU" w:eastAsia="ru-RU" w:bidi="ar-SA"/>
            </w:rPr>
          </w:pPr>
          <w:hyperlink w:anchor="_Toc136448476" w:history="1">
            <w:r w:rsidRPr="00E54A81">
              <w:rPr>
                <w:rStyle w:val="a9"/>
                <w:rFonts w:ascii="Times New Roman" w:hAnsi="Times New Roman" w:cs="Times New Roman"/>
                <w:noProof/>
                <w:sz w:val="24"/>
                <w:szCs w:val="24"/>
              </w:rPr>
              <w:t>ГЛАВА 2. ФАКТОРЫ РАЗВИТИЯ И ЗНАЧЕНИЕ МФЦ В СТРАНАХ С ФОРМИРУЮЩИМСЯ РЫНКОМ</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_Toc136448476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32</w:t>
            </w:r>
            <w:r w:rsidRPr="00E54A81">
              <w:rPr>
                <w:rFonts w:ascii="Times New Roman" w:hAnsi="Times New Roman" w:cs="Times New Roman"/>
                <w:noProof/>
                <w:webHidden/>
                <w:sz w:val="24"/>
                <w:szCs w:val="24"/>
              </w:rPr>
              <w:fldChar w:fldCharType="end"/>
            </w:r>
          </w:hyperlink>
        </w:p>
        <w:p w14:paraId="509F76A7" w14:textId="26BF9E75"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77" w:history="1">
            <w:r w:rsidRPr="00E54A81">
              <w:rPr>
                <w:rStyle w:val="a9"/>
                <w:rFonts w:ascii="Times New Roman" w:hAnsi="Times New Roman" w:cs="Times New Roman"/>
                <w:noProof/>
                <w:sz w:val="24"/>
                <w:szCs w:val="24"/>
              </w:rPr>
              <w:t>§2.1 Методические подходы к оценке развития МФЦ</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_Toc136448477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32</w:t>
            </w:r>
            <w:r w:rsidRPr="00E54A81">
              <w:rPr>
                <w:rFonts w:ascii="Times New Roman" w:hAnsi="Times New Roman" w:cs="Times New Roman"/>
                <w:noProof/>
                <w:webHidden/>
                <w:sz w:val="24"/>
                <w:szCs w:val="24"/>
              </w:rPr>
              <w:fldChar w:fldCharType="end"/>
            </w:r>
          </w:hyperlink>
        </w:p>
        <w:p w14:paraId="1097D42A" w14:textId="0C584D4A"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78" w:history="1">
            <w:r w:rsidRPr="00E54A81">
              <w:rPr>
                <w:rStyle w:val="a9"/>
                <w:rFonts w:ascii="Times New Roman" w:hAnsi="Times New Roman" w:cs="Times New Roman"/>
                <w:noProof/>
                <w:sz w:val="24"/>
                <w:szCs w:val="24"/>
              </w:rPr>
              <w:t>§2.2 Адаптация моделей оценки МФЦ с учетом специфики стран с формирующимся рынков</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_Toc136448478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44</w:t>
            </w:r>
            <w:r w:rsidRPr="00E54A81">
              <w:rPr>
                <w:rFonts w:ascii="Times New Roman" w:hAnsi="Times New Roman" w:cs="Times New Roman"/>
                <w:noProof/>
                <w:webHidden/>
                <w:sz w:val="24"/>
                <w:szCs w:val="24"/>
              </w:rPr>
              <w:fldChar w:fldCharType="end"/>
            </w:r>
          </w:hyperlink>
        </w:p>
        <w:p w14:paraId="2BB30D86" w14:textId="2F9D73D3" w:rsidR="00E54A81" w:rsidRPr="00E54A81" w:rsidRDefault="00E54A81">
          <w:pPr>
            <w:pStyle w:val="12"/>
            <w:tabs>
              <w:tab w:val="right" w:leader="dot" w:pos="9911"/>
            </w:tabs>
            <w:rPr>
              <w:rFonts w:ascii="Times New Roman" w:hAnsi="Times New Roman" w:cs="Times New Roman"/>
              <w:b w:val="0"/>
              <w:bCs w:val="0"/>
              <w:caps w:val="0"/>
              <w:noProof/>
              <w:sz w:val="24"/>
              <w:szCs w:val="24"/>
              <w:lang w:val="ru-RU" w:eastAsia="ru-RU" w:bidi="ar-SA"/>
            </w:rPr>
          </w:pPr>
          <w:hyperlink w:anchor="_Toc136448479" w:history="1">
            <w:r w:rsidRPr="00E54A81">
              <w:rPr>
                <w:rStyle w:val="a9"/>
                <w:rFonts w:ascii="Times New Roman" w:hAnsi="Times New Roman" w:cs="Times New Roman"/>
                <w:noProof/>
                <w:sz w:val="24"/>
                <w:szCs w:val="24"/>
              </w:rPr>
              <w:t>ГЛАВА 3. СТРАТЕГИЯ РАЗВИТИЯ МФЦ В СТРАНАХ С ФОРМИРУЮЩИМСЯ РЫНКОМ НА ПРИМЕРЕ КИТАЯ И РОССИИ</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_Toc136448479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56</w:t>
            </w:r>
            <w:r w:rsidRPr="00E54A81">
              <w:rPr>
                <w:rFonts w:ascii="Times New Roman" w:hAnsi="Times New Roman" w:cs="Times New Roman"/>
                <w:noProof/>
                <w:webHidden/>
                <w:sz w:val="24"/>
                <w:szCs w:val="24"/>
              </w:rPr>
              <w:fldChar w:fldCharType="end"/>
            </w:r>
          </w:hyperlink>
        </w:p>
        <w:p w14:paraId="0F1AA559" w14:textId="2BE4E19A"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80" w:history="1">
            <w:r w:rsidRPr="00E54A81">
              <w:rPr>
                <w:rStyle w:val="a9"/>
                <w:rFonts w:ascii="Times New Roman" w:hAnsi="Times New Roman" w:cs="Times New Roman"/>
                <w:noProof/>
                <w:sz w:val="24"/>
                <w:szCs w:val="24"/>
              </w:rPr>
              <w:t>§ 3.1 Особенности развития МФЦ в Китае</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_Toc136448480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56</w:t>
            </w:r>
            <w:r w:rsidRPr="00E54A81">
              <w:rPr>
                <w:rFonts w:ascii="Times New Roman" w:hAnsi="Times New Roman" w:cs="Times New Roman"/>
                <w:noProof/>
                <w:webHidden/>
                <w:sz w:val="24"/>
                <w:szCs w:val="24"/>
              </w:rPr>
              <w:fldChar w:fldCharType="end"/>
            </w:r>
          </w:hyperlink>
        </w:p>
        <w:p w14:paraId="0C460EBE" w14:textId="0699E894"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81" w:history="1">
            <w:r w:rsidRPr="00E54A81">
              <w:rPr>
                <w:rStyle w:val="a9"/>
                <w:rFonts w:ascii="Times New Roman" w:hAnsi="Times New Roman" w:cs="Times New Roman"/>
                <w:noProof/>
                <w:sz w:val="24"/>
                <w:szCs w:val="24"/>
              </w:rPr>
              <w:t>§ 3.2 Становление МФЦ в России</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_Toc136448481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80</w:t>
            </w:r>
            <w:r w:rsidRPr="00E54A81">
              <w:rPr>
                <w:rFonts w:ascii="Times New Roman" w:hAnsi="Times New Roman" w:cs="Times New Roman"/>
                <w:noProof/>
                <w:webHidden/>
                <w:sz w:val="24"/>
                <w:szCs w:val="24"/>
              </w:rPr>
              <w:fldChar w:fldCharType="end"/>
            </w:r>
          </w:hyperlink>
        </w:p>
        <w:p w14:paraId="76B04678" w14:textId="365AAFBD"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82" w:history="1">
            <w:r w:rsidRPr="00E54A81">
              <w:rPr>
                <w:rStyle w:val="a9"/>
                <w:rFonts w:ascii="Times New Roman" w:hAnsi="Times New Roman" w:cs="Times New Roman"/>
                <w:noProof/>
                <w:sz w:val="24"/>
                <w:szCs w:val="24"/>
              </w:rPr>
              <w:t>§ 3.3 Рекомендации по развитию МФЦ в России</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_Toc136448482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106</w:t>
            </w:r>
            <w:r w:rsidRPr="00E54A81">
              <w:rPr>
                <w:rFonts w:ascii="Times New Roman" w:hAnsi="Times New Roman" w:cs="Times New Roman"/>
                <w:noProof/>
                <w:webHidden/>
                <w:sz w:val="24"/>
                <w:szCs w:val="24"/>
              </w:rPr>
              <w:fldChar w:fldCharType="end"/>
            </w:r>
          </w:hyperlink>
        </w:p>
        <w:p w14:paraId="638C5351" w14:textId="0CD1F598" w:rsidR="00E54A81" w:rsidRPr="00E54A81" w:rsidRDefault="00E54A81">
          <w:pPr>
            <w:pStyle w:val="12"/>
            <w:tabs>
              <w:tab w:val="right" w:leader="dot" w:pos="9911"/>
            </w:tabs>
            <w:rPr>
              <w:rFonts w:ascii="Times New Roman" w:hAnsi="Times New Roman" w:cs="Times New Roman"/>
              <w:b w:val="0"/>
              <w:bCs w:val="0"/>
              <w:caps w:val="0"/>
              <w:noProof/>
              <w:sz w:val="24"/>
              <w:szCs w:val="24"/>
              <w:lang w:val="ru-RU" w:eastAsia="ru-RU" w:bidi="ar-SA"/>
            </w:rPr>
          </w:pPr>
          <w:hyperlink w:anchor="_Toc136448483" w:history="1">
            <w:r w:rsidRPr="00E54A81">
              <w:rPr>
                <w:rStyle w:val="a9"/>
                <w:rFonts w:ascii="Times New Roman" w:hAnsi="Times New Roman" w:cs="Times New Roman"/>
                <w:noProof/>
                <w:sz w:val="24"/>
                <w:szCs w:val="24"/>
              </w:rPr>
              <w:t>ЗАКЛЮЧЕНИЕ</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_Toc136448483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108</w:t>
            </w:r>
            <w:r w:rsidRPr="00E54A81">
              <w:rPr>
                <w:rFonts w:ascii="Times New Roman" w:hAnsi="Times New Roman" w:cs="Times New Roman"/>
                <w:noProof/>
                <w:webHidden/>
                <w:sz w:val="24"/>
                <w:szCs w:val="24"/>
              </w:rPr>
              <w:fldChar w:fldCharType="end"/>
            </w:r>
          </w:hyperlink>
        </w:p>
        <w:p w14:paraId="19652FA8" w14:textId="54BE7F3C" w:rsidR="00E54A81" w:rsidRPr="00E54A81" w:rsidRDefault="00E54A81">
          <w:pPr>
            <w:pStyle w:val="12"/>
            <w:tabs>
              <w:tab w:val="right" w:leader="dot" w:pos="9911"/>
            </w:tabs>
            <w:rPr>
              <w:rFonts w:ascii="Times New Roman" w:hAnsi="Times New Roman" w:cs="Times New Roman"/>
              <w:b w:val="0"/>
              <w:bCs w:val="0"/>
              <w:caps w:val="0"/>
              <w:noProof/>
              <w:sz w:val="24"/>
              <w:szCs w:val="24"/>
              <w:lang w:val="ru-RU" w:eastAsia="ru-RU" w:bidi="ar-SA"/>
            </w:rPr>
          </w:pPr>
          <w:hyperlink w:anchor="_Toc136448484" w:history="1">
            <w:r w:rsidRPr="00E54A81">
              <w:rPr>
                <w:rStyle w:val="a9"/>
                <w:rFonts w:ascii="Times New Roman" w:hAnsi="Times New Roman" w:cs="Times New Roman"/>
                <w:noProof/>
                <w:sz w:val="24"/>
                <w:szCs w:val="24"/>
              </w:rPr>
              <w:t>Список сокращений и условных обозначений</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_Toc136448484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115</w:t>
            </w:r>
            <w:r w:rsidRPr="00E54A81">
              <w:rPr>
                <w:rFonts w:ascii="Times New Roman" w:hAnsi="Times New Roman" w:cs="Times New Roman"/>
                <w:noProof/>
                <w:webHidden/>
                <w:sz w:val="24"/>
                <w:szCs w:val="24"/>
              </w:rPr>
              <w:fldChar w:fldCharType="end"/>
            </w:r>
          </w:hyperlink>
        </w:p>
        <w:p w14:paraId="59E202B7" w14:textId="2E4C2A46" w:rsidR="00E54A81" w:rsidRPr="00E54A81" w:rsidRDefault="00E54A81">
          <w:pPr>
            <w:pStyle w:val="12"/>
            <w:tabs>
              <w:tab w:val="right" w:leader="dot" w:pos="9911"/>
            </w:tabs>
            <w:rPr>
              <w:rFonts w:ascii="Times New Roman" w:hAnsi="Times New Roman" w:cs="Times New Roman"/>
              <w:b w:val="0"/>
              <w:bCs w:val="0"/>
              <w:caps w:val="0"/>
              <w:noProof/>
              <w:sz w:val="24"/>
              <w:szCs w:val="24"/>
              <w:lang w:val="ru-RU" w:eastAsia="ru-RU" w:bidi="ar-SA"/>
            </w:rPr>
          </w:pPr>
          <w:hyperlink w:anchor="_Toc136448485" w:history="1">
            <w:r w:rsidRPr="00E54A81">
              <w:rPr>
                <w:rStyle w:val="a9"/>
                <w:rFonts w:ascii="Times New Roman" w:hAnsi="Times New Roman" w:cs="Times New Roman"/>
                <w:noProof/>
                <w:sz w:val="24"/>
                <w:szCs w:val="24"/>
              </w:rPr>
              <w:t>Список литературы:</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_Toc136448485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116</w:t>
            </w:r>
            <w:r w:rsidRPr="00E54A81">
              <w:rPr>
                <w:rFonts w:ascii="Times New Roman" w:hAnsi="Times New Roman" w:cs="Times New Roman"/>
                <w:noProof/>
                <w:webHidden/>
                <w:sz w:val="24"/>
                <w:szCs w:val="24"/>
              </w:rPr>
              <w:fldChar w:fldCharType="end"/>
            </w:r>
          </w:hyperlink>
        </w:p>
        <w:p w14:paraId="4E8F19A5" w14:textId="395F6723" w:rsidR="00E54A81" w:rsidRPr="00E54A81" w:rsidRDefault="00E54A81">
          <w:pPr>
            <w:pStyle w:val="12"/>
            <w:tabs>
              <w:tab w:val="right" w:leader="dot" w:pos="9911"/>
            </w:tabs>
            <w:rPr>
              <w:rFonts w:ascii="Times New Roman" w:hAnsi="Times New Roman" w:cs="Times New Roman"/>
              <w:b w:val="0"/>
              <w:bCs w:val="0"/>
              <w:caps w:val="0"/>
              <w:noProof/>
              <w:sz w:val="24"/>
              <w:szCs w:val="24"/>
              <w:lang w:val="ru-RU" w:eastAsia="ru-RU" w:bidi="ar-SA"/>
            </w:rPr>
          </w:pPr>
          <w:hyperlink w:anchor="_Toc136448486" w:history="1">
            <w:r w:rsidRPr="00E54A81">
              <w:rPr>
                <w:rStyle w:val="a9"/>
                <w:rFonts w:ascii="Times New Roman" w:hAnsi="Times New Roman" w:cs="Times New Roman"/>
                <w:noProof/>
                <w:sz w:val="24"/>
                <w:szCs w:val="24"/>
              </w:rPr>
              <w:t>ПРИЛОЖЕНИ</w:t>
            </w:r>
            <w:r w:rsidRPr="00E54A81">
              <w:rPr>
                <w:rStyle w:val="a9"/>
                <w:rFonts w:ascii="Times New Roman" w:hAnsi="Times New Roman" w:cs="Times New Roman"/>
                <w:noProof/>
                <w:sz w:val="24"/>
                <w:szCs w:val="24"/>
                <w:lang w:eastAsia="zh-CN"/>
              </w:rPr>
              <w:t>Я</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_Toc136448486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143</w:t>
            </w:r>
            <w:r w:rsidRPr="00E54A81">
              <w:rPr>
                <w:rFonts w:ascii="Times New Roman" w:hAnsi="Times New Roman" w:cs="Times New Roman"/>
                <w:noProof/>
                <w:webHidden/>
                <w:sz w:val="24"/>
                <w:szCs w:val="24"/>
              </w:rPr>
              <w:fldChar w:fldCharType="end"/>
            </w:r>
          </w:hyperlink>
        </w:p>
        <w:p w14:paraId="62D7AFBF" w14:textId="482C2BF7"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87" w:history="1">
            <w:r w:rsidRPr="00E54A81">
              <w:rPr>
                <w:rStyle w:val="a9"/>
                <w:rFonts w:ascii="Times New Roman" w:hAnsi="Times New Roman" w:cs="Times New Roman"/>
                <w:noProof/>
                <w:sz w:val="24"/>
                <w:szCs w:val="24"/>
              </w:rPr>
              <w:t>Приложение 1</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_Toc136448487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143</w:t>
            </w:r>
            <w:r w:rsidRPr="00E54A81">
              <w:rPr>
                <w:rFonts w:ascii="Times New Roman" w:hAnsi="Times New Roman" w:cs="Times New Roman"/>
                <w:noProof/>
                <w:webHidden/>
                <w:sz w:val="24"/>
                <w:szCs w:val="24"/>
              </w:rPr>
              <w:fldChar w:fldCharType="end"/>
            </w:r>
          </w:hyperlink>
        </w:p>
        <w:p w14:paraId="077E264E" w14:textId="0BAAED81"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88" w:history="1">
            <w:r w:rsidRPr="00E54A81">
              <w:rPr>
                <w:rStyle w:val="a9"/>
                <w:rFonts w:ascii="Times New Roman" w:hAnsi="Times New Roman" w:cs="Times New Roman"/>
                <w:noProof/>
                <w:sz w:val="24"/>
                <w:szCs w:val="24"/>
              </w:rPr>
              <w:t>Приложение 2</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_Toc136448488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146</w:t>
            </w:r>
            <w:r w:rsidRPr="00E54A81">
              <w:rPr>
                <w:rFonts w:ascii="Times New Roman" w:hAnsi="Times New Roman" w:cs="Times New Roman"/>
                <w:noProof/>
                <w:webHidden/>
                <w:sz w:val="24"/>
                <w:szCs w:val="24"/>
              </w:rPr>
              <w:fldChar w:fldCharType="end"/>
            </w:r>
          </w:hyperlink>
        </w:p>
        <w:p w14:paraId="0D9031BD" w14:textId="53EC2642"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89" w:history="1">
            <w:r w:rsidRPr="00E54A81">
              <w:rPr>
                <w:rStyle w:val="a9"/>
                <w:rFonts w:ascii="Times New Roman" w:hAnsi="Times New Roman" w:cs="Times New Roman"/>
                <w:noProof/>
                <w:sz w:val="24"/>
                <w:szCs w:val="24"/>
              </w:rPr>
              <w:t>Приложение 3</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_Toc136448489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151</w:t>
            </w:r>
            <w:r w:rsidRPr="00E54A81">
              <w:rPr>
                <w:rFonts w:ascii="Times New Roman" w:hAnsi="Times New Roman" w:cs="Times New Roman"/>
                <w:noProof/>
                <w:webHidden/>
                <w:sz w:val="24"/>
                <w:szCs w:val="24"/>
              </w:rPr>
              <w:fldChar w:fldCharType="end"/>
            </w:r>
          </w:hyperlink>
        </w:p>
        <w:p w14:paraId="6FD0EA5C" w14:textId="54EACDE5"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90" w:history="1">
            <w:r w:rsidRPr="00E54A81">
              <w:rPr>
                <w:rStyle w:val="a9"/>
                <w:rFonts w:ascii="Times New Roman" w:hAnsi="Times New Roman" w:cs="Times New Roman"/>
                <w:noProof/>
                <w:sz w:val="24"/>
                <w:szCs w:val="24"/>
                <w:lang w:eastAsia="zh-CN"/>
              </w:rPr>
              <w:t>Приложение 4</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_Toc136448490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163</w:t>
            </w:r>
            <w:r w:rsidRPr="00E54A81">
              <w:rPr>
                <w:rFonts w:ascii="Times New Roman" w:hAnsi="Times New Roman" w:cs="Times New Roman"/>
                <w:noProof/>
                <w:webHidden/>
                <w:sz w:val="24"/>
                <w:szCs w:val="24"/>
              </w:rPr>
              <w:fldChar w:fldCharType="end"/>
            </w:r>
          </w:hyperlink>
        </w:p>
        <w:p w14:paraId="3CBBCF4C" w14:textId="1B40F061"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91" w:history="1">
            <w:r w:rsidRPr="00E54A81">
              <w:rPr>
                <w:rStyle w:val="a9"/>
                <w:rFonts w:ascii="Times New Roman" w:hAnsi="Times New Roman" w:cs="Times New Roman"/>
                <w:noProof/>
                <w:sz w:val="24"/>
                <w:szCs w:val="24"/>
              </w:rPr>
              <w:t>Приложение 5</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_Toc136448491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172</w:t>
            </w:r>
            <w:r w:rsidRPr="00E54A81">
              <w:rPr>
                <w:rFonts w:ascii="Times New Roman" w:hAnsi="Times New Roman" w:cs="Times New Roman"/>
                <w:noProof/>
                <w:webHidden/>
                <w:sz w:val="24"/>
                <w:szCs w:val="24"/>
              </w:rPr>
              <w:fldChar w:fldCharType="end"/>
            </w:r>
          </w:hyperlink>
        </w:p>
        <w:p w14:paraId="0C0C6477" w14:textId="582BDDB8"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92" w:history="1">
            <w:r w:rsidRPr="00E54A81">
              <w:rPr>
                <w:rStyle w:val="a9"/>
                <w:rFonts w:ascii="Times New Roman" w:hAnsi="Times New Roman" w:cs="Times New Roman"/>
                <w:noProof/>
                <w:sz w:val="24"/>
                <w:szCs w:val="24"/>
              </w:rPr>
              <w:t>Приложение 6</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_Toc136448492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173</w:t>
            </w:r>
            <w:r w:rsidRPr="00E54A81">
              <w:rPr>
                <w:rFonts w:ascii="Times New Roman" w:hAnsi="Times New Roman" w:cs="Times New Roman"/>
                <w:noProof/>
                <w:webHidden/>
                <w:sz w:val="24"/>
                <w:szCs w:val="24"/>
              </w:rPr>
              <w:fldChar w:fldCharType="end"/>
            </w:r>
          </w:hyperlink>
        </w:p>
        <w:p w14:paraId="5276D224" w14:textId="7EDB1885"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93" w:history="1">
            <w:r w:rsidRPr="00E54A81">
              <w:rPr>
                <w:rStyle w:val="a9"/>
                <w:rFonts w:ascii="Times New Roman" w:hAnsi="Times New Roman" w:cs="Times New Roman"/>
                <w:noProof/>
                <w:sz w:val="24"/>
                <w:szCs w:val="24"/>
              </w:rPr>
              <w:t>Приложение 7</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_Toc136448493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175</w:t>
            </w:r>
            <w:r w:rsidRPr="00E54A81">
              <w:rPr>
                <w:rFonts w:ascii="Times New Roman" w:hAnsi="Times New Roman" w:cs="Times New Roman"/>
                <w:noProof/>
                <w:webHidden/>
                <w:sz w:val="24"/>
                <w:szCs w:val="24"/>
              </w:rPr>
              <w:fldChar w:fldCharType="end"/>
            </w:r>
          </w:hyperlink>
        </w:p>
        <w:p w14:paraId="33688FA9" w14:textId="7CE7B2C4"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94" w:history="1">
            <w:r w:rsidRPr="00E54A81">
              <w:rPr>
                <w:rStyle w:val="a9"/>
                <w:rFonts w:ascii="Times New Roman" w:hAnsi="Times New Roman" w:cs="Times New Roman"/>
                <w:noProof/>
                <w:sz w:val="24"/>
                <w:szCs w:val="24"/>
              </w:rPr>
              <w:t>Приложение 8.</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_Toc136448494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176</w:t>
            </w:r>
            <w:r w:rsidRPr="00E54A81">
              <w:rPr>
                <w:rFonts w:ascii="Times New Roman" w:hAnsi="Times New Roman" w:cs="Times New Roman"/>
                <w:noProof/>
                <w:webHidden/>
                <w:sz w:val="24"/>
                <w:szCs w:val="24"/>
              </w:rPr>
              <w:fldChar w:fldCharType="end"/>
            </w:r>
          </w:hyperlink>
        </w:p>
        <w:p w14:paraId="4D5C2567" w14:textId="5D607ACC" w:rsidR="00E54A81" w:rsidRPr="00E54A81" w:rsidRDefault="00E54A81">
          <w:pPr>
            <w:pStyle w:val="22"/>
            <w:tabs>
              <w:tab w:val="right" w:leader="dot" w:pos="9911"/>
            </w:tabs>
            <w:rPr>
              <w:rFonts w:ascii="Times New Roman" w:hAnsi="Times New Roman" w:cs="Times New Roman"/>
              <w:smallCaps w:val="0"/>
              <w:noProof/>
              <w:sz w:val="24"/>
              <w:szCs w:val="24"/>
              <w:lang w:val="ru-RU" w:eastAsia="ru-RU" w:bidi="ar-SA"/>
            </w:rPr>
          </w:pPr>
          <w:hyperlink w:anchor="_Toc136448495" w:history="1">
            <w:r w:rsidRPr="00E54A81">
              <w:rPr>
                <w:rStyle w:val="a9"/>
                <w:rFonts w:ascii="Times New Roman" w:hAnsi="Times New Roman" w:cs="Times New Roman"/>
                <w:noProof/>
                <w:sz w:val="24"/>
                <w:szCs w:val="24"/>
              </w:rPr>
              <w:t>Приложение 9.</w:t>
            </w:r>
            <w:r w:rsidRPr="00E54A81">
              <w:rPr>
                <w:rFonts w:ascii="Times New Roman" w:hAnsi="Times New Roman" w:cs="Times New Roman"/>
                <w:noProof/>
                <w:webHidden/>
                <w:sz w:val="24"/>
                <w:szCs w:val="24"/>
              </w:rPr>
              <w:tab/>
            </w:r>
            <w:r w:rsidRPr="00E54A81">
              <w:rPr>
                <w:rFonts w:ascii="Times New Roman" w:hAnsi="Times New Roman" w:cs="Times New Roman"/>
                <w:noProof/>
                <w:webHidden/>
                <w:sz w:val="24"/>
                <w:szCs w:val="24"/>
              </w:rPr>
              <w:fldChar w:fldCharType="begin"/>
            </w:r>
            <w:r w:rsidRPr="00E54A81">
              <w:rPr>
                <w:rFonts w:ascii="Times New Roman" w:hAnsi="Times New Roman" w:cs="Times New Roman"/>
                <w:noProof/>
                <w:webHidden/>
                <w:sz w:val="24"/>
                <w:szCs w:val="24"/>
              </w:rPr>
              <w:instrText xml:space="preserve"> PAGEREF _Toc136448495 \h </w:instrText>
            </w:r>
            <w:r w:rsidRPr="00E54A81">
              <w:rPr>
                <w:rFonts w:ascii="Times New Roman" w:hAnsi="Times New Roman" w:cs="Times New Roman"/>
                <w:noProof/>
                <w:webHidden/>
                <w:sz w:val="24"/>
                <w:szCs w:val="24"/>
              </w:rPr>
            </w:r>
            <w:r w:rsidRPr="00E54A81">
              <w:rPr>
                <w:rFonts w:ascii="Times New Roman" w:hAnsi="Times New Roman" w:cs="Times New Roman"/>
                <w:noProof/>
                <w:webHidden/>
                <w:sz w:val="24"/>
                <w:szCs w:val="24"/>
              </w:rPr>
              <w:fldChar w:fldCharType="separate"/>
            </w:r>
            <w:r w:rsidRPr="00E54A81">
              <w:rPr>
                <w:rFonts w:ascii="Times New Roman" w:hAnsi="Times New Roman" w:cs="Times New Roman"/>
                <w:noProof/>
                <w:webHidden/>
                <w:sz w:val="24"/>
                <w:szCs w:val="24"/>
              </w:rPr>
              <w:t>179</w:t>
            </w:r>
            <w:r w:rsidRPr="00E54A81">
              <w:rPr>
                <w:rFonts w:ascii="Times New Roman" w:hAnsi="Times New Roman" w:cs="Times New Roman"/>
                <w:noProof/>
                <w:webHidden/>
                <w:sz w:val="24"/>
                <w:szCs w:val="24"/>
              </w:rPr>
              <w:fldChar w:fldCharType="end"/>
            </w:r>
          </w:hyperlink>
        </w:p>
        <w:p w14:paraId="05CAEEC8" w14:textId="6313C68B" w:rsidR="0065782D" w:rsidRPr="00E54A81" w:rsidRDefault="002023F4" w:rsidP="0065782D">
          <w:pPr>
            <w:spacing w:after="0" w:line="360" w:lineRule="auto"/>
            <w:contextualSpacing/>
            <w:rPr>
              <w:rFonts w:ascii="Times New Roman" w:hAnsi="Times New Roman" w:cs="Times New Roman"/>
              <w:sz w:val="24"/>
              <w:szCs w:val="24"/>
              <w:lang w:val="ru-RU"/>
            </w:rPr>
          </w:pPr>
          <w:r w:rsidRPr="00E54A81">
            <w:rPr>
              <w:rFonts w:ascii="Times New Roman" w:hAnsi="Times New Roman" w:cs="Times New Roman"/>
              <w:sz w:val="24"/>
              <w:szCs w:val="24"/>
              <w:lang w:val="ru-RU"/>
            </w:rPr>
            <w:fldChar w:fldCharType="end"/>
          </w:r>
        </w:p>
      </w:sdtContent>
    </w:sdt>
    <w:bookmarkStart w:id="0" w:name="Введение" w:displacedByCustomXml="prev"/>
    <w:p w14:paraId="1D151EBA" w14:textId="459A9CBB" w:rsidR="00702940" w:rsidRDefault="00702940" w:rsidP="00090C8C">
      <w:pPr>
        <w:pStyle w:val="1"/>
        <w:spacing w:before="100" w:beforeAutospacing="1" w:after="100" w:line="360" w:lineRule="auto"/>
        <w:ind w:firstLine="709"/>
        <w:jc w:val="center"/>
        <w:rPr>
          <w:rFonts w:cs="Times New Roman"/>
          <w:sz w:val="24"/>
          <w:szCs w:val="24"/>
        </w:rPr>
      </w:pPr>
      <w:r>
        <w:rPr>
          <w:rFonts w:cs="Times New Roman"/>
          <w:sz w:val="24"/>
          <w:szCs w:val="24"/>
        </w:rPr>
        <w:br w:type="page"/>
      </w:r>
    </w:p>
    <w:p w14:paraId="74D7EA47" w14:textId="77777777" w:rsidR="00937CBF" w:rsidRDefault="00937CBF" w:rsidP="00937CBF">
      <w:pPr>
        <w:pStyle w:val="1"/>
        <w:spacing w:before="100" w:beforeAutospacing="1" w:after="100" w:line="360" w:lineRule="auto"/>
        <w:ind w:firstLine="709"/>
        <w:jc w:val="center"/>
        <w:rPr>
          <w:rFonts w:cs="Times New Roman"/>
          <w:sz w:val="24"/>
          <w:szCs w:val="24"/>
        </w:rPr>
      </w:pPr>
      <w:bookmarkStart w:id="1" w:name="Главаодин"/>
      <w:bookmarkStart w:id="2" w:name="_Toc136448472"/>
      <w:bookmarkEnd w:id="0"/>
      <w:r>
        <w:rPr>
          <w:rFonts w:cs="Times New Roman"/>
          <w:sz w:val="24"/>
          <w:szCs w:val="24"/>
        </w:rPr>
        <w:lastRenderedPageBreak/>
        <w:t>ВВЕДЕНИЕ</w:t>
      </w:r>
      <w:bookmarkEnd w:id="2"/>
    </w:p>
    <w:p w14:paraId="1A439FDB" w14:textId="77777777" w:rsidR="00937CBF" w:rsidRDefault="00937CBF" w:rsidP="00937CBF">
      <w:pPr>
        <w:spacing w:before="100" w:beforeAutospacing="1" w:after="100" w:line="360" w:lineRule="auto"/>
        <w:ind w:firstLine="709"/>
        <w:contextualSpacing/>
        <w:jc w:val="both"/>
        <w:rPr>
          <w:rFonts w:ascii="Times New Roman" w:hAnsi="Times New Roman" w:cs="Times New Roman"/>
          <w:b/>
          <w:color w:val="000000"/>
          <w:sz w:val="24"/>
          <w:szCs w:val="24"/>
          <w:shd w:val="clear" w:color="auto" w:fill="FFFFFF"/>
          <w:lang w:val="ru-RU"/>
        </w:rPr>
      </w:pPr>
    </w:p>
    <w:p w14:paraId="2F5843FD" w14:textId="77777777" w:rsidR="00937CBF" w:rsidRDefault="00937CBF" w:rsidP="00937CBF">
      <w:pPr>
        <w:spacing w:before="100" w:beforeAutospacing="1" w:after="100" w:line="360" w:lineRule="auto"/>
        <w:ind w:firstLine="709"/>
        <w:contextualSpacing/>
        <w:jc w:val="both"/>
        <w:rPr>
          <w:rFonts w:ascii="Times New Roman" w:hAnsi="Times New Roman" w:cs="Times New Roman"/>
          <w:b/>
          <w:color w:val="000000"/>
          <w:sz w:val="24"/>
          <w:szCs w:val="24"/>
          <w:shd w:val="clear" w:color="auto" w:fill="FFFFFF"/>
          <w:lang w:val="ru-RU"/>
        </w:rPr>
      </w:pPr>
    </w:p>
    <w:p w14:paraId="683519EC" w14:textId="77777777" w:rsidR="00937CBF" w:rsidRDefault="00937CBF" w:rsidP="00937CBF">
      <w:pPr>
        <w:spacing w:before="100" w:beforeAutospacing="1" w:after="100" w:line="360" w:lineRule="auto"/>
        <w:ind w:firstLine="709"/>
        <w:contextualSpacing/>
        <w:jc w:val="both"/>
        <w:rPr>
          <w:rFonts w:ascii="Times New Roman" w:hAnsi="Times New Roman" w:cs="Times New Roman"/>
          <w:b/>
          <w:color w:val="000000"/>
          <w:sz w:val="24"/>
          <w:szCs w:val="24"/>
          <w:shd w:val="clear" w:color="auto" w:fill="FFFFFF"/>
          <w:lang w:val="ru-RU"/>
        </w:rPr>
      </w:pPr>
    </w:p>
    <w:p w14:paraId="58306AD8"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Актуальность темы диссертационного исследования.</w:t>
      </w:r>
    </w:p>
    <w:p w14:paraId="547FC0D3" w14:textId="736A4CC6" w:rsidR="00937CBF" w:rsidRPr="004E7E3E" w:rsidRDefault="00937CBF" w:rsidP="00937CBF">
      <w:pPr>
        <w:spacing w:before="100" w:beforeAutospacing="1" w:after="100" w:afterAutospacing="1"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Доля услуг в структуре крупнейших развитых экономик мира составляет больше половины и продолжает расти (по данным Всемирного банка, в США она составляет 80,1%, в Великобритании – 72,7%, в России – 56,1%, в Китае – 54,5%)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PAGEREF _Ref130569343 \h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noProof/>
          <w:color w:val="000000"/>
          <w:sz w:val="24"/>
          <w:szCs w:val="24"/>
          <w:shd w:val="clear" w:color="auto" w:fill="FFFFFF"/>
          <w:lang w:val="ru-RU"/>
        </w:rPr>
        <w:t>121</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004423BB">
        <w:rPr>
          <w:rFonts w:ascii="Times New Roman" w:hAnsi="Times New Roman" w:cs="Times New Roman"/>
          <w:color w:val="000000"/>
          <w:sz w:val="24"/>
          <w:szCs w:val="24"/>
          <w:shd w:val="clear" w:color="auto" w:fill="FFFFFF"/>
          <w:lang w:val="ru-RU"/>
        </w:rPr>
        <w:t>с</w:t>
      </w:r>
      <w:r w:rsidRPr="004E7E3E">
        <w:rPr>
          <w:rFonts w:ascii="Times New Roman" w:hAnsi="Times New Roman" w:cs="Times New Roman"/>
          <w:color w:val="000000"/>
          <w:sz w:val="24"/>
          <w:szCs w:val="24"/>
          <w:shd w:val="clear" w:color="auto" w:fill="FFFFFF"/>
          <w:lang w:val="ru-RU"/>
        </w:rPr>
        <w:t>. 4]. Развитые страны часто имеют отрицательное сальдо торговли товарами, но положительное сальное торговли услугами во внешнеторговом балансе. Россия, имея положительное сальдо во внешнеторговом балансе, является нетто-импортером услуг. Данная ситуация касается также финансовых услуг, охватывающих комплекс прав собственности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том числе на стратегические ресурсы и факторы производства. При общей экспортоориентированной стратегии российской экономики данная ситуация требует повышенного внимания со стороны властей. Данная работа посвящена институциональному аспекту этой проблемы.</w:t>
      </w:r>
    </w:p>
    <w:p w14:paraId="44154F1F"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Значительный объем услуг с экспортным потенциалом в странах создаётся в особых сервисных кластерах, которые формируются на базе столичных или портовых городов. Некоторые из этих кластеров получили название «мировые финансовые центры», что подчёркивает их важность для мировой финансовой системы.</w:t>
      </w:r>
    </w:p>
    <w:p w14:paraId="00892465" w14:textId="1B1698D3"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В 2008 году Президент России Д. А. Медведев выступил с инициативой создания международного финансового центра</w:t>
      </w:r>
      <w:r w:rsidR="0038677E">
        <w:rPr>
          <w:rFonts w:ascii="Times New Roman" w:hAnsi="Times New Roman" w:cs="Times New Roman"/>
          <w:color w:val="000000"/>
          <w:sz w:val="24"/>
          <w:szCs w:val="24"/>
          <w:shd w:val="clear" w:color="auto" w:fill="FFFFFF"/>
          <w:lang w:val="ru-RU"/>
        </w:rPr>
        <w:t xml:space="preserve"> (далее МФЦ)</w:t>
      </w:r>
      <w:r w:rsidRPr="004E7E3E">
        <w:rPr>
          <w:rFonts w:ascii="Times New Roman" w:hAnsi="Times New Roman" w:cs="Times New Roman"/>
          <w:color w:val="000000"/>
          <w:sz w:val="24"/>
          <w:szCs w:val="24"/>
          <w:shd w:val="clear" w:color="auto" w:fill="FFFFFF"/>
          <w:lang w:val="ru-RU"/>
        </w:rPr>
        <w:t xml:space="preserve"> в Москве. </w:t>
      </w:r>
      <w:r w:rsidRPr="004E7E3E">
        <w:rPr>
          <w:rFonts w:ascii="Times New Roman" w:hAnsi="Times New Roman" w:cs="Times New Roman"/>
          <w:sz w:val="24"/>
          <w:szCs w:val="24"/>
          <w:lang w:val="ru-RU"/>
        </w:rPr>
        <w:t xml:space="preserve">В марте 2009 года </w:t>
      </w:r>
      <w:r w:rsidRPr="004E7E3E">
        <w:rPr>
          <w:rFonts w:ascii="Times New Roman" w:hAnsi="Times New Roman" w:cs="Times New Roman"/>
          <w:color w:val="000000"/>
          <w:sz w:val="24"/>
          <w:szCs w:val="24"/>
          <w:shd w:val="clear" w:color="auto" w:fill="FFFFFF"/>
          <w:lang w:val="ru-RU"/>
        </w:rPr>
        <w:t>правительство КНР приняло решение ускорить программу превращения Шанхая в</w:t>
      </w:r>
      <w:r w:rsidRPr="004E7E3E">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международный финансовый центр и в основном завершить её до 2020 г. В сентябре 2021 года вышел 30-й выпуск индекса глобальных финансовых центров (последний выпуск, в котором российские центры оценивались по тем же критериям, что и остальные центр</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и Шанхай в нём занимал 6-ю, а Москва 50-ю строчку из 116 возможных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PAGEREF _Ref130564109 \h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noProof/>
          <w:color w:val="000000"/>
          <w:sz w:val="24"/>
          <w:szCs w:val="24"/>
          <w:shd w:val="clear" w:color="auto" w:fill="FFFFFF"/>
          <w:lang w:val="ru-RU"/>
        </w:rPr>
        <w:t>137</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с. 4]. Очевидно, что китайские власти ближе к достижению поставленной цели, и наша задача выявить факторы их успеха. За </w:t>
      </w:r>
      <w:r>
        <w:rPr>
          <w:rFonts w:ascii="Times New Roman" w:hAnsi="Times New Roman" w:cs="Times New Roman"/>
          <w:color w:val="000000"/>
          <w:sz w:val="24"/>
          <w:szCs w:val="24"/>
          <w:shd w:val="clear" w:color="auto" w:fill="FFFFFF"/>
          <w:lang w:val="ru-RU"/>
        </w:rPr>
        <w:t>последние 15 лет</w:t>
      </w:r>
      <w:r w:rsidRPr="004E7E3E">
        <w:rPr>
          <w:rFonts w:ascii="Times New Roman" w:hAnsi="Times New Roman" w:cs="Times New Roman"/>
          <w:color w:val="000000"/>
          <w:sz w:val="24"/>
          <w:szCs w:val="24"/>
          <w:shd w:val="clear" w:color="auto" w:fill="FFFFFF"/>
          <w:lang w:val="ru-RU"/>
        </w:rPr>
        <w:t xml:space="preserve"> инициатива по созданию международного финансового центра в Москве пережила подъём и</w:t>
      </w:r>
      <w:r w:rsidRPr="004E7E3E">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 xml:space="preserve">определённый спад, и уже можно говорить о промежуточных итогах этой программы. </w:t>
      </w:r>
    </w:p>
    <w:p w14:paraId="2845D8C9"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Для сравнительного анализа мы выбрали Китай как вторую экономику мира, ставш</w:t>
      </w:r>
      <w:r>
        <w:rPr>
          <w:rFonts w:ascii="Times New Roman" w:hAnsi="Times New Roman" w:cs="Times New Roman"/>
          <w:color w:val="000000"/>
          <w:sz w:val="24"/>
          <w:szCs w:val="24"/>
          <w:shd w:val="clear" w:color="auto" w:fill="FFFFFF"/>
          <w:lang w:val="ru-RU"/>
        </w:rPr>
        <w:t>ую</w:t>
      </w:r>
      <w:r w:rsidRPr="004E7E3E">
        <w:rPr>
          <w:rFonts w:ascii="Times New Roman" w:hAnsi="Times New Roman" w:cs="Times New Roman"/>
          <w:color w:val="000000"/>
          <w:sz w:val="24"/>
          <w:szCs w:val="24"/>
          <w:shd w:val="clear" w:color="auto" w:fill="FFFFFF"/>
          <w:lang w:val="ru-RU"/>
        </w:rPr>
        <w:t xml:space="preserve"> уже первой по паритету покупательной способности, хотя сильно отстающ</w:t>
      </w:r>
      <w:r>
        <w:rPr>
          <w:rFonts w:ascii="Times New Roman" w:hAnsi="Times New Roman" w:cs="Times New Roman"/>
          <w:color w:val="000000"/>
          <w:sz w:val="24"/>
          <w:szCs w:val="24"/>
          <w:shd w:val="clear" w:color="auto" w:fill="FFFFFF"/>
          <w:lang w:val="ru-RU"/>
        </w:rPr>
        <w:t>ую</w:t>
      </w:r>
      <w:r w:rsidRPr="004E7E3E">
        <w:rPr>
          <w:rFonts w:ascii="Times New Roman" w:hAnsi="Times New Roman" w:cs="Times New Roman"/>
          <w:color w:val="000000"/>
          <w:sz w:val="24"/>
          <w:szCs w:val="24"/>
          <w:shd w:val="clear" w:color="auto" w:fill="FFFFFF"/>
          <w:lang w:val="ru-RU"/>
        </w:rPr>
        <w:t xml:space="preserve"> от лидеров по ВВП на душу населения. Кроме количественных параметров</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Китай также преуспел в достижении </w:t>
      </w:r>
      <w:r w:rsidRPr="004E7E3E">
        <w:rPr>
          <w:rFonts w:ascii="Times New Roman" w:hAnsi="Times New Roman" w:cs="Times New Roman"/>
          <w:color w:val="000000"/>
          <w:sz w:val="24"/>
          <w:szCs w:val="24"/>
          <w:shd w:val="clear" w:color="auto" w:fill="FFFFFF"/>
          <w:lang w:val="ru-RU"/>
        </w:rPr>
        <w:lastRenderedPageBreak/>
        <w:t>качественных показателей. По многим из них Китай представляет пример экономической трансформации, благодаря которой миллионы людей избавились от</w:t>
      </w:r>
      <w:r w:rsidRPr="004E7E3E">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 xml:space="preserve">бедности. </w:t>
      </w:r>
    </w:p>
    <w:p w14:paraId="1A9A634D" w14:textId="6DA5539C" w:rsidR="00937CBF" w:rsidRPr="004E7E3E" w:rsidRDefault="00937CBF" w:rsidP="00937CBF">
      <w:pPr>
        <w:spacing w:before="100" w:beforeAutospacing="1" w:after="100" w:afterAutospacing="1"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Финансовый сектор требует высококвалифицированных кадров, для которых создаются высокооплачиваемые рабочие места. Данная сфера требует постоянного развития человеческого потенциала и создаёт продукты с высокой добавленной стоимостью. Финансовые институты могут быть центром экосреды, создающей инновационные предприятия, </w:t>
      </w:r>
      <w:r>
        <w:rPr>
          <w:rFonts w:ascii="Times New Roman" w:hAnsi="Times New Roman" w:cs="Times New Roman"/>
          <w:color w:val="000000"/>
          <w:sz w:val="24"/>
          <w:szCs w:val="24"/>
          <w:shd w:val="clear" w:color="auto" w:fill="FFFFFF"/>
          <w:lang w:val="ru-RU"/>
        </w:rPr>
        <w:t xml:space="preserve">которые </w:t>
      </w:r>
      <w:r w:rsidRPr="004E7E3E">
        <w:rPr>
          <w:rFonts w:ascii="Times New Roman" w:hAnsi="Times New Roman" w:cs="Times New Roman"/>
          <w:color w:val="000000"/>
          <w:sz w:val="24"/>
          <w:szCs w:val="24"/>
          <w:shd w:val="clear" w:color="auto" w:fill="FFFFFF"/>
          <w:lang w:val="ru-RU"/>
        </w:rPr>
        <w:t>увеличиваю</w:t>
      </w:r>
      <w:r>
        <w:rPr>
          <w:rFonts w:ascii="Times New Roman" w:hAnsi="Times New Roman" w:cs="Times New Roman"/>
          <w:color w:val="000000"/>
          <w:sz w:val="24"/>
          <w:szCs w:val="24"/>
          <w:shd w:val="clear" w:color="auto" w:fill="FFFFFF"/>
          <w:lang w:val="ru-RU"/>
        </w:rPr>
        <w:t>т</w:t>
      </w:r>
      <w:r w:rsidRPr="004E7E3E">
        <w:rPr>
          <w:rFonts w:ascii="Times New Roman" w:hAnsi="Times New Roman" w:cs="Times New Roman"/>
          <w:color w:val="000000"/>
          <w:sz w:val="24"/>
          <w:szCs w:val="24"/>
          <w:shd w:val="clear" w:color="auto" w:fill="FFFFFF"/>
          <w:lang w:val="ru-RU"/>
        </w:rPr>
        <w:t xml:space="preserve"> общий уровень производительности труда и рентабельность различных активов</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превращая заброшенные производственные площадки в инновационные технопарки, создавая на новых территория технико-внедренческие промышленные зоны, «населяя» высвобождающиеся офисные площади стартапами, основанными на новых бизнес-моделях с использованием информационно-коммуникационных технологий. Некоторые исследовали отмечают, что вклад финансовой сферы во внешнеторговый оборот может быть более значительны</w:t>
      </w:r>
      <w:r>
        <w:rPr>
          <w:rFonts w:ascii="Times New Roman" w:hAnsi="Times New Roman" w:cs="Times New Roman"/>
          <w:color w:val="000000"/>
          <w:sz w:val="24"/>
          <w:szCs w:val="24"/>
          <w:shd w:val="clear" w:color="auto" w:fill="FFFFFF"/>
          <w:lang w:val="ru-RU"/>
        </w:rPr>
        <w:t>м</w:t>
      </w:r>
      <w:r w:rsidRPr="004E7E3E">
        <w:rPr>
          <w:rFonts w:ascii="Times New Roman" w:hAnsi="Times New Roman" w:cs="Times New Roman"/>
          <w:color w:val="000000"/>
          <w:sz w:val="24"/>
          <w:szCs w:val="24"/>
          <w:shd w:val="clear" w:color="auto" w:fill="FFFFFF"/>
          <w:lang w:val="ru-RU"/>
        </w:rPr>
        <w:t xml:space="preserve">, чем </w:t>
      </w:r>
      <w:r>
        <w:rPr>
          <w:rFonts w:ascii="Times New Roman" w:hAnsi="Times New Roman" w:cs="Times New Roman"/>
          <w:color w:val="000000"/>
          <w:sz w:val="24"/>
          <w:szCs w:val="24"/>
          <w:shd w:val="clear" w:color="auto" w:fill="FFFFFF"/>
          <w:lang w:val="ru-RU"/>
        </w:rPr>
        <w:t xml:space="preserve">вклад </w:t>
      </w:r>
      <w:r w:rsidRPr="004E7E3E">
        <w:rPr>
          <w:rFonts w:ascii="Times New Roman" w:hAnsi="Times New Roman" w:cs="Times New Roman"/>
          <w:color w:val="000000"/>
          <w:sz w:val="24"/>
          <w:szCs w:val="24"/>
          <w:shd w:val="clear" w:color="auto" w:fill="FFFFFF"/>
          <w:lang w:val="ru-RU"/>
        </w:rPr>
        <w:t>обрабатывающих отраслей, так как экспорт продукции машиностроения ведёт одновременно к увеличению импорта станков, комплектующих и сырья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_Ref130325281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75</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с. 20], что не столь явно выражено для сферы услуг. </w:t>
      </w:r>
    </w:p>
    <w:p w14:paraId="2FE03C81" w14:textId="7725D472"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Инициатив</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по созданию международного финансового центра в Москве всегда шла в связке со стратегией превращения рубля в региональную резервную валюту. Согласно данным Банка международных расчётов, на доллар США в 2017 году приходилось 63% международны</w:t>
      </w:r>
      <w:r>
        <w:rPr>
          <w:rFonts w:ascii="Times New Roman" w:hAnsi="Times New Roman" w:cs="Times New Roman"/>
          <w:color w:val="000000"/>
          <w:sz w:val="24"/>
          <w:szCs w:val="24"/>
          <w:shd w:val="clear" w:color="auto" w:fill="FFFFFF"/>
          <w:lang w:val="ru-RU"/>
        </w:rPr>
        <w:t>х</w:t>
      </w:r>
      <w:r w:rsidRPr="004E7E3E">
        <w:rPr>
          <w:rFonts w:ascii="Times New Roman" w:hAnsi="Times New Roman" w:cs="Times New Roman"/>
          <w:color w:val="000000"/>
          <w:sz w:val="24"/>
          <w:szCs w:val="24"/>
          <w:shd w:val="clear" w:color="auto" w:fill="FFFFFF"/>
          <w:lang w:val="ru-RU"/>
        </w:rPr>
        <w:t xml:space="preserve"> резервов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PAGEREF _Ref130562642 \h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noProof/>
          <w:color w:val="000000"/>
          <w:sz w:val="24"/>
          <w:szCs w:val="24"/>
          <w:shd w:val="clear" w:color="auto" w:fill="FFFFFF"/>
          <w:lang w:val="ru-RU"/>
        </w:rPr>
        <w:t>133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хотя ВВП США в 2021 году составлял 24,7% от номинального мирового или 16% от мирового по паритету покупательской способности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PAGEREF _Ref130569402 \h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noProof/>
          <w:color w:val="000000"/>
          <w:sz w:val="24"/>
          <w:szCs w:val="24"/>
          <w:shd w:val="clear" w:color="auto" w:fill="FFFFFF"/>
          <w:lang w:val="ru-RU"/>
        </w:rPr>
        <w:t>122</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Обеспокоенность</w:t>
      </w:r>
      <w:r>
        <w:rPr>
          <w:rFonts w:ascii="Times New Roman" w:hAnsi="Times New Roman" w:cs="Times New Roman"/>
          <w:color w:val="000000"/>
          <w:sz w:val="24"/>
          <w:szCs w:val="24"/>
          <w:shd w:val="clear" w:color="auto" w:fill="FFFFFF"/>
          <w:lang w:val="ru-RU"/>
        </w:rPr>
        <w:t xml:space="preserve"> тем</w:t>
      </w:r>
      <w:r w:rsidRPr="004E7E3E">
        <w:rPr>
          <w:rFonts w:ascii="Times New Roman" w:hAnsi="Times New Roman" w:cs="Times New Roman"/>
          <w:color w:val="000000"/>
          <w:sz w:val="24"/>
          <w:szCs w:val="24"/>
          <w:shd w:val="clear" w:color="auto" w:fill="FFFFFF"/>
          <w:lang w:val="ru-RU"/>
        </w:rPr>
        <w:t>, что валюта, эмиссия которой проходит по национальным правилам одной страны, играет столь значительную роль в мировой экономике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только усилилась с началом глобальных структурных изменений в начале 2022 года, когда риск реализовался и доллар США</w:t>
      </w:r>
      <w:r>
        <w:rPr>
          <w:rFonts w:ascii="Times New Roman" w:hAnsi="Times New Roman" w:cs="Times New Roman"/>
          <w:color w:val="000000"/>
          <w:sz w:val="24"/>
          <w:szCs w:val="24"/>
          <w:shd w:val="clear" w:color="auto" w:fill="FFFFFF"/>
          <w:lang w:val="ru-RU"/>
        </w:rPr>
        <w:t>, а также</w:t>
      </w:r>
      <w:r w:rsidRPr="004E7E3E">
        <w:rPr>
          <w:rFonts w:ascii="Times New Roman" w:hAnsi="Times New Roman" w:cs="Times New Roman"/>
          <w:color w:val="000000"/>
          <w:sz w:val="24"/>
          <w:szCs w:val="24"/>
          <w:shd w:val="clear" w:color="auto" w:fill="FFFFFF"/>
          <w:lang w:val="ru-RU"/>
        </w:rPr>
        <w:t xml:space="preserve"> евро, по выражению министра финансов России А. Г. Силуанова, стали «токсичными фантиками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_Ref131275710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277</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Однако ожидать, что валюта, которая за последние 25 лет теряла в стоимости по отношению к основным резервным валютам сначала в 5 раз (в 1998 году), а потом в 2 раза (в 2014 году), обесценивая накопления её владельцев, </w:t>
      </w:r>
      <w:r>
        <w:rPr>
          <w:rFonts w:ascii="Times New Roman" w:hAnsi="Times New Roman" w:cs="Times New Roman"/>
          <w:color w:val="000000"/>
          <w:sz w:val="24"/>
          <w:szCs w:val="24"/>
          <w:shd w:val="clear" w:color="auto" w:fill="FFFFFF"/>
          <w:lang w:val="ru-RU"/>
        </w:rPr>
        <w:t xml:space="preserve">станет резервной, </w:t>
      </w:r>
      <w:r w:rsidRPr="004E7E3E">
        <w:rPr>
          <w:rFonts w:ascii="Times New Roman" w:hAnsi="Times New Roman" w:cs="Times New Roman"/>
          <w:color w:val="000000"/>
          <w:sz w:val="24"/>
          <w:szCs w:val="24"/>
          <w:shd w:val="clear" w:color="auto" w:fill="FFFFFF"/>
          <w:lang w:val="ru-RU"/>
        </w:rPr>
        <w:t>не приходится</w:t>
      </w:r>
      <w:r w:rsidRPr="004140F8">
        <w:rPr>
          <w:rFonts w:ascii="Times New Roman" w:hAnsi="Times New Roman" w:cs="Times New Roman"/>
          <w:color w:val="000000"/>
          <w:sz w:val="24"/>
          <w:szCs w:val="24"/>
          <w:shd w:val="clear" w:color="auto" w:fill="FFFFFF"/>
          <w:lang w:val="ru-RU"/>
        </w:rPr>
        <w:t>.</w:t>
      </w:r>
    </w:p>
    <w:p w14:paraId="487DF38C" w14:textId="3E9E0D93"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Проблема деофшоризации экономики также часто затрагивается в контексте развития международных финансовых центров. Можно попытаться регуляторными методами запретить все ошфорные операции, но, согласно данным Банка России, около половины всех накопленных прямых иностранных </w:t>
      </w:r>
      <w:r>
        <w:rPr>
          <w:rFonts w:ascii="Times New Roman" w:hAnsi="Times New Roman" w:cs="Times New Roman"/>
          <w:color w:val="000000"/>
          <w:sz w:val="24"/>
          <w:szCs w:val="24"/>
          <w:shd w:val="clear" w:color="auto" w:fill="FFFFFF"/>
          <w:lang w:val="ru-RU"/>
        </w:rPr>
        <w:t xml:space="preserve">инвестиций </w:t>
      </w:r>
      <w:r w:rsidRPr="004E7E3E">
        <w:rPr>
          <w:rFonts w:ascii="Times New Roman" w:hAnsi="Times New Roman" w:cs="Times New Roman"/>
          <w:color w:val="000000"/>
          <w:sz w:val="24"/>
          <w:szCs w:val="24"/>
          <w:shd w:val="clear" w:color="auto" w:fill="FFFFFF"/>
          <w:lang w:val="ru-RU"/>
        </w:rPr>
        <w:t>в России и более половины прямых иностранных инвестиций в Москве и Санкт</w:t>
      </w:r>
      <w:r w:rsidRPr="004E7E3E">
        <w:rPr>
          <w:rFonts w:ascii="Times New Roman" w:hAnsi="Times New Roman" w:cs="Times New Roman"/>
          <w:color w:val="000000"/>
          <w:sz w:val="24"/>
          <w:szCs w:val="24"/>
          <w:shd w:val="clear" w:color="auto" w:fill="FFFFFF"/>
          <w:lang w:val="ru-RU"/>
        </w:rPr>
        <w:noBreakHyphen/>
        <w:t>Петербурге на 01.01.2023 приходилось на страны со специальным налоговым режимом. «Кнут» мер по деофшоризации должен сочетаться с «пряником» развития внутреннего финансового сектора мирового уровня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_Ref131275836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208</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Без умения удерживать капитал на собственном </w:t>
      </w:r>
      <w:r w:rsidRPr="004E7E3E">
        <w:rPr>
          <w:rFonts w:ascii="Times New Roman" w:hAnsi="Times New Roman" w:cs="Times New Roman"/>
          <w:color w:val="000000"/>
          <w:sz w:val="24"/>
          <w:szCs w:val="24"/>
          <w:shd w:val="clear" w:color="auto" w:fill="FFFFFF"/>
          <w:lang w:val="ru-RU"/>
        </w:rPr>
        <w:lastRenderedPageBreak/>
        <w:t>национальном рынке многократно возрастает риск стать сырьевым придатком, источником «утечки мозгов» или дешёвой рабочей силы. Неумение бизнесом видеть картины мировой финансовой системы в целом и неспособность властей создать рынок финансовых услуг мирового уровня уже несколько раз приводил</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к отъему финансовых активов у российских граждан. Одним из исторически первых примеров является спасение кипрской банковской системы в 2013 году за счёт депозитов вкладчиков, половина которых принадлежала россиянам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_Ref131275885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282</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Другой пример произошёл недавно, когда в результате европейских и американских санкций были заморожены средства на сумму около 300 млрд. долларов российских налогоплательщиков, а также многие промышленные и люксовые активы крупнейших российских предпринимателей. Третий пример также связан с последними событиями: более половины из 800 воздушных судов пассажирского авиапарка российских авиалиний был</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зарегистрирован</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xml:space="preserve"> на Сейшельских островах с целью ухода от оплаты таможенных пошлин и иных финансовых соображений. Но перерегистрация самолётов в российский регистр привела к ограничениям полётов над определёнными территориям. Безусловно, подобные глобальные изменения сложно было заранее предсказать, но</w:t>
      </w:r>
      <w:r>
        <w:rPr>
          <w:rFonts w:ascii="Times New Roman" w:hAnsi="Times New Roman" w:cs="Times New Roman"/>
          <w:color w:val="000000"/>
          <w:sz w:val="24"/>
          <w:szCs w:val="24"/>
          <w:shd w:val="clear" w:color="auto" w:fill="FFFFFF"/>
          <w:lang w:val="ru-RU"/>
        </w:rPr>
        <w:t xml:space="preserve"> данный</w:t>
      </w:r>
      <w:r w:rsidRPr="004E7E3E">
        <w:rPr>
          <w:rFonts w:ascii="Times New Roman" w:hAnsi="Times New Roman" w:cs="Times New Roman"/>
          <w:color w:val="000000"/>
          <w:sz w:val="24"/>
          <w:szCs w:val="24"/>
          <w:shd w:val="clear" w:color="auto" w:fill="FFFFFF"/>
          <w:lang w:val="ru-RU"/>
        </w:rPr>
        <w:t xml:space="preserve"> вопрос, очевидно, </w:t>
      </w:r>
      <w:r>
        <w:rPr>
          <w:rFonts w:ascii="Times New Roman" w:hAnsi="Times New Roman" w:cs="Times New Roman"/>
          <w:color w:val="000000"/>
          <w:sz w:val="24"/>
          <w:szCs w:val="24"/>
          <w:shd w:val="clear" w:color="auto" w:fill="FFFFFF"/>
          <w:lang w:val="ru-RU"/>
        </w:rPr>
        <w:t xml:space="preserve">является </w:t>
      </w:r>
      <w:r w:rsidRPr="004E7E3E">
        <w:rPr>
          <w:rFonts w:ascii="Times New Roman" w:hAnsi="Times New Roman" w:cs="Times New Roman"/>
          <w:color w:val="000000"/>
          <w:sz w:val="24"/>
          <w:szCs w:val="24"/>
          <w:shd w:val="clear" w:color="auto" w:fill="FFFFFF"/>
          <w:lang w:val="ru-RU"/>
        </w:rPr>
        <w:t>значимы</w:t>
      </w:r>
      <w:r>
        <w:rPr>
          <w:rFonts w:ascii="Times New Roman" w:hAnsi="Times New Roman" w:cs="Times New Roman"/>
          <w:color w:val="000000"/>
          <w:sz w:val="24"/>
          <w:szCs w:val="24"/>
          <w:shd w:val="clear" w:color="auto" w:fill="FFFFFF"/>
          <w:lang w:val="ru-RU"/>
        </w:rPr>
        <w:t>м</w:t>
      </w:r>
      <w:r w:rsidRPr="004E7E3E">
        <w:rPr>
          <w:rFonts w:ascii="Times New Roman" w:hAnsi="Times New Roman" w:cs="Times New Roman"/>
          <w:color w:val="000000"/>
          <w:sz w:val="24"/>
          <w:szCs w:val="24"/>
          <w:shd w:val="clear" w:color="auto" w:fill="FFFFFF"/>
          <w:lang w:val="ru-RU"/>
        </w:rPr>
        <w:t xml:space="preserve"> и создаёт угрозу целой отрасли без оперативного решения. </w:t>
      </w:r>
    </w:p>
    <w:p w14:paraId="22F5196A" w14:textId="32D01790"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В отличие от многих предыдущих исследователей</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мы постараемся строго придерживаться урбанистического подхода в разработке вопроса международных финансовых центров. Россия занимает второе место в мире по количеству городов-миллионников (на 1 января 2023 года насчитывается 16 городов, больше только в Китае). Согласно популярной формуле ООН, города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занимая 3% территории земного шара, концентрируют более 50% населения и 80% мирового ВВП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_Ref131275920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51</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Очевидно, что власти должны включить в стратегию долгосрочного экономического роста особенности развития городских экономик, заметной частью которых является финансовый сектор. </w:t>
      </w:r>
    </w:p>
    <w:p w14:paraId="2FDCC7AF" w14:textId="7F3BA189" w:rsidR="00937CBF" w:rsidRPr="004E7E3E" w:rsidRDefault="005B5AF1" w:rsidP="00937CBF">
      <w:pPr>
        <w:spacing w:before="100" w:beforeAutospacing="1" w:after="100" w:line="360" w:lineRule="auto"/>
        <w:ind w:firstLine="709"/>
        <w:contextualSpacing/>
        <w:jc w:val="both"/>
        <w:rPr>
          <w:rFonts w:ascii="Times New Roman" w:hAnsi="Times New Roman" w:cs="Times New Roman"/>
          <w:color w:val="000000" w:themeColor="text1"/>
          <w:sz w:val="24"/>
          <w:szCs w:val="24"/>
          <w:shd w:val="clear" w:color="auto" w:fill="FFFFFF"/>
          <w:lang w:val="ru-RU"/>
        </w:rPr>
      </w:pPr>
      <w:r>
        <w:rPr>
          <w:rFonts w:ascii="Times New Roman" w:hAnsi="Times New Roman" w:cs="Times New Roman"/>
          <w:b/>
          <w:color w:val="000000"/>
          <w:sz w:val="24"/>
          <w:szCs w:val="24"/>
          <w:shd w:val="clear" w:color="auto" w:fill="FFFFFF"/>
          <w:lang w:val="ru-RU"/>
        </w:rPr>
        <w:t>Степень разработанности темы исследования</w:t>
      </w:r>
      <w:r w:rsidR="00937CBF" w:rsidRPr="004E7E3E">
        <w:rPr>
          <w:rFonts w:ascii="Times New Roman" w:hAnsi="Times New Roman" w:cs="Times New Roman"/>
          <w:color w:val="000000"/>
          <w:sz w:val="24"/>
          <w:szCs w:val="24"/>
          <w:shd w:val="clear" w:color="auto" w:fill="FFFFFF"/>
          <w:lang w:val="ru-RU"/>
        </w:rPr>
        <w:t xml:space="preserve">. Исследователи за рубежом и в России давно интересуются ролью международных финансовых центров. </w:t>
      </w:r>
      <w:r w:rsidR="00937CBF">
        <w:rPr>
          <w:rFonts w:ascii="Times New Roman" w:hAnsi="Times New Roman" w:cs="Times New Roman"/>
          <w:color w:val="000000"/>
          <w:sz w:val="24"/>
          <w:szCs w:val="24"/>
          <w:shd w:val="clear" w:color="auto" w:fill="FFFFFF"/>
          <w:lang w:val="ru-RU"/>
        </w:rPr>
        <w:t>Зарубежных и</w:t>
      </w:r>
      <w:r w:rsidR="00937CBF" w:rsidRPr="004E7E3E">
        <w:rPr>
          <w:rFonts w:ascii="Times New Roman" w:hAnsi="Times New Roman" w:cs="Times New Roman"/>
          <w:color w:val="000000"/>
          <w:sz w:val="24"/>
          <w:szCs w:val="24"/>
          <w:shd w:val="clear" w:color="auto" w:fill="FFFFFF"/>
          <w:lang w:val="ru-RU"/>
        </w:rPr>
        <w:t>сследований было представлено больше, чем в отечественной научной литературе. Разработка темы началась с изучения категории «мировые города» («</w:t>
      </w:r>
      <w:r w:rsidR="00937CBF" w:rsidRPr="004E7E3E">
        <w:rPr>
          <w:rFonts w:ascii="Times New Roman" w:hAnsi="Times New Roman" w:cs="Times New Roman"/>
          <w:color w:val="000000"/>
          <w:sz w:val="24"/>
          <w:szCs w:val="24"/>
          <w:shd w:val="clear" w:color="auto" w:fill="FFFFFF"/>
        </w:rPr>
        <w:t>world</w:t>
      </w:r>
      <w:r w:rsidR="00937CBF" w:rsidRPr="004E7E3E">
        <w:rPr>
          <w:rFonts w:ascii="Times New Roman" w:hAnsi="Times New Roman" w:cs="Times New Roman"/>
          <w:color w:val="000000"/>
          <w:sz w:val="24"/>
          <w:szCs w:val="24"/>
          <w:shd w:val="clear" w:color="auto" w:fill="FFFFFF"/>
          <w:lang w:val="ru-RU"/>
        </w:rPr>
        <w:t xml:space="preserve"> </w:t>
      </w:r>
      <w:r w:rsidR="00937CBF" w:rsidRPr="004E7E3E">
        <w:rPr>
          <w:rFonts w:ascii="Times New Roman" w:hAnsi="Times New Roman" w:cs="Times New Roman"/>
          <w:color w:val="000000"/>
          <w:sz w:val="24"/>
          <w:szCs w:val="24"/>
          <w:shd w:val="clear" w:color="auto" w:fill="FFFFFF"/>
        </w:rPr>
        <w:t>cities</w:t>
      </w:r>
      <w:r w:rsidR="00937CBF" w:rsidRPr="004E7E3E">
        <w:rPr>
          <w:rFonts w:ascii="Times New Roman" w:hAnsi="Times New Roman" w:cs="Times New Roman"/>
          <w:color w:val="000000"/>
          <w:sz w:val="24"/>
          <w:szCs w:val="24"/>
          <w:shd w:val="clear" w:color="auto" w:fill="FFFFFF"/>
          <w:lang w:val="ru-RU"/>
        </w:rPr>
        <w:t>») П. Холлом в исследовании 1966 года, хотя считается, что этот термин был впервые предложен П. Геддесом в 1915 году. Далее данную линию в науке в рамках концепции глобализации и терминах «глобального города» продолжили американская исследовательница С. Сассен (1991)</w:t>
      </w:r>
      <w:r w:rsidR="00937CBF">
        <w:rPr>
          <w:rFonts w:ascii="Times New Roman" w:hAnsi="Times New Roman" w:cs="Times New Roman"/>
          <w:color w:val="000000"/>
          <w:sz w:val="24"/>
          <w:szCs w:val="24"/>
          <w:shd w:val="clear" w:color="auto" w:fill="FFFFFF"/>
          <w:lang w:val="ru-RU"/>
        </w:rPr>
        <w:t xml:space="preserve"> и</w:t>
      </w:r>
      <w:r w:rsidR="00937CBF" w:rsidRPr="004E7E3E">
        <w:rPr>
          <w:rFonts w:ascii="Times New Roman" w:hAnsi="Times New Roman" w:cs="Times New Roman"/>
          <w:color w:val="000000"/>
          <w:sz w:val="24"/>
          <w:szCs w:val="24"/>
          <w:shd w:val="clear" w:color="auto" w:fill="FFFFFF"/>
          <w:lang w:val="ru-RU"/>
        </w:rPr>
        <w:t xml:space="preserve"> группа из Университета Лафборо (Соединённое Королевство), представленная </w:t>
      </w:r>
      <w:r w:rsidR="00937CBF" w:rsidRPr="004E7E3E">
        <w:rPr>
          <w:rStyle w:val="a9"/>
          <w:rFonts w:ascii="Times New Roman" w:hAnsi="Times New Roman" w:cs="Times New Roman"/>
          <w:color w:val="000000" w:themeColor="text1"/>
          <w:sz w:val="24"/>
          <w:szCs w:val="24"/>
          <w:u w:val="none"/>
          <w:lang w:val="ru-RU"/>
        </w:rPr>
        <w:t>Дж. В. Биверстоком, Р. Дж. Смитом и Р. Дж. Тейлором</w:t>
      </w:r>
      <w:r w:rsidR="00937CBF">
        <w:rPr>
          <w:rStyle w:val="a9"/>
          <w:rFonts w:ascii="Times New Roman" w:hAnsi="Times New Roman" w:cs="Times New Roman"/>
          <w:color w:val="000000" w:themeColor="text1"/>
          <w:sz w:val="24"/>
          <w:szCs w:val="24"/>
          <w:u w:val="none"/>
          <w:lang w:val="ru-RU"/>
        </w:rPr>
        <w:t>, которые</w:t>
      </w:r>
      <w:r w:rsidR="00937CBF" w:rsidRPr="004E7E3E">
        <w:rPr>
          <w:rFonts w:ascii="Times New Roman" w:hAnsi="Times New Roman" w:cs="Times New Roman"/>
          <w:color w:val="000000"/>
          <w:sz w:val="24"/>
          <w:szCs w:val="24"/>
          <w:shd w:val="clear" w:color="auto" w:fill="FFFFFF"/>
          <w:lang w:val="ru-RU"/>
        </w:rPr>
        <w:t xml:space="preserve"> разработа</w:t>
      </w:r>
      <w:r w:rsidR="00937CBF">
        <w:rPr>
          <w:rFonts w:ascii="Times New Roman" w:hAnsi="Times New Roman" w:cs="Times New Roman"/>
          <w:color w:val="000000"/>
          <w:sz w:val="24"/>
          <w:szCs w:val="24"/>
          <w:shd w:val="clear" w:color="auto" w:fill="FFFFFF"/>
          <w:lang w:val="ru-RU"/>
        </w:rPr>
        <w:t>ли</w:t>
      </w:r>
      <w:r w:rsidR="00937CBF" w:rsidRPr="004E7E3E">
        <w:rPr>
          <w:rFonts w:ascii="Times New Roman" w:hAnsi="Times New Roman" w:cs="Times New Roman"/>
          <w:color w:val="000000"/>
          <w:sz w:val="24"/>
          <w:szCs w:val="24"/>
          <w:shd w:val="clear" w:color="auto" w:fill="FFFFFF"/>
          <w:lang w:val="ru-RU"/>
        </w:rPr>
        <w:t xml:space="preserve"> индекс мировых городов</w:t>
      </w:r>
      <w:r w:rsidR="00937CBF" w:rsidRPr="004E7E3E">
        <w:rPr>
          <w:rStyle w:val="a9"/>
          <w:rFonts w:ascii="Times New Roman" w:hAnsi="Times New Roman" w:cs="Times New Roman"/>
          <w:color w:val="000000" w:themeColor="text1"/>
          <w:sz w:val="24"/>
          <w:szCs w:val="24"/>
          <w:u w:val="none"/>
          <w:lang w:val="ru-RU"/>
        </w:rPr>
        <w:t xml:space="preserve">. Позже данная группа активно подключилась к исследованию вопросов мировых финансовых центров. Свои исследования </w:t>
      </w:r>
      <w:r w:rsidR="00937CBF" w:rsidRPr="004E7E3E">
        <w:rPr>
          <w:rStyle w:val="a9"/>
          <w:rFonts w:ascii="Times New Roman" w:hAnsi="Times New Roman" w:cs="Times New Roman"/>
          <w:color w:val="000000" w:themeColor="text1"/>
          <w:sz w:val="24"/>
          <w:szCs w:val="24"/>
          <w:u w:val="none"/>
          <w:lang w:val="ru-RU"/>
        </w:rPr>
        <w:lastRenderedPageBreak/>
        <w:t>проблемам мировых городов посвятили также А. Андрессон, Д. Андрессон, Ф. Беннион, Б. Дерадер, Б. Браун, Дж. Дезъярдинс, А. Калней, С. Ханнеман, Р. Флорида, Дж. Фридманн и др. Ежегодно программа ООН по населённым пунктам (ООН-Хабитат) проводит конференцию мировых городов, по результатам котор</w:t>
      </w:r>
      <w:r w:rsidR="00937CBF">
        <w:rPr>
          <w:rStyle w:val="a9"/>
          <w:rFonts w:ascii="Times New Roman" w:hAnsi="Times New Roman" w:cs="Times New Roman"/>
          <w:color w:val="000000" w:themeColor="text1"/>
          <w:sz w:val="24"/>
          <w:szCs w:val="24"/>
          <w:u w:val="none"/>
          <w:lang w:val="ru-RU"/>
        </w:rPr>
        <w:t>ой</w:t>
      </w:r>
      <w:r w:rsidR="00937CBF" w:rsidRPr="004E7E3E">
        <w:rPr>
          <w:rStyle w:val="a9"/>
          <w:rFonts w:ascii="Times New Roman" w:hAnsi="Times New Roman" w:cs="Times New Roman"/>
          <w:color w:val="000000" w:themeColor="text1"/>
          <w:sz w:val="24"/>
          <w:szCs w:val="24"/>
          <w:u w:val="none"/>
          <w:lang w:val="ru-RU"/>
        </w:rPr>
        <w:t xml:space="preserve"> публикуется обзор. </w:t>
      </w:r>
      <w:r w:rsidR="00937CBF" w:rsidRPr="004E7E3E">
        <w:rPr>
          <w:rFonts w:ascii="Times New Roman" w:hAnsi="Times New Roman" w:cs="Times New Roman"/>
          <w:color w:val="000000"/>
          <w:sz w:val="24"/>
          <w:szCs w:val="24"/>
          <w:shd w:val="clear" w:color="auto" w:fill="FFFFFF"/>
          <w:lang w:val="ru-RU"/>
        </w:rPr>
        <w:t xml:space="preserve">Большой вклад в изучение истории международных финансовых центров сделали К. Киндлебергер (1974), Ю. Кассис, Ф. М. Фратианни. В 1981 году П. Рид опубликовал исследование по соотношению мировых городов и мировых финансовых центров. В начале </w:t>
      </w:r>
      <w:r w:rsidR="00937CBF" w:rsidRPr="004E7E3E">
        <w:rPr>
          <w:rFonts w:ascii="Times New Roman" w:hAnsi="Times New Roman" w:cs="Times New Roman"/>
          <w:color w:val="000000"/>
          <w:sz w:val="24"/>
          <w:szCs w:val="24"/>
          <w:shd w:val="clear" w:color="auto" w:fill="FFFFFF"/>
        </w:rPr>
        <w:t>XXI</w:t>
      </w:r>
      <w:r w:rsidR="00937CBF" w:rsidRPr="004E7E3E">
        <w:rPr>
          <w:rFonts w:ascii="Times New Roman" w:hAnsi="Times New Roman" w:cs="Times New Roman"/>
          <w:color w:val="000000"/>
          <w:sz w:val="24"/>
          <w:szCs w:val="24"/>
          <w:shd w:val="clear" w:color="auto" w:fill="FFFFFF"/>
          <w:lang w:val="ru-RU"/>
        </w:rPr>
        <w:t xml:space="preserve"> термин «глобальные финансовые центры» стал более употребим, чем мировые финансовые центры под влиянием роста глобализационных процессов. Сама</w:t>
      </w:r>
      <w:r w:rsidR="00937CBF">
        <w:rPr>
          <w:rFonts w:ascii="Times New Roman" w:hAnsi="Times New Roman" w:cs="Times New Roman"/>
          <w:color w:val="000000"/>
          <w:sz w:val="24"/>
          <w:szCs w:val="24"/>
          <w:shd w:val="clear" w:color="auto" w:fill="FFFFFF"/>
          <w:lang w:val="ru-RU"/>
        </w:rPr>
        <w:t>я</w:t>
      </w:r>
      <w:r w:rsidR="00937CBF" w:rsidRPr="004E7E3E">
        <w:rPr>
          <w:rFonts w:ascii="Times New Roman" w:hAnsi="Times New Roman" w:cs="Times New Roman"/>
          <w:color w:val="000000"/>
          <w:sz w:val="24"/>
          <w:szCs w:val="24"/>
          <w:shd w:val="clear" w:color="auto" w:fill="FFFFFF"/>
          <w:lang w:val="ru-RU"/>
        </w:rPr>
        <w:t xml:space="preserve"> известная школа изучения глобальных финансовых центров сформировалась в агентстве </w:t>
      </w:r>
      <w:r w:rsidR="00937CBF" w:rsidRPr="004E7E3E">
        <w:rPr>
          <w:rFonts w:ascii="Times New Roman" w:hAnsi="Times New Roman" w:cs="Times New Roman"/>
          <w:color w:val="000000"/>
          <w:sz w:val="24"/>
          <w:szCs w:val="24"/>
          <w:shd w:val="clear" w:color="auto" w:fill="FFFFFF"/>
        </w:rPr>
        <w:t>Z</w:t>
      </w:r>
      <w:r w:rsidR="00937CBF" w:rsidRPr="004E7E3E">
        <w:rPr>
          <w:rFonts w:ascii="Times New Roman" w:hAnsi="Times New Roman" w:cs="Times New Roman"/>
          <w:color w:val="000000"/>
          <w:sz w:val="24"/>
          <w:szCs w:val="24"/>
          <w:shd w:val="clear" w:color="auto" w:fill="FFFFFF"/>
          <w:lang w:val="ru-RU"/>
        </w:rPr>
        <w:t>/</w:t>
      </w:r>
      <w:r w:rsidR="00937CBF" w:rsidRPr="004E7E3E">
        <w:rPr>
          <w:rFonts w:ascii="Times New Roman" w:hAnsi="Times New Roman" w:cs="Times New Roman"/>
          <w:color w:val="000000"/>
          <w:sz w:val="24"/>
          <w:szCs w:val="24"/>
          <w:shd w:val="clear" w:color="auto" w:fill="FFFFFF"/>
        </w:rPr>
        <w:t>Yen</w:t>
      </w:r>
      <w:r w:rsidR="00937CBF" w:rsidRPr="004E7E3E">
        <w:rPr>
          <w:rFonts w:ascii="Times New Roman" w:hAnsi="Times New Roman" w:cs="Times New Roman"/>
          <w:color w:val="000000"/>
          <w:sz w:val="24"/>
          <w:szCs w:val="24"/>
          <w:shd w:val="clear" w:color="auto" w:fill="FFFFFF"/>
          <w:lang w:val="ru-RU"/>
        </w:rPr>
        <w:t xml:space="preserve"> (современное название «</w:t>
      </w:r>
      <w:r w:rsidR="00937CBF" w:rsidRPr="004E7E3E">
        <w:rPr>
          <w:rFonts w:ascii="Times New Roman" w:hAnsi="Times New Roman" w:cs="Times New Roman"/>
          <w:color w:val="000000"/>
          <w:sz w:val="24"/>
          <w:szCs w:val="24"/>
          <w:shd w:val="clear" w:color="auto" w:fill="FFFFFF"/>
        </w:rPr>
        <w:t>Long</w:t>
      </w:r>
      <w:r w:rsidR="00937CBF" w:rsidRPr="004E7E3E">
        <w:rPr>
          <w:rFonts w:ascii="Times New Roman" w:hAnsi="Times New Roman" w:cs="Times New Roman"/>
          <w:color w:val="000000"/>
          <w:sz w:val="24"/>
          <w:szCs w:val="24"/>
          <w:shd w:val="clear" w:color="auto" w:fill="FFFFFF"/>
          <w:lang w:val="ru-RU"/>
        </w:rPr>
        <w:t xml:space="preserve"> </w:t>
      </w:r>
      <w:r w:rsidR="00937CBF" w:rsidRPr="004E7E3E">
        <w:rPr>
          <w:rFonts w:ascii="Times New Roman" w:hAnsi="Times New Roman" w:cs="Times New Roman"/>
          <w:color w:val="000000"/>
          <w:sz w:val="24"/>
          <w:szCs w:val="24"/>
          <w:shd w:val="clear" w:color="auto" w:fill="FFFFFF"/>
        </w:rPr>
        <w:t>Finance</w:t>
      </w:r>
      <w:r w:rsidR="00937CBF" w:rsidRPr="004E7E3E">
        <w:rPr>
          <w:rFonts w:ascii="Times New Roman" w:hAnsi="Times New Roman" w:cs="Times New Roman"/>
          <w:color w:val="000000"/>
          <w:sz w:val="24"/>
          <w:szCs w:val="24"/>
          <w:shd w:val="clear" w:color="auto" w:fill="FFFFFF"/>
          <w:lang w:val="ru-RU"/>
        </w:rPr>
        <w:t>»)</w:t>
      </w:r>
      <w:r w:rsidR="00937CBF">
        <w:rPr>
          <w:rFonts w:ascii="Times New Roman" w:hAnsi="Times New Roman" w:cs="Times New Roman"/>
          <w:color w:val="000000"/>
          <w:sz w:val="24"/>
          <w:szCs w:val="24"/>
          <w:shd w:val="clear" w:color="auto" w:fill="FFFFFF"/>
          <w:lang w:val="ru-RU"/>
        </w:rPr>
        <w:t>.</w:t>
      </w:r>
      <w:r w:rsidR="00937CBF" w:rsidRPr="004E7E3E">
        <w:rPr>
          <w:rFonts w:ascii="Times New Roman" w:hAnsi="Times New Roman" w:cs="Times New Roman"/>
          <w:color w:val="000000"/>
          <w:sz w:val="24"/>
          <w:szCs w:val="24"/>
          <w:shd w:val="clear" w:color="auto" w:fill="FFFFFF"/>
          <w:lang w:val="ru-RU"/>
        </w:rPr>
        <w:t xml:space="preserve"> </w:t>
      </w:r>
      <w:r w:rsidR="00937CBF">
        <w:rPr>
          <w:rFonts w:ascii="Times New Roman" w:hAnsi="Times New Roman" w:cs="Times New Roman"/>
          <w:color w:val="000000"/>
          <w:sz w:val="24"/>
          <w:szCs w:val="24"/>
          <w:shd w:val="clear" w:color="auto" w:fill="FFFFFF"/>
          <w:lang w:val="ru-RU"/>
        </w:rPr>
        <w:t>П</w:t>
      </w:r>
      <w:r w:rsidR="00937CBF" w:rsidRPr="004E7E3E">
        <w:rPr>
          <w:rFonts w:ascii="Times New Roman" w:hAnsi="Times New Roman" w:cs="Times New Roman"/>
          <w:color w:val="000000"/>
          <w:sz w:val="24"/>
          <w:szCs w:val="24"/>
          <w:shd w:val="clear" w:color="auto" w:fill="FFFFFF"/>
          <w:lang w:val="ru-RU"/>
        </w:rPr>
        <w:t>ри участии Корпорации лондонского сити</w:t>
      </w:r>
      <w:r w:rsidR="00937CBF">
        <w:rPr>
          <w:rFonts w:ascii="Times New Roman" w:hAnsi="Times New Roman" w:cs="Times New Roman"/>
          <w:color w:val="000000"/>
          <w:sz w:val="24"/>
          <w:szCs w:val="24"/>
          <w:shd w:val="clear" w:color="auto" w:fill="FFFFFF"/>
          <w:lang w:val="ru-RU"/>
        </w:rPr>
        <w:t xml:space="preserve"> она создала</w:t>
      </w:r>
      <w:r w:rsidR="00937CBF" w:rsidRPr="004E7E3E">
        <w:rPr>
          <w:rFonts w:ascii="Times New Roman" w:hAnsi="Times New Roman" w:cs="Times New Roman"/>
          <w:color w:val="000000"/>
          <w:sz w:val="24"/>
          <w:szCs w:val="24"/>
          <w:shd w:val="clear" w:color="auto" w:fill="FFFFFF"/>
          <w:lang w:val="ru-RU"/>
        </w:rPr>
        <w:t xml:space="preserve"> индекс глобальных финансовых центров. К этой школе относятся: М. </w:t>
      </w:r>
      <w:r w:rsidR="00937CBF" w:rsidRPr="004E7E3E">
        <w:rPr>
          <w:rFonts w:ascii="Times New Roman" w:hAnsi="Times New Roman" w:cs="Times New Roman"/>
          <w:sz w:val="24"/>
          <w:szCs w:val="24"/>
          <w:lang w:val="ru-RU" w:eastAsia="zh-CN"/>
        </w:rPr>
        <w:t xml:space="preserve">Йендл, М. Майнелли, А. Берент. Данная школа продолжает работу в сфере глобальных центров, расширив специализацию кластерного развития на тематики «зелёных финансов» и «умных городов». Объединившись с китайской группой Индексов </w:t>
      </w:r>
      <w:proofErr w:type="spellStart"/>
      <w:r w:rsidR="00937CBF" w:rsidRPr="004E7E3E">
        <w:rPr>
          <w:rFonts w:ascii="Times New Roman" w:hAnsi="Times New Roman" w:cs="Times New Roman"/>
          <w:sz w:val="24"/>
          <w:szCs w:val="24"/>
          <w:lang w:val="ru-RU" w:eastAsia="zh-CN"/>
        </w:rPr>
        <w:t>Синхуа</w:t>
      </w:r>
      <w:proofErr w:type="spellEnd"/>
      <w:r w:rsidR="00937CBF" w:rsidRPr="004E7E3E">
        <w:rPr>
          <w:rFonts w:ascii="Times New Roman" w:hAnsi="Times New Roman" w:cs="Times New Roman"/>
          <w:sz w:val="24"/>
          <w:szCs w:val="24"/>
          <w:lang w:val="ru-RU" w:eastAsia="zh-CN"/>
        </w:rPr>
        <w:t xml:space="preserve">, расположенной в Шэньчжэне (Китай), </w:t>
      </w:r>
      <w:r w:rsidR="00937CBF">
        <w:rPr>
          <w:rFonts w:ascii="Times New Roman" w:hAnsi="Times New Roman" w:cs="Times New Roman"/>
          <w:sz w:val="24"/>
          <w:szCs w:val="24"/>
          <w:lang w:val="ru-RU" w:eastAsia="zh-CN"/>
        </w:rPr>
        <w:t xml:space="preserve">школа </w:t>
      </w:r>
      <w:r w:rsidR="00937CBF" w:rsidRPr="004E7E3E">
        <w:rPr>
          <w:rFonts w:ascii="Times New Roman" w:hAnsi="Times New Roman" w:cs="Times New Roman"/>
          <w:sz w:val="24"/>
          <w:szCs w:val="24"/>
          <w:lang w:val="ru-RU" w:eastAsia="zh-CN"/>
        </w:rPr>
        <w:t>начал</w:t>
      </w:r>
      <w:r w:rsidR="00937CBF">
        <w:rPr>
          <w:rFonts w:ascii="Times New Roman" w:hAnsi="Times New Roman" w:cs="Times New Roman"/>
          <w:sz w:val="24"/>
          <w:szCs w:val="24"/>
          <w:lang w:val="ru-RU" w:eastAsia="zh-CN"/>
        </w:rPr>
        <w:t>а</w:t>
      </w:r>
      <w:r w:rsidR="00937CBF" w:rsidRPr="004E7E3E">
        <w:rPr>
          <w:rFonts w:ascii="Times New Roman" w:hAnsi="Times New Roman" w:cs="Times New Roman"/>
          <w:sz w:val="24"/>
          <w:szCs w:val="24"/>
          <w:lang w:val="ru-RU" w:eastAsia="zh-CN"/>
        </w:rPr>
        <w:t xml:space="preserve"> выпускать двуязычную англо-китайскую версию своего индекса. Заметный вклад в изучение международных (мировых) финансовых центров также сделали</w:t>
      </w:r>
      <w:r w:rsidR="00937CBF">
        <w:rPr>
          <w:rFonts w:ascii="Times New Roman" w:hAnsi="Times New Roman" w:cs="Times New Roman"/>
          <w:sz w:val="24"/>
          <w:szCs w:val="24"/>
          <w:lang w:val="ru-RU" w:eastAsia="zh-CN"/>
        </w:rPr>
        <w:t xml:space="preserve"> следующие</w:t>
      </w:r>
      <w:r w:rsidR="00937CBF" w:rsidRPr="004E7E3E">
        <w:rPr>
          <w:rFonts w:ascii="Times New Roman" w:hAnsi="Times New Roman" w:cs="Times New Roman"/>
          <w:sz w:val="24"/>
          <w:szCs w:val="24"/>
          <w:lang w:val="ru-RU" w:eastAsia="zh-CN"/>
        </w:rPr>
        <w:t xml:space="preserve"> исследователи: </w:t>
      </w:r>
      <w:r w:rsidR="00937CBF" w:rsidRPr="004E7E3E">
        <w:rPr>
          <w:rFonts w:ascii="Times New Roman" w:hAnsi="Times New Roman" w:cs="Times New Roman"/>
          <w:color w:val="000000" w:themeColor="text1"/>
          <w:sz w:val="24"/>
          <w:szCs w:val="24"/>
          <w:shd w:val="clear" w:color="auto" w:fill="FFFFFF"/>
          <w:lang w:val="ru-RU"/>
        </w:rPr>
        <w:t>К. Биндеманн, И. Р. Гордон, Дж. Кларк, М.</w:t>
      </w:r>
      <w:r w:rsidR="00E43576">
        <w:rPr>
          <w:rFonts w:ascii="Times New Roman" w:hAnsi="Times New Roman" w:cs="Times New Roman"/>
          <w:color w:val="000000" w:themeColor="text1"/>
          <w:sz w:val="24"/>
          <w:szCs w:val="24"/>
          <w:shd w:val="clear" w:color="auto" w:fill="FFFFFF"/>
        </w:rPr>
        <w:t> </w:t>
      </w:r>
      <w:r w:rsidR="00937CBF" w:rsidRPr="004E7E3E">
        <w:rPr>
          <w:rFonts w:ascii="Times New Roman" w:hAnsi="Times New Roman" w:cs="Times New Roman"/>
          <w:color w:val="000000" w:themeColor="text1"/>
          <w:sz w:val="24"/>
          <w:szCs w:val="24"/>
          <w:shd w:val="clear" w:color="auto" w:fill="FFFFFF"/>
          <w:lang w:val="ru-RU"/>
        </w:rPr>
        <w:t>Купер, Д.</w:t>
      </w:r>
      <w:r w:rsidR="00937CBF">
        <w:rPr>
          <w:rFonts w:ascii="Times New Roman" w:hAnsi="Times New Roman" w:cs="Times New Roman"/>
          <w:color w:val="000000" w:themeColor="text1"/>
          <w:sz w:val="24"/>
          <w:szCs w:val="24"/>
          <w:shd w:val="clear" w:color="auto" w:fill="FFFFFF"/>
          <w:lang w:val="ru-RU"/>
        </w:rPr>
        <w:t> </w:t>
      </w:r>
      <w:r w:rsidR="00937CBF" w:rsidRPr="004E7E3E">
        <w:rPr>
          <w:rFonts w:ascii="Times New Roman" w:hAnsi="Times New Roman" w:cs="Times New Roman"/>
          <w:color w:val="000000" w:themeColor="text1"/>
          <w:sz w:val="24"/>
          <w:szCs w:val="24"/>
          <w:shd w:val="clear" w:color="auto" w:fill="FFFFFF"/>
          <w:lang w:val="ru-RU"/>
        </w:rPr>
        <w:t>Д’Сауза, С. Дэррод, Т. Джериг, Т. С. Хаут, Ю. С. Парк, М. Эссейяд, Д. Хон Во, Н. Т. Нгуен, Д.</w:t>
      </w:r>
      <w:r w:rsidR="00937CBF">
        <w:rPr>
          <w:rFonts w:ascii="Times New Roman" w:hAnsi="Times New Roman" w:cs="Times New Roman"/>
          <w:color w:val="000000" w:themeColor="text1"/>
          <w:sz w:val="24"/>
          <w:szCs w:val="24"/>
          <w:shd w:val="clear" w:color="auto" w:fill="FFFFFF"/>
          <w:lang w:val="ru-RU"/>
        </w:rPr>
        <w:t> </w:t>
      </w:r>
      <w:r w:rsidR="00937CBF" w:rsidRPr="004E7E3E">
        <w:rPr>
          <w:rFonts w:ascii="Times New Roman" w:hAnsi="Times New Roman" w:cs="Times New Roman"/>
          <w:color w:val="000000" w:themeColor="text1"/>
          <w:sz w:val="24"/>
          <w:szCs w:val="24"/>
          <w:shd w:val="clear" w:color="auto" w:fill="FFFFFF"/>
          <w:lang w:val="ru-RU"/>
        </w:rPr>
        <w:t xml:space="preserve">Войчик, Дж. Дж. Ву. Вопросам использования юаня в качестве резервной валюты посвятили исследования Й. Гао, М. Кампанелла, И.-У. Чонг, У. Ху. Развитие международных финансовых центров в Азии в конце </w:t>
      </w:r>
      <w:r w:rsidR="00937CBF" w:rsidRPr="004E7E3E">
        <w:rPr>
          <w:rFonts w:ascii="Times New Roman" w:hAnsi="Times New Roman" w:cs="Times New Roman"/>
          <w:color w:val="000000" w:themeColor="text1"/>
          <w:sz w:val="24"/>
          <w:szCs w:val="24"/>
          <w:shd w:val="clear" w:color="auto" w:fill="FFFFFF"/>
        </w:rPr>
        <w:t>XX</w:t>
      </w:r>
      <w:r w:rsidR="00937CBF" w:rsidRPr="004E7E3E">
        <w:rPr>
          <w:rFonts w:ascii="Times New Roman" w:hAnsi="Times New Roman" w:cs="Times New Roman"/>
          <w:color w:val="000000" w:themeColor="text1"/>
          <w:sz w:val="24"/>
          <w:szCs w:val="24"/>
          <w:shd w:val="clear" w:color="auto" w:fill="FFFFFF"/>
          <w:lang w:val="ru-RU"/>
        </w:rPr>
        <w:t xml:space="preserve"> века привело </w:t>
      </w:r>
      <w:r w:rsidR="00937CBF">
        <w:rPr>
          <w:rFonts w:ascii="Times New Roman" w:hAnsi="Times New Roman" w:cs="Times New Roman"/>
          <w:color w:val="000000" w:themeColor="text1"/>
          <w:sz w:val="24"/>
          <w:szCs w:val="24"/>
          <w:shd w:val="clear" w:color="auto" w:fill="FFFFFF"/>
          <w:lang w:val="ru-RU"/>
        </w:rPr>
        <w:t xml:space="preserve">к </w:t>
      </w:r>
      <w:r w:rsidR="00937CBF" w:rsidRPr="004E7E3E">
        <w:rPr>
          <w:rFonts w:ascii="Times New Roman" w:hAnsi="Times New Roman" w:cs="Times New Roman"/>
          <w:color w:val="000000" w:themeColor="text1"/>
          <w:sz w:val="24"/>
          <w:szCs w:val="24"/>
          <w:shd w:val="clear" w:color="auto" w:fill="FFFFFF"/>
          <w:lang w:val="ru-RU"/>
        </w:rPr>
        <w:t xml:space="preserve">появлению школ по их изучению в Японии, Китае, Сингапуре, Ю. Корее и других странах. </w:t>
      </w:r>
    </w:p>
    <w:p w14:paraId="43E545B0" w14:textId="77D5FDBB"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themeColor="text1"/>
          <w:sz w:val="24"/>
          <w:szCs w:val="24"/>
          <w:shd w:val="clear" w:color="auto" w:fill="FFFFFF"/>
          <w:lang w:val="ru-RU"/>
        </w:rPr>
        <w:t>Отечественная историография по международным финансовым центра</w:t>
      </w:r>
      <w:r>
        <w:rPr>
          <w:rFonts w:ascii="Times New Roman" w:hAnsi="Times New Roman" w:cs="Times New Roman"/>
          <w:color w:val="000000" w:themeColor="text1"/>
          <w:sz w:val="24"/>
          <w:szCs w:val="24"/>
          <w:shd w:val="clear" w:color="auto" w:fill="FFFFFF"/>
          <w:lang w:val="ru-RU"/>
        </w:rPr>
        <w:t>м</w:t>
      </w:r>
      <w:r w:rsidRPr="004E7E3E">
        <w:rPr>
          <w:rFonts w:ascii="Times New Roman" w:hAnsi="Times New Roman" w:cs="Times New Roman"/>
          <w:color w:val="000000" w:themeColor="text1"/>
          <w:sz w:val="24"/>
          <w:szCs w:val="24"/>
          <w:shd w:val="clear" w:color="auto" w:fill="FFFFFF"/>
          <w:lang w:val="ru-RU"/>
        </w:rPr>
        <w:t xml:space="preserve"> обычно начинается с исследования 1979 года</w:t>
      </w:r>
      <w:r>
        <w:rPr>
          <w:rFonts w:ascii="Times New Roman" w:hAnsi="Times New Roman" w:cs="Times New Roman"/>
          <w:color w:val="000000" w:themeColor="text1"/>
          <w:sz w:val="24"/>
          <w:szCs w:val="24"/>
          <w:shd w:val="clear" w:color="auto" w:fill="FFFFFF"/>
          <w:lang w:val="ru-RU"/>
        </w:rPr>
        <w:t>, проведенного</w:t>
      </w:r>
      <w:r w:rsidRPr="004E7E3E">
        <w:rPr>
          <w:rFonts w:ascii="Times New Roman" w:hAnsi="Times New Roman" w:cs="Times New Roman"/>
          <w:color w:val="000000" w:themeColor="text1"/>
          <w:sz w:val="24"/>
          <w:szCs w:val="24"/>
          <w:shd w:val="clear" w:color="auto" w:fill="FFFFFF"/>
          <w:lang w:val="ru-RU"/>
        </w:rPr>
        <w:t xml:space="preserve"> Г. Г. Матюхин</w:t>
      </w:r>
      <w:r>
        <w:rPr>
          <w:rFonts w:ascii="Times New Roman" w:hAnsi="Times New Roman" w:cs="Times New Roman"/>
          <w:color w:val="000000" w:themeColor="text1"/>
          <w:sz w:val="24"/>
          <w:szCs w:val="24"/>
          <w:shd w:val="clear" w:color="auto" w:fill="FFFFFF"/>
          <w:lang w:val="ru-RU"/>
        </w:rPr>
        <w:t>ым</w:t>
      </w:r>
      <w:r w:rsidRPr="004E7E3E">
        <w:rPr>
          <w:rFonts w:ascii="Times New Roman" w:hAnsi="Times New Roman" w:cs="Times New Roman"/>
          <w:color w:val="000000" w:themeColor="text1"/>
          <w:sz w:val="24"/>
          <w:szCs w:val="24"/>
          <w:shd w:val="clear" w:color="auto" w:fill="FFFFFF"/>
          <w:lang w:val="ru-RU"/>
        </w:rPr>
        <w:t>, сотрудник</w:t>
      </w:r>
      <w:r>
        <w:rPr>
          <w:rFonts w:ascii="Times New Roman" w:hAnsi="Times New Roman" w:cs="Times New Roman"/>
          <w:color w:val="000000" w:themeColor="text1"/>
          <w:sz w:val="24"/>
          <w:szCs w:val="24"/>
          <w:shd w:val="clear" w:color="auto" w:fill="FFFFFF"/>
          <w:lang w:val="ru-RU"/>
        </w:rPr>
        <w:t>ом</w:t>
      </w:r>
      <w:r w:rsidRPr="004E7E3E">
        <w:rPr>
          <w:rFonts w:ascii="Times New Roman" w:hAnsi="Times New Roman" w:cs="Times New Roman"/>
          <w:color w:val="000000" w:themeColor="text1"/>
          <w:sz w:val="24"/>
          <w:szCs w:val="24"/>
          <w:shd w:val="clear" w:color="auto" w:fill="FFFFFF"/>
          <w:lang w:val="ru-RU"/>
        </w:rPr>
        <w:t xml:space="preserve"> Института мировой экономики и международных отношений Российской академии наук, карьера которого далее продолж</w:t>
      </w:r>
      <w:r>
        <w:rPr>
          <w:rFonts w:ascii="Times New Roman" w:hAnsi="Times New Roman" w:cs="Times New Roman"/>
          <w:color w:val="000000" w:themeColor="text1"/>
          <w:sz w:val="24"/>
          <w:szCs w:val="24"/>
          <w:shd w:val="clear" w:color="auto" w:fill="FFFFFF"/>
          <w:lang w:val="ru-RU"/>
        </w:rPr>
        <w:t>и</w:t>
      </w:r>
      <w:r w:rsidRPr="004E7E3E">
        <w:rPr>
          <w:rFonts w:ascii="Times New Roman" w:hAnsi="Times New Roman" w:cs="Times New Roman"/>
          <w:color w:val="000000" w:themeColor="text1"/>
          <w:sz w:val="24"/>
          <w:szCs w:val="24"/>
          <w:shd w:val="clear" w:color="auto" w:fill="FFFFFF"/>
          <w:lang w:val="ru-RU"/>
        </w:rPr>
        <w:t>лась в качестве первого главы Банка РСФСР. Традиции этого исследовани</w:t>
      </w:r>
      <w:r>
        <w:rPr>
          <w:rFonts w:ascii="Times New Roman" w:hAnsi="Times New Roman" w:cs="Times New Roman"/>
          <w:color w:val="000000" w:themeColor="text1"/>
          <w:sz w:val="24"/>
          <w:szCs w:val="24"/>
          <w:shd w:val="clear" w:color="auto" w:fill="FFFFFF"/>
          <w:lang w:val="ru-RU"/>
        </w:rPr>
        <w:t>я</w:t>
      </w:r>
      <w:r w:rsidRPr="004E7E3E">
        <w:rPr>
          <w:rFonts w:ascii="Times New Roman" w:hAnsi="Times New Roman" w:cs="Times New Roman"/>
          <w:color w:val="000000" w:themeColor="text1"/>
          <w:sz w:val="24"/>
          <w:szCs w:val="24"/>
          <w:shd w:val="clear" w:color="auto" w:fill="FFFFFF"/>
          <w:lang w:val="ru-RU"/>
        </w:rPr>
        <w:t xml:space="preserve"> унаследовала группа Я. М. Миркина </w:t>
      </w:r>
      <w:r>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lang w:val="ru-RU"/>
        </w:rPr>
        <w:t>также из ИМЭМО</w:t>
      </w:r>
      <w:r>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lang w:val="ru-RU"/>
        </w:rPr>
        <w:t xml:space="preserve">, опубликовавшая в начале </w:t>
      </w:r>
      <w:r w:rsidRPr="004E7E3E">
        <w:rPr>
          <w:rFonts w:ascii="Times New Roman" w:hAnsi="Times New Roman" w:cs="Times New Roman"/>
          <w:color w:val="000000" w:themeColor="text1"/>
          <w:sz w:val="24"/>
          <w:szCs w:val="24"/>
          <w:shd w:val="clear" w:color="auto" w:fill="FFFFFF"/>
        </w:rPr>
        <w:t>XXI</w:t>
      </w:r>
      <w:r w:rsidRPr="004E7E3E">
        <w:rPr>
          <w:rFonts w:ascii="Times New Roman" w:hAnsi="Times New Roman" w:cs="Times New Roman"/>
          <w:color w:val="000000" w:themeColor="text1"/>
          <w:sz w:val="24"/>
          <w:szCs w:val="24"/>
          <w:shd w:val="clear" w:color="auto" w:fill="FFFFFF"/>
          <w:lang w:val="ru-RU"/>
        </w:rPr>
        <w:t xml:space="preserve"> века ряд исследований по стратегии развития финансовых рынков на постсоветском пространстве, включая вопросы развития международных финансовых центров. Тема международных финансовых центров стала очень популярна после провозглашения инициативы </w:t>
      </w:r>
      <w:r>
        <w:rPr>
          <w:rFonts w:ascii="Times New Roman" w:hAnsi="Times New Roman" w:cs="Times New Roman"/>
          <w:color w:val="000000" w:themeColor="text1"/>
          <w:sz w:val="24"/>
          <w:szCs w:val="24"/>
          <w:shd w:val="clear" w:color="auto" w:fill="FFFFFF"/>
          <w:lang w:val="ru-RU"/>
        </w:rPr>
        <w:t>П</w:t>
      </w:r>
      <w:r w:rsidRPr="004E7E3E">
        <w:rPr>
          <w:rFonts w:ascii="Times New Roman" w:hAnsi="Times New Roman" w:cs="Times New Roman"/>
          <w:color w:val="000000" w:themeColor="text1"/>
          <w:sz w:val="24"/>
          <w:szCs w:val="24"/>
          <w:shd w:val="clear" w:color="auto" w:fill="FFFFFF"/>
          <w:lang w:val="ru-RU"/>
        </w:rPr>
        <w:t xml:space="preserve">резидента по развитию международного финансового центра в Москве. Отдельные сборники или монографии вышли в Финансовом университете в Москве (Е. Ф. </w:t>
      </w:r>
      <w:r w:rsidRPr="004E7E3E">
        <w:rPr>
          <w:rFonts w:ascii="Times New Roman" w:hAnsi="Times New Roman" w:cs="Times New Roman"/>
          <w:sz w:val="24"/>
          <w:szCs w:val="24"/>
          <w:lang w:val="ru-RU" w:eastAsia="zh-CN"/>
        </w:rPr>
        <w:t>Авдокушин, А. В. Новиков, И. Я. Новикова, М. Ю. Малкин</w:t>
      </w:r>
      <w:r>
        <w:rPr>
          <w:rFonts w:ascii="Times New Roman" w:hAnsi="Times New Roman" w:cs="Times New Roman"/>
          <w:sz w:val="24"/>
          <w:szCs w:val="24"/>
          <w:lang w:val="ru-RU" w:eastAsia="zh-CN"/>
        </w:rPr>
        <w:t>а</w:t>
      </w:r>
      <w:r w:rsidRPr="004E7E3E">
        <w:rPr>
          <w:rFonts w:ascii="Times New Roman" w:hAnsi="Times New Roman" w:cs="Times New Roman"/>
          <w:sz w:val="24"/>
          <w:szCs w:val="24"/>
          <w:lang w:val="ru-RU" w:eastAsia="zh-CN"/>
        </w:rPr>
        <w:t>, А. А. Сахаров)</w:t>
      </w:r>
      <w:r w:rsidRPr="004E7E3E">
        <w:rPr>
          <w:rFonts w:ascii="Times New Roman" w:hAnsi="Times New Roman" w:cs="Times New Roman"/>
          <w:color w:val="000000" w:themeColor="text1"/>
          <w:sz w:val="24"/>
          <w:szCs w:val="24"/>
          <w:shd w:val="clear" w:color="auto" w:fill="FFFFFF"/>
          <w:lang w:val="ru-RU"/>
        </w:rPr>
        <w:t>, в РАНХиГС (</w:t>
      </w:r>
      <w:r w:rsidRPr="004E7E3E">
        <w:rPr>
          <w:rFonts w:ascii="Times New Roman" w:hAnsi="Times New Roman" w:cs="Times New Roman"/>
          <w:color w:val="000000" w:themeColor="text1"/>
          <w:sz w:val="24"/>
          <w:szCs w:val="24"/>
          <w:lang w:val="ru-RU"/>
        </w:rPr>
        <w:t>С. Е. Нарышкин, В. А. Мау, Т. Я. Хабриевая),</w:t>
      </w:r>
      <w:r w:rsidRPr="004E7E3E">
        <w:rPr>
          <w:rFonts w:ascii="Times New Roman" w:hAnsi="Times New Roman" w:cs="Times New Roman"/>
          <w:color w:val="000000" w:themeColor="text1"/>
          <w:sz w:val="24"/>
          <w:szCs w:val="24"/>
          <w:shd w:val="clear" w:color="auto" w:fill="FFFFFF"/>
          <w:lang w:val="ru-RU"/>
        </w:rPr>
        <w:t xml:space="preserve"> в</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 xml:space="preserve">Институте Гайдара (С. М. Дробышевский, Е. В. Худько, Е. Е. Великова), в СПбГУ и СПбГЭУ </w:t>
      </w:r>
      <w:r w:rsidRPr="004E7E3E">
        <w:rPr>
          <w:rFonts w:ascii="Times New Roman" w:hAnsi="Times New Roman" w:cs="Times New Roman"/>
          <w:color w:val="000000" w:themeColor="text1"/>
          <w:sz w:val="24"/>
          <w:szCs w:val="24"/>
          <w:shd w:val="clear" w:color="auto" w:fill="FFFFFF"/>
          <w:lang w:val="ru-RU"/>
        </w:rPr>
        <w:lastRenderedPageBreak/>
        <w:t xml:space="preserve">(И </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К. Ключников, О. А. Молчанова, О. И. Ключников), в ННГУ им. Н. И. Лобачевского (М.</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Ю.</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 xml:space="preserve">Малкина). В первые 20 лет </w:t>
      </w:r>
      <w:r w:rsidRPr="004E7E3E">
        <w:rPr>
          <w:rFonts w:ascii="Times New Roman" w:hAnsi="Times New Roman" w:cs="Times New Roman"/>
          <w:color w:val="000000" w:themeColor="text1"/>
          <w:sz w:val="24"/>
          <w:szCs w:val="24"/>
          <w:shd w:val="clear" w:color="auto" w:fill="FFFFFF"/>
        </w:rPr>
        <w:t>XXI</w:t>
      </w:r>
      <w:r w:rsidRPr="004E7E3E">
        <w:rPr>
          <w:rFonts w:ascii="Times New Roman" w:hAnsi="Times New Roman" w:cs="Times New Roman"/>
          <w:color w:val="000000" w:themeColor="text1"/>
          <w:sz w:val="24"/>
          <w:szCs w:val="24"/>
          <w:shd w:val="clear" w:color="auto" w:fill="FFFFFF"/>
          <w:lang w:val="ru-RU"/>
        </w:rPr>
        <w:t xml:space="preserve"> века был защищен ряд диссертаций</w:t>
      </w:r>
      <w:r>
        <w:rPr>
          <w:rFonts w:ascii="Times New Roman" w:hAnsi="Times New Roman" w:cs="Times New Roman"/>
          <w:color w:val="000000" w:themeColor="text1"/>
          <w:sz w:val="24"/>
          <w:szCs w:val="24"/>
          <w:shd w:val="clear" w:color="auto" w:fill="FFFFFF"/>
          <w:lang w:val="ru-RU"/>
        </w:rPr>
        <w:t>, посвященных</w:t>
      </w:r>
      <w:r w:rsidRPr="004E7E3E">
        <w:rPr>
          <w:rFonts w:ascii="Times New Roman" w:hAnsi="Times New Roman" w:cs="Times New Roman"/>
          <w:color w:val="000000" w:themeColor="text1"/>
          <w:sz w:val="24"/>
          <w:szCs w:val="24"/>
          <w:shd w:val="clear" w:color="auto" w:fill="FFFFFF"/>
          <w:lang w:val="ru-RU"/>
        </w:rPr>
        <w:t xml:space="preserve"> различным аспектам международных финансовых центров (Г. В. Осипян, Ю. Н. Гусев, Д.</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А.</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Иванова, Е. В. Семенцова, В. В. Климачев, Д. А., Рассказов, А. Ю. Долгова, А.</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А.</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Айрапетян). Следует также отметить работы по международным финансовым центрам О.</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А. Мельниковой, С. И. Бацуновой, М. К. Беляева, И. А. Розинского, В. Н. Алеексеева, В.</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Г.</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 xml:space="preserve">Ермилова, В. И. Ильина, А. И. Болвачёва, Ю. Ю. Хватова, Л. П. Худяковой, О. В. Хмыз, </w:t>
      </w:r>
      <w:r w:rsidRPr="004E7E3E">
        <w:rPr>
          <w:rFonts w:ascii="Times New Roman" w:hAnsi="Times New Roman" w:cs="Times New Roman"/>
          <w:color w:val="000000" w:themeColor="text1"/>
          <w:sz w:val="24"/>
          <w:szCs w:val="24"/>
          <w:lang w:val="ru-RU"/>
        </w:rPr>
        <w:t>Н.</w:t>
      </w:r>
      <w:r w:rsidR="00E43576">
        <w:rPr>
          <w:rFonts w:ascii="Times New Roman" w:hAnsi="Times New Roman" w:cs="Times New Roman"/>
          <w:color w:val="000000" w:themeColor="text1"/>
          <w:sz w:val="24"/>
          <w:szCs w:val="24"/>
        </w:rPr>
        <w:t> </w:t>
      </w:r>
      <w:r w:rsidRPr="004E7E3E">
        <w:rPr>
          <w:rFonts w:ascii="Times New Roman" w:hAnsi="Times New Roman" w:cs="Times New Roman"/>
          <w:color w:val="000000" w:themeColor="text1"/>
          <w:sz w:val="24"/>
          <w:szCs w:val="24"/>
          <w:lang w:val="ru-RU"/>
        </w:rPr>
        <w:t>С. Зиядуллова, И. В. Горна, Д. А. Ивановой, Ю. С. Кибардина, В. Ш. Сургуладзе и других.</w:t>
      </w:r>
      <w:r w:rsidRPr="004E7E3E">
        <w:rPr>
          <w:rFonts w:ascii="Times New Roman" w:hAnsi="Times New Roman" w:cs="Times New Roman"/>
          <w:color w:val="000000" w:themeColor="text1"/>
          <w:sz w:val="24"/>
          <w:szCs w:val="24"/>
          <w:shd w:val="clear" w:color="auto" w:fill="FFFFFF"/>
          <w:lang w:val="ru-RU"/>
        </w:rPr>
        <w:t xml:space="preserve"> Исследованию финансовой системы Китая посвящены сборник, подготовленный под редакцией В. В. Иванов</w:t>
      </w:r>
      <w:r>
        <w:rPr>
          <w:rFonts w:ascii="Times New Roman" w:hAnsi="Times New Roman" w:cs="Times New Roman"/>
          <w:color w:val="000000" w:themeColor="text1"/>
          <w:sz w:val="24"/>
          <w:szCs w:val="24"/>
          <w:shd w:val="clear" w:color="auto" w:fill="FFFFFF"/>
          <w:lang w:val="ru-RU"/>
        </w:rPr>
        <w:t>а</w:t>
      </w:r>
      <w:r w:rsidRPr="004E7E3E">
        <w:rPr>
          <w:rFonts w:ascii="Times New Roman" w:hAnsi="Times New Roman" w:cs="Times New Roman"/>
          <w:color w:val="000000" w:themeColor="text1"/>
          <w:sz w:val="24"/>
          <w:szCs w:val="24"/>
          <w:shd w:val="clear" w:color="auto" w:fill="FFFFFF"/>
          <w:lang w:val="ru-RU"/>
        </w:rPr>
        <w:t xml:space="preserve"> и Н. В. Покровской, монографии и статьи В. Н. Коваленко, С. В. Лялина, Н.</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А.</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Львовой и других</w:t>
      </w:r>
      <w:r>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lang w:val="ru-RU"/>
        </w:rPr>
        <w:t xml:space="preserve"> глобальным городам – Н. А. Слуки</w:t>
      </w:r>
      <w:r>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lang w:val="ru-RU"/>
        </w:rPr>
        <w:t xml:space="preserve"> механизму составления рейтингов – И.</w:t>
      </w:r>
      <w:r w:rsidR="00E43576">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Ю. Лукашевич, Д. В. Сухоруковой</w:t>
      </w:r>
      <w:r>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lang w:val="ru-RU"/>
        </w:rPr>
        <w:t xml:space="preserve"> офшорным центрам – С. П. Чернявского</w:t>
      </w:r>
      <w:r>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lang w:val="ru-RU"/>
        </w:rPr>
        <w:t xml:space="preserve"> финансовым институтам – </w:t>
      </w:r>
      <w:r w:rsidRPr="004E7E3E">
        <w:rPr>
          <w:rFonts w:ascii="Times New Roman" w:hAnsi="Times New Roman" w:cs="Times New Roman"/>
          <w:color w:val="000000"/>
          <w:sz w:val="24"/>
          <w:szCs w:val="24"/>
          <w:shd w:val="clear" w:color="auto" w:fill="FFFFFF"/>
          <w:lang w:val="ru-RU"/>
        </w:rPr>
        <w:t xml:space="preserve">Я. И. Кузьминова, В. В. Радаева, А. А. Яковлева, Е. Г. Ясина. </w:t>
      </w:r>
    </w:p>
    <w:p w14:paraId="4DAF44DB" w14:textId="707E86AF"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Объектом исследования</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данной работы </w:t>
      </w:r>
      <w:r w:rsidRPr="004E7E3E">
        <w:rPr>
          <w:rFonts w:ascii="Times New Roman" w:hAnsi="Times New Roman" w:cs="Times New Roman"/>
          <w:color w:val="000000"/>
          <w:sz w:val="24"/>
          <w:szCs w:val="24"/>
          <w:shd w:val="clear" w:color="auto" w:fill="FFFFFF"/>
          <w:lang w:val="ru-RU"/>
        </w:rPr>
        <w:t xml:space="preserve">является </w:t>
      </w:r>
      <w:r w:rsidR="004D0166">
        <w:rPr>
          <w:rFonts w:ascii="Times New Roman" w:hAnsi="Times New Roman" w:cs="Times New Roman"/>
          <w:color w:val="000000"/>
          <w:sz w:val="24"/>
          <w:szCs w:val="24"/>
          <w:shd w:val="clear" w:color="auto" w:fill="FFFFFF"/>
          <w:lang w:val="ru-RU"/>
        </w:rPr>
        <w:t>международные финансовые центры как значимый институт современной финансовой экономики</w:t>
      </w:r>
      <w:r w:rsidRPr="004E7E3E">
        <w:rPr>
          <w:rFonts w:ascii="Times New Roman" w:hAnsi="Times New Roman" w:cs="Times New Roman"/>
          <w:color w:val="000000"/>
          <w:sz w:val="24"/>
          <w:szCs w:val="24"/>
          <w:shd w:val="clear" w:color="auto" w:fill="FFFFFF"/>
          <w:lang w:val="ru-RU"/>
        </w:rPr>
        <w:t>.</w:t>
      </w:r>
    </w:p>
    <w:p w14:paraId="57F1702E" w14:textId="75D5FA9C"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Предмет исследования</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sidR="004D0166">
        <w:rPr>
          <w:rFonts w:ascii="Times New Roman" w:hAnsi="Times New Roman" w:cs="Times New Roman"/>
          <w:color w:val="000000"/>
          <w:sz w:val="24"/>
          <w:szCs w:val="24"/>
          <w:shd w:val="clear" w:color="auto" w:fill="FFFFFF"/>
          <w:lang w:val="ru-RU"/>
        </w:rPr>
        <w:t>методические подходы к исследованию международных финансовых центров с акцентом на особенности стран с формирующимся рынком</w:t>
      </w:r>
      <w:r w:rsidRPr="004E7E3E">
        <w:rPr>
          <w:rFonts w:ascii="Times New Roman" w:hAnsi="Times New Roman" w:cs="Times New Roman"/>
          <w:color w:val="000000"/>
          <w:sz w:val="24"/>
          <w:szCs w:val="24"/>
          <w:shd w:val="clear" w:color="auto" w:fill="FFFFFF"/>
          <w:lang w:val="ru-RU"/>
        </w:rPr>
        <w:t>.</w:t>
      </w:r>
    </w:p>
    <w:p w14:paraId="646980C1" w14:textId="1C9A26A9" w:rsidR="00937CBF" w:rsidRPr="004E7E3E" w:rsidRDefault="00BF3C2E"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BF3C2E">
        <w:rPr>
          <w:rFonts w:ascii="Times New Roman" w:hAnsi="Times New Roman" w:cs="Times New Roman"/>
          <w:b/>
          <w:bCs/>
          <w:color w:val="000000"/>
          <w:sz w:val="24"/>
          <w:szCs w:val="24"/>
          <w:shd w:val="clear" w:color="auto" w:fill="FFFFFF"/>
          <w:lang w:val="ru-RU"/>
        </w:rPr>
        <w:t>Цель выпускной квалификационной работы</w:t>
      </w:r>
      <w:r>
        <w:rPr>
          <w:rFonts w:ascii="Times New Roman" w:hAnsi="Times New Roman" w:cs="Times New Roman"/>
          <w:color w:val="000000"/>
          <w:sz w:val="24"/>
          <w:szCs w:val="24"/>
          <w:shd w:val="clear" w:color="auto" w:fill="FFFFFF"/>
          <w:lang w:val="ru-RU"/>
        </w:rPr>
        <w:t xml:space="preserve"> – исследовать содержание</w:t>
      </w:r>
      <w:r w:rsidR="00937CBF"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и значение </w:t>
      </w:r>
      <w:r w:rsidR="00937CBF" w:rsidRPr="004E7E3E">
        <w:rPr>
          <w:rFonts w:ascii="Times New Roman" w:hAnsi="Times New Roman" w:cs="Times New Roman"/>
          <w:color w:val="000000"/>
          <w:sz w:val="24"/>
          <w:szCs w:val="24"/>
          <w:shd w:val="clear" w:color="auto" w:fill="FFFFFF"/>
          <w:lang w:val="ru-RU"/>
        </w:rPr>
        <w:t xml:space="preserve">международных финансовых центров на национальном и международном уровнях, </w:t>
      </w:r>
      <w:r>
        <w:rPr>
          <w:rFonts w:ascii="Times New Roman" w:hAnsi="Times New Roman" w:cs="Times New Roman"/>
          <w:color w:val="000000"/>
          <w:sz w:val="24"/>
          <w:szCs w:val="24"/>
          <w:shd w:val="clear" w:color="auto" w:fill="FFFFFF"/>
          <w:lang w:val="ru-RU"/>
        </w:rPr>
        <w:t>выявив особенности развития данных институтов в странах с формирующимся рынком (на примере России и Китая)</w:t>
      </w:r>
      <w:r w:rsidR="00937CBF" w:rsidRPr="004E7E3E">
        <w:rPr>
          <w:rFonts w:ascii="Times New Roman" w:hAnsi="Times New Roman" w:cs="Times New Roman"/>
          <w:color w:val="000000"/>
          <w:sz w:val="24"/>
          <w:szCs w:val="24"/>
          <w:shd w:val="clear" w:color="auto" w:fill="FFFFFF"/>
          <w:lang w:val="ru-RU"/>
        </w:rPr>
        <w:t>.</w:t>
      </w:r>
    </w:p>
    <w:p w14:paraId="3E7D6978" w14:textId="77777777" w:rsidR="00937CBF" w:rsidRPr="004E7E3E" w:rsidRDefault="00937CBF" w:rsidP="00937CBF">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Для достижения поставленной цели мы должны решить ряд </w:t>
      </w:r>
      <w:r w:rsidRPr="004E7E3E">
        <w:rPr>
          <w:rFonts w:ascii="Times New Roman" w:hAnsi="Times New Roman" w:cs="Times New Roman"/>
          <w:b/>
          <w:color w:val="000000"/>
          <w:sz w:val="24"/>
          <w:szCs w:val="24"/>
          <w:shd w:val="clear" w:color="auto" w:fill="FFFFFF"/>
          <w:lang w:val="ru-RU"/>
        </w:rPr>
        <w:t>задач</w:t>
      </w:r>
      <w:r w:rsidRPr="004E7E3E">
        <w:rPr>
          <w:rFonts w:ascii="Times New Roman" w:hAnsi="Times New Roman" w:cs="Times New Roman"/>
          <w:color w:val="000000"/>
          <w:sz w:val="24"/>
          <w:szCs w:val="24"/>
          <w:shd w:val="clear" w:color="auto" w:fill="FFFFFF"/>
          <w:lang w:val="ru-RU"/>
        </w:rPr>
        <w:t>:</w:t>
      </w:r>
    </w:p>
    <w:p w14:paraId="0641ADA1" w14:textId="12262115" w:rsidR="00937CBF" w:rsidRPr="0077794A" w:rsidRDefault="0042218D" w:rsidP="00A77599">
      <w:pPr>
        <w:pStyle w:val="af3"/>
        <w:numPr>
          <w:ilvl w:val="0"/>
          <w:numId w:val="4"/>
        </w:numPr>
        <w:spacing w:after="0" w:line="36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сформировать комплексную характеристику</w:t>
      </w:r>
      <w:r w:rsidR="00937CBF" w:rsidRPr="0077794A">
        <w:rPr>
          <w:rFonts w:ascii="Times New Roman" w:hAnsi="Times New Roman" w:cs="Times New Roman"/>
          <w:sz w:val="24"/>
          <w:szCs w:val="24"/>
          <w:lang w:val="ru-RU"/>
        </w:rPr>
        <w:t xml:space="preserve"> категории «международный финансовый центр»</w:t>
      </w:r>
      <w:r>
        <w:rPr>
          <w:rFonts w:ascii="Times New Roman" w:hAnsi="Times New Roman" w:cs="Times New Roman"/>
          <w:sz w:val="24"/>
          <w:szCs w:val="24"/>
          <w:lang w:val="ru-RU"/>
        </w:rPr>
        <w:t>, обобщив</w:t>
      </w:r>
      <w:r w:rsidR="00937CBF" w:rsidRPr="0077794A">
        <w:rPr>
          <w:rFonts w:ascii="Times New Roman" w:hAnsi="Times New Roman" w:cs="Times New Roman"/>
          <w:sz w:val="24"/>
          <w:szCs w:val="24"/>
          <w:lang w:val="ru-RU"/>
        </w:rPr>
        <w:t xml:space="preserve"> наиболее популярные подходы к </w:t>
      </w:r>
      <w:r>
        <w:rPr>
          <w:rFonts w:ascii="Times New Roman" w:hAnsi="Times New Roman" w:cs="Times New Roman"/>
          <w:sz w:val="24"/>
          <w:szCs w:val="24"/>
          <w:lang w:val="ru-RU"/>
        </w:rPr>
        <w:t xml:space="preserve">трактовке содержания, </w:t>
      </w:r>
      <w:r w:rsidR="00937CBF" w:rsidRPr="0077794A">
        <w:rPr>
          <w:rFonts w:ascii="Times New Roman" w:hAnsi="Times New Roman" w:cs="Times New Roman"/>
          <w:sz w:val="24"/>
          <w:szCs w:val="24"/>
          <w:lang w:val="ru-RU"/>
        </w:rPr>
        <w:t>классификации</w:t>
      </w:r>
      <w:r>
        <w:rPr>
          <w:rFonts w:ascii="Times New Roman" w:hAnsi="Times New Roman" w:cs="Times New Roman"/>
          <w:sz w:val="24"/>
          <w:szCs w:val="24"/>
          <w:lang w:val="ru-RU"/>
        </w:rPr>
        <w:t xml:space="preserve"> видов</w:t>
      </w:r>
      <w:r w:rsidR="00937CBF" w:rsidRPr="0077794A">
        <w:rPr>
          <w:rFonts w:ascii="Times New Roman" w:hAnsi="Times New Roman" w:cs="Times New Roman"/>
          <w:sz w:val="24"/>
          <w:szCs w:val="24"/>
          <w:lang w:val="ru-RU"/>
        </w:rPr>
        <w:t xml:space="preserve"> и оценке (рейтингованию, ранжированию, анализу уровня развития)</w:t>
      </w:r>
      <w:r>
        <w:rPr>
          <w:rFonts w:ascii="Times New Roman" w:hAnsi="Times New Roman" w:cs="Times New Roman"/>
          <w:sz w:val="24"/>
          <w:szCs w:val="24"/>
          <w:lang w:val="ru-RU"/>
        </w:rPr>
        <w:t xml:space="preserve"> международных финансовых центров</w:t>
      </w:r>
      <w:r w:rsidR="0052658B" w:rsidRPr="0052658B">
        <w:rPr>
          <w:rFonts w:ascii="Times New Roman" w:hAnsi="Times New Roman" w:cs="Times New Roman"/>
          <w:sz w:val="24"/>
          <w:szCs w:val="24"/>
          <w:lang w:val="ru-RU"/>
        </w:rPr>
        <w:t xml:space="preserve"> </w:t>
      </w:r>
      <w:r w:rsidR="0052658B">
        <w:rPr>
          <w:rFonts w:ascii="Times New Roman" w:hAnsi="Times New Roman" w:cs="Times New Roman"/>
          <w:sz w:val="24"/>
          <w:szCs w:val="24"/>
          <w:lang w:val="ru-RU"/>
        </w:rPr>
        <w:t xml:space="preserve">с акцентом на особенности </w:t>
      </w:r>
      <w:r w:rsidR="0052658B" w:rsidRPr="004E7E3E">
        <w:rPr>
          <w:rFonts w:ascii="Times New Roman" w:hAnsi="Times New Roman" w:cs="Times New Roman"/>
          <w:sz w:val="24"/>
          <w:szCs w:val="24"/>
          <w:lang w:val="ru-RU"/>
        </w:rPr>
        <w:t xml:space="preserve">стран с </w:t>
      </w:r>
      <w:r w:rsidR="0052658B">
        <w:rPr>
          <w:rFonts w:ascii="Times New Roman" w:hAnsi="Times New Roman" w:cs="Times New Roman"/>
          <w:sz w:val="24"/>
          <w:szCs w:val="24"/>
          <w:lang w:val="ru-RU"/>
        </w:rPr>
        <w:t>формирующимся рынком</w:t>
      </w:r>
      <w:r w:rsidR="00937CBF" w:rsidRPr="0077794A">
        <w:rPr>
          <w:rFonts w:ascii="Times New Roman" w:hAnsi="Times New Roman" w:cs="Times New Roman"/>
          <w:sz w:val="24"/>
          <w:szCs w:val="24"/>
          <w:lang w:val="ru-RU"/>
        </w:rPr>
        <w:t>;</w:t>
      </w:r>
    </w:p>
    <w:p w14:paraId="20AEB98E" w14:textId="2014B480" w:rsidR="00937CBF" w:rsidRPr="005C0232" w:rsidRDefault="00937CBF" w:rsidP="00937CBF">
      <w:pPr>
        <w:pStyle w:val="af3"/>
        <w:numPr>
          <w:ilvl w:val="0"/>
          <w:numId w:val="4"/>
        </w:numPr>
        <w:spacing w:after="0" w:line="360" w:lineRule="auto"/>
        <w:ind w:left="0" w:firstLine="709"/>
        <w:jc w:val="both"/>
        <w:rPr>
          <w:rFonts w:ascii="Times New Roman" w:hAnsi="Times New Roman" w:cs="Times New Roman"/>
          <w:sz w:val="24"/>
          <w:szCs w:val="24"/>
          <w:lang w:val="ru-RU"/>
        </w:rPr>
      </w:pPr>
      <w:r w:rsidRPr="005C0232">
        <w:rPr>
          <w:rFonts w:ascii="Times New Roman" w:hAnsi="Times New Roman" w:cs="Times New Roman"/>
          <w:sz w:val="24"/>
          <w:szCs w:val="24"/>
          <w:lang w:val="ru-RU"/>
        </w:rPr>
        <w:t xml:space="preserve">оценить функциональную значимость </w:t>
      </w:r>
      <w:r w:rsidR="0042218D">
        <w:rPr>
          <w:rFonts w:ascii="Times New Roman" w:hAnsi="Times New Roman" w:cs="Times New Roman"/>
          <w:sz w:val="24"/>
          <w:szCs w:val="24"/>
          <w:lang w:val="ru-RU"/>
        </w:rPr>
        <w:t xml:space="preserve">методик </w:t>
      </w:r>
      <w:r w:rsidR="0042218D" w:rsidRPr="004E7E3E">
        <w:rPr>
          <w:rFonts w:ascii="Times New Roman" w:hAnsi="Times New Roman" w:cs="Times New Roman"/>
          <w:sz w:val="24"/>
          <w:szCs w:val="24"/>
          <w:lang w:val="ru-RU"/>
        </w:rPr>
        <w:t>составления наиболее популярных рейтингов</w:t>
      </w:r>
      <w:r w:rsidR="0042218D" w:rsidRPr="0042218D">
        <w:rPr>
          <w:rFonts w:ascii="Times New Roman" w:hAnsi="Times New Roman" w:cs="Times New Roman"/>
          <w:sz w:val="24"/>
          <w:szCs w:val="24"/>
          <w:lang w:val="ru-RU"/>
        </w:rPr>
        <w:t xml:space="preserve"> </w:t>
      </w:r>
      <w:r w:rsidR="0042218D">
        <w:rPr>
          <w:rFonts w:ascii="Times New Roman" w:hAnsi="Times New Roman" w:cs="Times New Roman"/>
          <w:sz w:val="24"/>
          <w:szCs w:val="24"/>
          <w:lang w:val="ru-RU"/>
        </w:rPr>
        <w:t>международных финансовых центров</w:t>
      </w:r>
      <w:r w:rsidR="0042218D" w:rsidRPr="004E7E3E">
        <w:rPr>
          <w:rFonts w:ascii="Times New Roman" w:hAnsi="Times New Roman" w:cs="Times New Roman"/>
          <w:sz w:val="24"/>
          <w:szCs w:val="24"/>
          <w:lang w:val="ru-RU"/>
        </w:rPr>
        <w:t xml:space="preserve"> </w:t>
      </w:r>
      <w:r w:rsidRPr="005C0232">
        <w:rPr>
          <w:rFonts w:ascii="Times New Roman" w:hAnsi="Times New Roman" w:cs="Times New Roman"/>
          <w:sz w:val="24"/>
          <w:szCs w:val="24"/>
          <w:lang w:val="ru-RU"/>
        </w:rPr>
        <w:t>в качестве инструмента преодоления информационной асимметрии на финансовом рынке;</w:t>
      </w:r>
    </w:p>
    <w:p w14:paraId="04046182" w14:textId="563EABC0" w:rsidR="00E670F5" w:rsidRPr="004E7E3E" w:rsidRDefault="00E670F5" w:rsidP="00E670F5">
      <w:pPr>
        <w:pStyle w:val="af3"/>
        <w:numPr>
          <w:ilvl w:val="0"/>
          <w:numId w:val="4"/>
        </w:numPr>
        <w:spacing w:before="100" w:beforeAutospacing="1" w:after="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выявить особенности программы развития Шанхая в качестве МФЦ</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проанализирова</w:t>
      </w:r>
      <w:r>
        <w:rPr>
          <w:rFonts w:ascii="Times New Roman" w:hAnsi="Times New Roman" w:cs="Times New Roman"/>
          <w:sz w:val="24"/>
          <w:szCs w:val="24"/>
          <w:lang w:val="ru-RU"/>
        </w:rPr>
        <w:t>в</w:t>
      </w:r>
      <w:r w:rsidRPr="004E7E3E">
        <w:rPr>
          <w:rFonts w:ascii="Times New Roman" w:hAnsi="Times New Roman" w:cs="Times New Roman"/>
          <w:sz w:val="24"/>
          <w:szCs w:val="24"/>
          <w:lang w:val="ru-RU"/>
        </w:rPr>
        <w:t xml:space="preserve"> феномен полицентричности КНР и системы Большого Китая в финансовой сфере;</w:t>
      </w:r>
    </w:p>
    <w:p w14:paraId="6A113BAC" w14:textId="18C89B7D" w:rsidR="00937CBF" w:rsidRPr="005C0232" w:rsidRDefault="00FB031C" w:rsidP="00937CBF">
      <w:pPr>
        <w:pStyle w:val="af3"/>
        <w:numPr>
          <w:ilvl w:val="0"/>
          <w:numId w:val="4"/>
        </w:numPr>
        <w:spacing w:before="100" w:beforeAutospacing="1" w:after="0" w:line="36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выявить особенности и условия становления международного финансового центра в Москве в контексте проблемы формирования новых точек роста МФЦ в Российской Федерации</w:t>
      </w:r>
      <w:r w:rsidR="00937CBF" w:rsidRPr="005C0232">
        <w:rPr>
          <w:rFonts w:ascii="Times New Roman" w:hAnsi="Times New Roman" w:cs="Times New Roman"/>
          <w:sz w:val="24"/>
          <w:szCs w:val="24"/>
          <w:lang w:val="ru-RU"/>
        </w:rPr>
        <w:t>;</w:t>
      </w:r>
    </w:p>
    <w:p w14:paraId="3F5BB651" w14:textId="59E2DBAA" w:rsidR="00937CBF" w:rsidRPr="005C0232" w:rsidRDefault="00937CBF" w:rsidP="00937CBF">
      <w:pPr>
        <w:pStyle w:val="af3"/>
        <w:numPr>
          <w:ilvl w:val="0"/>
          <w:numId w:val="4"/>
        </w:numPr>
        <w:spacing w:after="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разработать рекомендации по созданию международных финансовых центров в</w:t>
      </w:r>
      <w:r w:rsidR="0077794A">
        <w:rPr>
          <w:rFonts w:ascii="Times New Roman" w:hAnsi="Times New Roman" w:cs="Times New Roman"/>
          <w:sz w:val="24"/>
          <w:szCs w:val="24"/>
          <w:lang w:val="ru-RU"/>
        </w:rPr>
        <w:t> </w:t>
      </w:r>
      <w:r w:rsidRPr="005C0232">
        <w:rPr>
          <w:rFonts w:ascii="Times New Roman" w:hAnsi="Times New Roman" w:cs="Times New Roman"/>
          <w:sz w:val="24"/>
          <w:szCs w:val="24"/>
          <w:lang w:val="ru-RU"/>
        </w:rPr>
        <w:t>России</w:t>
      </w:r>
      <w:r w:rsidR="00925A1F">
        <w:rPr>
          <w:rFonts w:ascii="Times New Roman" w:hAnsi="Times New Roman" w:cs="Times New Roman"/>
          <w:sz w:val="24"/>
          <w:szCs w:val="24"/>
          <w:lang w:val="ru-RU"/>
        </w:rPr>
        <w:t xml:space="preserve"> с учётом </w:t>
      </w:r>
      <w:r w:rsidR="0077794A">
        <w:rPr>
          <w:rFonts w:ascii="Times New Roman" w:hAnsi="Times New Roman" w:cs="Times New Roman"/>
          <w:sz w:val="24"/>
          <w:szCs w:val="24"/>
          <w:lang w:val="ru-RU"/>
        </w:rPr>
        <w:t xml:space="preserve">опыта реализации стратегий по развитию МФЦ в России и в Китае, а также применяя </w:t>
      </w:r>
      <w:r w:rsidR="00925A1F">
        <w:rPr>
          <w:rFonts w:ascii="Times New Roman" w:hAnsi="Times New Roman" w:cs="Times New Roman"/>
          <w:sz w:val="24"/>
          <w:szCs w:val="24"/>
          <w:lang w:val="ru-RU"/>
        </w:rPr>
        <w:t>концепци</w:t>
      </w:r>
      <w:r w:rsidR="0077794A">
        <w:rPr>
          <w:rFonts w:ascii="Times New Roman" w:hAnsi="Times New Roman" w:cs="Times New Roman"/>
          <w:sz w:val="24"/>
          <w:szCs w:val="24"/>
          <w:lang w:val="ru-RU"/>
        </w:rPr>
        <w:t>ю</w:t>
      </w:r>
      <w:r w:rsidR="00925A1F">
        <w:rPr>
          <w:rFonts w:ascii="Times New Roman" w:hAnsi="Times New Roman" w:cs="Times New Roman"/>
          <w:sz w:val="24"/>
          <w:szCs w:val="24"/>
          <w:lang w:val="ru-RU"/>
        </w:rPr>
        <w:t xml:space="preserve"> устойчивого развития</w:t>
      </w:r>
      <w:r w:rsidR="0042218D">
        <w:rPr>
          <w:rFonts w:ascii="Times New Roman" w:hAnsi="Times New Roman" w:cs="Times New Roman"/>
          <w:sz w:val="24"/>
          <w:szCs w:val="24"/>
          <w:lang w:val="ru-RU"/>
        </w:rPr>
        <w:t>.</w:t>
      </w:r>
    </w:p>
    <w:p w14:paraId="65ABC1CC" w14:textId="77777777" w:rsidR="00937CBF" w:rsidRPr="004E7E3E" w:rsidRDefault="00937CBF" w:rsidP="00937CBF">
      <w:pPr>
        <w:spacing w:after="0" w:line="360" w:lineRule="auto"/>
        <w:ind w:firstLine="709"/>
        <w:contextualSpacing/>
        <w:jc w:val="both"/>
        <w:rPr>
          <w:rFonts w:ascii="Times New Roman" w:hAnsi="Times New Roman" w:cs="Times New Roman"/>
          <w:color w:val="000000"/>
          <w:sz w:val="24"/>
          <w:szCs w:val="24"/>
          <w:shd w:val="clear" w:color="auto" w:fill="FFFFFF"/>
          <w:lang w:val="ru-RU" w:eastAsia="zh-CN"/>
        </w:rPr>
      </w:pPr>
      <w:r w:rsidRPr="004E7E3E">
        <w:rPr>
          <w:rFonts w:ascii="Times New Roman" w:hAnsi="Times New Roman" w:cs="Times New Roman"/>
          <w:b/>
          <w:color w:val="000000"/>
          <w:sz w:val="24"/>
          <w:szCs w:val="24"/>
          <w:shd w:val="clear" w:color="auto" w:fill="FFFFFF"/>
          <w:lang w:val="ru-RU"/>
        </w:rPr>
        <w:t>Теоретическую основу работы</w:t>
      </w:r>
      <w:r w:rsidRPr="004E7E3E">
        <w:rPr>
          <w:rFonts w:ascii="Times New Roman" w:hAnsi="Times New Roman" w:cs="Times New Roman"/>
          <w:color w:val="000000"/>
          <w:sz w:val="24"/>
          <w:szCs w:val="24"/>
          <w:shd w:val="clear" w:color="auto" w:fill="FFFFFF"/>
          <w:lang w:val="ru-RU"/>
        </w:rPr>
        <w:t xml:space="preserve"> составили аналитические выпуски рейтингов глобальных финансовых центров агентства</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Z</w:t>
      </w:r>
      <w:r w:rsidRPr="004E7E3E">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eastAsia="zh-CN"/>
        </w:rPr>
        <w:t>Yen</w:t>
      </w:r>
      <w:r w:rsidRPr="004E7E3E">
        <w:rPr>
          <w:rFonts w:ascii="Times New Roman" w:hAnsi="Times New Roman" w:cs="Times New Roman"/>
          <w:color w:val="000000"/>
          <w:sz w:val="24"/>
          <w:szCs w:val="24"/>
          <w:shd w:val="clear" w:color="auto" w:fill="FFFFFF"/>
          <w:lang w:val="ru-RU" w:eastAsia="zh-CN"/>
        </w:rPr>
        <w:t xml:space="preserve">, аналитические работы МФЦ в Москве, труды отечественных и зарубежных учёных по проблемам международных финансовых центров, мировых финансов, государственной финансовой политики и классиков институциональной и неоинституциональной школ. </w:t>
      </w:r>
    </w:p>
    <w:p w14:paraId="0936A127"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eastAsia="zh-CN"/>
        </w:rPr>
      </w:pPr>
      <w:r w:rsidRPr="004E7E3E">
        <w:rPr>
          <w:rFonts w:ascii="Times New Roman" w:hAnsi="Times New Roman" w:cs="Times New Roman"/>
          <w:b/>
          <w:color w:val="000000"/>
          <w:sz w:val="24"/>
          <w:szCs w:val="24"/>
          <w:shd w:val="clear" w:color="auto" w:fill="FFFFFF"/>
          <w:lang w:val="ru-RU"/>
        </w:rPr>
        <w:t xml:space="preserve">Методологическая основа исследования </w:t>
      </w:r>
      <w:r w:rsidRPr="004E7E3E">
        <w:rPr>
          <w:rFonts w:ascii="Times New Roman" w:hAnsi="Times New Roman" w:cs="Times New Roman"/>
          <w:color w:val="000000"/>
          <w:sz w:val="24"/>
          <w:szCs w:val="24"/>
          <w:shd w:val="clear" w:color="auto" w:fill="FFFFFF"/>
          <w:lang w:val="ru-RU"/>
        </w:rPr>
        <w:t xml:space="preserve">базировалась на сочетании абстрактно-логического </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статистико-экспериментальн</w:t>
      </w:r>
      <w:r>
        <w:rPr>
          <w:rFonts w:ascii="Times New Roman" w:hAnsi="Times New Roman" w:cs="Times New Roman"/>
          <w:color w:val="000000"/>
          <w:sz w:val="24"/>
          <w:szCs w:val="24"/>
          <w:shd w:val="clear" w:color="auto" w:fill="FFFFFF"/>
          <w:lang w:val="ru-RU"/>
        </w:rPr>
        <w:t>ого</w:t>
      </w:r>
      <w:r w:rsidRPr="004E7E3E">
        <w:rPr>
          <w:rFonts w:ascii="Times New Roman" w:hAnsi="Times New Roman" w:cs="Times New Roman"/>
          <w:color w:val="000000"/>
          <w:sz w:val="24"/>
          <w:szCs w:val="24"/>
          <w:shd w:val="clear" w:color="auto" w:fill="FFFFFF"/>
          <w:lang w:val="ru-RU"/>
        </w:rPr>
        <w:t xml:space="preserve"> подход</w:t>
      </w:r>
      <w:r>
        <w:rPr>
          <w:rFonts w:ascii="Times New Roman" w:hAnsi="Times New Roman" w:cs="Times New Roman"/>
          <w:color w:val="000000"/>
          <w:sz w:val="24"/>
          <w:szCs w:val="24"/>
          <w:shd w:val="clear" w:color="auto" w:fill="FFFFFF"/>
          <w:lang w:val="ru-RU"/>
        </w:rPr>
        <w:t>ов</w:t>
      </w:r>
      <w:r w:rsidRPr="004E7E3E">
        <w:rPr>
          <w:rFonts w:ascii="Times New Roman" w:hAnsi="Times New Roman" w:cs="Times New Roman"/>
          <w:color w:val="000000"/>
          <w:sz w:val="24"/>
          <w:szCs w:val="24"/>
          <w:shd w:val="clear" w:color="auto" w:fill="FFFFFF"/>
          <w:lang w:val="ru-RU"/>
        </w:rPr>
        <w:t>. Работа проводилась в рамках институциональной школы, основанной на трудах</w:t>
      </w:r>
      <w:r w:rsidRPr="004E7E3E">
        <w:rPr>
          <w:rFonts w:ascii="Times New Roman" w:hAnsi="Times New Roman" w:cs="Times New Roman"/>
          <w:sz w:val="24"/>
          <w:szCs w:val="24"/>
          <w:lang w:val="ru-RU" w:eastAsia="zh-CN"/>
        </w:rPr>
        <w:t xml:space="preserve"> классиков институционализма </w:t>
      </w:r>
      <w:r w:rsidRPr="004E7E3E">
        <w:rPr>
          <w:rFonts w:ascii="Times New Roman" w:hAnsi="Times New Roman" w:cs="Times New Roman"/>
          <w:color w:val="000000"/>
          <w:sz w:val="24"/>
          <w:szCs w:val="24"/>
          <w:shd w:val="clear" w:color="auto" w:fill="FFFFFF"/>
          <w:lang w:val="ru-RU"/>
        </w:rPr>
        <w:t>(Т. Б. Веблен, У. Хамильтон, Д. Р., Коммонс, У. К. Митчелл, Д. К. Гэлбрейт</w:t>
      </w:r>
      <w:r w:rsidRPr="004E7E3E">
        <w:rPr>
          <w:rFonts w:ascii="Times New Roman" w:hAnsi="Times New Roman" w:cs="Times New Roman"/>
          <w:sz w:val="24"/>
          <w:szCs w:val="24"/>
          <w:lang w:val="ru-RU" w:eastAsia="zh-CN"/>
        </w:rPr>
        <w:t xml:space="preserve">), неоинституционализма </w:t>
      </w:r>
      <w:r w:rsidRPr="004E7E3E">
        <w:rPr>
          <w:rFonts w:ascii="Times New Roman" w:hAnsi="Times New Roman" w:cs="Times New Roman"/>
          <w:color w:val="000000"/>
          <w:sz w:val="24"/>
          <w:szCs w:val="24"/>
          <w:shd w:val="clear" w:color="auto" w:fill="FFFFFF"/>
          <w:lang w:val="ru-RU"/>
        </w:rPr>
        <w:t>(Р. Коуз, Д. Норт, К. Эрроу, Г. Саймон, О. Уильямсон</w:t>
      </w:r>
      <w:r w:rsidRPr="004E7E3E">
        <w:rPr>
          <w:rFonts w:ascii="Times New Roman" w:hAnsi="Times New Roman" w:cs="Times New Roman"/>
          <w:sz w:val="24"/>
          <w:szCs w:val="24"/>
          <w:lang w:val="ru-RU" w:eastAsia="zh-CN"/>
        </w:rPr>
        <w:t>)</w:t>
      </w:r>
      <w:r>
        <w:rPr>
          <w:rFonts w:ascii="Times New Roman" w:hAnsi="Times New Roman" w:cs="Times New Roman"/>
          <w:sz w:val="24"/>
          <w:szCs w:val="24"/>
          <w:lang w:val="ru-RU" w:eastAsia="zh-CN"/>
        </w:rPr>
        <w:t>.</w:t>
      </w:r>
      <w:r w:rsidRPr="004E7E3E">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М</w:t>
      </w:r>
      <w:r w:rsidRPr="004E7E3E">
        <w:rPr>
          <w:rFonts w:ascii="Times New Roman" w:hAnsi="Times New Roman" w:cs="Times New Roman"/>
          <w:sz w:val="24"/>
          <w:szCs w:val="24"/>
          <w:lang w:val="ru-RU" w:eastAsia="zh-CN"/>
        </w:rPr>
        <w:t>етоды по решению проблемы на рынках с несимметричной информацией, к которым также относ</w:t>
      </w:r>
      <w:r>
        <w:rPr>
          <w:rFonts w:ascii="Times New Roman" w:hAnsi="Times New Roman" w:cs="Times New Roman"/>
          <w:sz w:val="24"/>
          <w:szCs w:val="24"/>
          <w:lang w:val="ru-RU" w:eastAsia="zh-CN"/>
        </w:rPr>
        <w:t>и</w:t>
      </w:r>
      <w:r w:rsidRPr="004E7E3E">
        <w:rPr>
          <w:rFonts w:ascii="Times New Roman" w:hAnsi="Times New Roman" w:cs="Times New Roman"/>
          <w:sz w:val="24"/>
          <w:szCs w:val="24"/>
          <w:lang w:val="ru-RU" w:eastAsia="zh-CN"/>
        </w:rPr>
        <w:t>тся мировой финансовый рынок в странах с формирующейся экономикой, проработан</w:t>
      </w:r>
      <w:r>
        <w:rPr>
          <w:rFonts w:ascii="Times New Roman" w:hAnsi="Times New Roman" w:cs="Times New Roman"/>
          <w:sz w:val="24"/>
          <w:szCs w:val="24"/>
          <w:lang w:val="ru-RU" w:eastAsia="zh-CN"/>
        </w:rPr>
        <w:t>ы</w:t>
      </w:r>
      <w:r w:rsidRPr="004E7E3E">
        <w:rPr>
          <w:rFonts w:ascii="Times New Roman" w:hAnsi="Times New Roman" w:cs="Times New Roman"/>
          <w:sz w:val="24"/>
          <w:szCs w:val="24"/>
          <w:lang w:val="ru-RU" w:eastAsia="zh-CN"/>
        </w:rPr>
        <w:t xml:space="preserve"> в </w:t>
      </w:r>
      <w:r>
        <w:rPr>
          <w:rFonts w:ascii="Times New Roman" w:hAnsi="Times New Roman" w:cs="Times New Roman"/>
          <w:sz w:val="24"/>
          <w:szCs w:val="24"/>
          <w:lang w:val="ru-RU" w:eastAsia="zh-CN"/>
        </w:rPr>
        <w:t>статьях</w:t>
      </w:r>
      <w:r w:rsidRPr="004E7E3E">
        <w:rPr>
          <w:rFonts w:ascii="Times New Roman" w:hAnsi="Times New Roman" w:cs="Times New Roman"/>
          <w:sz w:val="24"/>
          <w:szCs w:val="24"/>
          <w:lang w:val="ru-RU" w:eastAsia="zh-CN"/>
        </w:rPr>
        <w:t xml:space="preserve"> Дж. Акерлофа, Дж. Стиглица, М. Спенса</w:t>
      </w:r>
      <w:r>
        <w:rPr>
          <w:rFonts w:ascii="Times New Roman" w:hAnsi="Times New Roman" w:cs="Times New Roman"/>
          <w:sz w:val="24"/>
          <w:szCs w:val="24"/>
          <w:lang w:val="ru-RU" w:eastAsia="zh-CN"/>
        </w:rPr>
        <w:t>.</w:t>
      </w:r>
      <w:r w:rsidRPr="004E7E3E">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П</w:t>
      </w:r>
      <w:r w:rsidRPr="004E7E3E">
        <w:rPr>
          <w:rFonts w:ascii="Times New Roman" w:hAnsi="Times New Roman" w:cs="Times New Roman"/>
          <w:sz w:val="24"/>
          <w:szCs w:val="24"/>
          <w:lang w:val="ru-RU" w:eastAsia="zh-CN"/>
        </w:rPr>
        <w:t>роблемы глобализации и новых финансовых кризисов систематизирован</w:t>
      </w:r>
      <w:r>
        <w:rPr>
          <w:rFonts w:ascii="Times New Roman" w:hAnsi="Times New Roman" w:cs="Times New Roman"/>
          <w:sz w:val="24"/>
          <w:szCs w:val="24"/>
          <w:lang w:val="ru-RU" w:eastAsia="zh-CN"/>
        </w:rPr>
        <w:t>ы</w:t>
      </w:r>
      <w:r w:rsidRPr="004E7E3E">
        <w:rPr>
          <w:rFonts w:ascii="Times New Roman" w:hAnsi="Times New Roman" w:cs="Times New Roman"/>
          <w:sz w:val="24"/>
          <w:szCs w:val="24"/>
          <w:lang w:val="ru-RU" w:eastAsia="zh-CN"/>
        </w:rPr>
        <w:t xml:space="preserve"> в работах П. Кругмана. Концепция пространственного развития финансовой системы хорошо сочетается с идеей кластерного развития М. Портера. Основными методами </w:t>
      </w:r>
      <w:r>
        <w:rPr>
          <w:rFonts w:ascii="Times New Roman" w:hAnsi="Times New Roman" w:cs="Times New Roman"/>
          <w:sz w:val="24"/>
          <w:szCs w:val="24"/>
          <w:lang w:val="ru-RU" w:eastAsia="zh-CN"/>
        </w:rPr>
        <w:t xml:space="preserve">данного </w:t>
      </w:r>
      <w:r w:rsidRPr="004E7E3E">
        <w:rPr>
          <w:rFonts w:ascii="Times New Roman" w:hAnsi="Times New Roman" w:cs="Times New Roman"/>
          <w:sz w:val="24"/>
          <w:szCs w:val="24"/>
          <w:lang w:val="ru-RU" w:eastAsia="zh-CN"/>
        </w:rPr>
        <w:t xml:space="preserve">исследования были: </w:t>
      </w:r>
      <w:r w:rsidRPr="004E7E3E">
        <w:rPr>
          <w:rFonts w:ascii="Times New Roman" w:hAnsi="Times New Roman" w:cs="Times New Roman"/>
          <w:color w:val="000000"/>
          <w:sz w:val="24"/>
          <w:szCs w:val="24"/>
          <w:shd w:val="clear" w:color="auto" w:fill="FFFFFF"/>
          <w:lang w:val="ru-RU"/>
        </w:rPr>
        <w:t>сравнительный метод, метод статистического анализа, количественный метод определения степени корреляции ряда экономических показателей</w:t>
      </w:r>
      <w:r w:rsidRPr="004E7E3E">
        <w:rPr>
          <w:rFonts w:ascii="Times New Roman" w:hAnsi="Times New Roman" w:cs="Times New Roman"/>
          <w:color w:val="000000"/>
          <w:sz w:val="24"/>
          <w:szCs w:val="24"/>
          <w:shd w:val="clear" w:color="auto" w:fill="FFFFFF"/>
          <w:lang w:val="ru-RU" w:eastAsia="zh-CN"/>
        </w:rPr>
        <w:t>. Для решения поставленных задач важное значение имело использование описательно-сравнительного метода, нормативно-институционального подхода и метод</w:t>
      </w:r>
      <w:r>
        <w:rPr>
          <w:rFonts w:ascii="Times New Roman" w:hAnsi="Times New Roman" w:cs="Times New Roman"/>
          <w:color w:val="000000"/>
          <w:sz w:val="24"/>
          <w:szCs w:val="24"/>
          <w:shd w:val="clear" w:color="auto" w:fill="FFFFFF"/>
          <w:lang w:val="ru-RU" w:eastAsia="zh-CN"/>
        </w:rPr>
        <w:t>а</w:t>
      </w:r>
      <w:r w:rsidRPr="004E7E3E">
        <w:rPr>
          <w:rFonts w:ascii="Times New Roman" w:hAnsi="Times New Roman" w:cs="Times New Roman"/>
          <w:color w:val="000000"/>
          <w:sz w:val="24"/>
          <w:szCs w:val="24"/>
          <w:shd w:val="clear" w:color="auto" w:fill="FFFFFF"/>
          <w:lang w:val="ru-RU" w:eastAsia="zh-CN"/>
        </w:rPr>
        <w:t xml:space="preserve"> кейс-стади, иными словами, изучение отдельных случаев с выявлением сравнительных и типологических аспектов</w:t>
      </w:r>
      <w:r>
        <w:rPr>
          <w:rFonts w:ascii="Times New Roman" w:hAnsi="Times New Roman" w:cs="Times New Roman"/>
          <w:color w:val="000000"/>
          <w:sz w:val="24"/>
          <w:szCs w:val="24"/>
          <w:shd w:val="clear" w:color="auto" w:fill="FFFFFF"/>
          <w:lang w:val="ru-RU" w:eastAsia="zh-CN"/>
        </w:rPr>
        <w:t>. Также нами</w:t>
      </w:r>
      <w:r w:rsidRPr="004E7E3E">
        <w:rPr>
          <w:rFonts w:ascii="Times New Roman" w:hAnsi="Times New Roman" w:cs="Times New Roman"/>
          <w:color w:val="000000"/>
          <w:sz w:val="24"/>
          <w:szCs w:val="24"/>
          <w:shd w:val="clear" w:color="auto" w:fill="FFFFFF"/>
          <w:lang w:val="ru-RU" w:eastAsia="zh-CN"/>
        </w:rPr>
        <w:t xml:space="preserve"> использовались графические, табличные и схематические методы интерпретации рассматриваемых процессов и явлений. </w:t>
      </w:r>
    </w:p>
    <w:p w14:paraId="0FD11A2E" w14:textId="0E2125E1"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 xml:space="preserve">Информационную базу исследования </w:t>
      </w:r>
      <w:r w:rsidRPr="004E7E3E">
        <w:rPr>
          <w:rFonts w:ascii="Times New Roman" w:hAnsi="Times New Roman" w:cs="Times New Roman"/>
          <w:color w:val="000000"/>
          <w:sz w:val="24"/>
          <w:szCs w:val="24"/>
          <w:shd w:val="clear" w:color="auto" w:fill="FFFFFF"/>
          <w:lang w:val="ru-RU"/>
        </w:rPr>
        <w:t xml:space="preserve">составили данные статистических сборников Росстата, его территориальных управлений в Москве, Санкт-Петербурге и Севастополе, Всемирного банка, Международного банка расчётов, Организации экономического сотрудничества и развития, Организации объединённых наций и её программ (ООН-Хабитат, ПРООН), данные Всемирной ассоциации бирж, Московской биржи, </w:t>
      </w:r>
      <w:r w:rsidRPr="004E7E3E">
        <w:rPr>
          <w:rFonts w:ascii="Times New Roman" w:hAnsi="Times New Roman" w:cs="Times New Roman"/>
          <w:sz w:val="24"/>
          <w:szCs w:val="24"/>
          <w:lang w:val="ru-RU"/>
        </w:rPr>
        <w:t>Национальной ассоциации участников фондового рынка (НАУФОР)</w:t>
      </w:r>
      <w:r w:rsidRPr="004E7E3E">
        <w:rPr>
          <w:rFonts w:ascii="Times New Roman" w:hAnsi="Times New Roman" w:cs="Times New Roman"/>
          <w:color w:val="000000"/>
          <w:sz w:val="24"/>
          <w:szCs w:val="24"/>
          <w:shd w:val="clear" w:color="auto" w:fill="FFFFFF"/>
          <w:lang w:val="ru-RU"/>
        </w:rPr>
        <w:t xml:space="preserve">, рейтинги аналитических агентств и международных </w:t>
      </w:r>
      <w:r w:rsidRPr="004E7E3E">
        <w:rPr>
          <w:rFonts w:ascii="Times New Roman" w:hAnsi="Times New Roman" w:cs="Times New Roman"/>
          <w:color w:val="000000"/>
          <w:sz w:val="24"/>
          <w:szCs w:val="24"/>
          <w:shd w:val="clear" w:color="auto" w:fill="FFFFFF"/>
          <w:lang w:val="ru-RU"/>
        </w:rPr>
        <w:lastRenderedPageBreak/>
        <w:t>организаций (Всемирного банка, Европейской ипотечной федерации и рейтинг доступности кредитов для населения по регионам России РИА Рейтинг), материалы отечественной и зарубежной периодической печати (РИА Новости, ИТАР-ТАСС, РБК, Коммерсант и пр.) комментари</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экспертов, собранны</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на официальном сайте международного финансового центра в Москве – </w:t>
      </w:r>
      <w:hyperlink r:id="rId10" w:tooltip="http://www.mfc-moscow.com" w:history="1">
        <w:r w:rsidRPr="006257AB">
          <w:rPr>
            <w:rStyle w:val="a9"/>
            <w:rFonts w:ascii="Times New Roman" w:hAnsi="Times New Roman" w:cs="Times New Roman"/>
            <w:color w:val="000000" w:themeColor="text1"/>
            <w:sz w:val="24"/>
            <w:szCs w:val="24"/>
            <w:u w:val="none"/>
            <w:lang w:eastAsia="zh-CN"/>
          </w:rPr>
          <w:t>www</w:t>
        </w:r>
        <w:r w:rsidRPr="006257AB">
          <w:rPr>
            <w:rStyle w:val="a9"/>
            <w:rFonts w:ascii="Times New Roman" w:hAnsi="Times New Roman" w:cs="Times New Roman"/>
            <w:color w:val="000000" w:themeColor="text1"/>
            <w:sz w:val="24"/>
            <w:szCs w:val="24"/>
            <w:u w:val="none"/>
            <w:lang w:val="ru-RU" w:eastAsia="zh-CN"/>
          </w:rPr>
          <w:t>.</w:t>
        </w:r>
        <w:r w:rsidRPr="006257AB">
          <w:rPr>
            <w:rStyle w:val="a9"/>
            <w:rFonts w:ascii="Times New Roman" w:hAnsi="Times New Roman" w:cs="Times New Roman"/>
            <w:color w:val="000000" w:themeColor="text1"/>
            <w:sz w:val="24"/>
            <w:szCs w:val="24"/>
            <w:u w:val="none"/>
            <w:lang w:eastAsia="zh-CN"/>
          </w:rPr>
          <w:t>mfc</w:t>
        </w:r>
        <w:r w:rsidRPr="006257AB">
          <w:rPr>
            <w:rStyle w:val="a9"/>
            <w:rFonts w:ascii="Times New Roman" w:hAnsi="Times New Roman" w:cs="Times New Roman"/>
            <w:color w:val="000000" w:themeColor="text1"/>
            <w:sz w:val="24"/>
            <w:szCs w:val="24"/>
            <w:u w:val="none"/>
            <w:lang w:val="ru-RU" w:eastAsia="zh-CN"/>
          </w:rPr>
          <w:t>-</w:t>
        </w:r>
        <w:r w:rsidRPr="006257AB">
          <w:rPr>
            <w:rStyle w:val="a9"/>
            <w:rFonts w:ascii="Times New Roman" w:hAnsi="Times New Roman" w:cs="Times New Roman"/>
            <w:color w:val="000000" w:themeColor="text1"/>
            <w:sz w:val="24"/>
            <w:szCs w:val="24"/>
            <w:u w:val="none"/>
            <w:lang w:eastAsia="zh-CN"/>
          </w:rPr>
          <w:t>moscow</w:t>
        </w:r>
        <w:r w:rsidRPr="006257AB">
          <w:rPr>
            <w:rStyle w:val="a9"/>
            <w:rFonts w:ascii="Times New Roman" w:hAnsi="Times New Roman" w:cs="Times New Roman"/>
            <w:color w:val="000000" w:themeColor="text1"/>
            <w:sz w:val="24"/>
            <w:szCs w:val="24"/>
            <w:u w:val="none"/>
            <w:lang w:val="ru-RU" w:eastAsia="zh-CN"/>
          </w:rPr>
          <w:t>.</w:t>
        </w:r>
        <w:r w:rsidRPr="006257AB">
          <w:rPr>
            <w:rStyle w:val="a9"/>
            <w:rFonts w:ascii="Times New Roman" w:hAnsi="Times New Roman" w:cs="Times New Roman"/>
            <w:color w:val="000000" w:themeColor="text1"/>
            <w:sz w:val="24"/>
            <w:szCs w:val="24"/>
            <w:u w:val="none"/>
            <w:lang w:eastAsia="zh-CN"/>
          </w:rPr>
          <w:t>com</w:t>
        </w:r>
      </w:hyperlink>
      <w:r w:rsidRPr="006257AB">
        <w:rPr>
          <w:rFonts w:ascii="Times New Roman" w:hAnsi="Times New Roman" w:cs="Times New Roman"/>
          <w:color w:val="000000" w:themeColor="text1"/>
          <w:sz w:val="24"/>
          <w:szCs w:val="24"/>
          <w:shd w:val="clear" w:color="auto" w:fill="FFFFFF"/>
          <w:lang w:val="ru-RU"/>
        </w:rPr>
        <w:t>, монографии</w:t>
      </w:r>
      <w:r w:rsidRPr="004E7E3E">
        <w:rPr>
          <w:rFonts w:ascii="Times New Roman" w:hAnsi="Times New Roman" w:cs="Times New Roman"/>
          <w:color w:val="000000"/>
          <w:sz w:val="24"/>
          <w:szCs w:val="24"/>
          <w:shd w:val="clear" w:color="auto" w:fill="FFFFFF"/>
          <w:lang w:val="ru-RU"/>
        </w:rPr>
        <w:t xml:space="preserve">, официальные документы, законодательные и нормативные акты РФ, ресурсы сети Интернет, компетентные мнения, интервью ведущих специалистов в данной области. </w:t>
      </w:r>
    </w:p>
    <w:p w14:paraId="63E61559"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eastAsia="zh-CN"/>
        </w:rPr>
      </w:pPr>
      <w:r w:rsidRPr="004E7E3E">
        <w:rPr>
          <w:rFonts w:ascii="Times New Roman" w:hAnsi="Times New Roman" w:cs="Times New Roman"/>
          <w:b/>
          <w:sz w:val="24"/>
          <w:szCs w:val="24"/>
          <w:lang w:val="ru-RU" w:eastAsia="zh-CN"/>
        </w:rPr>
        <w:t xml:space="preserve">Обоснованность и достоверность результатов исследования </w:t>
      </w:r>
      <w:r w:rsidRPr="004E7E3E">
        <w:rPr>
          <w:rFonts w:ascii="Times New Roman" w:hAnsi="Times New Roman" w:cs="Times New Roman"/>
          <w:sz w:val="24"/>
          <w:szCs w:val="24"/>
          <w:lang w:val="ru-RU" w:eastAsia="zh-CN"/>
        </w:rPr>
        <w:t>обеспечивается использованием фундаментальных научных трудов отечественных и зарубежных учёных, посвященных проблемам института международных финансовых центров; использованием как качественных, так и количественных исследовательских практик; вынесением результатов исследования на обсуждение экспертному сообществу в ходе публикаций статей в научных рецензируемых изданиях и личных бесед с экспертами, а также выступлени</w:t>
      </w:r>
      <w:r>
        <w:rPr>
          <w:rFonts w:ascii="Times New Roman" w:hAnsi="Times New Roman" w:cs="Times New Roman"/>
          <w:sz w:val="24"/>
          <w:szCs w:val="24"/>
          <w:lang w:val="ru-RU" w:eastAsia="zh-CN"/>
        </w:rPr>
        <w:t>й</w:t>
      </w:r>
      <w:r w:rsidRPr="004E7E3E">
        <w:rPr>
          <w:rFonts w:ascii="Times New Roman" w:hAnsi="Times New Roman" w:cs="Times New Roman"/>
          <w:sz w:val="24"/>
          <w:szCs w:val="24"/>
          <w:lang w:val="ru-RU" w:eastAsia="zh-CN"/>
        </w:rPr>
        <w:t xml:space="preserve"> с докладами на научно-практических конференциях. </w:t>
      </w:r>
    </w:p>
    <w:p w14:paraId="0CCDF1D8"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eastAsia="zh-CN"/>
        </w:rPr>
      </w:pPr>
      <w:r w:rsidRPr="004E7E3E">
        <w:rPr>
          <w:rFonts w:ascii="Times New Roman" w:hAnsi="Times New Roman" w:cs="Times New Roman"/>
          <w:b/>
          <w:sz w:val="24"/>
          <w:szCs w:val="24"/>
          <w:lang w:val="ru-RU" w:eastAsia="zh-CN"/>
        </w:rPr>
        <w:t xml:space="preserve">Соответствие диссертации паспорту научных специальностей. </w:t>
      </w:r>
      <w:r w:rsidRPr="004E7E3E">
        <w:rPr>
          <w:rFonts w:ascii="Times New Roman" w:hAnsi="Times New Roman" w:cs="Times New Roman"/>
          <w:sz w:val="24"/>
          <w:szCs w:val="24"/>
          <w:lang w:val="ru-RU" w:eastAsia="zh-CN"/>
        </w:rPr>
        <w:t>Область исследования соответствует следующим пунктам Паспорта специальностей ВАК</w:t>
      </w:r>
      <w:r>
        <w:rPr>
          <w:rFonts w:ascii="Times New Roman" w:hAnsi="Times New Roman" w:cs="Times New Roman"/>
          <w:sz w:val="24"/>
          <w:szCs w:val="24"/>
          <w:lang w:val="ru-RU" w:eastAsia="zh-CN"/>
        </w:rPr>
        <w:t>:</w:t>
      </w:r>
      <w:r w:rsidRPr="004E7E3E">
        <w:rPr>
          <w:rFonts w:ascii="Times New Roman" w:hAnsi="Times New Roman" w:cs="Times New Roman"/>
          <w:sz w:val="24"/>
          <w:szCs w:val="24"/>
          <w:lang w:val="ru-RU" w:eastAsia="zh-CN"/>
        </w:rPr>
        <w:t xml:space="preserve"> 08.00.10 – Финансы, денежное обращение и кредит: </w:t>
      </w:r>
      <w:r w:rsidRPr="004E7E3E">
        <w:rPr>
          <w:rFonts w:ascii="Times New Roman" w:hAnsi="Times New Roman" w:cs="Times New Roman"/>
          <w:sz w:val="24"/>
          <w:szCs w:val="24"/>
          <w:lang w:val="ru-RU"/>
        </w:rPr>
        <w:t xml:space="preserve">пп. 1.5. </w:t>
      </w:r>
      <w:r w:rsidRPr="004E7E3E">
        <w:rPr>
          <w:rFonts w:ascii="Times New Roman" w:hAnsi="Times New Roman" w:cs="Times New Roman"/>
          <w:color w:val="000000"/>
          <w:sz w:val="24"/>
          <w:szCs w:val="24"/>
          <w:lang w:val="ru-RU"/>
        </w:rPr>
        <w:t>Институциональные аспекты финансовой системы</w:t>
      </w:r>
      <w:r w:rsidRPr="004E7E3E">
        <w:rPr>
          <w:rFonts w:ascii="Times New Roman" w:hAnsi="Times New Roman" w:cs="Times New Roman"/>
          <w:sz w:val="24"/>
          <w:szCs w:val="24"/>
          <w:lang w:val="ru-RU"/>
        </w:rPr>
        <w:t xml:space="preserve">; пп. 1.6. </w:t>
      </w:r>
      <w:r w:rsidRPr="004E7E3E">
        <w:rPr>
          <w:rFonts w:ascii="Times New Roman" w:hAnsi="Times New Roman" w:cs="Times New Roman"/>
          <w:color w:val="000000"/>
          <w:sz w:val="24"/>
          <w:szCs w:val="24"/>
          <w:lang w:val="ru-RU"/>
        </w:rPr>
        <w:t xml:space="preserve">Развитие региональной финансовой системы, ее отличительные особенности, проблемы интеграции в национальную и международную финансовые системы. </w:t>
      </w:r>
    </w:p>
    <w:p w14:paraId="3D1818FC" w14:textId="35ADC74F" w:rsidR="004D0166" w:rsidRDefault="00937CBF" w:rsidP="004D0166">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b/>
          <w:bCs/>
          <w:sz w:val="24"/>
          <w:szCs w:val="24"/>
          <w:lang w:val="ru-RU"/>
        </w:rPr>
        <w:t xml:space="preserve">Научная новизна исследования </w:t>
      </w:r>
      <w:r w:rsidR="004D0166" w:rsidRPr="004E7E3E">
        <w:rPr>
          <w:rFonts w:ascii="Times New Roman" w:hAnsi="Times New Roman" w:cs="Times New Roman"/>
          <w:sz w:val="24"/>
          <w:szCs w:val="24"/>
          <w:lang w:val="ru-RU"/>
        </w:rPr>
        <w:t xml:space="preserve">заключается в </w:t>
      </w:r>
      <w:r w:rsidR="001413CE">
        <w:rPr>
          <w:rFonts w:ascii="Times New Roman" w:hAnsi="Times New Roman" w:cs="Times New Roman"/>
          <w:sz w:val="24"/>
          <w:szCs w:val="24"/>
          <w:lang w:val="ru-RU"/>
        </w:rPr>
        <w:t xml:space="preserve">конкретизации и дополнении </w:t>
      </w:r>
      <w:r w:rsidR="004D0166">
        <w:rPr>
          <w:rFonts w:ascii="Times New Roman" w:hAnsi="Times New Roman" w:cs="Times New Roman"/>
          <w:sz w:val="24"/>
          <w:szCs w:val="24"/>
          <w:lang w:val="ru-RU"/>
        </w:rPr>
        <w:t>теоретико-методических</w:t>
      </w:r>
      <w:r w:rsidR="004D0166" w:rsidRPr="004E7E3E">
        <w:rPr>
          <w:rFonts w:ascii="Times New Roman" w:hAnsi="Times New Roman" w:cs="Times New Roman"/>
          <w:sz w:val="24"/>
          <w:szCs w:val="24"/>
          <w:lang w:val="ru-RU"/>
        </w:rPr>
        <w:t xml:space="preserve"> подход</w:t>
      </w:r>
      <w:r w:rsidR="004D0166">
        <w:rPr>
          <w:rFonts w:ascii="Times New Roman" w:hAnsi="Times New Roman" w:cs="Times New Roman"/>
          <w:sz w:val="24"/>
          <w:szCs w:val="24"/>
          <w:lang w:val="ru-RU"/>
        </w:rPr>
        <w:t>ов</w:t>
      </w:r>
      <w:r w:rsidR="004D0166" w:rsidRPr="004E7E3E">
        <w:rPr>
          <w:rFonts w:ascii="Times New Roman" w:hAnsi="Times New Roman" w:cs="Times New Roman"/>
          <w:sz w:val="24"/>
          <w:szCs w:val="24"/>
          <w:lang w:val="ru-RU"/>
        </w:rPr>
        <w:t xml:space="preserve"> к исследованию </w:t>
      </w:r>
      <w:r w:rsidR="004D0166">
        <w:rPr>
          <w:rFonts w:ascii="Times New Roman" w:hAnsi="Times New Roman" w:cs="Times New Roman"/>
          <w:sz w:val="24"/>
          <w:szCs w:val="24"/>
          <w:lang w:val="ru-RU"/>
        </w:rPr>
        <w:t xml:space="preserve">и оценке </w:t>
      </w:r>
      <w:r w:rsidR="004D0166" w:rsidRPr="004E7E3E">
        <w:rPr>
          <w:rFonts w:ascii="Times New Roman" w:hAnsi="Times New Roman" w:cs="Times New Roman"/>
          <w:sz w:val="24"/>
          <w:szCs w:val="24"/>
          <w:lang w:val="ru-RU"/>
        </w:rPr>
        <w:t xml:space="preserve">международных финансовых центров </w:t>
      </w:r>
      <w:r w:rsidR="004D0166">
        <w:rPr>
          <w:rFonts w:ascii="Times New Roman" w:hAnsi="Times New Roman" w:cs="Times New Roman"/>
          <w:sz w:val="24"/>
          <w:szCs w:val="24"/>
          <w:lang w:val="ru-RU"/>
        </w:rPr>
        <w:t>как</w:t>
      </w:r>
      <w:r w:rsidR="004D0166" w:rsidRPr="005C0232">
        <w:rPr>
          <w:rFonts w:ascii="Times New Roman" w:hAnsi="Times New Roman" w:cs="Times New Roman"/>
          <w:sz w:val="24"/>
          <w:szCs w:val="24"/>
          <w:lang w:val="ru-RU"/>
        </w:rPr>
        <w:t xml:space="preserve"> </w:t>
      </w:r>
      <w:r w:rsidR="004D0166">
        <w:rPr>
          <w:rFonts w:ascii="Times New Roman" w:hAnsi="Times New Roman" w:cs="Times New Roman"/>
          <w:sz w:val="24"/>
          <w:szCs w:val="24"/>
          <w:lang w:val="ru-RU"/>
        </w:rPr>
        <w:t>городского кластера финансовых услуг, что позволило выявить</w:t>
      </w:r>
      <w:r w:rsidR="004D0166" w:rsidRPr="005C0232">
        <w:rPr>
          <w:rFonts w:ascii="Times New Roman" w:hAnsi="Times New Roman" w:cs="Times New Roman"/>
          <w:sz w:val="24"/>
          <w:szCs w:val="24"/>
          <w:lang w:val="ru-RU"/>
        </w:rPr>
        <w:t xml:space="preserve"> факторы успеха</w:t>
      </w:r>
      <w:r w:rsidR="004D0166">
        <w:rPr>
          <w:rFonts w:ascii="Times New Roman" w:hAnsi="Times New Roman" w:cs="Times New Roman"/>
          <w:sz w:val="24"/>
          <w:szCs w:val="24"/>
          <w:lang w:val="ru-RU"/>
        </w:rPr>
        <w:t xml:space="preserve"> </w:t>
      </w:r>
      <w:r w:rsidR="001413CE">
        <w:rPr>
          <w:rFonts w:ascii="Times New Roman" w:hAnsi="Times New Roman" w:cs="Times New Roman"/>
          <w:sz w:val="24"/>
          <w:szCs w:val="24"/>
          <w:lang w:val="ru-RU"/>
        </w:rPr>
        <w:t>в реализации стратегии развития института МФЦ на базе</w:t>
      </w:r>
      <w:r w:rsidR="004D0166" w:rsidRPr="005C0232">
        <w:rPr>
          <w:rFonts w:ascii="Times New Roman" w:hAnsi="Times New Roman" w:cs="Times New Roman"/>
          <w:sz w:val="24"/>
          <w:szCs w:val="24"/>
          <w:lang w:val="ru-RU"/>
        </w:rPr>
        <w:t xml:space="preserve"> </w:t>
      </w:r>
      <w:r w:rsidR="004D0166">
        <w:rPr>
          <w:rFonts w:ascii="Times New Roman" w:hAnsi="Times New Roman" w:cs="Times New Roman"/>
          <w:sz w:val="24"/>
          <w:szCs w:val="24"/>
          <w:lang w:val="ru-RU"/>
        </w:rPr>
        <w:t>отдельных городов в странах с формирующимся рынком</w:t>
      </w:r>
      <w:r w:rsidR="004D0166" w:rsidRPr="005C0232">
        <w:rPr>
          <w:rFonts w:ascii="Times New Roman" w:hAnsi="Times New Roman" w:cs="Times New Roman"/>
          <w:sz w:val="24"/>
          <w:szCs w:val="24"/>
          <w:lang w:val="ru-RU"/>
        </w:rPr>
        <w:t>.</w:t>
      </w:r>
    </w:p>
    <w:p w14:paraId="664FA048" w14:textId="50600B9B" w:rsidR="0018636D" w:rsidRPr="0018636D" w:rsidRDefault="00937CBF" w:rsidP="0018636D">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Наиболее значимые результаты исследования, полученные лично автором, обладающие научной новизной и выносимые на защиту, представлены в следующих положениях:</w:t>
      </w:r>
      <w:bookmarkStart w:id="3" w:name="_Hlk136425191"/>
    </w:p>
    <w:p w14:paraId="1139164C" w14:textId="41103547" w:rsidR="0018636D" w:rsidRPr="0018636D" w:rsidRDefault="00BF3C2E" w:rsidP="00BF3C2E">
      <w:pPr>
        <w:pStyle w:val="af3"/>
        <w:numPr>
          <w:ilvl w:val="0"/>
          <w:numId w:val="7"/>
        </w:numPr>
        <w:tabs>
          <w:tab w:val="left" w:pos="1134"/>
        </w:tabs>
        <w:spacing w:after="0" w:line="36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Обобщены</w:t>
      </w:r>
      <w:r w:rsidR="0077794A" w:rsidRPr="0018636D">
        <w:rPr>
          <w:rFonts w:ascii="Times New Roman" w:hAnsi="Times New Roman" w:cs="Times New Roman"/>
          <w:sz w:val="24"/>
          <w:szCs w:val="24"/>
          <w:lang w:val="ru-RU"/>
        </w:rPr>
        <w:t xml:space="preserve"> трактовк</w:t>
      </w:r>
      <w:r>
        <w:rPr>
          <w:rFonts w:ascii="Times New Roman" w:hAnsi="Times New Roman" w:cs="Times New Roman"/>
          <w:sz w:val="24"/>
          <w:szCs w:val="24"/>
          <w:lang w:val="ru-RU"/>
        </w:rPr>
        <w:t>и</w:t>
      </w:r>
      <w:r w:rsidR="0077794A" w:rsidRPr="0018636D">
        <w:rPr>
          <w:rFonts w:ascii="Times New Roman" w:hAnsi="Times New Roman" w:cs="Times New Roman"/>
          <w:sz w:val="24"/>
          <w:szCs w:val="24"/>
          <w:lang w:val="ru-RU"/>
        </w:rPr>
        <w:t xml:space="preserve"> категории «международный финансовый центр», </w:t>
      </w:r>
      <w:r>
        <w:rPr>
          <w:rFonts w:ascii="Times New Roman" w:hAnsi="Times New Roman" w:cs="Times New Roman"/>
          <w:sz w:val="24"/>
          <w:szCs w:val="24"/>
          <w:lang w:val="ru-RU"/>
        </w:rPr>
        <w:t>охарактеризован генезис</w:t>
      </w:r>
      <w:r w:rsidR="0077794A" w:rsidRPr="0018636D">
        <w:rPr>
          <w:rFonts w:ascii="Times New Roman" w:hAnsi="Times New Roman" w:cs="Times New Roman"/>
          <w:sz w:val="24"/>
          <w:szCs w:val="24"/>
          <w:lang w:val="ru-RU"/>
        </w:rPr>
        <w:t xml:space="preserve"> данного института, дана комплексная оценка наиболее популярных классификаций и рейтингов МФЦ, </w:t>
      </w:r>
      <w:r>
        <w:rPr>
          <w:rFonts w:ascii="Times New Roman" w:hAnsi="Times New Roman" w:cs="Times New Roman"/>
          <w:sz w:val="24"/>
          <w:szCs w:val="24"/>
          <w:lang w:val="ru-RU"/>
        </w:rPr>
        <w:t xml:space="preserve">что позволило выявить особую роль </w:t>
      </w:r>
      <w:r w:rsidR="0077794A" w:rsidRPr="0018636D">
        <w:rPr>
          <w:rFonts w:ascii="Times New Roman" w:hAnsi="Times New Roman" w:cs="Times New Roman"/>
          <w:sz w:val="24"/>
          <w:szCs w:val="24"/>
          <w:lang w:val="ru-RU"/>
        </w:rPr>
        <w:t>офшорных центров</w:t>
      </w:r>
      <w:r>
        <w:rPr>
          <w:rFonts w:ascii="Times New Roman" w:hAnsi="Times New Roman" w:cs="Times New Roman"/>
          <w:sz w:val="24"/>
          <w:szCs w:val="24"/>
          <w:lang w:val="ru-RU"/>
        </w:rPr>
        <w:t xml:space="preserve"> </w:t>
      </w:r>
      <w:r w:rsidR="0077794A" w:rsidRPr="0018636D">
        <w:rPr>
          <w:rFonts w:ascii="Times New Roman" w:hAnsi="Times New Roman" w:cs="Times New Roman"/>
          <w:sz w:val="24"/>
          <w:szCs w:val="24"/>
          <w:lang w:val="ru-RU"/>
        </w:rPr>
        <w:t xml:space="preserve">роль в странах с формирующимся рынком. </w:t>
      </w:r>
      <w:r>
        <w:rPr>
          <w:rFonts w:ascii="Times New Roman" w:hAnsi="Times New Roman" w:cs="Times New Roman"/>
          <w:sz w:val="24"/>
          <w:szCs w:val="24"/>
          <w:lang w:val="ru-RU"/>
        </w:rPr>
        <w:t>Данные центры</w:t>
      </w:r>
      <w:r w:rsidR="0077794A" w:rsidRPr="0018636D">
        <w:rPr>
          <w:rFonts w:ascii="Times New Roman" w:hAnsi="Times New Roman" w:cs="Times New Roman"/>
          <w:sz w:val="24"/>
          <w:szCs w:val="24"/>
          <w:lang w:val="ru-RU"/>
        </w:rPr>
        <w:t xml:space="preserve"> образуют буфер для импорта и экспорта капитал</w:t>
      </w:r>
      <w:r w:rsidR="000537C1">
        <w:rPr>
          <w:rFonts w:ascii="Times New Roman" w:hAnsi="Times New Roman" w:cs="Times New Roman"/>
          <w:sz w:val="24"/>
          <w:szCs w:val="24"/>
          <w:lang w:val="ru-RU"/>
        </w:rPr>
        <w:t>а</w:t>
      </w:r>
      <w:r w:rsidR="0077794A" w:rsidRPr="0018636D">
        <w:rPr>
          <w:rFonts w:ascii="Times New Roman" w:hAnsi="Times New Roman" w:cs="Times New Roman"/>
          <w:sz w:val="24"/>
          <w:szCs w:val="24"/>
          <w:lang w:val="ru-RU"/>
        </w:rPr>
        <w:t xml:space="preserve"> в эти страны, создавая «ловушку» развития их национальных центров. </w:t>
      </w:r>
    </w:p>
    <w:p w14:paraId="7EF6BC30" w14:textId="24958172" w:rsidR="0018636D" w:rsidRDefault="0077794A" w:rsidP="0018636D">
      <w:pPr>
        <w:pStyle w:val="af3"/>
        <w:numPr>
          <w:ilvl w:val="0"/>
          <w:numId w:val="7"/>
        </w:numPr>
        <w:tabs>
          <w:tab w:val="left" w:pos="1134"/>
        </w:tabs>
        <w:spacing w:after="0" w:line="360" w:lineRule="auto"/>
        <w:ind w:left="0" w:firstLine="709"/>
        <w:jc w:val="both"/>
        <w:rPr>
          <w:rFonts w:ascii="Times New Roman" w:hAnsi="Times New Roman" w:cs="Times New Roman"/>
          <w:sz w:val="24"/>
          <w:szCs w:val="24"/>
          <w:lang w:val="ru-RU"/>
        </w:rPr>
      </w:pPr>
      <w:r w:rsidRPr="0018636D">
        <w:rPr>
          <w:rFonts w:ascii="Times New Roman" w:hAnsi="Times New Roman" w:cs="Times New Roman"/>
          <w:sz w:val="24"/>
          <w:szCs w:val="24"/>
          <w:lang w:val="ru-RU"/>
        </w:rPr>
        <w:t xml:space="preserve">Предложены варианты оценки успехов развития МФЦ с фокусом на официальные статистические показатели. Доказано с помощью количественных и качественных методов, что </w:t>
      </w:r>
      <w:r w:rsidRPr="0018636D">
        <w:rPr>
          <w:rFonts w:ascii="Times New Roman" w:hAnsi="Times New Roman" w:cs="Times New Roman"/>
          <w:sz w:val="24"/>
          <w:szCs w:val="24"/>
          <w:lang w:val="ru-RU"/>
        </w:rPr>
        <w:lastRenderedPageBreak/>
        <w:t xml:space="preserve">существование МФЦ </w:t>
      </w:r>
      <w:r w:rsidR="00466C15">
        <w:rPr>
          <w:rFonts w:ascii="Times New Roman" w:hAnsi="Times New Roman" w:cs="Times New Roman"/>
          <w:sz w:val="24"/>
          <w:szCs w:val="24"/>
          <w:lang w:val="ru-RU"/>
        </w:rPr>
        <w:t>напрямую</w:t>
      </w:r>
      <w:r w:rsidRPr="0018636D">
        <w:rPr>
          <w:rFonts w:ascii="Times New Roman" w:hAnsi="Times New Roman" w:cs="Times New Roman"/>
          <w:sz w:val="24"/>
          <w:szCs w:val="24"/>
          <w:lang w:val="ru-RU"/>
        </w:rPr>
        <w:t xml:space="preserve"> влияет на развитие экономики, но косвенно на уровень доступности кредитов в стране нахождения, что свидетельствует о незначительном влиянии МФЦ на социально</w:t>
      </w:r>
      <w:r w:rsidRPr="0018636D">
        <w:rPr>
          <w:rFonts w:ascii="Times New Roman" w:hAnsi="Times New Roman" w:cs="Times New Roman"/>
          <w:sz w:val="24"/>
          <w:szCs w:val="24"/>
          <w:lang w:val="ru-RU"/>
        </w:rPr>
        <w:noBreakHyphen/>
        <w:t xml:space="preserve">экономическую ситуацию в стране в краткосрочной перспективе. </w:t>
      </w:r>
    </w:p>
    <w:p w14:paraId="46AC60C1" w14:textId="2FC79381" w:rsidR="0018636D" w:rsidRDefault="00D01972" w:rsidP="0018636D">
      <w:pPr>
        <w:pStyle w:val="af3"/>
        <w:numPr>
          <w:ilvl w:val="0"/>
          <w:numId w:val="7"/>
        </w:numPr>
        <w:tabs>
          <w:tab w:val="left" w:pos="1134"/>
        </w:tabs>
        <w:spacing w:after="0" w:line="360" w:lineRule="auto"/>
        <w:ind w:left="0" w:firstLine="709"/>
        <w:jc w:val="both"/>
        <w:rPr>
          <w:rFonts w:ascii="Times New Roman" w:hAnsi="Times New Roman" w:cs="Times New Roman"/>
          <w:sz w:val="24"/>
          <w:szCs w:val="24"/>
          <w:lang w:val="ru-RU"/>
        </w:rPr>
      </w:pPr>
      <w:r>
        <w:rPr>
          <w:rFonts w:ascii="Times New Roman" w:hAnsi="Times New Roman" w:cs="Times New Roman"/>
          <w:sz w:val="24"/>
          <w:szCs w:val="24"/>
          <w:lang w:val="ru-RU"/>
        </w:rPr>
        <w:t>Охарактеризована</w:t>
      </w:r>
      <w:r w:rsidR="0077794A" w:rsidRPr="0018636D">
        <w:rPr>
          <w:rFonts w:ascii="Times New Roman" w:hAnsi="Times New Roman" w:cs="Times New Roman"/>
          <w:sz w:val="24"/>
          <w:szCs w:val="24"/>
          <w:lang w:val="ru-RU"/>
        </w:rPr>
        <w:t xml:space="preserve"> структура, выявлены особенности функционирования</w:t>
      </w:r>
      <w:r>
        <w:rPr>
          <w:rFonts w:ascii="Times New Roman" w:hAnsi="Times New Roman" w:cs="Times New Roman"/>
          <w:sz w:val="24"/>
          <w:szCs w:val="24"/>
          <w:lang w:val="ru-RU"/>
        </w:rPr>
        <w:t>,</w:t>
      </w:r>
      <w:r w:rsidR="0077794A" w:rsidRPr="0018636D">
        <w:rPr>
          <w:rFonts w:ascii="Times New Roman" w:hAnsi="Times New Roman" w:cs="Times New Roman"/>
          <w:sz w:val="24"/>
          <w:szCs w:val="24"/>
          <w:lang w:val="ru-RU"/>
        </w:rPr>
        <w:t xml:space="preserve"> и определена роль системы Большого Китая в </w:t>
      </w:r>
      <w:r>
        <w:rPr>
          <w:rFonts w:ascii="Times New Roman" w:hAnsi="Times New Roman" w:cs="Times New Roman"/>
          <w:sz w:val="24"/>
          <w:szCs w:val="24"/>
          <w:lang w:val="ru-RU"/>
        </w:rPr>
        <w:t>финансовом секторе</w:t>
      </w:r>
      <w:r w:rsidR="0077794A" w:rsidRPr="0018636D">
        <w:rPr>
          <w:rFonts w:ascii="Times New Roman" w:hAnsi="Times New Roman" w:cs="Times New Roman"/>
          <w:sz w:val="24"/>
          <w:szCs w:val="24"/>
          <w:lang w:val="ru-RU"/>
        </w:rPr>
        <w:t xml:space="preserve"> КНР</w:t>
      </w:r>
      <w:r>
        <w:rPr>
          <w:rFonts w:ascii="Times New Roman" w:hAnsi="Times New Roman" w:cs="Times New Roman"/>
          <w:sz w:val="24"/>
          <w:szCs w:val="24"/>
          <w:lang w:val="ru-RU"/>
        </w:rPr>
        <w:t xml:space="preserve">, которая </w:t>
      </w:r>
      <w:r w:rsidR="0077794A" w:rsidRPr="0018636D">
        <w:rPr>
          <w:rFonts w:ascii="Times New Roman" w:hAnsi="Times New Roman" w:cs="Times New Roman"/>
          <w:sz w:val="24"/>
          <w:szCs w:val="24"/>
          <w:lang w:val="ru-RU"/>
        </w:rPr>
        <w:t xml:space="preserve">оказалась драйвером преобразований в Китае и в его МФЦ. </w:t>
      </w:r>
      <w:r>
        <w:rPr>
          <w:rFonts w:ascii="Times New Roman" w:hAnsi="Times New Roman" w:cs="Times New Roman"/>
          <w:sz w:val="24"/>
          <w:szCs w:val="24"/>
          <w:lang w:val="ru-RU"/>
        </w:rPr>
        <w:t>Аргументировано</w:t>
      </w:r>
      <w:r w:rsidR="0077794A" w:rsidRPr="0018636D">
        <w:rPr>
          <w:rFonts w:ascii="Times New Roman" w:hAnsi="Times New Roman" w:cs="Times New Roman"/>
          <w:sz w:val="24"/>
          <w:szCs w:val="24"/>
          <w:lang w:val="ru-RU"/>
        </w:rPr>
        <w:t>, что стратегия правительства КНР по формированию финансового центра в Шанхае похожа на ранее принятую политику перехода к рыночной экономике за счёт особых экономических</w:t>
      </w:r>
      <w:r>
        <w:rPr>
          <w:rFonts w:ascii="Times New Roman" w:hAnsi="Times New Roman" w:cs="Times New Roman"/>
          <w:sz w:val="24"/>
          <w:szCs w:val="24"/>
          <w:lang w:val="ru-RU"/>
        </w:rPr>
        <w:t xml:space="preserve"> зон, что обеспечило</w:t>
      </w:r>
      <w:r w:rsidR="0077794A" w:rsidRPr="0018636D">
        <w:rPr>
          <w:rFonts w:ascii="Times New Roman" w:hAnsi="Times New Roman" w:cs="Times New Roman"/>
          <w:sz w:val="24"/>
          <w:szCs w:val="24"/>
          <w:lang w:val="ru-RU"/>
        </w:rPr>
        <w:t xml:space="preserve"> успех финансовых преобразований</w:t>
      </w:r>
      <w:r>
        <w:rPr>
          <w:rFonts w:ascii="Times New Roman" w:hAnsi="Times New Roman" w:cs="Times New Roman"/>
          <w:sz w:val="24"/>
          <w:szCs w:val="24"/>
          <w:lang w:val="ru-RU"/>
        </w:rPr>
        <w:t>.</w:t>
      </w:r>
    </w:p>
    <w:p w14:paraId="6F8F2EAA" w14:textId="34997AED" w:rsidR="0018636D" w:rsidRPr="0018636D" w:rsidRDefault="0018636D" w:rsidP="0018636D">
      <w:pPr>
        <w:pStyle w:val="af3"/>
        <w:numPr>
          <w:ilvl w:val="0"/>
          <w:numId w:val="7"/>
        </w:numPr>
        <w:tabs>
          <w:tab w:val="left" w:pos="1134"/>
        </w:tabs>
        <w:spacing w:after="0" w:line="360" w:lineRule="auto"/>
        <w:ind w:left="0" w:firstLine="709"/>
        <w:jc w:val="both"/>
        <w:rPr>
          <w:rFonts w:ascii="Times New Roman" w:hAnsi="Times New Roman" w:cs="Times New Roman"/>
          <w:sz w:val="24"/>
          <w:szCs w:val="24"/>
          <w:lang w:val="ru-RU"/>
        </w:rPr>
      </w:pPr>
      <w:r w:rsidRPr="0018636D">
        <w:rPr>
          <w:rFonts w:ascii="Times New Roman" w:hAnsi="Times New Roman" w:cs="Times New Roman"/>
          <w:sz w:val="24"/>
          <w:szCs w:val="24"/>
          <w:lang w:val="ru-RU"/>
        </w:rPr>
        <w:t>Определено</w:t>
      </w:r>
      <w:r w:rsidR="0077794A" w:rsidRPr="0018636D">
        <w:rPr>
          <w:rFonts w:ascii="Times New Roman" w:hAnsi="Times New Roman" w:cs="Times New Roman"/>
          <w:sz w:val="24"/>
          <w:szCs w:val="24"/>
          <w:lang w:val="ru-RU"/>
        </w:rPr>
        <w:t>, что создание МФЦ в Москве, по форме представляющее собой инфраструктурный проект, по сути</w:t>
      </w:r>
      <w:r w:rsidR="00FB031C">
        <w:rPr>
          <w:rFonts w:ascii="Times New Roman" w:hAnsi="Times New Roman" w:cs="Times New Roman"/>
          <w:sz w:val="24"/>
          <w:szCs w:val="24"/>
          <w:lang w:val="ru-RU"/>
        </w:rPr>
        <w:t>,</w:t>
      </w:r>
      <w:r w:rsidR="0077794A" w:rsidRPr="0018636D">
        <w:rPr>
          <w:rFonts w:ascii="Times New Roman" w:hAnsi="Times New Roman" w:cs="Times New Roman"/>
          <w:sz w:val="24"/>
          <w:szCs w:val="24"/>
          <w:lang w:val="ru-RU"/>
        </w:rPr>
        <w:t xml:space="preserve"> инициировало проведение правительством России политики в области развития национального финансового рынка, включающей стратегию по превращению рубля в региональную резервную валюту. Таким образом, было выявлено расхождение между выбранной стратегией развития МФЦ в Москве и тактикой проводимых преобразований</w:t>
      </w:r>
      <w:r w:rsidR="00FB031C">
        <w:rPr>
          <w:rFonts w:ascii="Times New Roman" w:hAnsi="Times New Roman" w:cs="Times New Roman"/>
          <w:sz w:val="24"/>
          <w:szCs w:val="24"/>
          <w:lang w:val="ru-RU"/>
        </w:rPr>
        <w:t xml:space="preserve">, что стало ключевой </w:t>
      </w:r>
      <w:r w:rsidR="0077794A" w:rsidRPr="0018636D">
        <w:rPr>
          <w:rFonts w:ascii="Times New Roman" w:hAnsi="Times New Roman" w:cs="Times New Roman"/>
          <w:sz w:val="24"/>
          <w:szCs w:val="24"/>
          <w:lang w:val="ru-RU"/>
        </w:rPr>
        <w:t>причиной неудач проводимой политики по созданию МФЦ в Москве, которую следует пересмотреть с учётом целей устойчивого развития.</w:t>
      </w:r>
    </w:p>
    <w:p w14:paraId="0C968A03" w14:textId="113BF820" w:rsidR="0077794A" w:rsidRPr="0018636D" w:rsidRDefault="0077794A" w:rsidP="0077794A">
      <w:pPr>
        <w:pStyle w:val="af3"/>
        <w:numPr>
          <w:ilvl w:val="0"/>
          <w:numId w:val="7"/>
        </w:numPr>
        <w:tabs>
          <w:tab w:val="left" w:pos="1134"/>
        </w:tabs>
        <w:spacing w:after="0" w:line="360" w:lineRule="auto"/>
        <w:ind w:left="0" w:firstLine="709"/>
        <w:jc w:val="both"/>
        <w:rPr>
          <w:rFonts w:ascii="Times New Roman" w:hAnsi="Times New Roman" w:cs="Times New Roman"/>
          <w:sz w:val="24"/>
          <w:szCs w:val="24"/>
          <w:lang w:val="ru-RU"/>
        </w:rPr>
      </w:pPr>
      <w:r w:rsidRPr="0018636D">
        <w:rPr>
          <w:rFonts w:ascii="Times New Roman" w:hAnsi="Times New Roman" w:cs="Times New Roman"/>
          <w:sz w:val="24"/>
          <w:szCs w:val="24"/>
          <w:lang w:val="ru-RU"/>
        </w:rPr>
        <w:t>Разработаны рекомендации по развитию МФЦ в России в период глобальных изменений внутреннего и внешнего характера. В том числе: а) в своей политике российские власти должны ориентироваться на улучшения реальных статистических показателей объёма внешнего оборота финансового сектора, а не сложных маркетинговые инструментов с</w:t>
      </w:r>
      <w:r w:rsidR="0018636D">
        <w:rPr>
          <w:rFonts w:ascii="Times New Roman" w:hAnsi="Times New Roman" w:cs="Times New Roman"/>
          <w:sz w:val="24"/>
          <w:szCs w:val="24"/>
          <w:lang w:val="ru-RU"/>
        </w:rPr>
        <w:t> </w:t>
      </w:r>
      <w:r w:rsidRPr="0018636D">
        <w:rPr>
          <w:rFonts w:ascii="Times New Roman" w:hAnsi="Times New Roman" w:cs="Times New Roman"/>
          <w:sz w:val="24"/>
          <w:szCs w:val="24"/>
          <w:lang w:val="ru-RU"/>
        </w:rPr>
        <w:t>нетранспар</w:t>
      </w:r>
      <w:r w:rsidR="00FB714F">
        <w:rPr>
          <w:rFonts w:ascii="Times New Roman" w:hAnsi="Times New Roman" w:cs="Times New Roman"/>
          <w:sz w:val="24"/>
          <w:szCs w:val="24"/>
          <w:lang w:val="ru-RU"/>
        </w:rPr>
        <w:t>е</w:t>
      </w:r>
      <w:r w:rsidRPr="0018636D">
        <w:rPr>
          <w:rFonts w:ascii="Times New Roman" w:hAnsi="Times New Roman" w:cs="Times New Roman"/>
          <w:sz w:val="24"/>
          <w:szCs w:val="24"/>
          <w:lang w:val="ru-RU"/>
        </w:rPr>
        <w:t xml:space="preserve">нтной методикой составления сторонних разработчиков, б) </w:t>
      </w:r>
      <w:r w:rsidR="000537C1">
        <w:rPr>
          <w:rFonts w:ascii="Times New Roman" w:hAnsi="Times New Roman" w:cs="Times New Roman"/>
          <w:sz w:val="24"/>
          <w:szCs w:val="24"/>
          <w:lang w:val="ru-RU"/>
        </w:rPr>
        <w:t xml:space="preserve">необходимо </w:t>
      </w:r>
      <w:r w:rsidRPr="0018636D">
        <w:rPr>
          <w:rFonts w:ascii="Times New Roman" w:hAnsi="Times New Roman" w:cs="Times New Roman"/>
          <w:sz w:val="24"/>
          <w:szCs w:val="24"/>
          <w:lang w:val="ru-RU"/>
        </w:rPr>
        <w:t>выстраивать политику по развитию системы международных финансовых центров, обслуживающих финансовые потоки российского бизнеса, исходя из того, что в данных момент главные МФЦ России находятся за её пределами (офшорные юрисдикции Дубая, Кипра, Британии), создавая конкурентные преимущества для развития подобных городских кластеров финансовых и иных услуг не только в столице России; в) требуется учитывать опыт Астаны при разработке нового подхода к развитию МФЦ в Москве; г) формируя госпрограмм</w:t>
      </w:r>
      <w:r w:rsidR="000537C1">
        <w:rPr>
          <w:rFonts w:ascii="Times New Roman" w:hAnsi="Times New Roman" w:cs="Times New Roman"/>
          <w:sz w:val="24"/>
          <w:szCs w:val="24"/>
          <w:lang w:val="ru-RU"/>
        </w:rPr>
        <w:t>ы</w:t>
      </w:r>
      <w:r w:rsidRPr="0018636D">
        <w:rPr>
          <w:rFonts w:ascii="Times New Roman" w:hAnsi="Times New Roman" w:cs="Times New Roman"/>
          <w:sz w:val="24"/>
          <w:szCs w:val="24"/>
          <w:lang w:val="ru-RU"/>
        </w:rPr>
        <w:t xml:space="preserve"> по развитию финансового сектора в Москве и других городах-миллионниках, </w:t>
      </w:r>
      <w:r w:rsidR="000537C1">
        <w:rPr>
          <w:rFonts w:ascii="Times New Roman" w:hAnsi="Times New Roman" w:cs="Times New Roman"/>
          <w:sz w:val="24"/>
          <w:szCs w:val="24"/>
          <w:lang w:val="ru-RU"/>
        </w:rPr>
        <w:t xml:space="preserve">следует </w:t>
      </w:r>
      <w:r w:rsidRPr="0018636D">
        <w:rPr>
          <w:rFonts w:ascii="Times New Roman" w:hAnsi="Times New Roman" w:cs="Times New Roman"/>
          <w:sz w:val="24"/>
          <w:szCs w:val="24"/>
          <w:lang w:val="ru-RU"/>
        </w:rPr>
        <w:t>учитывать концепцию устойчивого развития: в</w:t>
      </w:r>
      <w:r w:rsidR="0018636D">
        <w:rPr>
          <w:rFonts w:ascii="Times New Roman" w:hAnsi="Times New Roman" w:cs="Times New Roman"/>
          <w:sz w:val="24"/>
          <w:szCs w:val="24"/>
          <w:lang w:val="ru-RU"/>
        </w:rPr>
        <w:t> </w:t>
      </w:r>
      <w:r w:rsidRPr="0018636D">
        <w:rPr>
          <w:rFonts w:ascii="Times New Roman" w:hAnsi="Times New Roman" w:cs="Times New Roman"/>
          <w:sz w:val="24"/>
          <w:szCs w:val="24"/>
          <w:lang w:val="ru-RU"/>
        </w:rPr>
        <w:t>данный момент институт МФЦ может обеспечить рост налоговых поступлений от крупных игроков финансового сектора за счёт создания новых продуктов, но не будет содействовать социальным функциям финансов (доступность финансовых услуги для населения и малых и</w:t>
      </w:r>
      <w:r w:rsidR="0018636D">
        <w:rPr>
          <w:rFonts w:ascii="Times New Roman" w:hAnsi="Times New Roman" w:cs="Times New Roman"/>
          <w:sz w:val="24"/>
          <w:szCs w:val="24"/>
          <w:lang w:val="ru-RU"/>
        </w:rPr>
        <w:t> </w:t>
      </w:r>
      <w:r w:rsidRPr="0018636D">
        <w:rPr>
          <w:rFonts w:ascii="Times New Roman" w:hAnsi="Times New Roman" w:cs="Times New Roman"/>
          <w:sz w:val="24"/>
          <w:szCs w:val="24"/>
          <w:lang w:val="ru-RU"/>
        </w:rPr>
        <w:t>средних предприятий)</w:t>
      </w:r>
      <w:r w:rsidR="00B26B58">
        <w:rPr>
          <w:rFonts w:ascii="Times New Roman" w:hAnsi="Times New Roman" w:cs="Times New Roman"/>
          <w:sz w:val="24"/>
          <w:szCs w:val="24"/>
          <w:lang w:val="ru-RU"/>
        </w:rPr>
        <w:t>.</w:t>
      </w:r>
    </w:p>
    <w:bookmarkEnd w:id="3"/>
    <w:p w14:paraId="3A0C3EE2" w14:textId="59664132" w:rsidR="00937CBF" w:rsidRPr="005C0232" w:rsidRDefault="00937CBF" w:rsidP="00937CBF">
      <w:pPr>
        <w:spacing w:after="0" w:line="360" w:lineRule="auto"/>
        <w:ind w:firstLine="709"/>
        <w:contextualSpacing/>
        <w:jc w:val="both"/>
        <w:rPr>
          <w:rFonts w:ascii="Times New Roman" w:hAnsi="Times New Roman" w:cs="Times New Roman"/>
          <w:sz w:val="24"/>
          <w:szCs w:val="24"/>
          <w:lang w:val="ru-RU"/>
        </w:rPr>
      </w:pPr>
      <w:r w:rsidRPr="005C0232">
        <w:rPr>
          <w:rFonts w:ascii="Times New Roman" w:hAnsi="Times New Roman" w:cs="Times New Roman"/>
          <w:b/>
          <w:sz w:val="24"/>
          <w:szCs w:val="24"/>
          <w:lang w:val="ru-RU"/>
        </w:rPr>
        <w:lastRenderedPageBreak/>
        <w:t xml:space="preserve">Теоретическая значимость исследования </w:t>
      </w:r>
      <w:r w:rsidRPr="005C0232">
        <w:rPr>
          <w:rFonts w:ascii="Times New Roman" w:hAnsi="Times New Roman" w:cs="Times New Roman"/>
          <w:sz w:val="24"/>
          <w:szCs w:val="24"/>
          <w:lang w:val="ru-RU"/>
        </w:rPr>
        <w:t>заключ</w:t>
      </w:r>
      <w:r>
        <w:rPr>
          <w:rFonts w:ascii="Times New Roman" w:hAnsi="Times New Roman" w:cs="Times New Roman"/>
          <w:sz w:val="24"/>
          <w:szCs w:val="24"/>
          <w:lang w:val="ru-RU"/>
        </w:rPr>
        <w:t>ается</w:t>
      </w:r>
      <w:r w:rsidRPr="005C0232">
        <w:rPr>
          <w:rFonts w:ascii="Times New Roman" w:hAnsi="Times New Roman" w:cs="Times New Roman"/>
          <w:sz w:val="24"/>
          <w:szCs w:val="24"/>
          <w:lang w:val="ru-RU"/>
        </w:rPr>
        <w:t xml:space="preserve"> в формировании комплексного подхода к категории «международные финансовые центры»</w:t>
      </w:r>
      <w:r>
        <w:rPr>
          <w:rFonts w:ascii="Times New Roman" w:hAnsi="Times New Roman" w:cs="Times New Roman"/>
          <w:sz w:val="24"/>
          <w:szCs w:val="24"/>
          <w:lang w:val="ru-RU"/>
        </w:rPr>
        <w:t>. В работе</w:t>
      </w:r>
      <w:r w:rsidRPr="005C0232">
        <w:rPr>
          <w:rFonts w:ascii="Times New Roman" w:hAnsi="Times New Roman" w:cs="Times New Roman"/>
          <w:sz w:val="24"/>
          <w:szCs w:val="24"/>
          <w:lang w:val="ru-RU"/>
        </w:rPr>
        <w:t xml:space="preserve"> критически оценены попытки рейтингов преодолеть асимметрию информации на мировом финансовом рынк</w:t>
      </w:r>
      <w:r>
        <w:rPr>
          <w:rFonts w:ascii="Times New Roman" w:hAnsi="Times New Roman" w:cs="Times New Roman"/>
          <w:sz w:val="24"/>
          <w:szCs w:val="24"/>
          <w:lang w:val="ru-RU"/>
        </w:rPr>
        <w:t>е</w:t>
      </w:r>
      <w:r w:rsidRPr="005C0232">
        <w:rPr>
          <w:rFonts w:ascii="Times New Roman" w:hAnsi="Times New Roman" w:cs="Times New Roman"/>
          <w:sz w:val="24"/>
          <w:szCs w:val="24"/>
          <w:lang w:val="ru-RU"/>
        </w:rPr>
        <w:t xml:space="preserve"> (в том числе в </w:t>
      </w:r>
      <w:r w:rsidR="00225BFE">
        <w:rPr>
          <w:rFonts w:ascii="Times New Roman" w:hAnsi="Times New Roman" w:cs="Times New Roman"/>
          <w:sz w:val="24"/>
          <w:szCs w:val="24"/>
          <w:lang w:val="ru-RU"/>
        </w:rPr>
        <w:t>странах с</w:t>
      </w:r>
      <w:r w:rsidRPr="005C0232">
        <w:rPr>
          <w:rFonts w:ascii="Times New Roman" w:hAnsi="Times New Roman" w:cs="Times New Roman"/>
          <w:sz w:val="24"/>
          <w:szCs w:val="24"/>
          <w:lang w:val="ru-RU"/>
        </w:rPr>
        <w:t xml:space="preserve"> формирующи</w:t>
      </w:r>
      <w:r w:rsidR="00225BFE">
        <w:rPr>
          <w:rFonts w:ascii="Times New Roman" w:hAnsi="Times New Roman" w:cs="Times New Roman"/>
          <w:sz w:val="24"/>
          <w:szCs w:val="24"/>
          <w:lang w:val="ru-RU"/>
        </w:rPr>
        <w:t>м</w:t>
      </w:r>
      <w:r w:rsidRPr="005C0232">
        <w:rPr>
          <w:rFonts w:ascii="Times New Roman" w:hAnsi="Times New Roman" w:cs="Times New Roman"/>
          <w:sz w:val="24"/>
          <w:szCs w:val="24"/>
          <w:lang w:val="ru-RU"/>
        </w:rPr>
        <w:t>ся рынко</w:t>
      </w:r>
      <w:r w:rsidR="00225BFE">
        <w:rPr>
          <w:rFonts w:ascii="Times New Roman" w:hAnsi="Times New Roman" w:cs="Times New Roman"/>
          <w:sz w:val="24"/>
          <w:szCs w:val="24"/>
          <w:lang w:val="ru-RU"/>
        </w:rPr>
        <w:t>м</w:t>
      </w:r>
      <w:r w:rsidRPr="005C0232">
        <w:rPr>
          <w:rFonts w:ascii="Times New Roman" w:hAnsi="Times New Roman" w:cs="Times New Roman"/>
          <w:sz w:val="24"/>
          <w:szCs w:val="24"/>
          <w:lang w:val="ru-RU"/>
        </w:rPr>
        <w:t xml:space="preserve">), выявлены факторы </w:t>
      </w:r>
      <w:r w:rsidR="00225BFE">
        <w:rPr>
          <w:rFonts w:ascii="Times New Roman" w:hAnsi="Times New Roman" w:cs="Times New Roman"/>
          <w:sz w:val="24"/>
          <w:szCs w:val="24"/>
          <w:lang w:val="ru-RU"/>
        </w:rPr>
        <w:t>создания</w:t>
      </w:r>
      <w:r w:rsidRPr="005C0232">
        <w:rPr>
          <w:rFonts w:ascii="Times New Roman" w:hAnsi="Times New Roman" w:cs="Times New Roman"/>
          <w:sz w:val="24"/>
          <w:szCs w:val="24"/>
          <w:lang w:val="ru-RU"/>
        </w:rPr>
        <w:t xml:space="preserve"> «офшорной ловушки</w:t>
      </w:r>
      <w:r w:rsidR="00225BFE">
        <w:rPr>
          <w:rFonts w:ascii="Times New Roman" w:hAnsi="Times New Roman" w:cs="Times New Roman"/>
          <w:sz w:val="24"/>
          <w:szCs w:val="24"/>
          <w:lang w:val="ru-RU"/>
        </w:rPr>
        <w:t xml:space="preserve"> развития</w:t>
      </w:r>
      <w:r w:rsidRPr="005C0232">
        <w:rPr>
          <w:rFonts w:ascii="Times New Roman" w:hAnsi="Times New Roman" w:cs="Times New Roman"/>
          <w:sz w:val="24"/>
          <w:szCs w:val="24"/>
          <w:lang w:val="ru-RU"/>
        </w:rPr>
        <w:t>» для центр</w:t>
      </w:r>
      <w:r>
        <w:rPr>
          <w:rFonts w:ascii="Times New Roman" w:hAnsi="Times New Roman" w:cs="Times New Roman"/>
          <w:sz w:val="24"/>
          <w:szCs w:val="24"/>
          <w:lang w:val="ru-RU"/>
        </w:rPr>
        <w:t>ов</w:t>
      </w:r>
      <w:r w:rsidRPr="005C0232">
        <w:rPr>
          <w:rFonts w:ascii="Times New Roman" w:hAnsi="Times New Roman" w:cs="Times New Roman"/>
          <w:sz w:val="24"/>
          <w:szCs w:val="24"/>
          <w:lang w:val="ru-RU"/>
        </w:rPr>
        <w:t xml:space="preserve"> в</w:t>
      </w:r>
      <w:r>
        <w:rPr>
          <w:rFonts w:ascii="Times New Roman" w:hAnsi="Times New Roman" w:cs="Times New Roman"/>
          <w:sz w:val="24"/>
          <w:szCs w:val="24"/>
          <w:lang w:val="ru-RU"/>
        </w:rPr>
        <w:t xml:space="preserve"> странах с</w:t>
      </w:r>
      <w:r w:rsidRPr="005C0232">
        <w:rPr>
          <w:rFonts w:ascii="Times New Roman" w:hAnsi="Times New Roman" w:cs="Times New Roman"/>
          <w:sz w:val="24"/>
          <w:szCs w:val="24"/>
          <w:lang w:val="ru-RU"/>
        </w:rPr>
        <w:t xml:space="preserve"> формирующимся рынк</w:t>
      </w:r>
      <w:r w:rsidR="00225BFE">
        <w:rPr>
          <w:rFonts w:ascii="Times New Roman" w:hAnsi="Times New Roman" w:cs="Times New Roman"/>
          <w:sz w:val="24"/>
          <w:szCs w:val="24"/>
          <w:lang w:val="ru-RU"/>
        </w:rPr>
        <w:t>ом</w:t>
      </w:r>
      <w:r>
        <w:rPr>
          <w:rFonts w:ascii="Times New Roman" w:hAnsi="Times New Roman" w:cs="Times New Roman"/>
          <w:sz w:val="24"/>
          <w:szCs w:val="24"/>
          <w:lang w:val="ru-RU"/>
        </w:rPr>
        <w:t>.</w:t>
      </w:r>
      <w:r w:rsidRPr="005C0232">
        <w:rPr>
          <w:rFonts w:ascii="Times New Roman" w:hAnsi="Times New Roman" w:cs="Times New Roman"/>
          <w:sz w:val="24"/>
          <w:szCs w:val="24"/>
          <w:lang w:val="ru-RU"/>
        </w:rPr>
        <w:t xml:space="preserve"> </w:t>
      </w:r>
      <w:r>
        <w:rPr>
          <w:rFonts w:ascii="Times New Roman" w:hAnsi="Times New Roman" w:cs="Times New Roman"/>
          <w:sz w:val="24"/>
          <w:szCs w:val="24"/>
          <w:lang w:val="ru-RU"/>
        </w:rPr>
        <w:t>Н</w:t>
      </w:r>
      <w:r w:rsidRPr="005C0232">
        <w:rPr>
          <w:rFonts w:ascii="Times New Roman" w:hAnsi="Times New Roman" w:cs="Times New Roman"/>
          <w:sz w:val="24"/>
          <w:szCs w:val="24"/>
          <w:lang w:val="ru-RU"/>
        </w:rPr>
        <w:t>а основе концепции кластерного развития сервисных услуг сформирован новы</w:t>
      </w:r>
      <w:r>
        <w:rPr>
          <w:rFonts w:ascii="Times New Roman" w:hAnsi="Times New Roman" w:cs="Times New Roman"/>
          <w:sz w:val="24"/>
          <w:szCs w:val="24"/>
          <w:lang w:val="ru-RU"/>
        </w:rPr>
        <w:t>й</w:t>
      </w:r>
      <w:r w:rsidRPr="005C0232">
        <w:rPr>
          <w:rFonts w:ascii="Times New Roman" w:hAnsi="Times New Roman" w:cs="Times New Roman"/>
          <w:sz w:val="24"/>
          <w:szCs w:val="24"/>
          <w:lang w:val="ru-RU"/>
        </w:rPr>
        <w:t xml:space="preserve"> подход к оценке уровня развития международных финансовых центров с учетом концепции устойчивого развития и новые метод</w:t>
      </w:r>
      <w:r>
        <w:rPr>
          <w:rFonts w:ascii="Times New Roman" w:hAnsi="Times New Roman" w:cs="Times New Roman"/>
          <w:sz w:val="24"/>
          <w:szCs w:val="24"/>
          <w:lang w:val="ru-RU"/>
        </w:rPr>
        <w:t>ы</w:t>
      </w:r>
      <w:r w:rsidRPr="005C0232">
        <w:rPr>
          <w:rFonts w:ascii="Times New Roman" w:hAnsi="Times New Roman" w:cs="Times New Roman"/>
          <w:sz w:val="24"/>
          <w:szCs w:val="24"/>
          <w:lang w:val="ru-RU"/>
        </w:rPr>
        <w:t xml:space="preserve"> выявления зональных финансовых центров, </w:t>
      </w:r>
      <w:r>
        <w:rPr>
          <w:rFonts w:ascii="Times New Roman" w:hAnsi="Times New Roman" w:cs="Times New Roman"/>
          <w:sz w:val="24"/>
          <w:szCs w:val="24"/>
          <w:lang w:val="ru-RU"/>
        </w:rPr>
        <w:t xml:space="preserve">также </w:t>
      </w:r>
      <w:r w:rsidRPr="005C0232">
        <w:rPr>
          <w:rFonts w:ascii="Times New Roman" w:hAnsi="Times New Roman" w:cs="Times New Roman"/>
          <w:sz w:val="24"/>
          <w:szCs w:val="24"/>
          <w:lang w:val="ru-RU"/>
        </w:rPr>
        <w:t xml:space="preserve">выявлены факторы успеха некоторых формирующихся центров. </w:t>
      </w:r>
    </w:p>
    <w:p w14:paraId="4A06949A" w14:textId="4FD53FAF" w:rsidR="00937CBF"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lang w:val="ru-RU"/>
        </w:rPr>
      </w:pPr>
      <w:r w:rsidRPr="005C0232">
        <w:rPr>
          <w:rFonts w:ascii="Times New Roman" w:hAnsi="Times New Roman" w:cs="Times New Roman"/>
          <w:b/>
          <w:color w:val="000000"/>
          <w:sz w:val="24"/>
          <w:szCs w:val="24"/>
          <w:shd w:val="clear" w:color="auto" w:fill="FFFFFF"/>
          <w:lang w:val="ru-RU"/>
        </w:rPr>
        <w:t>Практическая значимость исследования</w:t>
      </w:r>
      <w:r w:rsidRPr="005C0232">
        <w:rPr>
          <w:rFonts w:ascii="Times New Roman" w:hAnsi="Times New Roman" w:cs="Times New Roman"/>
          <w:color w:val="000000"/>
          <w:sz w:val="24"/>
          <w:szCs w:val="24"/>
          <w:shd w:val="clear" w:color="auto" w:fill="FFFFFF"/>
          <w:lang w:val="ru-RU"/>
        </w:rPr>
        <w:t xml:space="preserve">. </w:t>
      </w:r>
      <w:r w:rsidRPr="005C0232">
        <w:rPr>
          <w:rFonts w:ascii="Times New Roman" w:hAnsi="Times New Roman" w:cs="Times New Roman"/>
          <w:color w:val="000000"/>
          <w:sz w:val="24"/>
          <w:szCs w:val="24"/>
          <w:lang w:val="ru-RU"/>
        </w:rPr>
        <w:t xml:space="preserve">Результаты диссертационного исследования могут оказать практическую помощь широкому кругу российских профессиональных участников финансового рынка </w:t>
      </w:r>
      <w:r>
        <w:rPr>
          <w:rFonts w:ascii="Times New Roman" w:hAnsi="Times New Roman" w:cs="Times New Roman"/>
          <w:color w:val="000000"/>
          <w:sz w:val="24"/>
          <w:szCs w:val="24"/>
          <w:lang w:val="ru-RU"/>
        </w:rPr>
        <w:t>(</w:t>
      </w:r>
      <w:r w:rsidRPr="005C0232">
        <w:rPr>
          <w:rFonts w:ascii="Times New Roman" w:hAnsi="Times New Roman" w:cs="Times New Roman"/>
          <w:color w:val="000000"/>
          <w:sz w:val="24"/>
          <w:szCs w:val="24"/>
          <w:lang w:val="ru-RU"/>
        </w:rPr>
        <w:t>включая банки, инвестиционные и</w:t>
      </w:r>
      <w:r w:rsidRPr="005C0232">
        <w:rPr>
          <w:rStyle w:val="apple-converted-space"/>
          <w:rFonts w:ascii="Times New Roman" w:hAnsi="Times New Roman" w:cs="Times New Roman"/>
          <w:color w:val="000000"/>
          <w:sz w:val="24"/>
          <w:szCs w:val="24"/>
        </w:rPr>
        <w:t> </w:t>
      </w:r>
      <w:r w:rsidRPr="005C0232">
        <w:rPr>
          <w:rStyle w:val="hl"/>
          <w:rFonts w:ascii="Times New Roman" w:hAnsi="Times New Roman" w:cs="Times New Roman"/>
          <w:color w:val="000000"/>
          <w:sz w:val="24"/>
          <w:szCs w:val="24"/>
          <w:lang w:val="ru-RU"/>
        </w:rPr>
        <w:t>консультационные</w:t>
      </w:r>
      <w:r w:rsidRPr="005C0232">
        <w:rPr>
          <w:rStyle w:val="apple-converted-space"/>
          <w:rFonts w:ascii="Times New Roman" w:hAnsi="Times New Roman" w:cs="Times New Roman"/>
          <w:color w:val="000000"/>
          <w:sz w:val="24"/>
          <w:szCs w:val="24"/>
        </w:rPr>
        <w:t> </w:t>
      </w:r>
      <w:r w:rsidRPr="005C0232">
        <w:rPr>
          <w:rFonts w:ascii="Times New Roman" w:hAnsi="Times New Roman" w:cs="Times New Roman"/>
          <w:color w:val="000000"/>
          <w:sz w:val="24"/>
          <w:szCs w:val="24"/>
          <w:lang w:val="ru-RU"/>
        </w:rPr>
        <w:t>компании</w:t>
      </w:r>
      <w:r>
        <w:rPr>
          <w:rFonts w:ascii="Times New Roman" w:hAnsi="Times New Roman" w:cs="Times New Roman"/>
          <w:color w:val="000000"/>
          <w:sz w:val="24"/>
          <w:szCs w:val="24"/>
          <w:lang w:val="ru-RU"/>
        </w:rPr>
        <w:t>)</w:t>
      </w:r>
      <w:r w:rsidRPr="005C0232">
        <w:rPr>
          <w:rFonts w:ascii="Times New Roman" w:hAnsi="Times New Roman" w:cs="Times New Roman"/>
          <w:color w:val="000000"/>
          <w:sz w:val="24"/>
          <w:szCs w:val="24"/>
          <w:lang w:val="ru-RU"/>
        </w:rPr>
        <w:t xml:space="preserve"> в совершенствовании стратегии управления финансовыми рисками с учётом современных тенденций в развитии мирового и российского финансовых рынков.</w:t>
      </w:r>
      <w:r w:rsidR="00CA759A">
        <w:rPr>
          <w:rFonts w:ascii="Times New Roman" w:hAnsi="Times New Roman" w:cs="Times New Roman"/>
          <w:color w:val="000000"/>
          <w:sz w:val="24"/>
          <w:szCs w:val="24"/>
          <w:lang w:val="ru-RU"/>
        </w:rPr>
        <w:t xml:space="preserve"> </w:t>
      </w:r>
      <w:r w:rsidRPr="005C0232">
        <w:rPr>
          <w:rFonts w:ascii="Times New Roman" w:hAnsi="Times New Roman" w:cs="Times New Roman"/>
          <w:color w:val="000000"/>
          <w:sz w:val="24"/>
          <w:szCs w:val="24"/>
          <w:lang w:val="ru-RU"/>
        </w:rPr>
        <w:t>Материалы диссертационного исследования могут быть использованы в лекционных курсах, в учебном процессе, при подготовке и повышении квалификации специалистов в области банковского дела, финансового</w:t>
      </w:r>
      <w:r w:rsidRPr="005C0232">
        <w:rPr>
          <w:rStyle w:val="apple-converted-space"/>
          <w:rFonts w:ascii="Times New Roman" w:hAnsi="Times New Roman" w:cs="Times New Roman"/>
          <w:color w:val="000000"/>
          <w:sz w:val="24"/>
          <w:szCs w:val="24"/>
        </w:rPr>
        <w:t> </w:t>
      </w:r>
      <w:r w:rsidRPr="005C0232">
        <w:rPr>
          <w:rStyle w:val="hl"/>
          <w:rFonts w:ascii="Times New Roman" w:hAnsi="Times New Roman" w:cs="Times New Roman"/>
          <w:color w:val="000000"/>
          <w:sz w:val="24"/>
          <w:szCs w:val="24"/>
          <w:lang w:val="ru-RU"/>
        </w:rPr>
        <w:t>менеджмента</w:t>
      </w:r>
      <w:r w:rsidRPr="005C0232">
        <w:rPr>
          <w:rFonts w:ascii="Times New Roman" w:hAnsi="Times New Roman" w:cs="Times New Roman"/>
          <w:color w:val="000000"/>
          <w:sz w:val="24"/>
          <w:szCs w:val="24"/>
          <w:lang w:val="ru-RU"/>
        </w:rPr>
        <w:t>, рынка ценных бумаг.</w:t>
      </w:r>
    </w:p>
    <w:p w14:paraId="42F90AA5" w14:textId="671A2F42" w:rsidR="00CA759A" w:rsidRPr="005C0232" w:rsidRDefault="00CA759A" w:rsidP="00937CBF">
      <w:pPr>
        <w:spacing w:before="100" w:beforeAutospacing="1" w:after="100" w:line="360" w:lineRule="auto"/>
        <w:ind w:firstLine="709"/>
        <w:contextualSpacing/>
        <w:jc w:val="both"/>
        <w:rPr>
          <w:rFonts w:ascii="Times New Roman" w:hAnsi="Times New Roman" w:cs="Times New Roman"/>
          <w:sz w:val="24"/>
          <w:szCs w:val="24"/>
          <w:lang w:val="ru-RU"/>
        </w:rPr>
      </w:pPr>
      <w:r w:rsidRPr="005C0232">
        <w:rPr>
          <w:rFonts w:ascii="Times New Roman" w:hAnsi="Times New Roman" w:cs="Times New Roman"/>
          <w:color w:val="000000"/>
          <w:sz w:val="24"/>
          <w:szCs w:val="24"/>
          <w:shd w:val="clear" w:color="auto" w:fill="FFFFFF"/>
          <w:lang w:val="ru-RU"/>
        </w:rPr>
        <w:t>В ходе исследования были разработаны рекомендации по развитию МФЦ в Москве.</w:t>
      </w:r>
    </w:p>
    <w:p w14:paraId="797FB109" w14:textId="77777777" w:rsidR="00937CBF" w:rsidRPr="005C0232"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5C0232">
        <w:rPr>
          <w:rFonts w:ascii="Times New Roman" w:hAnsi="Times New Roman" w:cs="Times New Roman"/>
          <w:b/>
          <w:color w:val="000000"/>
          <w:sz w:val="24"/>
          <w:szCs w:val="24"/>
          <w:shd w:val="clear" w:color="auto" w:fill="FFFFFF"/>
          <w:lang w:val="ru-RU"/>
        </w:rPr>
        <w:t>Апробация работы</w:t>
      </w:r>
      <w:r w:rsidRPr="005C0232">
        <w:rPr>
          <w:rFonts w:ascii="Times New Roman" w:hAnsi="Times New Roman" w:cs="Times New Roman"/>
          <w:color w:val="000000"/>
          <w:sz w:val="24"/>
          <w:szCs w:val="24"/>
          <w:shd w:val="clear" w:color="auto" w:fill="FFFFFF"/>
          <w:lang w:val="ru-RU"/>
        </w:rPr>
        <w:t xml:space="preserve">. Проверка результатов, полученных в ходе исследования, прошла на </w:t>
      </w:r>
      <w:r w:rsidRPr="005C0232">
        <w:rPr>
          <w:rFonts w:ascii="Times New Roman" w:hAnsi="Times New Roman" w:cs="Times New Roman"/>
          <w:color w:val="000000"/>
          <w:sz w:val="24"/>
          <w:szCs w:val="24"/>
          <w:shd w:val="clear" w:color="auto" w:fill="FFFFFF"/>
        </w:rPr>
        <w:t>XXI</w:t>
      </w:r>
      <w:r w:rsidRPr="005C0232">
        <w:rPr>
          <w:rFonts w:ascii="Times New Roman" w:hAnsi="Times New Roman" w:cs="Times New Roman"/>
          <w:color w:val="000000"/>
          <w:sz w:val="24"/>
          <w:szCs w:val="24"/>
          <w:shd w:val="clear" w:color="auto" w:fill="FFFFFF"/>
          <w:lang w:val="ru-RU"/>
        </w:rPr>
        <w:t xml:space="preserve"> международной конференции молодых учёных-экономистов на экономическом факультете СПбГУ в 2015-м году, по результатам которой были опубликованы тезисы выступления. Частично материалы исследования были использованы при проведении семинарских занятий по курсу «Институциональная экономика», которые автор вёл у двух групп 3-го курса СПбГЭУ в осенне-зимнем семестре 2015 года, </w:t>
      </w:r>
      <w:r>
        <w:rPr>
          <w:rFonts w:ascii="Times New Roman" w:hAnsi="Times New Roman" w:cs="Times New Roman"/>
          <w:color w:val="000000"/>
          <w:sz w:val="24"/>
          <w:szCs w:val="24"/>
          <w:shd w:val="clear" w:color="auto" w:fill="FFFFFF"/>
          <w:lang w:val="ru-RU"/>
        </w:rPr>
        <w:t xml:space="preserve">а также в материалах </w:t>
      </w:r>
      <w:r w:rsidRPr="005C0232">
        <w:rPr>
          <w:rFonts w:ascii="Times New Roman" w:hAnsi="Times New Roman" w:cs="Times New Roman"/>
          <w:color w:val="000000"/>
          <w:sz w:val="24"/>
          <w:szCs w:val="24"/>
          <w:shd w:val="clear" w:color="auto" w:fill="FFFFFF"/>
          <w:lang w:val="ru-RU"/>
        </w:rPr>
        <w:t>7-й международной конференции «</w:t>
      </w:r>
      <w:r w:rsidRPr="005C0232">
        <w:rPr>
          <w:rFonts w:ascii="Times New Roman" w:hAnsi="Times New Roman" w:cs="Times New Roman"/>
          <w:color w:val="000000"/>
          <w:sz w:val="24"/>
          <w:szCs w:val="24"/>
          <w:shd w:val="clear" w:color="auto" w:fill="FFFFFF"/>
        </w:rPr>
        <w:t>Technoperspective</w:t>
      </w:r>
      <w:r w:rsidRPr="005C0232">
        <w:rPr>
          <w:rFonts w:ascii="Times New Roman" w:hAnsi="Times New Roman" w:cs="Times New Roman"/>
          <w:color w:val="000000"/>
          <w:sz w:val="24"/>
          <w:szCs w:val="24"/>
          <w:shd w:val="clear" w:color="auto" w:fill="FFFFFF"/>
          <w:lang w:val="ru-RU"/>
        </w:rPr>
        <w:t>2021 Технологическая перспектива: новые рынки и точки экономического роста». Ряд положений был изложен в аналитических справках</w:t>
      </w:r>
      <w:r>
        <w:rPr>
          <w:rFonts w:ascii="Times New Roman" w:hAnsi="Times New Roman" w:cs="Times New Roman"/>
          <w:color w:val="000000"/>
          <w:sz w:val="24"/>
          <w:szCs w:val="24"/>
          <w:shd w:val="clear" w:color="auto" w:fill="FFFFFF"/>
          <w:lang w:val="ru-RU"/>
        </w:rPr>
        <w:t>,</w:t>
      </w:r>
      <w:r w:rsidRPr="005C0232">
        <w:rPr>
          <w:rFonts w:ascii="Times New Roman" w:hAnsi="Times New Roman" w:cs="Times New Roman"/>
          <w:color w:val="000000"/>
          <w:sz w:val="24"/>
          <w:szCs w:val="24"/>
          <w:shd w:val="clear" w:color="auto" w:fill="FFFFFF"/>
          <w:lang w:val="ru-RU"/>
        </w:rPr>
        <w:t xml:space="preserve"> подготовленных в рамках работы исследователя в качестве аналитика в Санкт-Петербургском государственном унитарном предприятии «Санкт</w:t>
      </w:r>
      <w:r w:rsidRPr="005C0232">
        <w:rPr>
          <w:rFonts w:ascii="Times New Roman" w:hAnsi="Times New Roman" w:cs="Times New Roman"/>
          <w:color w:val="000000"/>
          <w:sz w:val="24"/>
          <w:szCs w:val="24"/>
          <w:shd w:val="clear" w:color="auto" w:fill="FFFFFF"/>
          <w:lang w:val="ru-RU"/>
        </w:rPr>
        <w:noBreakHyphen/>
        <w:t>Петербургск</w:t>
      </w:r>
      <w:r>
        <w:rPr>
          <w:rFonts w:ascii="Times New Roman" w:hAnsi="Times New Roman" w:cs="Times New Roman"/>
          <w:color w:val="000000"/>
          <w:sz w:val="24"/>
          <w:szCs w:val="24"/>
          <w:shd w:val="clear" w:color="auto" w:fill="FFFFFF"/>
          <w:lang w:val="ru-RU"/>
        </w:rPr>
        <w:t>ий</w:t>
      </w:r>
      <w:r w:rsidRPr="005C0232">
        <w:rPr>
          <w:rFonts w:ascii="Times New Roman" w:hAnsi="Times New Roman" w:cs="Times New Roman"/>
          <w:color w:val="000000"/>
          <w:sz w:val="24"/>
          <w:szCs w:val="24"/>
          <w:shd w:val="clear" w:color="auto" w:fill="FFFFFF"/>
          <w:lang w:val="ru-RU"/>
        </w:rPr>
        <w:t xml:space="preserve"> информационно-аналитическ</w:t>
      </w:r>
      <w:r>
        <w:rPr>
          <w:rFonts w:ascii="Times New Roman" w:hAnsi="Times New Roman" w:cs="Times New Roman"/>
          <w:color w:val="000000"/>
          <w:sz w:val="24"/>
          <w:szCs w:val="24"/>
          <w:shd w:val="clear" w:color="auto" w:fill="FFFFFF"/>
          <w:lang w:val="ru-RU"/>
        </w:rPr>
        <w:t>ий</w:t>
      </w:r>
      <w:r w:rsidRPr="005C0232">
        <w:rPr>
          <w:rFonts w:ascii="Times New Roman" w:hAnsi="Times New Roman" w:cs="Times New Roman"/>
          <w:color w:val="000000"/>
          <w:sz w:val="24"/>
          <w:szCs w:val="24"/>
          <w:shd w:val="clear" w:color="auto" w:fill="FFFFFF"/>
          <w:lang w:val="ru-RU"/>
        </w:rPr>
        <w:t xml:space="preserve"> центр», а также при разработке Добровольного местного обзора Москвы в составе группы аналитиков Программы ООН по населённым пунктам (ООН-Хабитат). </w:t>
      </w:r>
    </w:p>
    <w:p w14:paraId="32B795FD" w14:textId="77777777" w:rsidR="00937CBF" w:rsidRPr="004E7E3E" w:rsidRDefault="00937CBF" w:rsidP="00937CBF">
      <w:pPr>
        <w:widowControl w:val="0"/>
        <w:spacing w:before="100" w:beforeAutospacing="1" w:after="100" w:line="360" w:lineRule="auto"/>
        <w:ind w:firstLine="709"/>
        <w:contextualSpacing/>
        <w:jc w:val="both"/>
        <w:rPr>
          <w:rFonts w:ascii="Times New Roman" w:hAnsi="Times New Roman" w:cs="Times New Roman"/>
          <w:sz w:val="24"/>
          <w:szCs w:val="24"/>
          <w:lang w:val="ru-RU"/>
        </w:rPr>
      </w:pPr>
      <w:r w:rsidRPr="005C0232">
        <w:rPr>
          <w:rFonts w:ascii="Times New Roman" w:hAnsi="Times New Roman" w:cs="Times New Roman"/>
          <w:b/>
          <w:color w:val="000000"/>
          <w:sz w:val="24"/>
          <w:szCs w:val="24"/>
          <w:shd w:val="clear" w:color="auto" w:fill="FFFFFF"/>
          <w:lang w:val="ru-RU"/>
        </w:rPr>
        <w:t>Публикации результатов исследования.</w:t>
      </w:r>
      <w:r w:rsidRPr="005C0232">
        <w:rPr>
          <w:rFonts w:ascii="Times New Roman" w:hAnsi="Times New Roman" w:cs="Times New Roman"/>
          <w:color w:val="000000"/>
          <w:sz w:val="24"/>
          <w:szCs w:val="24"/>
          <w:shd w:val="clear" w:color="auto" w:fill="FFFFFF"/>
          <w:lang w:val="ru-RU"/>
        </w:rPr>
        <w:t xml:space="preserve"> </w:t>
      </w:r>
      <w:r w:rsidRPr="005C0232">
        <w:rPr>
          <w:rFonts w:ascii="Times New Roman" w:hAnsi="Times New Roman" w:cs="Times New Roman"/>
          <w:sz w:val="24"/>
          <w:szCs w:val="24"/>
          <w:lang w:val="ru-RU"/>
        </w:rPr>
        <w:t>Основные положения и</w:t>
      </w:r>
      <w:r w:rsidRPr="005C0232">
        <w:rPr>
          <w:rFonts w:ascii="Times New Roman" w:hAnsi="Times New Roman" w:cs="Times New Roman"/>
          <w:b/>
          <w:bCs/>
          <w:sz w:val="24"/>
          <w:szCs w:val="24"/>
          <w:lang w:val="ru-RU"/>
        </w:rPr>
        <w:t xml:space="preserve"> </w:t>
      </w:r>
      <w:r w:rsidRPr="005C0232">
        <w:rPr>
          <w:rFonts w:ascii="Times New Roman" w:hAnsi="Times New Roman" w:cs="Times New Roman"/>
          <w:sz w:val="24"/>
          <w:szCs w:val="24"/>
          <w:lang w:val="ru-RU"/>
        </w:rPr>
        <w:t>результаты диссертационного исследования опубликованы в семи научных статьях и одной коллективной монографии общим объёмом 3,5 п. л., среди которых 3 авт</w:t>
      </w:r>
      <w:r w:rsidRPr="004E7E3E">
        <w:rPr>
          <w:rFonts w:ascii="Times New Roman" w:hAnsi="Times New Roman" w:cs="Times New Roman"/>
          <w:sz w:val="24"/>
          <w:szCs w:val="24"/>
          <w:lang w:val="ru-RU"/>
        </w:rPr>
        <w:t>орские статьи в рецензируемых экономических журналах, рекомендованных ВАК.</w:t>
      </w:r>
    </w:p>
    <w:p w14:paraId="1B4E6293" w14:textId="658A20AA" w:rsidR="00AE4368" w:rsidRPr="004E7E3E" w:rsidRDefault="00937CBF" w:rsidP="00937CBF">
      <w:pPr>
        <w:widowControl w:val="0"/>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color w:val="000000"/>
          <w:sz w:val="24"/>
          <w:szCs w:val="24"/>
          <w:lang w:val="ru-RU" w:bidi="ar-SA"/>
        </w:rPr>
        <w:lastRenderedPageBreak/>
        <w:t>ВКР</w:t>
      </w:r>
      <w:r w:rsidRPr="004E7E3E">
        <w:rPr>
          <w:rFonts w:ascii="Times New Roman" w:hAnsi="Times New Roman" w:cs="Times New Roman"/>
          <w:color w:val="000000"/>
          <w:sz w:val="24"/>
          <w:szCs w:val="24"/>
          <w:lang w:val="ru-RU" w:bidi="ar-SA"/>
        </w:rPr>
        <w:t xml:space="preserve"> состоит из введения; трех глав, содержащих </w:t>
      </w:r>
      <w:r w:rsidR="004423BB">
        <w:rPr>
          <w:rFonts w:ascii="Times New Roman" w:hAnsi="Times New Roman" w:cs="Times New Roman"/>
          <w:color w:val="000000"/>
          <w:sz w:val="24"/>
          <w:szCs w:val="24"/>
          <w:lang w:val="ru-RU" w:bidi="ar-SA"/>
        </w:rPr>
        <w:t>7</w:t>
      </w:r>
      <w:r w:rsidRPr="004E7E3E">
        <w:rPr>
          <w:rFonts w:ascii="Times New Roman" w:hAnsi="Times New Roman" w:cs="Times New Roman"/>
          <w:color w:val="000000"/>
          <w:sz w:val="24"/>
          <w:szCs w:val="24"/>
          <w:lang w:val="ru-RU" w:bidi="ar-SA"/>
        </w:rPr>
        <w:t xml:space="preserve"> параграфов; заключения; списка литературы, включающего 2</w:t>
      </w:r>
      <w:r w:rsidR="004423BB">
        <w:rPr>
          <w:rFonts w:ascii="Times New Roman" w:hAnsi="Times New Roman" w:cs="Times New Roman"/>
          <w:color w:val="000000"/>
          <w:sz w:val="24"/>
          <w:szCs w:val="24"/>
          <w:lang w:val="ru-RU" w:bidi="ar-SA"/>
        </w:rPr>
        <w:t>86</w:t>
      </w:r>
      <w:r w:rsidRPr="004E7E3E">
        <w:rPr>
          <w:rFonts w:ascii="Times New Roman" w:hAnsi="Times New Roman" w:cs="Times New Roman"/>
          <w:color w:val="000000"/>
          <w:sz w:val="24"/>
          <w:szCs w:val="24"/>
          <w:lang w:val="ru-RU" w:bidi="ar-SA"/>
        </w:rPr>
        <w:t xml:space="preserve"> использованных </w:t>
      </w:r>
      <w:r w:rsidRPr="005C0232">
        <w:rPr>
          <w:rFonts w:ascii="Times New Roman" w:hAnsi="Times New Roman" w:cs="Times New Roman"/>
          <w:color w:val="000000"/>
          <w:sz w:val="24"/>
          <w:szCs w:val="24"/>
          <w:lang w:val="ru-RU" w:bidi="ar-SA"/>
        </w:rPr>
        <w:t xml:space="preserve">источников; содержит </w:t>
      </w:r>
      <w:r w:rsidR="00E97736">
        <w:rPr>
          <w:rFonts w:ascii="Times New Roman" w:hAnsi="Times New Roman" w:cs="Times New Roman"/>
          <w:color w:val="000000"/>
          <w:sz w:val="24"/>
          <w:szCs w:val="24"/>
          <w:lang w:val="ru-RU" w:bidi="ar-SA"/>
        </w:rPr>
        <w:t>9</w:t>
      </w:r>
      <w:r w:rsidRPr="005C0232">
        <w:rPr>
          <w:rFonts w:ascii="Times New Roman" w:hAnsi="Times New Roman" w:cs="Times New Roman"/>
          <w:color w:val="000000"/>
          <w:sz w:val="24"/>
          <w:szCs w:val="24"/>
          <w:lang w:val="ru-RU" w:bidi="ar-SA"/>
        </w:rPr>
        <w:t> приложений. Основной текст ВКР</w:t>
      </w:r>
      <w:r w:rsidRPr="004E7E3E">
        <w:rPr>
          <w:rFonts w:ascii="Times New Roman" w:hAnsi="Times New Roman" w:cs="Times New Roman"/>
          <w:color w:val="000000"/>
          <w:sz w:val="24"/>
          <w:szCs w:val="24"/>
          <w:lang w:val="ru-RU" w:bidi="ar-SA"/>
        </w:rPr>
        <w:t xml:space="preserve"> представлен на 1</w:t>
      </w:r>
      <w:r w:rsidR="00E97736">
        <w:rPr>
          <w:rFonts w:ascii="Times New Roman" w:hAnsi="Times New Roman" w:cs="Times New Roman"/>
          <w:color w:val="000000"/>
          <w:sz w:val="24"/>
          <w:szCs w:val="24"/>
          <w:lang w:val="ru-RU" w:bidi="ar-SA"/>
        </w:rPr>
        <w:t>1</w:t>
      </w:r>
      <w:r w:rsidR="00801D78">
        <w:rPr>
          <w:rFonts w:ascii="Times New Roman" w:hAnsi="Times New Roman" w:cs="Times New Roman"/>
          <w:color w:val="000000"/>
          <w:sz w:val="24"/>
          <w:szCs w:val="24"/>
          <w:lang w:val="ru-RU" w:bidi="ar-SA"/>
        </w:rPr>
        <w:t>4</w:t>
      </w:r>
      <w:r w:rsidRPr="004E7E3E">
        <w:rPr>
          <w:rFonts w:ascii="Times New Roman" w:hAnsi="Times New Roman" w:cs="Times New Roman"/>
          <w:color w:val="000000"/>
          <w:sz w:val="24"/>
          <w:szCs w:val="24"/>
          <w:lang w:val="ru-RU" w:bidi="ar-SA"/>
        </w:rPr>
        <w:t xml:space="preserve"> страниц</w:t>
      </w:r>
      <w:r w:rsidR="004423BB">
        <w:rPr>
          <w:rFonts w:ascii="Times New Roman" w:hAnsi="Times New Roman" w:cs="Times New Roman"/>
          <w:color w:val="000000"/>
          <w:sz w:val="24"/>
          <w:szCs w:val="24"/>
          <w:lang w:val="ru-RU" w:bidi="ar-SA"/>
        </w:rPr>
        <w:t>е</w:t>
      </w:r>
      <w:r w:rsidRPr="004E7E3E">
        <w:rPr>
          <w:rFonts w:ascii="Times New Roman" w:hAnsi="Times New Roman" w:cs="Times New Roman"/>
          <w:color w:val="000000"/>
          <w:sz w:val="24"/>
          <w:szCs w:val="24"/>
          <w:lang w:val="ru-RU" w:bidi="ar-SA"/>
        </w:rPr>
        <w:t xml:space="preserve">, </w:t>
      </w:r>
      <w:r w:rsidRPr="006257AB">
        <w:rPr>
          <w:rFonts w:ascii="Times New Roman" w:hAnsi="Times New Roman" w:cs="Times New Roman"/>
          <w:color w:val="000000"/>
          <w:sz w:val="24"/>
          <w:szCs w:val="24"/>
          <w:lang w:val="ru-RU" w:bidi="ar-SA"/>
        </w:rPr>
        <w:t xml:space="preserve">проиллюстрирован </w:t>
      </w:r>
      <w:r w:rsidR="006257AB" w:rsidRPr="006257AB">
        <w:rPr>
          <w:rFonts w:ascii="Times New Roman" w:hAnsi="Times New Roman" w:cs="Times New Roman"/>
          <w:color w:val="000000"/>
          <w:sz w:val="24"/>
          <w:szCs w:val="24"/>
          <w:lang w:val="ru-RU" w:bidi="ar-SA"/>
        </w:rPr>
        <w:t>9</w:t>
      </w:r>
      <w:r w:rsidRPr="006257AB">
        <w:rPr>
          <w:rFonts w:ascii="Times New Roman" w:hAnsi="Times New Roman" w:cs="Times New Roman"/>
          <w:color w:val="000000"/>
          <w:sz w:val="24"/>
          <w:szCs w:val="24"/>
          <w:lang w:val="ru-RU" w:bidi="ar-SA"/>
        </w:rPr>
        <w:t xml:space="preserve"> таблицами, </w:t>
      </w:r>
      <w:r w:rsidR="00801D78">
        <w:rPr>
          <w:rFonts w:ascii="Times New Roman" w:hAnsi="Times New Roman" w:cs="Times New Roman"/>
          <w:color w:val="000000"/>
          <w:sz w:val="24"/>
          <w:szCs w:val="24"/>
          <w:lang w:val="ru-RU" w:bidi="ar-SA"/>
        </w:rPr>
        <w:t>19</w:t>
      </w:r>
      <w:r w:rsidRPr="006257AB">
        <w:rPr>
          <w:rFonts w:ascii="Times New Roman" w:hAnsi="Times New Roman" w:cs="Times New Roman"/>
          <w:color w:val="000000"/>
          <w:sz w:val="24"/>
          <w:szCs w:val="24"/>
          <w:lang w:val="ru-RU" w:bidi="ar-SA"/>
        </w:rPr>
        <w:t xml:space="preserve"> рисунк</w:t>
      </w:r>
      <w:r w:rsidR="00801D78">
        <w:rPr>
          <w:rFonts w:ascii="Times New Roman" w:hAnsi="Times New Roman" w:cs="Times New Roman"/>
          <w:color w:val="000000"/>
          <w:sz w:val="24"/>
          <w:szCs w:val="24"/>
          <w:lang w:val="ru-RU" w:bidi="ar-SA"/>
        </w:rPr>
        <w:t>а</w:t>
      </w:r>
      <w:r w:rsidR="009F7F24">
        <w:rPr>
          <w:rFonts w:ascii="Times New Roman" w:hAnsi="Times New Roman" w:cs="Times New Roman"/>
          <w:color w:val="000000"/>
          <w:sz w:val="24"/>
          <w:szCs w:val="24"/>
          <w:lang w:val="ru-RU" w:bidi="ar-SA"/>
        </w:rPr>
        <w:t>м</w:t>
      </w:r>
      <w:r w:rsidR="00801D78">
        <w:rPr>
          <w:rFonts w:ascii="Times New Roman" w:hAnsi="Times New Roman" w:cs="Times New Roman"/>
          <w:color w:val="000000"/>
          <w:sz w:val="24"/>
          <w:szCs w:val="24"/>
          <w:lang w:val="ru-RU" w:bidi="ar-SA"/>
        </w:rPr>
        <w:t>и</w:t>
      </w:r>
      <w:r w:rsidR="008E4BDA" w:rsidRPr="006257AB">
        <w:rPr>
          <w:rFonts w:ascii="Times New Roman" w:hAnsi="Times New Roman" w:cs="Times New Roman"/>
          <w:color w:val="000000"/>
          <w:sz w:val="24"/>
          <w:szCs w:val="24"/>
          <w:lang w:val="ru-RU" w:bidi="ar-SA"/>
        </w:rPr>
        <w:t>.</w:t>
      </w:r>
      <w:r w:rsidRPr="004E7E3E">
        <w:rPr>
          <w:rFonts w:ascii="Times New Roman" w:hAnsi="Times New Roman" w:cs="Times New Roman"/>
          <w:color w:val="000000"/>
          <w:sz w:val="24"/>
          <w:szCs w:val="24"/>
          <w:lang w:val="ru-RU" w:bidi="ar-SA"/>
        </w:rPr>
        <w:t xml:space="preserve"> </w:t>
      </w:r>
      <w:r w:rsidRPr="004E7E3E">
        <w:rPr>
          <w:rFonts w:ascii="Times New Roman" w:hAnsi="Times New Roman" w:cs="Times New Roman"/>
          <w:sz w:val="24"/>
          <w:szCs w:val="24"/>
          <w:lang w:val="ru-RU"/>
        </w:rPr>
        <w:br w:type="page" w:clear="all"/>
      </w:r>
    </w:p>
    <w:p w14:paraId="477E8187" w14:textId="38191217" w:rsidR="00AE4368" w:rsidRPr="004E7E3E" w:rsidRDefault="002023F4" w:rsidP="008E4BDA">
      <w:pPr>
        <w:pStyle w:val="1"/>
        <w:spacing w:before="100" w:beforeAutospacing="1" w:after="100" w:line="360" w:lineRule="auto"/>
        <w:ind w:firstLine="709"/>
        <w:jc w:val="center"/>
        <w:rPr>
          <w:rFonts w:cs="Times New Roman"/>
          <w:sz w:val="24"/>
          <w:szCs w:val="24"/>
        </w:rPr>
      </w:pPr>
      <w:bookmarkStart w:id="4" w:name="_Toc136448473"/>
      <w:r w:rsidRPr="004E7E3E">
        <w:rPr>
          <w:rFonts w:cs="Times New Roman"/>
          <w:sz w:val="24"/>
          <w:szCs w:val="24"/>
        </w:rPr>
        <w:lastRenderedPageBreak/>
        <w:t>ГЛАВА 1. ТЕОРЕТИЧЕСКИЕ ПРЕДСТАВЛЕНИЯ О ФЕНОМЕНЕ МИРОВЫХ ФИНАНСОВЫХ ЦЕНТРОВ</w:t>
      </w:r>
      <w:bookmarkEnd w:id="4"/>
    </w:p>
    <w:p w14:paraId="327CCE25" w14:textId="77777777" w:rsidR="00937CBF" w:rsidRPr="004E7E3E" w:rsidRDefault="00937CBF" w:rsidP="00937CBF">
      <w:pPr>
        <w:pStyle w:val="2"/>
        <w:spacing w:before="100" w:beforeAutospacing="1" w:after="100" w:line="360" w:lineRule="auto"/>
        <w:ind w:firstLine="709"/>
        <w:contextualSpacing/>
        <w:rPr>
          <w:rFonts w:cs="Times New Roman"/>
          <w:sz w:val="24"/>
          <w:szCs w:val="24"/>
        </w:rPr>
      </w:pPr>
      <w:bookmarkStart w:id="5" w:name="Главадва"/>
      <w:bookmarkStart w:id="6" w:name="_Toc136448474"/>
      <w:bookmarkEnd w:id="1"/>
      <w:r w:rsidRPr="004E7E3E">
        <w:rPr>
          <w:rFonts w:cs="Times New Roman"/>
          <w:sz w:val="24"/>
          <w:szCs w:val="24"/>
        </w:rPr>
        <w:t>§ 1.1 Мировой финансовый центр как научная категория</w:t>
      </w:r>
      <w:bookmarkEnd w:id="6"/>
    </w:p>
    <w:p w14:paraId="78FD1CDB"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Начнём наше исследование с выработки собственного определения понятия «международный финансовый центр». Для этого приведём ряд наиболее часто встречающих</w:t>
      </w:r>
      <w:r>
        <w:rPr>
          <w:rFonts w:ascii="Times New Roman" w:hAnsi="Times New Roman" w:cs="Times New Roman"/>
          <w:color w:val="000000"/>
          <w:sz w:val="24"/>
          <w:szCs w:val="24"/>
          <w:shd w:val="clear" w:color="auto" w:fill="FFFFFF"/>
          <w:lang w:val="ru-RU"/>
        </w:rPr>
        <w:t>ся</w:t>
      </w:r>
      <w:r w:rsidRPr="004E7E3E">
        <w:rPr>
          <w:rFonts w:ascii="Times New Roman" w:hAnsi="Times New Roman" w:cs="Times New Roman"/>
          <w:color w:val="000000"/>
          <w:sz w:val="24"/>
          <w:szCs w:val="24"/>
          <w:shd w:val="clear" w:color="auto" w:fill="FFFFFF"/>
          <w:lang w:val="ru-RU"/>
        </w:rPr>
        <w:t xml:space="preserve"> в литературе </w:t>
      </w:r>
      <w:r w:rsidRPr="004E7E3E">
        <w:rPr>
          <w:rFonts w:ascii="Times New Roman" w:hAnsi="Times New Roman" w:cs="Times New Roman"/>
          <w:b/>
          <w:color w:val="000000"/>
          <w:sz w:val="24"/>
          <w:szCs w:val="24"/>
          <w:shd w:val="clear" w:color="auto" w:fill="FFFFFF"/>
          <w:lang w:val="ru-RU"/>
        </w:rPr>
        <w:t>определений</w:t>
      </w:r>
      <w:r w:rsidRPr="004E7E3E">
        <w:rPr>
          <w:rFonts w:ascii="Times New Roman" w:hAnsi="Times New Roman" w:cs="Times New Roman"/>
          <w:color w:val="000000"/>
          <w:sz w:val="24"/>
          <w:szCs w:val="24"/>
          <w:shd w:val="clear" w:color="auto" w:fill="FFFFFF"/>
          <w:lang w:val="ru-RU"/>
        </w:rPr>
        <w:t xml:space="preserve"> этого понятия:</w:t>
      </w:r>
    </w:p>
    <w:p w14:paraId="2148FF56" w14:textId="371DE4E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исследовании аналитического агентства </w:t>
      </w:r>
      <w:r w:rsidRPr="004E7E3E">
        <w:rPr>
          <w:rFonts w:ascii="Times New Roman" w:hAnsi="Times New Roman" w:cs="Times New Roman"/>
          <w:color w:val="000000"/>
          <w:sz w:val="24"/>
          <w:szCs w:val="24"/>
          <w:shd w:val="clear" w:color="auto" w:fill="FFFFFF"/>
        </w:rPr>
        <w:t>Z</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rPr>
        <w:t>Yen</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наиболее активного центра по изучению</w:t>
      </w:r>
      <w:r w:rsidRPr="004E7E3E">
        <w:rPr>
          <w:rFonts w:ascii="Times New Roman" w:hAnsi="Times New Roman" w:cs="Times New Roman"/>
          <w:color w:val="000000"/>
          <w:sz w:val="24"/>
          <w:szCs w:val="24"/>
          <w:shd w:val="clear" w:color="auto" w:fill="FFFFFF"/>
          <w:lang w:val="ru-RU"/>
        </w:rPr>
        <w:t xml:space="preserve"> МФЦ</w:t>
      </w:r>
      <w:r>
        <w:rPr>
          <w:rFonts w:ascii="Times New Roman" w:hAnsi="Times New Roman" w:cs="Times New Roman"/>
          <w:color w:val="000000"/>
          <w:sz w:val="24"/>
          <w:szCs w:val="24"/>
          <w:shd w:val="clear" w:color="auto" w:fill="FFFFFF"/>
          <w:lang w:val="ru-RU"/>
        </w:rPr>
        <w:t xml:space="preserve"> в начале </w:t>
      </w:r>
      <w:r>
        <w:rPr>
          <w:rFonts w:ascii="Times New Roman" w:hAnsi="Times New Roman" w:cs="Times New Roman"/>
          <w:color w:val="000000"/>
          <w:sz w:val="24"/>
          <w:szCs w:val="24"/>
          <w:shd w:val="clear" w:color="auto" w:fill="FFFFFF"/>
        </w:rPr>
        <w:t>XXI</w:t>
      </w:r>
      <w:r w:rsidRPr="00C7731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века</w:t>
      </w:r>
      <w:r w:rsidRPr="004E7E3E">
        <w:rPr>
          <w:rFonts w:ascii="Times New Roman" w:hAnsi="Times New Roman" w:cs="Times New Roman"/>
          <w:color w:val="000000"/>
          <w:sz w:val="24"/>
          <w:szCs w:val="24"/>
          <w:shd w:val="clear" w:color="auto" w:fill="FFFFFF"/>
          <w:lang w:val="ru-RU"/>
        </w:rPr>
        <w:t>, приводится следующее определение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b/>
          <w:color w:val="000000"/>
          <w:sz w:val="24"/>
          <w:szCs w:val="24"/>
          <w:shd w:val="clear" w:color="auto" w:fill="FFFFFF"/>
          <w:lang w:val="ru-RU"/>
        </w:rPr>
        <w:t>(1)</w:t>
      </w:r>
      <w:r>
        <w:rPr>
          <w:rFonts w:ascii="Times New Roman" w:hAnsi="Times New Roman" w:cs="Times New Roman"/>
          <w:color w:val="000000"/>
          <w:sz w:val="24"/>
          <w:szCs w:val="24"/>
          <w:shd w:val="clear" w:color="auto" w:fill="FFFFFF"/>
          <w:lang w:val="ru-RU"/>
        </w:rPr>
        <w:t xml:space="preserve"> «г</w:t>
      </w:r>
      <w:r w:rsidRPr="004E7E3E">
        <w:rPr>
          <w:rFonts w:ascii="Times New Roman" w:hAnsi="Times New Roman" w:cs="Times New Roman"/>
          <w:color w:val="000000"/>
          <w:sz w:val="24"/>
          <w:szCs w:val="24"/>
          <w:shd w:val="clear" w:color="auto" w:fill="FFFFFF"/>
          <w:lang w:val="ru-RU"/>
        </w:rPr>
        <w:t xml:space="preserve">лобальный финансовый центр характеризуется высокой концентрацией широкого спектра международной финансовой деятельности и транзакций в одном месте… Легко отметить, что финансовые центры существовали в течение всей истории, начиная с древних, почти легендарных метрополий, таких как </w:t>
      </w:r>
      <w:bookmarkStart w:id="7" w:name="_Hlk69637651"/>
      <w:r w:rsidRPr="004E7E3E">
        <w:rPr>
          <w:rFonts w:ascii="Times New Roman" w:hAnsi="Times New Roman" w:cs="Times New Roman"/>
          <w:color w:val="000000"/>
          <w:sz w:val="24"/>
          <w:szCs w:val="24"/>
          <w:shd w:val="clear" w:color="auto" w:fill="FFFFFF"/>
          <w:lang w:val="ru-RU"/>
        </w:rPr>
        <w:t>Вавилон, Самарканд, Константинополь, Маракеш или Тимбукту</w:t>
      </w:r>
      <w:bookmarkEnd w:id="7"/>
      <w:r w:rsidRPr="004E7E3E">
        <w:rPr>
          <w:rFonts w:ascii="Times New Roman" w:hAnsi="Times New Roman" w:cs="Times New Roman"/>
          <w:color w:val="000000"/>
          <w:sz w:val="24"/>
          <w:szCs w:val="24"/>
          <w:shd w:val="clear" w:color="auto" w:fill="FFFFFF"/>
          <w:lang w:val="ru-RU"/>
        </w:rPr>
        <w:t xml:space="preserve"> до Лондона, Нью-Йорка, Парижа, Токио или Шанхая. Глобальный финансовый центр всё менее характеризуется функцией «поддержки огромных национальных экономик»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_Ref131431983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230</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с. 10–11, 13]. Двумя самыми важными конкурентными факторами финансовых центров являются доступность профессиональных кадров и регулирование среды» [</w:t>
      </w:r>
      <w:r w:rsidRPr="004E7E3E">
        <w:rPr>
          <w:rFonts w:ascii="Times New Roman" w:hAnsi="Times New Roman" w:cs="Times New Roman"/>
          <w:color w:val="000000"/>
          <w:sz w:val="24"/>
          <w:szCs w:val="24"/>
          <w:shd w:val="clear" w:color="auto" w:fill="FFFFFF"/>
        </w:rPr>
        <w:fldChar w:fldCharType="begin"/>
      </w:r>
      <w:r w:rsidRPr="004E7E3E">
        <w:rPr>
          <w:rFonts w:ascii="Times New Roman" w:hAnsi="Times New Roman" w:cs="Times New Roman"/>
          <w:color w:val="000000"/>
          <w:sz w:val="24"/>
          <w:szCs w:val="24"/>
          <w:shd w:val="clear" w:color="auto" w:fill="FFFFFF"/>
          <w:lang w:val="ru-RU"/>
        </w:rPr>
        <w:instrText xml:space="preserve"> REF _Ref131431983 \r \h  \* </w:instrText>
      </w:r>
      <w:r w:rsidRPr="004E7E3E">
        <w:rPr>
          <w:rFonts w:ascii="Times New Roman" w:hAnsi="Times New Roman" w:cs="Times New Roman"/>
          <w:color w:val="000000"/>
          <w:sz w:val="24"/>
          <w:szCs w:val="24"/>
          <w:shd w:val="clear" w:color="auto" w:fill="FFFFFF"/>
        </w:rPr>
        <w:instrText>MERGEFORMAT</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r>
      <w:r w:rsidRPr="004E7E3E">
        <w:rPr>
          <w:rFonts w:ascii="Times New Roman" w:hAnsi="Times New Roman" w:cs="Times New Roman"/>
          <w:color w:val="000000"/>
          <w:sz w:val="24"/>
          <w:szCs w:val="24"/>
          <w:shd w:val="clear" w:color="auto" w:fill="FFFFFF"/>
        </w:rPr>
        <w:fldChar w:fldCharType="separate"/>
      </w:r>
      <w:r w:rsidR="00801D78">
        <w:rPr>
          <w:rFonts w:ascii="Times New Roman" w:hAnsi="Times New Roman" w:cs="Times New Roman"/>
          <w:color w:val="000000"/>
          <w:sz w:val="24"/>
          <w:szCs w:val="24"/>
          <w:shd w:val="clear" w:color="auto" w:fill="FFFFFF"/>
          <w:lang w:val="ru-RU"/>
        </w:rPr>
        <w:t>230</w:t>
      </w:r>
      <w:r w:rsidRPr="004E7E3E">
        <w:rPr>
          <w:rFonts w:ascii="Times New Roman" w:hAnsi="Times New Roman" w:cs="Times New Roman"/>
          <w:color w:val="000000"/>
          <w:sz w:val="24"/>
          <w:szCs w:val="24"/>
          <w:shd w:val="clear" w:color="auto" w:fill="FFFFFF"/>
        </w:rPr>
        <w:fldChar w:fldCharType="end"/>
      </w:r>
      <w:r w:rsidRPr="004E7E3E">
        <w:rPr>
          <w:rFonts w:ascii="Times New Roman" w:hAnsi="Times New Roman" w:cs="Times New Roman"/>
          <w:color w:val="000000"/>
          <w:sz w:val="24"/>
          <w:szCs w:val="24"/>
          <w:shd w:val="clear" w:color="auto" w:fill="FFFFFF"/>
          <w:lang w:val="ru-RU"/>
        </w:rPr>
        <w:t>, с. 57].</w:t>
      </w:r>
      <w:r>
        <w:rPr>
          <w:rFonts w:ascii="Times New Roman" w:hAnsi="Times New Roman" w:cs="Times New Roman"/>
          <w:color w:val="000000"/>
          <w:sz w:val="24"/>
          <w:szCs w:val="24"/>
          <w:shd w:val="clear" w:color="auto" w:fill="FFFFFF"/>
          <w:lang w:val="ru-RU"/>
        </w:rPr>
        <w:t xml:space="preserve"> Соотношение понятий «глобального финансового центра», «мирового финансового центра», «международного финансового центра» мы рассмотрим чуть ниже в этом параграфе. Предварительно сообщим, что понятие «мирового» финансового центра появилось исторически раньше и было замещено в специальной литературе на «глобальный» финансовый центр под влиянием процессов глобализации, хотя в отечественной научной литературе эти термины имеют сопоставимую частотность использования.  </w:t>
      </w:r>
    </w:p>
    <w:p w14:paraId="087850CD" w14:textId="78B60E9B" w:rsidR="00937CBF" w:rsidRPr="00067E46"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Агентство </w:t>
      </w:r>
      <w:r w:rsidRPr="004E7E3E">
        <w:rPr>
          <w:rFonts w:ascii="Times New Roman" w:hAnsi="Times New Roman" w:cs="Times New Roman"/>
          <w:color w:val="000000"/>
          <w:sz w:val="24"/>
          <w:szCs w:val="24"/>
          <w:shd w:val="clear" w:color="auto" w:fill="FFFFFF"/>
        </w:rPr>
        <w:t>Z</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rPr>
        <w:t>Yen</w:t>
      </w:r>
      <w:r w:rsidRPr="004E7E3E">
        <w:rPr>
          <w:rFonts w:ascii="Times New Roman" w:hAnsi="Times New Roman" w:cs="Times New Roman"/>
          <w:color w:val="000000"/>
          <w:sz w:val="24"/>
          <w:szCs w:val="24"/>
          <w:shd w:val="clear" w:color="auto" w:fill="FFFFFF"/>
          <w:lang w:val="ru-RU"/>
        </w:rPr>
        <w:t xml:space="preserve"> признаёт, что в своём исследовании отталкивалось от классификации Международного валютного фонда </w:t>
      </w:r>
      <w:r w:rsidRPr="004E7E3E">
        <w:rPr>
          <w:rFonts w:ascii="Times New Roman" w:hAnsi="Times New Roman" w:cs="Times New Roman"/>
          <w:b/>
          <w:color w:val="000000"/>
          <w:sz w:val="24"/>
          <w:szCs w:val="24"/>
          <w:shd w:val="clear" w:color="auto" w:fill="FFFFFF"/>
          <w:lang w:val="ru-RU"/>
        </w:rPr>
        <w:t>(2)</w:t>
      </w:r>
      <w:r w:rsidRPr="004E7E3E">
        <w:rPr>
          <w:rFonts w:ascii="Times New Roman" w:hAnsi="Times New Roman" w:cs="Times New Roman"/>
          <w:color w:val="000000"/>
          <w:sz w:val="24"/>
          <w:szCs w:val="24"/>
          <w:shd w:val="clear" w:color="auto" w:fill="FFFFFF"/>
          <w:lang w:val="ru-RU"/>
        </w:rPr>
        <w:t>. Приведём определение МВФ полностью, включив также такие понятия, как «региональный финансовый центр»</w:t>
      </w:r>
      <w:r>
        <w:rPr>
          <w:rFonts w:ascii="Times New Roman" w:hAnsi="Times New Roman" w:cs="Times New Roman"/>
          <w:color w:val="000000"/>
          <w:sz w:val="24"/>
          <w:szCs w:val="24"/>
          <w:shd w:val="clear" w:color="auto" w:fill="FFFFFF"/>
          <w:lang w:val="ru-RU"/>
        </w:rPr>
        <w:t xml:space="preserve"> и</w:t>
      </w:r>
      <w:r w:rsidRPr="004E7E3E">
        <w:rPr>
          <w:rFonts w:ascii="Times New Roman" w:hAnsi="Times New Roman" w:cs="Times New Roman"/>
          <w:color w:val="000000"/>
          <w:sz w:val="24"/>
          <w:szCs w:val="24"/>
          <w:shd w:val="clear" w:color="auto" w:fill="FFFFFF"/>
          <w:lang w:val="ru-RU"/>
        </w:rPr>
        <w:t xml:space="preserve"> «офшорный финансовый центр»:</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м</w:t>
      </w:r>
      <w:r w:rsidRPr="004E7E3E">
        <w:rPr>
          <w:rFonts w:ascii="Times New Roman" w:hAnsi="Times New Roman" w:cs="Times New Roman"/>
          <w:color w:val="000000"/>
          <w:sz w:val="24"/>
          <w:szCs w:val="24"/>
          <w:shd w:val="clear" w:color="auto" w:fill="FFFFFF"/>
          <w:lang w:val="ru-RU"/>
        </w:rPr>
        <w:t>еждународные финансовые центры (МФЦ) – такие как Лондон, Нью-Йорк и Токио – огромные международные центры с полным спектром услуг и развитой системой переводов и платежей, поддерживающие огромные национальные экономики с глубоко эшелонированными и</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ликвидными рынками, где и источники, и потребители капиталов диверсифицированы и где нормативные и регуляторные рамки соответствуют цели защиты целостности отношений глав</w:t>
      </w:r>
      <w:r>
        <w:rPr>
          <w:rFonts w:ascii="Times New Roman" w:hAnsi="Times New Roman" w:cs="Times New Roman"/>
          <w:color w:val="000000"/>
          <w:sz w:val="24"/>
          <w:szCs w:val="24"/>
          <w:shd w:val="clear" w:color="auto" w:fill="FFFFFF"/>
          <w:lang w:val="ru-RU"/>
        </w:rPr>
        <w:t>ных игроков и функциям надзорного</w:t>
      </w:r>
      <w:r w:rsidRPr="004E7E3E">
        <w:rPr>
          <w:rFonts w:ascii="Times New Roman" w:hAnsi="Times New Roman" w:cs="Times New Roman"/>
          <w:color w:val="000000"/>
          <w:sz w:val="24"/>
          <w:szCs w:val="24"/>
          <w:shd w:val="clear" w:color="auto" w:fill="FFFFFF"/>
          <w:lang w:val="ru-RU"/>
        </w:rPr>
        <w:t xml:space="preserve"> органа. В общем, МФЦ заимствует краткосрочно от нерезидентов и одалживает долгосрочно для нерезидентов. С точки зрения активов, Лондон </w:t>
      </w:r>
      <w:r w:rsidRPr="004E7E3E">
        <w:rPr>
          <w:rFonts w:ascii="Times New Roman" w:hAnsi="Times New Roman" w:cs="Times New Roman"/>
          <w:color w:val="000000"/>
          <w:sz w:val="24"/>
          <w:szCs w:val="24"/>
          <w:shd w:val="clear" w:color="auto" w:fill="FFFFFF"/>
          <w:lang w:val="ru-RU"/>
        </w:rPr>
        <w:lastRenderedPageBreak/>
        <w:t>является крупнейшим и наиболее устоявшимся подобным центром, преследуемым Нью-Йорком, с той разницей, что доля внутреннего бизнеса по отношению к международному у последнего намного больше. Региональные финансовые центры (РФЦ) отличаются от первой категории тем, что у них есть развитые финансовые рынки, инфраструктура, посреднические фонды внутри и</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вне их региона, но их собственная национальная экономика относительно небольшая. К</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региональным центрам относятся Гонконг, Сингапур (где большинство офшорных сделок проводится с помощью Азиатских Валютных Единиц) и Люксембург. В широком смысле, офшорным финансовым центром (ОФЦ) можно назвать финансовый центр, где имеет место офшорная деятельность. Данное определение соответствует всем главным финансовым центрам в мире. В таких центрах могут быть небольш</w:t>
      </w:r>
      <w:r>
        <w:rPr>
          <w:rFonts w:ascii="Times New Roman" w:hAnsi="Times New Roman" w:cs="Times New Roman"/>
          <w:color w:val="000000"/>
          <w:sz w:val="24"/>
          <w:szCs w:val="24"/>
          <w:shd w:val="clear" w:color="auto" w:fill="FFFFFF"/>
          <w:lang w:val="ru-RU"/>
        </w:rPr>
        <w:t>ие отличия между неофшорным и о</w:t>
      </w:r>
      <w:r w:rsidRPr="004E7E3E">
        <w:rPr>
          <w:rFonts w:ascii="Times New Roman" w:hAnsi="Times New Roman" w:cs="Times New Roman"/>
          <w:color w:val="000000"/>
          <w:sz w:val="24"/>
          <w:szCs w:val="24"/>
          <w:shd w:val="clear" w:color="auto" w:fill="FFFFFF"/>
          <w:lang w:val="ru-RU"/>
        </w:rPr>
        <w:t>фшорным бизнесом в том, что ссуд</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для нерезидента может быть предоставлена на собственном рынке центра, где поставщики капитала могут быть резидентами или нерезидентами. Таким же образом управляющий фондом может не отличить фонды клиентов-резидентов и фонды нерезидентов. Подобные центры как, например, Лондон, Нью</w:t>
      </w:r>
      <w:r w:rsidRPr="004E7E3E">
        <w:rPr>
          <w:rFonts w:ascii="Times New Roman" w:hAnsi="Times New Roman" w:cs="Times New Roman"/>
          <w:color w:val="000000"/>
          <w:sz w:val="24"/>
          <w:szCs w:val="24"/>
          <w:shd w:val="clear" w:color="auto" w:fill="FFFFFF"/>
          <w:lang w:val="ru-RU"/>
        </w:rPr>
        <w:noBreakHyphen/>
        <w:t>Йорк и Токио могут быть названы «международными финансовыми центрами» (МФЦ). В некоторых случаях, например,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Нью</w:t>
      </w:r>
      <w:r>
        <w:rPr>
          <w:rFonts w:ascii="Times New Roman" w:hAnsi="Times New Roman" w:cs="Times New Roman"/>
          <w:color w:val="000000"/>
          <w:sz w:val="24"/>
          <w:szCs w:val="24"/>
          <w:shd w:val="clear" w:color="auto" w:fill="FFFFFF"/>
          <w:lang w:val="ru-RU"/>
        </w:rPr>
        <w:noBreakHyphen/>
      </w:r>
      <w:r w:rsidRPr="004E7E3E">
        <w:rPr>
          <w:rFonts w:ascii="Times New Roman" w:hAnsi="Times New Roman" w:cs="Times New Roman"/>
          <w:color w:val="000000"/>
          <w:sz w:val="24"/>
          <w:szCs w:val="24"/>
          <w:shd w:val="clear" w:color="auto" w:fill="FFFFFF"/>
          <w:lang w:val="ru-RU"/>
        </w:rPr>
        <w:t>Йорке и Токио, некоторая деятельность, но, безусловно, не вся, проводится институтами, которые имеют льготные режимы в отношении налогов или других целей, например, Международные банковские услуги США и Японский офшорный рынок» [</w:t>
      </w:r>
      <w:r w:rsidRPr="004E7E3E">
        <w:rPr>
          <w:rFonts w:ascii="Times New Roman" w:hAnsi="Times New Roman" w:cs="Times New Roman"/>
          <w:color w:val="000000"/>
          <w:sz w:val="24"/>
          <w:szCs w:val="24"/>
          <w:shd w:val="clear" w:color="auto" w:fill="FFFFFF"/>
        </w:rPr>
        <w:fldChar w:fldCharType="begin"/>
      </w:r>
      <w:r w:rsidRPr="004E7E3E">
        <w:rPr>
          <w:rFonts w:ascii="Times New Roman" w:hAnsi="Times New Roman" w:cs="Times New Roman"/>
          <w:color w:val="000000"/>
          <w:sz w:val="24"/>
          <w:szCs w:val="24"/>
          <w:shd w:val="clear" w:color="auto" w:fill="FFFFFF"/>
          <w:lang w:val="ru-RU"/>
        </w:rPr>
        <w:instrText xml:space="preserve"> REF _Ref131431983 \r \h  \* </w:instrText>
      </w:r>
      <w:r w:rsidRPr="004E7E3E">
        <w:rPr>
          <w:rFonts w:ascii="Times New Roman" w:hAnsi="Times New Roman" w:cs="Times New Roman"/>
          <w:color w:val="000000"/>
          <w:sz w:val="24"/>
          <w:szCs w:val="24"/>
          <w:shd w:val="clear" w:color="auto" w:fill="FFFFFF"/>
        </w:rPr>
        <w:instrText>MERGEFORMAT</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r>
      <w:r w:rsidRPr="004E7E3E">
        <w:rPr>
          <w:rFonts w:ascii="Times New Roman" w:hAnsi="Times New Roman" w:cs="Times New Roman"/>
          <w:color w:val="000000"/>
          <w:sz w:val="24"/>
          <w:szCs w:val="24"/>
          <w:shd w:val="clear" w:color="auto" w:fill="FFFFFF"/>
        </w:rPr>
        <w:fldChar w:fldCharType="separate"/>
      </w:r>
      <w:r w:rsidR="00801D78">
        <w:rPr>
          <w:rFonts w:ascii="Times New Roman" w:hAnsi="Times New Roman" w:cs="Times New Roman"/>
          <w:color w:val="000000"/>
          <w:sz w:val="24"/>
          <w:szCs w:val="24"/>
          <w:shd w:val="clear" w:color="auto" w:fill="FFFFFF"/>
          <w:lang w:val="ru-RU"/>
        </w:rPr>
        <w:t>230</w:t>
      </w:r>
      <w:r w:rsidRPr="004E7E3E">
        <w:rPr>
          <w:rFonts w:ascii="Times New Roman" w:hAnsi="Times New Roman" w:cs="Times New Roman"/>
          <w:color w:val="000000"/>
          <w:sz w:val="24"/>
          <w:szCs w:val="24"/>
          <w:shd w:val="clear" w:color="auto" w:fill="FFFFFF"/>
        </w:rPr>
        <w:fldChar w:fldCharType="end"/>
      </w:r>
      <w:r w:rsidRPr="004E7E3E">
        <w:rPr>
          <w:rFonts w:ascii="Times New Roman" w:hAnsi="Times New Roman" w:cs="Times New Roman"/>
          <w:color w:val="000000"/>
          <w:sz w:val="24"/>
          <w:szCs w:val="24"/>
          <w:shd w:val="clear" w:color="auto" w:fill="FFFFFF"/>
          <w:lang w:val="ru-RU"/>
        </w:rPr>
        <w:t>, с. 12-13].</w:t>
      </w:r>
      <w:r>
        <w:rPr>
          <w:rFonts w:ascii="Times New Roman" w:hAnsi="Times New Roman" w:cs="Times New Roman"/>
          <w:color w:val="000000"/>
          <w:sz w:val="24"/>
          <w:szCs w:val="24"/>
          <w:shd w:val="clear" w:color="auto" w:fill="FFFFFF"/>
          <w:lang w:val="ru-RU"/>
        </w:rPr>
        <w:t xml:space="preserve"> Цитата взята из работы 2005 года и к текущему моменту не вполне соответствует действительности: Нью-Йорк в рейтингах опередил Лондон. Гонконг и Сингапур из региональных стали международными, но вступили в конкурентную борьбу с Шанхаем и Токио. В России появились свои офшорные зоны в Калининградской области и Приморском крае, которые, со слов Министра финансов А. Г. Силуанова, стали поводом для зачисления России в «чёрный список» офшорных зон </w:t>
      </w:r>
      <w:r w:rsidRPr="008075B8">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_Ref135324366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276</w:t>
      </w:r>
      <w:r>
        <w:rPr>
          <w:rFonts w:ascii="Times New Roman" w:hAnsi="Times New Roman" w:cs="Times New Roman"/>
          <w:color w:val="000000"/>
          <w:sz w:val="24"/>
          <w:szCs w:val="24"/>
          <w:shd w:val="clear" w:color="auto" w:fill="FFFFFF"/>
          <w:lang w:val="ru-RU"/>
        </w:rPr>
        <w:fldChar w:fldCharType="end"/>
      </w:r>
      <w:r w:rsidRPr="008075B8">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В офшорных зонах многие правительства стран стали видеть инструмент по уходу от налогов и попытки захвата стратегических объектов внешними силами, не замечая их компетенций по снижению транзакционных издержек для привлечения иностранных инвестиций, создания новых финансовых продуктов, эксплуатации международного морского и воздушного флотов. К тому же функция международного центра «</w:t>
      </w:r>
      <w:r w:rsidRPr="004E7E3E">
        <w:rPr>
          <w:rFonts w:ascii="Times New Roman" w:hAnsi="Times New Roman" w:cs="Times New Roman"/>
          <w:color w:val="000000"/>
          <w:sz w:val="24"/>
          <w:szCs w:val="24"/>
          <w:shd w:val="clear" w:color="auto" w:fill="FFFFFF"/>
          <w:lang w:val="ru-RU"/>
        </w:rPr>
        <w:t>заимст</w:t>
      </w:r>
      <w:r>
        <w:rPr>
          <w:rFonts w:ascii="Times New Roman" w:hAnsi="Times New Roman" w:cs="Times New Roman"/>
          <w:color w:val="000000"/>
          <w:sz w:val="24"/>
          <w:szCs w:val="24"/>
          <w:shd w:val="clear" w:color="auto" w:fill="FFFFFF"/>
          <w:lang w:val="ru-RU"/>
        </w:rPr>
        <w:t>во</w:t>
      </w:r>
      <w:r w:rsidRPr="004E7E3E">
        <w:rPr>
          <w:rFonts w:ascii="Times New Roman" w:hAnsi="Times New Roman" w:cs="Times New Roman"/>
          <w:color w:val="000000"/>
          <w:sz w:val="24"/>
          <w:szCs w:val="24"/>
          <w:shd w:val="clear" w:color="auto" w:fill="FFFFFF"/>
          <w:lang w:val="ru-RU"/>
        </w:rPr>
        <w:t>в</w:t>
      </w:r>
      <w:r>
        <w:rPr>
          <w:rFonts w:ascii="Times New Roman" w:hAnsi="Times New Roman" w:cs="Times New Roman"/>
          <w:color w:val="000000"/>
          <w:sz w:val="24"/>
          <w:szCs w:val="24"/>
          <w:shd w:val="clear" w:color="auto" w:fill="FFFFFF"/>
          <w:lang w:val="ru-RU"/>
        </w:rPr>
        <w:t>ать</w:t>
      </w:r>
      <w:r w:rsidRPr="004E7E3E">
        <w:rPr>
          <w:rFonts w:ascii="Times New Roman" w:hAnsi="Times New Roman" w:cs="Times New Roman"/>
          <w:color w:val="000000"/>
          <w:sz w:val="24"/>
          <w:szCs w:val="24"/>
          <w:shd w:val="clear" w:color="auto" w:fill="FFFFFF"/>
          <w:lang w:val="ru-RU"/>
        </w:rPr>
        <w:t xml:space="preserve"> краткосрочно от нерезидентов и одалжива</w:t>
      </w:r>
      <w:r>
        <w:rPr>
          <w:rFonts w:ascii="Times New Roman" w:hAnsi="Times New Roman" w:cs="Times New Roman"/>
          <w:color w:val="000000"/>
          <w:sz w:val="24"/>
          <w:szCs w:val="24"/>
          <w:shd w:val="clear" w:color="auto" w:fill="FFFFFF"/>
          <w:lang w:val="ru-RU"/>
        </w:rPr>
        <w:t>ть</w:t>
      </w:r>
      <w:r w:rsidRPr="004E7E3E">
        <w:rPr>
          <w:rFonts w:ascii="Times New Roman" w:hAnsi="Times New Roman" w:cs="Times New Roman"/>
          <w:color w:val="000000"/>
          <w:sz w:val="24"/>
          <w:szCs w:val="24"/>
          <w:shd w:val="clear" w:color="auto" w:fill="FFFFFF"/>
          <w:lang w:val="ru-RU"/>
        </w:rPr>
        <w:t xml:space="preserve"> долгосрочно для нерезидентов</w:t>
      </w:r>
      <w:r>
        <w:rPr>
          <w:rFonts w:ascii="Times New Roman" w:hAnsi="Times New Roman" w:cs="Times New Roman"/>
          <w:color w:val="000000"/>
          <w:sz w:val="24"/>
          <w:szCs w:val="24"/>
          <w:shd w:val="clear" w:color="auto" w:fill="FFFFFF"/>
          <w:lang w:val="ru-RU"/>
        </w:rPr>
        <w:t xml:space="preserve">» описана слишком лаконично, что оправдано для формата определения, но из-за чего ускользают многие важные характеристики. Например, «уимболдонизации» финансового рынка Лондона, где основную роль играют американские банки, которые оперируют долларовой ликвидностью транснациональных компаний, полученных за пределами </w:t>
      </w:r>
      <w:r w:rsidRPr="00067B37">
        <w:rPr>
          <w:rFonts w:ascii="Times New Roman" w:hAnsi="Times New Roman" w:cs="Times New Roman"/>
          <w:color w:val="000000"/>
          <w:sz w:val="24"/>
          <w:szCs w:val="24"/>
          <w:lang w:val="ru-RU"/>
        </w:rPr>
        <w:t>США [</w:t>
      </w:r>
      <w:r w:rsidRPr="00067B37">
        <w:rPr>
          <w:rFonts w:ascii="Times New Roman" w:hAnsi="Times New Roman" w:cs="Times New Roman"/>
          <w:color w:val="000000"/>
          <w:sz w:val="24"/>
          <w:szCs w:val="24"/>
          <w:lang w:val="ru-RU"/>
        </w:rPr>
        <w:fldChar w:fldCharType="begin"/>
      </w:r>
      <w:r w:rsidRPr="00067B37">
        <w:rPr>
          <w:rFonts w:ascii="Times New Roman" w:hAnsi="Times New Roman" w:cs="Times New Roman"/>
          <w:color w:val="000000"/>
          <w:sz w:val="24"/>
          <w:szCs w:val="24"/>
          <w:lang w:val="ru-RU"/>
        </w:rPr>
        <w:instrText xml:space="preserve"> REF _Ref135574457 \r \h  \* MERGEFORMAT </w:instrText>
      </w:r>
      <w:r w:rsidRPr="00067B37">
        <w:rPr>
          <w:rFonts w:ascii="Times New Roman" w:hAnsi="Times New Roman" w:cs="Times New Roman"/>
          <w:color w:val="000000"/>
          <w:sz w:val="24"/>
          <w:szCs w:val="24"/>
          <w:lang w:val="ru-RU"/>
        </w:rPr>
      </w:r>
      <w:r w:rsidRPr="00067B37">
        <w:rPr>
          <w:rFonts w:ascii="Times New Roman" w:hAnsi="Times New Roman" w:cs="Times New Roman"/>
          <w:color w:val="000000"/>
          <w:sz w:val="24"/>
          <w:szCs w:val="24"/>
          <w:lang w:val="ru-RU"/>
        </w:rPr>
        <w:fldChar w:fldCharType="separate"/>
      </w:r>
      <w:r w:rsidR="00801D78">
        <w:rPr>
          <w:rFonts w:ascii="Times New Roman" w:hAnsi="Times New Roman" w:cs="Times New Roman"/>
          <w:color w:val="000000"/>
          <w:sz w:val="24"/>
          <w:szCs w:val="24"/>
          <w:lang w:val="ru-RU"/>
        </w:rPr>
        <w:t>61</w:t>
      </w:r>
      <w:r w:rsidRPr="00067B37">
        <w:rPr>
          <w:rFonts w:ascii="Times New Roman" w:hAnsi="Times New Roman" w:cs="Times New Roman"/>
          <w:color w:val="000000"/>
          <w:sz w:val="24"/>
          <w:szCs w:val="24"/>
          <w:lang w:val="ru-RU"/>
        </w:rPr>
        <w:fldChar w:fldCharType="end"/>
      </w:r>
      <w:r w:rsidRPr="00067B37">
        <w:rPr>
          <w:rFonts w:ascii="Times New Roman" w:hAnsi="Times New Roman" w:cs="Times New Roman"/>
          <w:color w:val="000000"/>
          <w:sz w:val="24"/>
          <w:szCs w:val="24"/>
          <w:lang w:val="ru-RU"/>
        </w:rPr>
        <w:t>, с. 9].</w:t>
      </w:r>
      <w:r>
        <w:rPr>
          <w:rFonts w:ascii="Times New Roman" w:hAnsi="Times New Roman" w:cs="Times New Roman"/>
          <w:color w:val="000000"/>
          <w:sz w:val="24"/>
          <w:szCs w:val="24"/>
          <w:shd w:val="clear" w:color="auto" w:fill="FFFFFF"/>
          <w:lang w:val="ru-RU"/>
        </w:rPr>
        <w:t xml:space="preserve"> Власти США создали барьеры для аккумулирования средств на американском рынке для инвестиций за пределами США в 60-е годы </w:t>
      </w:r>
      <w:r>
        <w:rPr>
          <w:rFonts w:ascii="Times New Roman" w:hAnsi="Times New Roman" w:cs="Times New Roman"/>
          <w:color w:val="000000"/>
          <w:sz w:val="24"/>
          <w:szCs w:val="24"/>
          <w:shd w:val="clear" w:color="auto" w:fill="FFFFFF"/>
        </w:rPr>
        <w:lastRenderedPageBreak/>
        <w:t>XX</w:t>
      </w:r>
      <w:r w:rsidRPr="00067E46">
        <w:rPr>
          <w:rFonts w:ascii="Times New Roman" w:hAnsi="Times New Roman" w:cs="Times New Roman"/>
          <w:color w:val="000000"/>
          <w:sz w:val="24"/>
          <w:szCs w:val="24"/>
          <w:shd w:val="clear" w:color="auto" w:fill="FFFFFF"/>
          <w:lang w:val="ru-RU"/>
        </w:rPr>
        <w:t xml:space="preserve"> </w:t>
      </w:r>
      <w:r w:rsidRPr="00067B37">
        <w:rPr>
          <w:rFonts w:ascii="Times New Roman" w:hAnsi="Times New Roman" w:cs="Times New Roman"/>
          <w:color w:val="000000"/>
          <w:sz w:val="24"/>
          <w:szCs w:val="24"/>
          <w:shd w:val="clear" w:color="auto" w:fill="FFFFFF"/>
          <w:lang w:val="ru-RU"/>
        </w:rPr>
        <w:t xml:space="preserve">века </w:t>
      </w:r>
      <w:r w:rsidRPr="00067B37">
        <w:rPr>
          <w:rFonts w:ascii="Times New Roman" w:hAnsi="Times New Roman" w:cs="Times New Roman"/>
          <w:color w:val="000000"/>
          <w:sz w:val="24"/>
          <w:szCs w:val="24"/>
          <w:lang w:val="ru-RU"/>
        </w:rPr>
        <w:t>[</w:t>
      </w:r>
      <w:r w:rsidRPr="00067B37">
        <w:rPr>
          <w:rFonts w:ascii="Times New Roman" w:hAnsi="Times New Roman" w:cs="Times New Roman"/>
          <w:color w:val="000000"/>
          <w:sz w:val="24"/>
          <w:szCs w:val="24"/>
          <w:lang w:val="ru-RU"/>
        </w:rPr>
        <w:fldChar w:fldCharType="begin"/>
      </w:r>
      <w:r w:rsidRPr="00067B37">
        <w:rPr>
          <w:rFonts w:ascii="Times New Roman" w:hAnsi="Times New Roman" w:cs="Times New Roman"/>
          <w:color w:val="000000"/>
          <w:sz w:val="24"/>
          <w:szCs w:val="24"/>
          <w:lang w:val="ru-RU"/>
        </w:rPr>
        <w:instrText xml:space="preserve"> REF _Ref135307314 \r \h  \* MERGEFORMAT </w:instrText>
      </w:r>
      <w:r w:rsidRPr="00067B37">
        <w:rPr>
          <w:rFonts w:ascii="Times New Roman" w:hAnsi="Times New Roman" w:cs="Times New Roman"/>
          <w:color w:val="000000"/>
          <w:sz w:val="24"/>
          <w:szCs w:val="24"/>
          <w:lang w:val="ru-RU"/>
        </w:rPr>
      </w:r>
      <w:r w:rsidRPr="00067B37">
        <w:rPr>
          <w:rFonts w:ascii="Times New Roman" w:hAnsi="Times New Roman" w:cs="Times New Roman"/>
          <w:color w:val="000000"/>
          <w:sz w:val="24"/>
          <w:szCs w:val="24"/>
          <w:lang w:val="ru-RU"/>
        </w:rPr>
        <w:fldChar w:fldCharType="separate"/>
      </w:r>
      <w:r w:rsidR="00801D78">
        <w:rPr>
          <w:rFonts w:ascii="Times New Roman" w:hAnsi="Times New Roman" w:cs="Times New Roman"/>
          <w:color w:val="000000"/>
          <w:sz w:val="24"/>
          <w:szCs w:val="24"/>
          <w:lang w:val="ru-RU"/>
        </w:rPr>
        <w:t>101</w:t>
      </w:r>
      <w:r w:rsidRPr="00067B37">
        <w:rPr>
          <w:rFonts w:ascii="Times New Roman" w:hAnsi="Times New Roman" w:cs="Times New Roman"/>
          <w:color w:val="000000"/>
          <w:sz w:val="24"/>
          <w:szCs w:val="24"/>
          <w:lang w:val="ru-RU"/>
        </w:rPr>
        <w:fldChar w:fldCharType="end"/>
      </w:r>
      <w:r w:rsidRPr="00067B37">
        <w:rPr>
          <w:rFonts w:ascii="Times New Roman" w:hAnsi="Times New Roman" w:cs="Times New Roman"/>
          <w:color w:val="000000"/>
          <w:sz w:val="24"/>
          <w:szCs w:val="24"/>
          <w:lang w:val="ru-RU"/>
        </w:rPr>
        <w:t>, с. 82],</w:t>
      </w:r>
      <w:r>
        <w:rPr>
          <w:rFonts w:ascii="Times New Roman" w:hAnsi="Times New Roman" w:cs="Times New Roman"/>
          <w:color w:val="000000"/>
          <w:sz w:val="24"/>
          <w:szCs w:val="24"/>
          <w:shd w:val="clear" w:color="auto" w:fill="FFFFFF"/>
          <w:lang w:val="ru-RU"/>
        </w:rPr>
        <w:t xml:space="preserve"> и американским компания стало удобнее проводить инвестиционный цикл не через Нью-Йорк, а находить некие региональные центры: сначала в Лондоне для европейских операций, потом в Гонконге и Сингапуре для Южной и Юго-Восточной Азии.</w:t>
      </w:r>
    </w:p>
    <w:p w14:paraId="0AC071B0" w14:textId="756F4E79" w:rsidR="00937CBF" w:rsidRPr="004E7E3E"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color w:val="000000"/>
          <w:sz w:val="24"/>
          <w:szCs w:val="24"/>
          <w:shd w:val="clear" w:color="auto" w:fill="FFFFFF"/>
          <w:lang w:val="ru-RU"/>
        </w:rPr>
        <w:t xml:space="preserve">В определении </w:t>
      </w:r>
      <w:r w:rsidRPr="004E7E3E">
        <w:rPr>
          <w:rFonts w:ascii="Times New Roman" w:hAnsi="Times New Roman" w:cs="Times New Roman"/>
          <w:b/>
          <w:sz w:val="24"/>
          <w:szCs w:val="24"/>
          <w:lang w:val="ru-RU"/>
        </w:rPr>
        <w:t>(3)</w:t>
      </w:r>
      <w:r w:rsidRPr="004E7E3E">
        <w:rPr>
          <w:rFonts w:ascii="Times New Roman" w:hAnsi="Times New Roman" w:cs="Times New Roman"/>
          <w:color w:val="000000"/>
          <w:sz w:val="24"/>
          <w:szCs w:val="24"/>
          <w:shd w:val="clear" w:color="auto" w:fill="FFFFFF"/>
          <w:lang w:val="ru-RU"/>
        </w:rPr>
        <w:t xml:space="preserve">, приводимом в </w:t>
      </w:r>
      <w:r w:rsidRPr="004E7E3E">
        <w:rPr>
          <w:rFonts w:ascii="Times New Roman" w:hAnsi="Times New Roman" w:cs="Times New Roman"/>
          <w:sz w:val="24"/>
          <w:szCs w:val="24"/>
          <w:lang w:val="ru-RU"/>
        </w:rPr>
        <w:t xml:space="preserve">Концепции российского правительства по созданию МФЦ в России, </w:t>
      </w:r>
      <w:r>
        <w:rPr>
          <w:rFonts w:ascii="Times New Roman" w:hAnsi="Times New Roman" w:cs="Times New Roman"/>
          <w:sz w:val="24"/>
          <w:szCs w:val="24"/>
          <w:lang w:val="ru-RU"/>
        </w:rPr>
        <w:t>прослеживается</w:t>
      </w:r>
      <w:r w:rsidRPr="004E7E3E">
        <w:rPr>
          <w:rFonts w:ascii="Times New Roman" w:hAnsi="Times New Roman" w:cs="Times New Roman"/>
          <w:sz w:val="24"/>
          <w:szCs w:val="24"/>
          <w:lang w:val="ru-RU"/>
        </w:rPr>
        <w:t xml:space="preserve"> влияние работ британского исследовательского агентства </w:t>
      </w:r>
      <w:r w:rsidRPr="004E7E3E">
        <w:rPr>
          <w:rFonts w:ascii="Times New Roman" w:hAnsi="Times New Roman" w:cs="Times New Roman"/>
          <w:sz w:val="24"/>
          <w:szCs w:val="24"/>
        </w:rPr>
        <w:t>Z</w:t>
      </w:r>
      <w:r w:rsidRPr="004E7E3E">
        <w:rPr>
          <w:rFonts w:ascii="Times New Roman" w:hAnsi="Times New Roman" w:cs="Times New Roman"/>
          <w:sz w:val="24"/>
          <w:szCs w:val="24"/>
          <w:lang w:val="ru-RU"/>
        </w:rPr>
        <w:t>/</w:t>
      </w:r>
      <w:r w:rsidRPr="004E7E3E">
        <w:rPr>
          <w:rFonts w:ascii="Times New Roman" w:hAnsi="Times New Roman" w:cs="Times New Roman"/>
          <w:sz w:val="24"/>
          <w:szCs w:val="24"/>
        </w:rPr>
        <w:t>Yen</w:t>
      </w:r>
      <w:r w:rsidRPr="004E7E3E">
        <w:rPr>
          <w:rFonts w:ascii="Times New Roman" w:hAnsi="Times New Roman" w:cs="Times New Roman"/>
          <w:sz w:val="24"/>
          <w:szCs w:val="24"/>
          <w:lang w:val="ru-RU"/>
        </w:rPr>
        <w:t>: «</w:t>
      </w:r>
      <w:r>
        <w:rPr>
          <w:rFonts w:ascii="Times New Roman" w:hAnsi="Times New Roman" w:cs="Times New Roman"/>
          <w:sz w:val="24"/>
          <w:szCs w:val="24"/>
          <w:lang w:val="ru-RU"/>
        </w:rPr>
        <w:t>ф</w:t>
      </w:r>
      <w:r w:rsidRPr="004E7E3E">
        <w:rPr>
          <w:rFonts w:ascii="Times New Roman" w:hAnsi="Times New Roman" w:cs="Times New Roman"/>
          <w:sz w:val="24"/>
          <w:szCs w:val="24"/>
          <w:lang w:val="ru-RU"/>
        </w:rPr>
        <w:t>инансовые центры характеризуются такими параметрами, как концентрация капитала (инвестиционный спрос), набор инструментов (инвестиционное предложение), а также эффективность финансовой инфраструктуры и услуг, предоставляемых финансовыми посредниками. Международный финансовый центр (МФЦ) отличается от национального финансового центра открытостью и ориентированностью на клиентов вне страны, в юрисдикции которой он находится. Это означает, что существенную роль в МФЦ играют иностранный капитал, иностранные инвесторы и посредники, а также инструменты и активы заграничного происхождения»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_Ref131432104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6</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с. 7].</w:t>
      </w:r>
    </w:p>
    <w:p w14:paraId="13D61CAB" w14:textId="77777777" w:rsidR="00937CBF"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Несколько определений были предложены отечественными исследователями:</w:t>
      </w:r>
    </w:p>
    <w:p w14:paraId="18169AA6" w14:textId="73EF8928" w:rsidR="00937CBF"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 К. Беляев в исследовании, посвящённом Лондонскому финансовому центру, пишет: «В самом общем виде они (МФЦ) представляют собой центр сосредоточения учреждений, занятых в сфере финансов, осуществляющих международные валютные, кредитные и финансовые операции, сделки с ценными бумагами, драгоценными металлами, деривативами: опционами, фьючерсами, варрантами др. В первую очередь, к ним относятся: банки, страховые компании, валютная и фондовая биржа, специальные финансовые институты. Для финансового центра характерно, что все эти учреждения действуют в тесной взаимосвязи и взаимообусловленности. Международный финансовый центр рассматривается как интегрированная рыночная система, обеспечивающая взаимодействие между различными секторами финансового рынка. Эти связи проявляются в том, что финансовые рынки, страховые компании и другие участники финансового рынка формируют своего рода консолидированный механизм, способный предоставить весь комплекс услуг в области финансов и валютно-кредитных отношений» </w:t>
      </w:r>
      <w:r w:rsidRPr="008A07CA">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_Ref135574457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61</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xml:space="preserve">, </w:t>
      </w:r>
      <w:r>
        <w:rPr>
          <w:rFonts w:ascii="Times New Roman" w:hAnsi="Times New Roman" w:cs="Times New Roman"/>
          <w:sz w:val="24"/>
          <w:szCs w:val="24"/>
        </w:rPr>
        <w:t>c</w:t>
      </w:r>
      <w:r w:rsidRPr="008A07CA">
        <w:rPr>
          <w:rFonts w:ascii="Times New Roman" w:hAnsi="Times New Roman" w:cs="Times New Roman"/>
          <w:sz w:val="24"/>
          <w:szCs w:val="24"/>
          <w:lang w:val="ru-RU"/>
        </w:rPr>
        <w:t>.</w:t>
      </w:r>
      <w:r>
        <w:rPr>
          <w:rFonts w:ascii="Times New Roman" w:hAnsi="Times New Roman" w:cs="Times New Roman"/>
          <w:sz w:val="24"/>
          <w:szCs w:val="24"/>
          <w:lang w:val="ru-RU"/>
        </w:rPr>
        <w:t> </w:t>
      </w:r>
      <w:r w:rsidRPr="008A07CA">
        <w:rPr>
          <w:rFonts w:ascii="Times New Roman" w:hAnsi="Times New Roman" w:cs="Times New Roman"/>
          <w:sz w:val="24"/>
          <w:szCs w:val="24"/>
          <w:lang w:val="ru-RU"/>
        </w:rPr>
        <w:t>39]</w:t>
      </w:r>
      <w:r>
        <w:rPr>
          <w:rFonts w:ascii="Times New Roman" w:hAnsi="Times New Roman" w:cs="Times New Roman"/>
          <w:sz w:val="24"/>
          <w:szCs w:val="24"/>
          <w:lang w:val="ru-RU"/>
        </w:rPr>
        <w:t xml:space="preserve">. Автор описывает МФЦ в виде кластера финансовых услуг. На два года раньше С. М. Дробышевский из Института переходной экономики сделал попытку проанализировать факторы развития МФЦ с точки зрения теории кластерного развития М. Портера </w:t>
      </w:r>
      <w:r w:rsidRPr="004E7F0B">
        <w:rPr>
          <w:rFonts w:ascii="Times New Roman" w:hAnsi="Times New Roman" w:cs="Times New Roman"/>
          <w:sz w:val="24"/>
          <w:szCs w:val="24"/>
          <w:lang w:val="ru-RU"/>
        </w:rPr>
        <w:t>[</w:t>
      </w:r>
      <w:r>
        <w:rPr>
          <w:rFonts w:ascii="Times New Roman" w:hAnsi="Times New Roman" w:cs="Times New Roman"/>
          <w:sz w:val="24"/>
          <w:szCs w:val="24"/>
        </w:rPr>
        <w:fldChar w:fldCharType="begin"/>
      </w:r>
      <w:r w:rsidRPr="004E7F0B">
        <w:rPr>
          <w:rFonts w:ascii="Times New Roman" w:hAnsi="Times New Roman" w:cs="Times New Roman"/>
          <w:sz w:val="24"/>
          <w:szCs w:val="24"/>
          <w:lang w:val="ru-RU"/>
        </w:rPr>
        <w:instrText xml:space="preserve"> </w:instrText>
      </w:r>
      <w:r>
        <w:rPr>
          <w:rFonts w:ascii="Times New Roman" w:hAnsi="Times New Roman" w:cs="Times New Roman"/>
          <w:sz w:val="24"/>
          <w:szCs w:val="24"/>
        </w:rPr>
        <w:instrText>REF</w:instrText>
      </w:r>
      <w:r w:rsidRPr="004E7F0B">
        <w:rPr>
          <w:rFonts w:ascii="Times New Roman" w:hAnsi="Times New Roman" w:cs="Times New Roman"/>
          <w:sz w:val="24"/>
          <w:szCs w:val="24"/>
          <w:lang w:val="ru-RU"/>
        </w:rPr>
        <w:instrText xml:space="preserve"> _</w:instrText>
      </w:r>
      <w:r>
        <w:rPr>
          <w:rFonts w:ascii="Times New Roman" w:hAnsi="Times New Roman" w:cs="Times New Roman"/>
          <w:sz w:val="24"/>
          <w:szCs w:val="24"/>
        </w:rPr>
        <w:instrText>Ref</w:instrText>
      </w:r>
      <w:r w:rsidRPr="004E7F0B">
        <w:rPr>
          <w:rFonts w:ascii="Times New Roman" w:hAnsi="Times New Roman" w:cs="Times New Roman"/>
          <w:sz w:val="24"/>
          <w:szCs w:val="24"/>
          <w:lang w:val="ru-RU"/>
        </w:rPr>
        <w:instrText>135578059 \</w:instrText>
      </w:r>
      <w:r>
        <w:rPr>
          <w:rFonts w:ascii="Times New Roman" w:hAnsi="Times New Roman" w:cs="Times New Roman"/>
          <w:sz w:val="24"/>
          <w:szCs w:val="24"/>
        </w:rPr>
        <w:instrText>r</w:instrText>
      </w:r>
      <w:r w:rsidRPr="004E7F0B">
        <w:rPr>
          <w:rFonts w:ascii="Times New Roman" w:hAnsi="Times New Roman" w:cs="Times New Roman"/>
          <w:sz w:val="24"/>
          <w:szCs w:val="24"/>
          <w:lang w:val="ru-RU"/>
        </w:rPr>
        <w:instrText xml:space="preserve"> \</w:instrText>
      </w:r>
      <w:r>
        <w:rPr>
          <w:rFonts w:ascii="Times New Roman" w:hAnsi="Times New Roman" w:cs="Times New Roman"/>
          <w:sz w:val="24"/>
          <w:szCs w:val="24"/>
        </w:rPr>
        <w:instrText>h</w:instrText>
      </w:r>
      <w:r w:rsidRPr="004E7F0B">
        <w:rPr>
          <w:rFonts w:ascii="Times New Roman" w:hAnsi="Times New Roman" w:cs="Times New Roman"/>
          <w:sz w:val="24"/>
          <w:szCs w:val="24"/>
          <w:lang w:val="ru-RU"/>
        </w:rPr>
        <w:instrText xml:space="preserve"> </w:instrText>
      </w:r>
      <w:r>
        <w:rPr>
          <w:rFonts w:ascii="Times New Roman" w:hAnsi="Times New Roman" w:cs="Times New Roman"/>
          <w:sz w:val="24"/>
          <w:szCs w:val="24"/>
        </w:rPr>
      </w:r>
      <w:r>
        <w:rPr>
          <w:rFonts w:ascii="Times New Roman" w:hAnsi="Times New Roman" w:cs="Times New Roman"/>
          <w:sz w:val="24"/>
          <w:szCs w:val="24"/>
        </w:rPr>
        <w:fldChar w:fldCharType="separate"/>
      </w:r>
      <w:r w:rsidR="00801D78" w:rsidRPr="00801D78">
        <w:rPr>
          <w:rFonts w:ascii="Times New Roman" w:hAnsi="Times New Roman" w:cs="Times New Roman"/>
          <w:sz w:val="24"/>
          <w:szCs w:val="24"/>
          <w:lang w:val="ru-RU"/>
        </w:rPr>
        <w:t>78</w:t>
      </w:r>
      <w:r>
        <w:rPr>
          <w:rFonts w:ascii="Times New Roman" w:hAnsi="Times New Roman" w:cs="Times New Roman"/>
          <w:sz w:val="24"/>
          <w:szCs w:val="24"/>
        </w:rPr>
        <w:fldChar w:fldCharType="end"/>
      </w:r>
      <w:r w:rsidRPr="004E7F0B">
        <w:rPr>
          <w:rFonts w:ascii="Times New Roman" w:hAnsi="Times New Roman" w:cs="Times New Roman"/>
          <w:sz w:val="24"/>
          <w:szCs w:val="24"/>
          <w:lang w:val="ru-RU"/>
        </w:rPr>
        <w:t xml:space="preserve">, </w:t>
      </w:r>
      <w:r>
        <w:rPr>
          <w:rFonts w:ascii="Times New Roman" w:hAnsi="Times New Roman" w:cs="Times New Roman"/>
          <w:sz w:val="24"/>
          <w:szCs w:val="24"/>
        </w:rPr>
        <w:t>c</w:t>
      </w:r>
      <w:r w:rsidRPr="004E7F0B">
        <w:rPr>
          <w:rFonts w:ascii="Times New Roman" w:hAnsi="Times New Roman" w:cs="Times New Roman"/>
          <w:sz w:val="24"/>
          <w:szCs w:val="24"/>
          <w:lang w:val="ru-RU"/>
        </w:rPr>
        <w:t>. 34-38]</w:t>
      </w:r>
      <w:r>
        <w:rPr>
          <w:rFonts w:ascii="Times New Roman" w:hAnsi="Times New Roman" w:cs="Times New Roman"/>
          <w:sz w:val="24"/>
          <w:szCs w:val="24"/>
          <w:lang w:val="ru-RU"/>
        </w:rPr>
        <w:t xml:space="preserve">. Он делает вывод, что </w:t>
      </w:r>
      <w:r w:rsidRPr="004D53DA">
        <w:rPr>
          <w:rFonts w:ascii="Times New Roman" w:hAnsi="Times New Roman" w:cs="Times New Roman"/>
          <w:sz w:val="24"/>
          <w:szCs w:val="24"/>
          <w:lang w:val="ru-RU"/>
        </w:rPr>
        <w:t xml:space="preserve">экономику «целесообразнее рассматривать через призму кластеров, а не через традиционное группирование компаний по отраслям и секторам экономики, поскольку кластеры лучше согласуются с характером конкуренции и источниками достижения конкурентных преимуществ. Большинство участников кластера (в контексте настоящей работы это банки, страховые компании, профессиональные участники на рынке </w:t>
      </w:r>
      <w:r w:rsidRPr="004D53DA">
        <w:rPr>
          <w:rFonts w:ascii="Times New Roman" w:hAnsi="Times New Roman" w:cs="Times New Roman"/>
          <w:sz w:val="24"/>
          <w:szCs w:val="24"/>
          <w:lang w:val="ru-RU"/>
        </w:rPr>
        <w:lastRenderedPageBreak/>
        <w:t>ценных бумаг и т.д.) не конкурируют между собой напрямую, а только обслуживают разные сегменты рынка. Однако у них много общих целей, потребностей и возможностей, они встречают много одинаковых ограничений и препятствий на пути повышения производительности. Поэтому государственные и частные инвестиции, направленные на улучшение условий функционирования кластера, приносят пользу сразу многим компаниям».</w:t>
      </w:r>
      <w:r>
        <w:rPr>
          <w:rFonts w:ascii="Times New Roman" w:hAnsi="Times New Roman" w:cs="Times New Roman"/>
          <w:sz w:val="24"/>
          <w:szCs w:val="24"/>
          <w:lang w:val="ru-RU"/>
        </w:rPr>
        <w:t xml:space="preserve"> По нашим наблюдениям, в отечественной научной литературе идея «городского кластера услуг» пока не получила должной проработки, концентрируясь на производственном </w:t>
      </w:r>
      <w:r w:rsidRPr="009517D6">
        <w:rPr>
          <w:rFonts w:ascii="Times New Roman" w:hAnsi="Times New Roman" w:cs="Times New Roman"/>
          <w:sz w:val="24"/>
          <w:szCs w:val="24"/>
          <w:lang w:val="ru-RU"/>
        </w:rPr>
        <w:t>направлении [</w:t>
      </w:r>
      <w:r w:rsidRPr="009517D6">
        <w:rPr>
          <w:rFonts w:ascii="Times New Roman" w:hAnsi="Times New Roman" w:cs="Times New Roman"/>
          <w:sz w:val="24"/>
          <w:szCs w:val="24"/>
          <w:lang w:val="ru-RU"/>
        </w:rPr>
        <w:fldChar w:fldCharType="begin"/>
      </w:r>
      <w:r w:rsidRPr="009517D6">
        <w:rPr>
          <w:rFonts w:ascii="Times New Roman" w:hAnsi="Times New Roman" w:cs="Times New Roman"/>
          <w:sz w:val="24"/>
          <w:szCs w:val="24"/>
          <w:lang w:val="ru-RU"/>
        </w:rPr>
        <w:instrText xml:space="preserve"> REF _Ref135593478 \r \h </w:instrText>
      </w:r>
      <w:r>
        <w:rPr>
          <w:rFonts w:ascii="Times New Roman" w:hAnsi="Times New Roman" w:cs="Times New Roman"/>
          <w:sz w:val="24"/>
          <w:szCs w:val="24"/>
          <w:lang w:val="ru-RU"/>
        </w:rPr>
        <w:instrText xml:space="preserve"> \* MERGEFORMAT </w:instrText>
      </w:r>
      <w:r w:rsidRPr="009517D6">
        <w:rPr>
          <w:rFonts w:ascii="Times New Roman" w:hAnsi="Times New Roman" w:cs="Times New Roman"/>
          <w:sz w:val="24"/>
          <w:szCs w:val="24"/>
          <w:lang w:val="ru-RU"/>
        </w:rPr>
      </w:r>
      <w:r w:rsidRPr="009517D6">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56</w:t>
      </w:r>
      <w:r w:rsidRPr="009517D6">
        <w:rPr>
          <w:rFonts w:ascii="Times New Roman" w:hAnsi="Times New Roman" w:cs="Times New Roman"/>
          <w:sz w:val="24"/>
          <w:szCs w:val="24"/>
          <w:lang w:val="ru-RU"/>
        </w:rPr>
        <w:fldChar w:fldCharType="end"/>
      </w:r>
      <w:r w:rsidRPr="009517D6">
        <w:rPr>
          <w:rFonts w:ascii="Times New Roman" w:hAnsi="Times New Roman" w:cs="Times New Roman"/>
          <w:sz w:val="24"/>
          <w:szCs w:val="24"/>
          <w:lang w:val="ru-RU"/>
        </w:rPr>
        <w:t>, с. 189], хотя</w:t>
      </w:r>
      <w:r>
        <w:rPr>
          <w:rFonts w:ascii="Times New Roman" w:hAnsi="Times New Roman" w:cs="Times New Roman"/>
          <w:sz w:val="24"/>
          <w:szCs w:val="24"/>
          <w:lang w:val="ru-RU"/>
        </w:rPr>
        <w:t xml:space="preserve"> британские исследователи из агентства </w:t>
      </w:r>
      <w:r>
        <w:rPr>
          <w:rFonts w:ascii="Times New Roman" w:hAnsi="Times New Roman" w:cs="Times New Roman"/>
          <w:sz w:val="24"/>
          <w:szCs w:val="24"/>
        </w:rPr>
        <w:t>Z</w:t>
      </w:r>
      <w:r w:rsidRPr="004D53DA">
        <w:rPr>
          <w:rFonts w:ascii="Times New Roman" w:hAnsi="Times New Roman" w:cs="Times New Roman"/>
          <w:sz w:val="24"/>
          <w:szCs w:val="24"/>
          <w:lang w:val="ru-RU"/>
        </w:rPr>
        <w:t>/</w:t>
      </w:r>
      <w:r>
        <w:rPr>
          <w:rFonts w:ascii="Times New Roman" w:hAnsi="Times New Roman" w:cs="Times New Roman"/>
          <w:sz w:val="24"/>
          <w:szCs w:val="24"/>
        </w:rPr>
        <w:t>Yen</w:t>
      </w:r>
      <w:r w:rsidRPr="004D53DA">
        <w:rPr>
          <w:rFonts w:ascii="Times New Roman" w:hAnsi="Times New Roman" w:cs="Times New Roman"/>
          <w:sz w:val="24"/>
          <w:szCs w:val="24"/>
          <w:lang w:val="ru-RU"/>
        </w:rPr>
        <w:t xml:space="preserve"> </w:t>
      </w:r>
      <w:r>
        <w:rPr>
          <w:rFonts w:ascii="Times New Roman" w:hAnsi="Times New Roman" w:cs="Times New Roman"/>
          <w:sz w:val="24"/>
          <w:szCs w:val="24"/>
          <w:lang w:val="ru-RU"/>
        </w:rPr>
        <w:t>активно расширяют свой опыт ранжирования городских сервисных центров, предлагая общественности более нишевой индекс зелёны</w:t>
      </w:r>
      <w:r w:rsidRPr="006E6AD3">
        <w:rPr>
          <w:rFonts w:ascii="Times New Roman" w:hAnsi="Times New Roman" w:cs="Times New Roman"/>
          <w:sz w:val="24"/>
          <w:szCs w:val="24"/>
          <w:lang w:val="ru-RU"/>
        </w:rPr>
        <w:t>х финансов [</w:t>
      </w:r>
      <w:r w:rsidRPr="006E6AD3">
        <w:rPr>
          <w:rFonts w:ascii="Times New Roman" w:hAnsi="Times New Roman" w:cs="Times New Roman"/>
          <w:sz w:val="24"/>
          <w:szCs w:val="24"/>
          <w:lang w:val="ru-RU"/>
        </w:rPr>
        <w:fldChar w:fldCharType="begin"/>
      </w:r>
      <w:r w:rsidRPr="006E6AD3">
        <w:rPr>
          <w:rFonts w:ascii="Times New Roman" w:hAnsi="Times New Roman" w:cs="Times New Roman"/>
          <w:sz w:val="24"/>
          <w:szCs w:val="24"/>
          <w:lang w:val="ru-RU"/>
        </w:rPr>
        <w:instrText xml:space="preserve"> REF _Ref135682055 \r \h </w:instrText>
      </w:r>
      <w:r>
        <w:rPr>
          <w:rFonts w:ascii="Times New Roman" w:hAnsi="Times New Roman" w:cs="Times New Roman"/>
          <w:sz w:val="24"/>
          <w:szCs w:val="24"/>
          <w:lang w:val="ru-RU"/>
        </w:rPr>
        <w:instrText xml:space="preserve"> \* MERGEFORMAT </w:instrText>
      </w:r>
      <w:r w:rsidRPr="006E6AD3">
        <w:rPr>
          <w:rFonts w:ascii="Times New Roman" w:hAnsi="Times New Roman" w:cs="Times New Roman"/>
          <w:sz w:val="24"/>
          <w:szCs w:val="24"/>
          <w:lang w:val="ru-RU"/>
        </w:rPr>
      </w:r>
      <w:r w:rsidRPr="006E6AD3">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234</w:t>
      </w:r>
      <w:r w:rsidRPr="006E6AD3">
        <w:rPr>
          <w:rFonts w:ascii="Times New Roman" w:hAnsi="Times New Roman" w:cs="Times New Roman"/>
          <w:sz w:val="24"/>
          <w:szCs w:val="24"/>
          <w:lang w:val="ru-RU"/>
        </w:rPr>
        <w:fldChar w:fldCharType="end"/>
      </w:r>
      <w:r w:rsidRPr="006E6AD3">
        <w:rPr>
          <w:rFonts w:ascii="Times New Roman" w:hAnsi="Times New Roman" w:cs="Times New Roman"/>
          <w:sz w:val="24"/>
          <w:szCs w:val="24"/>
          <w:lang w:val="ru-RU"/>
        </w:rPr>
        <w:t>], инновационно-технологический «индекс умных городов» [</w:t>
      </w:r>
      <w:r w:rsidRPr="006E6AD3">
        <w:rPr>
          <w:rFonts w:ascii="Times New Roman" w:hAnsi="Times New Roman" w:cs="Times New Roman"/>
          <w:sz w:val="24"/>
          <w:szCs w:val="24"/>
          <w:lang w:val="ru-RU"/>
        </w:rPr>
        <w:fldChar w:fldCharType="begin"/>
      </w:r>
      <w:r w:rsidRPr="006E6AD3">
        <w:rPr>
          <w:rFonts w:ascii="Times New Roman" w:hAnsi="Times New Roman" w:cs="Times New Roman"/>
          <w:sz w:val="24"/>
          <w:szCs w:val="24"/>
          <w:lang w:val="ru-RU"/>
        </w:rPr>
        <w:instrText xml:space="preserve"> REF _Ref135682067 \r \h </w:instrText>
      </w:r>
      <w:r>
        <w:rPr>
          <w:rFonts w:ascii="Times New Roman" w:hAnsi="Times New Roman" w:cs="Times New Roman"/>
          <w:sz w:val="24"/>
          <w:szCs w:val="24"/>
          <w:lang w:val="ru-RU"/>
        </w:rPr>
        <w:instrText xml:space="preserve"> \* MERGEFORMAT </w:instrText>
      </w:r>
      <w:r w:rsidRPr="006E6AD3">
        <w:rPr>
          <w:rFonts w:ascii="Times New Roman" w:hAnsi="Times New Roman" w:cs="Times New Roman"/>
          <w:sz w:val="24"/>
          <w:szCs w:val="24"/>
          <w:lang w:val="ru-RU"/>
        </w:rPr>
      </w:r>
      <w:r w:rsidRPr="006E6AD3">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222</w:t>
      </w:r>
      <w:r w:rsidRPr="006E6AD3">
        <w:rPr>
          <w:rFonts w:ascii="Times New Roman" w:hAnsi="Times New Roman" w:cs="Times New Roman"/>
          <w:sz w:val="24"/>
          <w:szCs w:val="24"/>
          <w:lang w:val="ru-RU"/>
        </w:rPr>
        <w:fldChar w:fldCharType="end"/>
      </w:r>
      <w:r w:rsidRPr="006E6AD3">
        <w:rPr>
          <w:rFonts w:ascii="Times New Roman" w:hAnsi="Times New Roman" w:cs="Times New Roman"/>
          <w:sz w:val="24"/>
          <w:szCs w:val="24"/>
          <w:lang w:val="ru-RU"/>
        </w:rPr>
        <w:t>], проводя</w:t>
      </w:r>
      <w:r>
        <w:rPr>
          <w:rFonts w:ascii="Times New Roman" w:hAnsi="Times New Roman" w:cs="Times New Roman"/>
          <w:sz w:val="24"/>
          <w:szCs w:val="24"/>
          <w:lang w:val="ru-RU"/>
        </w:rPr>
        <w:t xml:space="preserve"> исследования в сфере международных морских </w:t>
      </w:r>
      <w:r w:rsidRPr="009517D6">
        <w:rPr>
          <w:rFonts w:ascii="Times New Roman" w:hAnsi="Times New Roman" w:cs="Times New Roman"/>
          <w:sz w:val="24"/>
          <w:szCs w:val="24"/>
          <w:lang w:val="ru-RU"/>
        </w:rPr>
        <w:t>перевозок [</w:t>
      </w:r>
      <w:r w:rsidRPr="009517D6">
        <w:rPr>
          <w:rFonts w:ascii="Times New Roman" w:hAnsi="Times New Roman" w:cs="Times New Roman"/>
          <w:sz w:val="24"/>
          <w:szCs w:val="24"/>
          <w:lang w:val="ru-RU"/>
        </w:rPr>
        <w:fldChar w:fldCharType="begin"/>
      </w:r>
      <w:r w:rsidRPr="009517D6">
        <w:rPr>
          <w:rFonts w:ascii="Times New Roman" w:hAnsi="Times New Roman" w:cs="Times New Roman"/>
          <w:sz w:val="24"/>
          <w:szCs w:val="24"/>
          <w:lang w:val="ru-RU"/>
        </w:rPr>
        <w:instrText xml:space="preserve"> REF _Ref135593655 \r \h </w:instrText>
      </w:r>
      <w:r>
        <w:rPr>
          <w:rFonts w:ascii="Times New Roman" w:hAnsi="Times New Roman" w:cs="Times New Roman"/>
          <w:sz w:val="24"/>
          <w:szCs w:val="24"/>
          <w:lang w:val="ru-RU"/>
        </w:rPr>
        <w:instrText xml:space="preserve"> \* MERGEFORMAT </w:instrText>
      </w:r>
      <w:r w:rsidRPr="009517D6">
        <w:rPr>
          <w:rFonts w:ascii="Times New Roman" w:hAnsi="Times New Roman" w:cs="Times New Roman"/>
          <w:sz w:val="24"/>
          <w:szCs w:val="24"/>
          <w:lang w:val="ru-RU"/>
        </w:rPr>
      </w:r>
      <w:r w:rsidRPr="009517D6">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245</w:t>
      </w:r>
      <w:r w:rsidRPr="009517D6">
        <w:rPr>
          <w:rFonts w:ascii="Times New Roman" w:hAnsi="Times New Roman" w:cs="Times New Roman"/>
          <w:sz w:val="24"/>
          <w:szCs w:val="24"/>
          <w:lang w:val="ru-RU"/>
        </w:rPr>
        <w:fldChar w:fldCharType="end"/>
      </w:r>
      <w:r w:rsidRPr="009517D6">
        <w:rPr>
          <w:rFonts w:ascii="Times New Roman" w:hAnsi="Times New Roman" w:cs="Times New Roman"/>
          <w:sz w:val="24"/>
          <w:szCs w:val="24"/>
          <w:lang w:val="ru-RU"/>
        </w:rPr>
        <w:t>] и так</w:t>
      </w:r>
      <w:r>
        <w:rPr>
          <w:rFonts w:ascii="Times New Roman" w:hAnsi="Times New Roman" w:cs="Times New Roman"/>
          <w:sz w:val="24"/>
          <w:szCs w:val="24"/>
          <w:lang w:val="ru-RU"/>
        </w:rPr>
        <w:t xml:space="preserve"> далее.</w:t>
      </w:r>
    </w:p>
    <w:p w14:paraId="36379391" w14:textId="59932E1D" w:rsidR="00937CBF"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А. В. </w:t>
      </w:r>
      <w:r w:rsidRPr="004E7E3E">
        <w:rPr>
          <w:rFonts w:ascii="Times New Roman" w:hAnsi="Times New Roman" w:cs="Times New Roman"/>
          <w:sz w:val="24"/>
          <w:szCs w:val="24"/>
          <w:lang w:val="ru-RU"/>
        </w:rPr>
        <w:t>Новиков</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 xml:space="preserve">и </w:t>
      </w:r>
      <w:r>
        <w:rPr>
          <w:rFonts w:ascii="Times New Roman" w:hAnsi="Times New Roman" w:cs="Times New Roman"/>
          <w:sz w:val="24"/>
          <w:szCs w:val="24"/>
          <w:lang w:val="ru-RU"/>
        </w:rPr>
        <w:t xml:space="preserve">И. Я. </w:t>
      </w:r>
      <w:r w:rsidRPr="004E7E3E">
        <w:rPr>
          <w:rFonts w:ascii="Times New Roman" w:hAnsi="Times New Roman" w:cs="Times New Roman"/>
          <w:sz w:val="24"/>
          <w:szCs w:val="24"/>
          <w:lang w:val="ru-RU"/>
        </w:rPr>
        <w:t>Новиков</w:t>
      </w:r>
      <w:r>
        <w:rPr>
          <w:rFonts w:ascii="Times New Roman" w:hAnsi="Times New Roman" w:cs="Times New Roman"/>
          <w:sz w:val="24"/>
          <w:szCs w:val="24"/>
          <w:lang w:val="ru-RU"/>
        </w:rPr>
        <w:t>а</w:t>
      </w:r>
      <w:r w:rsidRPr="004E7E3E">
        <w:rPr>
          <w:rFonts w:ascii="Times New Roman" w:hAnsi="Times New Roman" w:cs="Times New Roman"/>
          <w:sz w:val="24"/>
          <w:szCs w:val="24"/>
          <w:lang w:val="ru-RU"/>
        </w:rPr>
        <w:t xml:space="preserve"> </w:t>
      </w:r>
      <w:r w:rsidRPr="004E7E3E">
        <w:rPr>
          <w:rFonts w:ascii="Times New Roman" w:hAnsi="Times New Roman" w:cs="Times New Roman"/>
          <w:b/>
          <w:sz w:val="24"/>
          <w:szCs w:val="24"/>
          <w:lang w:val="ru-RU"/>
        </w:rPr>
        <w:t>(4)</w:t>
      </w:r>
      <w:r w:rsidRPr="004E7E3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из Новосибирского университета предлагают структурировать исследование </w:t>
      </w:r>
      <w:r w:rsidRPr="004E7E3E">
        <w:rPr>
          <w:rFonts w:ascii="Times New Roman" w:hAnsi="Times New Roman" w:cs="Times New Roman"/>
          <w:sz w:val="24"/>
          <w:szCs w:val="24"/>
          <w:lang w:val="ru-RU"/>
        </w:rPr>
        <w:t>финансовы</w:t>
      </w:r>
      <w:r>
        <w:rPr>
          <w:rFonts w:ascii="Times New Roman" w:hAnsi="Times New Roman" w:cs="Times New Roman"/>
          <w:sz w:val="24"/>
          <w:szCs w:val="24"/>
          <w:lang w:val="ru-RU"/>
        </w:rPr>
        <w:t>х</w:t>
      </w:r>
      <w:r w:rsidRPr="004E7E3E">
        <w:rPr>
          <w:rFonts w:ascii="Times New Roman" w:hAnsi="Times New Roman" w:cs="Times New Roman"/>
          <w:sz w:val="24"/>
          <w:szCs w:val="24"/>
          <w:lang w:val="ru-RU"/>
        </w:rPr>
        <w:t xml:space="preserve"> центров в трех контекстах: 1) функциональном</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 xml:space="preserve"> совокупность финансовых и консультационных услуг</w:t>
      </w:r>
      <w:r>
        <w:rPr>
          <w:rFonts w:ascii="Times New Roman" w:hAnsi="Times New Roman" w:cs="Times New Roman"/>
          <w:sz w:val="24"/>
          <w:szCs w:val="24"/>
          <w:lang w:val="ru-RU"/>
        </w:rPr>
        <w:t>, обеспечивающих инфраструктурную поддержку</w:t>
      </w:r>
      <w:r w:rsidRPr="004E7E3E">
        <w:rPr>
          <w:rFonts w:ascii="Times New Roman" w:hAnsi="Times New Roman" w:cs="Times New Roman"/>
          <w:sz w:val="24"/>
          <w:szCs w:val="24"/>
          <w:lang w:val="ru-RU"/>
        </w:rPr>
        <w:t xml:space="preserve">; 2) институциональном </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система финансовых институтов, осуществляющих финансовые операции; 3) геополитическом </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«глобальный город с инфраструктурой, позволяющей привлекать и перераспределять финансовые ресурсы и обслуживать участников финансового рынка» [</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_Ref135576478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109</w:t>
      </w:r>
      <w:r>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с. </w:t>
      </w:r>
      <w:r>
        <w:rPr>
          <w:rFonts w:ascii="Times New Roman" w:hAnsi="Times New Roman" w:cs="Times New Roman"/>
          <w:sz w:val="24"/>
          <w:szCs w:val="24"/>
          <w:lang w:val="ru-RU"/>
        </w:rPr>
        <w:t>139</w:t>
      </w:r>
      <w:r w:rsidRPr="004E7E3E">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140</w:t>
      </w:r>
      <w:r w:rsidRPr="004E7E3E">
        <w:rPr>
          <w:rFonts w:ascii="Times New Roman" w:hAnsi="Times New Roman" w:cs="Times New Roman"/>
          <w:sz w:val="24"/>
          <w:szCs w:val="24"/>
          <w:lang w:val="ru-RU"/>
        </w:rPr>
        <w:t>].</w:t>
      </w:r>
      <w:r>
        <w:rPr>
          <w:rFonts w:ascii="Times New Roman" w:hAnsi="Times New Roman" w:cs="Times New Roman"/>
          <w:sz w:val="24"/>
          <w:szCs w:val="24"/>
          <w:lang w:val="ru-RU"/>
        </w:rPr>
        <w:t xml:space="preserve"> Фактически это определение описывает историю изучения МФЦ в науке.</w:t>
      </w:r>
    </w:p>
    <w:p w14:paraId="0D250389" w14:textId="5CAEF3F6" w:rsidR="00937CBF" w:rsidRPr="00C1015D"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А. А. Сахаров </w:t>
      </w:r>
      <w:r w:rsidRPr="004E7E3E">
        <w:rPr>
          <w:rFonts w:ascii="Times New Roman" w:hAnsi="Times New Roman" w:cs="Times New Roman"/>
          <w:b/>
          <w:sz w:val="24"/>
          <w:szCs w:val="24"/>
          <w:lang w:val="ru-RU"/>
        </w:rPr>
        <w:t>(</w:t>
      </w:r>
      <w:r>
        <w:rPr>
          <w:rFonts w:ascii="Times New Roman" w:hAnsi="Times New Roman" w:cs="Times New Roman"/>
          <w:b/>
          <w:sz w:val="24"/>
          <w:szCs w:val="24"/>
          <w:lang w:val="ru-RU"/>
        </w:rPr>
        <w:t>6</w:t>
      </w:r>
      <w:r w:rsidRPr="004E7E3E">
        <w:rPr>
          <w:rFonts w:ascii="Times New Roman" w:hAnsi="Times New Roman" w:cs="Times New Roman"/>
          <w:b/>
          <w:sz w:val="24"/>
          <w:szCs w:val="24"/>
          <w:lang w:val="ru-RU"/>
        </w:rPr>
        <w:t>)</w:t>
      </w:r>
      <w:r w:rsidRPr="004E7E3E">
        <w:rPr>
          <w:rFonts w:ascii="Times New Roman" w:hAnsi="Times New Roman" w:cs="Times New Roman"/>
          <w:sz w:val="24"/>
          <w:szCs w:val="24"/>
          <w:lang w:val="ru-RU"/>
        </w:rPr>
        <w:t xml:space="preserve"> пишет</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«Мировые финансовые центры (МФЦ) функционируют как международный рыночный механизм, который служит средством управления мировыми финансовыми потоками. Это центры сосредоточения банков и специализированных кредитно-финансовых институтов, осуществляющих международные валютные, кредитные и финансовые операции, сделки с ценными бумагами, драгоценными металлами, деривативами» [</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_Ref135578092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121</w:t>
      </w:r>
      <w:r>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с. 1].</w:t>
      </w:r>
      <w:r>
        <w:rPr>
          <w:rFonts w:ascii="Times New Roman" w:hAnsi="Times New Roman" w:cs="Times New Roman"/>
          <w:sz w:val="24"/>
          <w:szCs w:val="24"/>
          <w:lang w:val="ru-RU"/>
        </w:rPr>
        <w:t xml:space="preserve"> По прошествии десяти лет этот подход можно охарактеризовать как излишне оптимистичный. </w:t>
      </w:r>
      <w:r w:rsidR="002E6AF2">
        <w:rPr>
          <w:rFonts w:ascii="Times New Roman" w:hAnsi="Times New Roman" w:cs="Times New Roman"/>
          <w:sz w:val="24"/>
          <w:szCs w:val="24"/>
          <w:lang w:val="ru-RU"/>
        </w:rPr>
        <w:t xml:space="preserve">Полемичные суждения содержатся в статье </w:t>
      </w:r>
      <w:r>
        <w:rPr>
          <w:rFonts w:ascii="Times New Roman" w:hAnsi="Times New Roman" w:cs="Times New Roman"/>
          <w:sz w:val="24"/>
          <w:szCs w:val="24"/>
          <w:lang w:val="ru-RU"/>
        </w:rPr>
        <w:t>Р. Д. Смит</w:t>
      </w:r>
      <w:r w:rsidR="002E6AF2">
        <w:rPr>
          <w:rFonts w:ascii="Times New Roman" w:hAnsi="Times New Roman" w:cs="Times New Roman"/>
          <w:sz w:val="24"/>
          <w:szCs w:val="24"/>
          <w:lang w:val="ru-RU"/>
        </w:rPr>
        <w:t>а</w:t>
      </w:r>
      <w:r>
        <w:rPr>
          <w:rFonts w:ascii="Times New Roman" w:hAnsi="Times New Roman" w:cs="Times New Roman"/>
          <w:sz w:val="24"/>
          <w:szCs w:val="24"/>
          <w:lang w:val="ru-RU"/>
        </w:rPr>
        <w:t xml:space="preserve"> статье «Отходя от концепции глобального города и мифа «командуют и контролируют» </w:t>
      </w:r>
      <w:r w:rsidRPr="00C1015D">
        <w:rPr>
          <w:rFonts w:ascii="Times New Roman" w:hAnsi="Times New Roman" w:cs="Times New Roman"/>
          <w:sz w:val="24"/>
          <w:szCs w:val="24"/>
          <w:lang w:val="ru-RU"/>
        </w:rPr>
        <w:t>(</w:t>
      </w:r>
      <w:r>
        <w:rPr>
          <w:rFonts w:ascii="Times New Roman" w:hAnsi="Times New Roman" w:cs="Times New Roman"/>
          <w:sz w:val="24"/>
          <w:szCs w:val="24"/>
          <w:lang w:val="ru-RU"/>
        </w:rPr>
        <w:t>«</w:t>
      </w:r>
      <w:r>
        <w:rPr>
          <w:rFonts w:ascii="Times New Roman" w:hAnsi="Times New Roman" w:cs="Times New Roman"/>
          <w:sz w:val="24"/>
          <w:szCs w:val="24"/>
        </w:rPr>
        <w:t>Beyond</w:t>
      </w:r>
      <w:r w:rsidRPr="00C1015D">
        <w:rPr>
          <w:rFonts w:ascii="Times New Roman" w:hAnsi="Times New Roman" w:cs="Times New Roman"/>
          <w:sz w:val="24"/>
          <w:szCs w:val="24"/>
          <w:lang w:val="ru-RU"/>
        </w:rPr>
        <w:t xml:space="preserve"> </w:t>
      </w:r>
      <w:r>
        <w:rPr>
          <w:rFonts w:ascii="Times New Roman" w:hAnsi="Times New Roman" w:cs="Times New Roman"/>
          <w:sz w:val="24"/>
          <w:szCs w:val="24"/>
        </w:rPr>
        <w:t>the</w:t>
      </w:r>
      <w:r w:rsidRPr="00C1015D">
        <w:rPr>
          <w:rFonts w:ascii="Times New Roman" w:hAnsi="Times New Roman" w:cs="Times New Roman"/>
          <w:sz w:val="24"/>
          <w:szCs w:val="24"/>
          <w:lang w:val="ru-RU"/>
        </w:rPr>
        <w:t xml:space="preserve"> </w:t>
      </w:r>
      <w:r>
        <w:rPr>
          <w:rFonts w:ascii="Times New Roman" w:hAnsi="Times New Roman" w:cs="Times New Roman"/>
          <w:sz w:val="24"/>
          <w:szCs w:val="24"/>
        </w:rPr>
        <w:t>Global</w:t>
      </w:r>
      <w:r w:rsidRPr="00C1015D">
        <w:rPr>
          <w:rFonts w:ascii="Times New Roman" w:hAnsi="Times New Roman" w:cs="Times New Roman"/>
          <w:sz w:val="24"/>
          <w:szCs w:val="24"/>
          <w:lang w:val="ru-RU"/>
        </w:rPr>
        <w:t xml:space="preserve"> </w:t>
      </w:r>
      <w:r>
        <w:rPr>
          <w:rFonts w:ascii="Times New Roman" w:hAnsi="Times New Roman" w:cs="Times New Roman"/>
          <w:sz w:val="24"/>
          <w:szCs w:val="24"/>
        </w:rPr>
        <w:t>City</w:t>
      </w:r>
      <w:r w:rsidRPr="00C1015D">
        <w:rPr>
          <w:rFonts w:ascii="Times New Roman" w:hAnsi="Times New Roman" w:cs="Times New Roman"/>
          <w:sz w:val="24"/>
          <w:szCs w:val="24"/>
          <w:lang w:val="ru-RU"/>
        </w:rPr>
        <w:t xml:space="preserve"> </w:t>
      </w:r>
      <w:r>
        <w:rPr>
          <w:rFonts w:ascii="Times New Roman" w:hAnsi="Times New Roman" w:cs="Times New Roman"/>
          <w:sz w:val="24"/>
          <w:szCs w:val="24"/>
        </w:rPr>
        <w:t>Concept</w:t>
      </w:r>
      <w:r w:rsidRPr="00C1015D">
        <w:rPr>
          <w:rFonts w:ascii="Times New Roman" w:hAnsi="Times New Roman" w:cs="Times New Roman"/>
          <w:sz w:val="24"/>
          <w:szCs w:val="24"/>
          <w:lang w:val="ru-RU"/>
        </w:rPr>
        <w:t xml:space="preserve"> </w:t>
      </w:r>
      <w:r>
        <w:rPr>
          <w:rFonts w:ascii="Times New Roman" w:hAnsi="Times New Roman" w:cs="Times New Roman"/>
          <w:sz w:val="24"/>
          <w:szCs w:val="24"/>
        </w:rPr>
        <w:t>and</w:t>
      </w:r>
      <w:r w:rsidRPr="00C1015D">
        <w:rPr>
          <w:rFonts w:ascii="Times New Roman" w:hAnsi="Times New Roman" w:cs="Times New Roman"/>
          <w:sz w:val="24"/>
          <w:szCs w:val="24"/>
          <w:lang w:val="ru-RU"/>
        </w:rPr>
        <w:t xml:space="preserve"> </w:t>
      </w:r>
      <w:r>
        <w:rPr>
          <w:rFonts w:ascii="Times New Roman" w:hAnsi="Times New Roman" w:cs="Times New Roman"/>
          <w:sz w:val="24"/>
          <w:szCs w:val="24"/>
        </w:rPr>
        <w:t>the</w:t>
      </w:r>
      <w:r w:rsidRPr="00C1015D">
        <w:rPr>
          <w:rFonts w:ascii="Times New Roman" w:hAnsi="Times New Roman" w:cs="Times New Roman"/>
          <w:sz w:val="24"/>
          <w:szCs w:val="24"/>
          <w:lang w:val="ru-RU"/>
        </w:rPr>
        <w:t xml:space="preserve"> </w:t>
      </w:r>
      <w:r>
        <w:rPr>
          <w:rFonts w:ascii="Times New Roman" w:hAnsi="Times New Roman" w:cs="Times New Roman"/>
          <w:sz w:val="24"/>
          <w:szCs w:val="24"/>
        </w:rPr>
        <w:t>Myth</w:t>
      </w:r>
      <w:r w:rsidRPr="00C1015D">
        <w:rPr>
          <w:rFonts w:ascii="Times New Roman" w:hAnsi="Times New Roman" w:cs="Times New Roman"/>
          <w:sz w:val="24"/>
          <w:szCs w:val="24"/>
          <w:lang w:val="ru-RU"/>
        </w:rPr>
        <w:t xml:space="preserve"> </w:t>
      </w:r>
      <w:r>
        <w:rPr>
          <w:rFonts w:ascii="Times New Roman" w:hAnsi="Times New Roman" w:cs="Times New Roman"/>
          <w:sz w:val="24"/>
          <w:szCs w:val="24"/>
        </w:rPr>
        <w:t>of</w:t>
      </w:r>
      <w:r w:rsidRPr="00C1015D">
        <w:rPr>
          <w:rFonts w:ascii="Times New Roman" w:hAnsi="Times New Roman" w:cs="Times New Roman"/>
          <w:sz w:val="24"/>
          <w:szCs w:val="24"/>
          <w:lang w:val="ru-RU"/>
        </w:rPr>
        <w:t xml:space="preserve"> ‘</w:t>
      </w:r>
      <w:r>
        <w:rPr>
          <w:rFonts w:ascii="Times New Roman" w:hAnsi="Times New Roman" w:cs="Times New Roman"/>
          <w:sz w:val="24"/>
          <w:szCs w:val="24"/>
        </w:rPr>
        <w:t>Command</w:t>
      </w:r>
      <w:r w:rsidRPr="00C1015D">
        <w:rPr>
          <w:rFonts w:ascii="Times New Roman" w:hAnsi="Times New Roman" w:cs="Times New Roman"/>
          <w:sz w:val="24"/>
          <w:szCs w:val="24"/>
          <w:lang w:val="ru-RU"/>
        </w:rPr>
        <w:t xml:space="preserve"> </w:t>
      </w:r>
      <w:r>
        <w:rPr>
          <w:rFonts w:ascii="Times New Roman" w:hAnsi="Times New Roman" w:cs="Times New Roman"/>
          <w:sz w:val="24"/>
          <w:szCs w:val="24"/>
        </w:rPr>
        <w:t>and</w:t>
      </w:r>
      <w:r w:rsidRPr="00C1015D">
        <w:rPr>
          <w:rFonts w:ascii="Times New Roman" w:hAnsi="Times New Roman" w:cs="Times New Roman"/>
          <w:sz w:val="24"/>
          <w:szCs w:val="24"/>
          <w:lang w:val="ru-RU"/>
        </w:rPr>
        <w:t xml:space="preserve"> </w:t>
      </w:r>
      <w:r>
        <w:rPr>
          <w:rFonts w:ascii="Times New Roman" w:hAnsi="Times New Roman" w:cs="Times New Roman"/>
          <w:sz w:val="24"/>
          <w:szCs w:val="24"/>
        </w:rPr>
        <w:t>Control</w:t>
      </w:r>
      <w:r w:rsidRPr="00C1015D">
        <w:rPr>
          <w:rFonts w:ascii="Times New Roman" w:hAnsi="Times New Roman" w:cs="Times New Roman"/>
          <w:sz w:val="24"/>
          <w:szCs w:val="24"/>
          <w:lang w:val="ru-RU"/>
        </w:rPr>
        <w:t>’</w:t>
      </w:r>
      <w:r>
        <w:rPr>
          <w:rFonts w:ascii="Times New Roman" w:hAnsi="Times New Roman" w:cs="Times New Roman"/>
          <w:sz w:val="24"/>
          <w:szCs w:val="24"/>
          <w:lang w:val="ru-RU"/>
        </w:rPr>
        <w:t>»)</w:t>
      </w:r>
      <w:r w:rsidR="002E6AF2">
        <w:rPr>
          <w:rFonts w:ascii="Times New Roman" w:hAnsi="Times New Roman" w:cs="Times New Roman"/>
          <w:sz w:val="24"/>
          <w:szCs w:val="24"/>
          <w:lang w:val="ru-RU"/>
        </w:rPr>
        <w:t xml:space="preserve">. Он </w:t>
      </w:r>
      <w:r>
        <w:rPr>
          <w:rFonts w:ascii="Times New Roman" w:hAnsi="Times New Roman" w:cs="Times New Roman"/>
          <w:sz w:val="24"/>
          <w:szCs w:val="24"/>
          <w:lang w:val="ru-RU"/>
        </w:rPr>
        <w:t>находит концепции С. Сассен о «глобальных городах» и П. Дж. Тейлора о «командных центрах»</w:t>
      </w:r>
      <w:r w:rsidR="00BC0FBC">
        <w:rPr>
          <w:rFonts w:ascii="Times New Roman" w:hAnsi="Times New Roman" w:cs="Times New Roman"/>
          <w:sz w:val="24"/>
          <w:szCs w:val="24"/>
          <w:lang w:val="ru-RU"/>
        </w:rPr>
        <w:t xml:space="preserve">, идеи которых отразились в определении А. А. Сахарова, </w:t>
      </w:r>
      <w:r>
        <w:rPr>
          <w:rFonts w:ascii="Times New Roman" w:hAnsi="Times New Roman" w:cs="Times New Roman"/>
          <w:sz w:val="24"/>
          <w:szCs w:val="24"/>
          <w:lang w:val="ru-RU"/>
        </w:rPr>
        <w:t>слишком умозрительными и не имеющими эмпирического</w:t>
      </w:r>
      <w:r w:rsidR="002E6AF2">
        <w:rPr>
          <w:rFonts w:ascii="Times New Roman" w:hAnsi="Times New Roman" w:cs="Times New Roman"/>
          <w:sz w:val="24"/>
          <w:szCs w:val="24"/>
          <w:lang w:val="ru-RU"/>
        </w:rPr>
        <w:t xml:space="preserve"> </w:t>
      </w:r>
      <w:r>
        <w:rPr>
          <w:rFonts w:ascii="Times New Roman" w:hAnsi="Times New Roman" w:cs="Times New Roman"/>
          <w:sz w:val="24"/>
          <w:szCs w:val="24"/>
          <w:lang w:val="ru-RU"/>
        </w:rPr>
        <w:t>подтверждения</w:t>
      </w:r>
      <w:r w:rsidR="002E6AF2">
        <w:rPr>
          <w:rFonts w:ascii="Times New Roman" w:hAnsi="Times New Roman" w:cs="Times New Roman"/>
          <w:sz w:val="24"/>
          <w:szCs w:val="24"/>
          <w:lang w:val="ru-RU"/>
        </w:rPr>
        <w:t xml:space="preserve"> </w:t>
      </w:r>
      <w:r w:rsidRPr="00C1015D">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_Ref135325466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223</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w:t>
      </w:r>
      <w:r>
        <w:rPr>
          <w:rFonts w:ascii="Times New Roman" w:hAnsi="Times New Roman" w:cs="Times New Roman"/>
          <w:sz w:val="24"/>
          <w:szCs w:val="24"/>
        </w:rPr>
        <w:t>c</w:t>
      </w:r>
      <w:r w:rsidRPr="00C1015D">
        <w:rPr>
          <w:rFonts w:ascii="Times New Roman" w:hAnsi="Times New Roman" w:cs="Times New Roman"/>
          <w:sz w:val="24"/>
          <w:szCs w:val="24"/>
          <w:lang w:val="ru-RU"/>
        </w:rPr>
        <w:t>.</w:t>
      </w:r>
      <w:r>
        <w:rPr>
          <w:rFonts w:ascii="Times New Roman" w:hAnsi="Times New Roman" w:cs="Times New Roman"/>
          <w:sz w:val="24"/>
          <w:szCs w:val="24"/>
          <w:lang w:val="ru-RU"/>
        </w:rPr>
        <w:t> </w:t>
      </w:r>
      <w:r w:rsidRPr="00C1015D">
        <w:rPr>
          <w:rFonts w:ascii="Times New Roman" w:hAnsi="Times New Roman" w:cs="Times New Roman"/>
          <w:sz w:val="24"/>
          <w:szCs w:val="24"/>
          <w:lang w:val="ru-RU"/>
        </w:rPr>
        <w:t>15</w:t>
      </w:r>
      <w:r>
        <w:rPr>
          <w:rFonts w:ascii="Times New Roman" w:hAnsi="Times New Roman" w:cs="Times New Roman"/>
          <w:sz w:val="24"/>
          <w:szCs w:val="24"/>
          <w:lang w:val="ru-RU"/>
        </w:rPr>
        <w:t>–</w:t>
      </w:r>
      <w:r w:rsidRPr="00C1015D">
        <w:rPr>
          <w:rFonts w:ascii="Times New Roman" w:hAnsi="Times New Roman" w:cs="Times New Roman"/>
          <w:sz w:val="24"/>
          <w:szCs w:val="24"/>
          <w:lang w:val="ru-RU"/>
        </w:rPr>
        <w:t>16].</w:t>
      </w:r>
      <w:r w:rsidR="002E6AF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Смит считает, что упрощение «социально-технологических скреп глобальной экономики» до «сети командных центров» не содействует лучшему его пониманию. </w:t>
      </w:r>
    </w:p>
    <w:p w14:paraId="60055AC9" w14:textId="1CE35CF5" w:rsidR="00937CBF" w:rsidRPr="00C1015D"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Исследователь Авдокушин Е. Ф. предлагает определение </w:t>
      </w:r>
      <w:r w:rsidRPr="004E7E3E">
        <w:rPr>
          <w:rFonts w:ascii="Times New Roman" w:hAnsi="Times New Roman" w:cs="Times New Roman"/>
          <w:b/>
          <w:sz w:val="24"/>
          <w:szCs w:val="24"/>
          <w:lang w:val="ru-RU"/>
        </w:rPr>
        <w:t>(6)</w:t>
      </w:r>
      <w:r w:rsidRPr="004E7E3E">
        <w:rPr>
          <w:rFonts w:ascii="Times New Roman" w:hAnsi="Times New Roman" w:cs="Times New Roman"/>
          <w:sz w:val="24"/>
          <w:szCs w:val="24"/>
          <w:lang w:val="ru-RU"/>
        </w:rPr>
        <w:t xml:space="preserve"> через ролевую функцию: «В глобализирующейся мировой экономике МФЦ играют роль распорядителя глобальных </w:t>
      </w:r>
      <w:r w:rsidRPr="004E7E3E">
        <w:rPr>
          <w:rFonts w:ascii="Times New Roman" w:hAnsi="Times New Roman" w:cs="Times New Roman"/>
          <w:sz w:val="24"/>
          <w:szCs w:val="24"/>
          <w:lang w:val="ru-RU"/>
        </w:rPr>
        <w:lastRenderedPageBreak/>
        <w:t>денежных и капитальных потоков. Деньги и кредиты, прежде всего, мировые (свободно конвертируемые) валюты все больше утрачивают свою национально государственную ориентированность. Они становятся глобальными деньгами, снимая свои национальные одежды»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_Ref497918246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53</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с.146].</w:t>
      </w:r>
      <w:r w:rsidRPr="00C1015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За последний год США своими действиями вполне доказали, что доллар США – это инструмент политики США, и распоряжаться ими можно только в той мере, в которой будет дозволено американскими властями. </w:t>
      </w:r>
    </w:p>
    <w:p w14:paraId="4878BDD1" w14:textId="214A1444" w:rsidR="00937CBF" w:rsidRPr="00F809C8"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Профессор Малкина М. Ю из Нижнего Новгорода даёт функциональную трактовку </w:t>
      </w:r>
      <w:r w:rsidRPr="004E7E3E">
        <w:rPr>
          <w:rFonts w:ascii="Times New Roman" w:hAnsi="Times New Roman" w:cs="Times New Roman"/>
          <w:b/>
          <w:sz w:val="24"/>
          <w:szCs w:val="24"/>
          <w:lang w:val="ru-RU"/>
        </w:rPr>
        <w:t>(7) </w:t>
      </w:r>
      <w:r w:rsidRPr="004E7E3E">
        <w:rPr>
          <w:rFonts w:ascii="Times New Roman" w:hAnsi="Times New Roman" w:cs="Times New Roman"/>
          <w:sz w:val="24"/>
          <w:szCs w:val="24"/>
          <w:lang w:val="ru-RU"/>
        </w:rPr>
        <w:t>термина: «Международные финансовые центры осуществляют большой объем трансграничных операций. Трансграничные операции, которые совершаются в МФЦ, включают в себя: привлечение финансирования через долговые и долевые инструменты; управление активами инвестиционных фондов, пенсионных фондов, страховых компаний в целях международной диверсификации; управление частным капиталом крупных индивидуальных инвесторов; международная налоговая оптимизация в транснациональных корпорациях; управление глобальными рисками корпораций с использованием деривативов; глобальная биржевая торговля финансовыми инструментами; специальные схемы финансирования сложных (например, инфраструктурных) проектов, в том числе, с использованием принципов частно</w:t>
      </w:r>
      <w:r w:rsidRPr="004E7E3E">
        <w:rPr>
          <w:rFonts w:ascii="Times New Roman" w:hAnsi="Times New Roman" w:cs="Times New Roman"/>
          <w:sz w:val="24"/>
          <w:szCs w:val="24"/>
          <w:lang w:val="ru-RU"/>
        </w:rPr>
        <w:noBreakHyphen/>
        <w:t>государственного партнерства»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_Ref497916899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102</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с. 221]. Далее она возвращается к институциональному подходу: «Движение денег все более управляется не национальными государствами, а транснациональными банками и другими наднациональными финансовыми структурами. При этом МФЦ формируют новый стандарт движения международного капитала – обязательное наличие организованной финансовой инфраструктуры, включающей</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помимо биржи</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центральный депозитарий и центрального контрагента. МФЦ начинает играть роль филиала глобального «финансового института», который</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действуя по инструкциям головного офиса, обеспечивает перераспределение международных финансовых средств для использования их на реализацию наиболее выгодных проектов в глобальном масштабе» [</w:t>
      </w:r>
      <w:r w:rsidRPr="004E7E3E">
        <w:rPr>
          <w:rFonts w:ascii="Times New Roman" w:hAnsi="Times New Roman" w:cs="Times New Roman"/>
          <w:sz w:val="24"/>
          <w:szCs w:val="24"/>
        </w:rPr>
        <w:fldChar w:fldCharType="begin"/>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REF</w:instrText>
      </w:r>
      <w:r w:rsidRPr="004E7E3E">
        <w:rPr>
          <w:rFonts w:ascii="Times New Roman" w:hAnsi="Times New Roman" w:cs="Times New Roman"/>
          <w:sz w:val="24"/>
          <w:szCs w:val="24"/>
          <w:lang w:val="ru-RU"/>
        </w:rPr>
        <w:instrText xml:space="preserve"> _</w:instrText>
      </w:r>
      <w:r w:rsidRPr="004E7E3E">
        <w:rPr>
          <w:rFonts w:ascii="Times New Roman" w:hAnsi="Times New Roman" w:cs="Times New Roman"/>
          <w:sz w:val="24"/>
          <w:szCs w:val="24"/>
        </w:rPr>
        <w:instrText>Ref</w:instrText>
      </w:r>
      <w:r w:rsidRPr="004E7E3E">
        <w:rPr>
          <w:rFonts w:ascii="Times New Roman" w:hAnsi="Times New Roman" w:cs="Times New Roman"/>
          <w:sz w:val="24"/>
          <w:szCs w:val="24"/>
          <w:lang w:val="ru-RU"/>
        </w:rPr>
        <w:instrText>497916899 \</w:instrText>
      </w:r>
      <w:r w:rsidRPr="004E7E3E">
        <w:rPr>
          <w:rFonts w:ascii="Times New Roman" w:hAnsi="Times New Roman" w:cs="Times New Roman"/>
          <w:sz w:val="24"/>
          <w:szCs w:val="24"/>
        </w:rPr>
        <w:instrText>r</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h</w:instrText>
      </w:r>
      <w:r w:rsidRPr="004E7E3E">
        <w:rPr>
          <w:rFonts w:ascii="Times New Roman" w:hAnsi="Times New Roman" w:cs="Times New Roman"/>
          <w:sz w:val="24"/>
          <w:szCs w:val="24"/>
          <w:lang w:val="ru-RU"/>
        </w:rPr>
        <w:instrText xml:space="preserve">  \* </w:instrText>
      </w:r>
      <w:r w:rsidRPr="004E7E3E">
        <w:rPr>
          <w:rFonts w:ascii="Times New Roman" w:hAnsi="Times New Roman" w:cs="Times New Roman"/>
          <w:sz w:val="24"/>
          <w:szCs w:val="24"/>
        </w:rPr>
        <w:instrText>MERGEFORMAT</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r>
      <w:r w:rsidRPr="004E7E3E">
        <w:rPr>
          <w:rFonts w:ascii="Times New Roman" w:hAnsi="Times New Roman" w:cs="Times New Roman"/>
          <w:sz w:val="24"/>
          <w:szCs w:val="24"/>
        </w:rPr>
        <w:fldChar w:fldCharType="separate"/>
      </w:r>
      <w:r w:rsidR="00801D78" w:rsidRPr="00801D78">
        <w:rPr>
          <w:rFonts w:ascii="Times New Roman" w:hAnsi="Times New Roman" w:cs="Times New Roman"/>
          <w:sz w:val="24"/>
          <w:szCs w:val="24"/>
          <w:lang w:val="ru-RU"/>
        </w:rPr>
        <w:t>102</w:t>
      </w:r>
      <w:r w:rsidRPr="004E7E3E">
        <w:rPr>
          <w:rFonts w:ascii="Times New Roman" w:hAnsi="Times New Roman" w:cs="Times New Roman"/>
          <w:sz w:val="24"/>
          <w:szCs w:val="24"/>
        </w:rPr>
        <w:fldChar w:fldCharType="end"/>
      </w:r>
      <w:r w:rsidRPr="004E7E3E">
        <w:rPr>
          <w:rFonts w:ascii="Times New Roman" w:hAnsi="Times New Roman" w:cs="Times New Roman"/>
          <w:sz w:val="24"/>
          <w:szCs w:val="24"/>
          <w:lang w:val="ru-RU"/>
        </w:rPr>
        <w:t>, с. 235-236].</w:t>
      </w:r>
      <w:r w:rsidRPr="00F809C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За последний год создалось впечатление, что речь должна идти не про независимый финансовый институт, а по «финансовую службу» более крупного «политического института», решение которого принимаются исходя не из экономических, а из политических соображений. </w:t>
      </w:r>
    </w:p>
    <w:p w14:paraId="5B16CADF" w14:textId="7F0DAC71" w:rsidR="00937CBF" w:rsidRPr="004E7E3E"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Довольно своеобразный подход к определению МФЦ у профессора ИМЭМО РАН Я. М. Миркина. Он предлагает определять МФЦ в узком и широком смыслах. При этом под центром «в узком смысле» учёный понимает «особый налогово-правовой режим для регулирования финансовой сферы в развитых индустриальных центрах, специализирующихся на определённых видах международных операци</w:t>
      </w:r>
      <w:r>
        <w:rPr>
          <w:rFonts w:ascii="Times New Roman" w:hAnsi="Times New Roman" w:cs="Times New Roman"/>
          <w:sz w:val="24"/>
          <w:szCs w:val="24"/>
          <w:lang w:val="ru-RU"/>
        </w:rPr>
        <w:t>й</w:t>
      </w:r>
      <w:r w:rsidRPr="004E7E3E">
        <w:rPr>
          <w:rFonts w:ascii="Times New Roman" w:hAnsi="Times New Roman" w:cs="Times New Roman"/>
          <w:sz w:val="24"/>
          <w:szCs w:val="24"/>
          <w:lang w:val="ru-RU"/>
        </w:rPr>
        <w:t xml:space="preserve"> и офшорных государствах». В широком смысле МФЦ будут представлять собой «города с масштабными финансовыми рынками и развитой </w:t>
      </w:r>
      <w:r w:rsidRPr="004E7E3E">
        <w:rPr>
          <w:rFonts w:ascii="Times New Roman" w:hAnsi="Times New Roman" w:cs="Times New Roman"/>
          <w:sz w:val="24"/>
          <w:szCs w:val="24"/>
          <w:lang w:val="ru-RU"/>
        </w:rPr>
        <w:lastRenderedPageBreak/>
        <w:t>финансовой инфраструктурой, имеющие существенную долю в общемировых финансовых рынках и оборотах, при концентрации в них как крупных национальных рынков, так и значительных по масштабам рынков с участием финансовых институтов-нерезидентов и обращением иностранных финансовых инструментов (при обеспечении свободного движения капиталов, репатриации прибылей, свободного обмена валют)»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_Ref498686162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137</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237]. Впрочем</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в другой части книги под его редакцией даётся определени</w:t>
      </w:r>
      <w:r>
        <w:rPr>
          <w:rFonts w:ascii="Times New Roman" w:hAnsi="Times New Roman" w:cs="Times New Roman"/>
          <w:sz w:val="24"/>
          <w:szCs w:val="24"/>
          <w:lang w:val="ru-RU"/>
        </w:rPr>
        <w:t>е</w:t>
      </w:r>
      <w:r w:rsidRPr="004E7E3E">
        <w:rPr>
          <w:rFonts w:ascii="Times New Roman" w:hAnsi="Times New Roman" w:cs="Times New Roman"/>
          <w:sz w:val="24"/>
          <w:szCs w:val="24"/>
          <w:lang w:val="ru-RU"/>
        </w:rPr>
        <w:t xml:space="preserve">, которое объединяет подходы в узком и широком смыслах </w:t>
      </w:r>
      <w:r w:rsidRPr="004E7E3E">
        <w:rPr>
          <w:rFonts w:ascii="Times New Roman" w:hAnsi="Times New Roman" w:cs="Times New Roman"/>
          <w:b/>
          <w:sz w:val="24"/>
          <w:szCs w:val="24"/>
          <w:lang w:val="ru-RU"/>
        </w:rPr>
        <w:t>(8)</w:t>
      </w:r>
      <w:r w:rsidRPr="004E7E3E">
        <w:rPr>
          <w:rFonts w:ascii="Times New Roman" w:hAnsi="Times New Roman" w:cs="Times New Roman"/>
          <w:sz w:val="24"/>
          <w:szCs w:val="24"/>
          <w:lang w:val="ru-RU"/>
        </w:rPr>
        <w:t>: «</w:t>
      </w:r>
      <w:r w:rsidRPr="004E7E3E">
        <w:rPr>
          <w:rFonts w:ascii="Times New Roman" w:hAnsi="Times New Roman" w:cs="Times New Roman"/>
          <w:sz w:val="24"/>
          <w:szCs w:val="24"/>
          <w:lang w:val="ru-RU" w:bidi="ar-SA"/>
        </w:rPr>
        <w:t xml:space="preserve">МФЦ </w:t>
      </w:r>
      <w:r>
        <w:rPr>
          <w:rFonts w:ascii="Times New Roman" w:hAnsi="Times New Roman" w:cs="Times New Roman"/>
          <w:sz w:val="24"/>
          <w:szCs w:val="24"/>
          <w:lang w:val="ru-RU"/>
        </w:rPr>
        <w:t>–</w:t>
      </w:r>
      <w:r w:rsidRPr="004E7E3E">
        <w:rPr>
          <w:rFonts w:ascii="Times New Roman" w:hAnsi="Times New Roman" w:cs="Times New Roman"/>
          <w:sz w:val="24"/>
          <w:szCs w:val="24"/>
          <w:lang w:val="ru-RU" w:bidi="ar-SA"/>
        </w:rPr>
        <w:t xml:space="preserve"> особый рыночный механизм управления, привлечения и перераспределения финансовых потоков, место сосредоточения финансовых институтов, инфраструктуры» [</w:t>
      </w:r>
      <w:r w:rsidRPr="004E7E3E">
        <w:rPr>
          <w:rFonts w:ascii="Times New Roman" w:hAnsi="Times New Roman" w:cs="Times New Roman"/>
          <w:sz w:val="24"/>
          <w:szCs w:val="24"/>
          <w:lang w:val="ru-RU" w:bidi="ar-SA"/>
        </w:rPr>
        <w:fldChar w:fldCharType="begin"/>
      </w:r>
      <w:r w:rsidRPr="004E7E3E">
        <w:rPr>
          <w:rFonts w:ascii="Times New Roman" w:hAnsi="Times New Roman" w:cs="Times New Roman"/>
          <w:sz w:val="24"/>
          <w:szCs w:val="24"/>
          <w:lang w:val="ru-RU" w:bidi="ar-SA"/>
        </w:rPr>
        <w:instrText xml:space="preserve"> REF _Ref498686162 \r \h  \* MERGEFORMAT </w:instrText>
      </w:r>
      <w:r w:rsidRPr="004E7E3E">
        <w:rPr>
          <w:rFonts w:ascii="Times New Roman" w:hAnsi="Times New Roman" w:cs="Times New Roman"/>
          <w:sz w:val="24"/>
          <w:szCs w:val="24"/>
          <w:lang w:val="ru-RU" w:bidi="ar-SA"/>
        </w:rPr>
      </w:r>
      <w:r w:rsidRPr="004E7E3E">
        <w:rPr>
          <w:rFonts w:ascii="Times New Roman" w:hAnsi="Times New Roman" w:cs="Times New Roman"/>
          <w:sz w:val="24"/>
          <w:szCs w:val="24"/>
          <w:lang w:val="ru-RU" w:bidi="ar-SA"/>
        </w:rPr>
        <w:fldChar w:fldCharType="separate"/>
      </w:r>
      <w:r w:rsidR="00801D78">
        <w:rPr>
          <w:rFonts w:ascii="Times New Roman" w:hAnsi="Times New Roman" w:cs="Times New Roman"/>
          <w:sz w:val="24"/>
          <w:szCs w:val="24"/>
          <w:lang w:val="ru-RU" w:bidi="ar-SA"/>
        </w:rPr>
        <w:t>137</w:t>
      </w:r>
      <w:r w:rsidRPr="004E7E3E">
        <w:rPr>
          <w:rFonts w:ascii="Times New Roman" w:hAnsi="Times New Roman" w:cs="Times New Roman"/>
          <w:sz w:val="24"/>
          <w:szCs w:val="24"/>
          <w:lang w:val="ru-RU" w:bidi="ar-SA"/>
        </w:rPr>
        <w:fldChar w:fldCharType="end"/>
      </w:r>
      <w:r w:rsidRPr="004E7E3E">
        <w:rPr>
          <w:rFonts w:ascii="Times New Roman" w:hAnsi="Times New Roman" w:cs="Times New Roman"/>
          <w:sz w:val="24"/>
          <w:szCs w:val="24"/>
          <w:lang w:val="ru-RU" w:bidi="ar-SA"/>
        </w:rPr>
        <w:t>, с. 236].</w:t>
      </w:r>
    </w:p>
    <w:p w14:paraId="1471C5F3" w14:textId="77777777" w:rsidR="00937CBF" w:rsidRPr="004E7E3E" w:rsidRDefault="00937CBF" w:rsidP="00937CBF">
      <w:pPr>
        <w:spacing w:after="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В одной из своих статей исследователь Е. В. Семенцова даёт следующее определение </w:t>
      </w:r>
      <w:r w:rsidRPr="004E7E3E">
        <w:rPr>
          <w:rFonts w:ascii="Times New Roman" w:hAnsi="Times New Roman" w:cs="Times New Roman"/>
          <w:b/>
          <w:sz w:val="24"/>
          <w:szCs w:val="24"/>
          <w:lang w:val="ru-RU"/>
        </w:rPr>
        <w:t>(9)</w:t>
      </w:r>
      <w:r w:rsidRPr="004E7E3E">
        <w:rPr>
          <w:rFonts w:ascii="Times New Roman" w:hAnsi="Times New Roman" w:cs="Times New Roman"/>
          <w:sz w:val="24"/>
          <w:szCs w:val="24"/>
          <w:lang w:val="ru-RU"/>
        </w:rPr>
        <w:t xml:space="preserve">: МФЦ – «механизм управления международными финансовыми потоками, звено </w:t>
      </w:r>
      <w:r w:rsidRPr="004E7E3E">
        <w:rPr>
          <w:rFonts w:ascii="Times New Roman" w:eastAsia="TimesNewRomanPSMT" w:hAnsi="Times New Roman" w:cs="Times New Roman"/>
          <w:sz w:val="24"/>
          <w:szCs w:val="24"/>
          <w:lang w:val="ru-RU" w:bidi="ar-SA"/>
        </w:rPr>
        <w:t>глобального финансового рынка, в котором:</w:t>
      </w:r>
    </w:p>
    <w:p w14:paraId="6BC3B532" w14:textId="77777777" w:rsidR="00937CBF" w:rsidRPr="004E7E3E" w:rsidRDefault="00937CBF" w:rsidP="00937CBF">
      <w:pPr>
        <w:pStyle w:val="af3"/>
        <w:numPr>
          <w:ilvl w:val="0"/>
          <w:numId w:val="7"/>
        </w:numPr>
        <w:spacing w:after="0" w:line="360" w:lineRule="auto"/>
        <w:ind w:left="0" w:firstLine="709"/>
        <w:jc w:val="both"/>
        <w:rPr>
          <w:rFonts w:ascii="Times New Roman" w:hAnsi="Times New Roman" w:cs="Times New Roman"/>
          <w:sz w:val="24"/>
          <w:szCs w:val="24"/>
          <w:lang w:val="ru-RU"/>
        </w:rPr>
      </w:pPr>
      <w:r w:rsidRPr="004E7E3E">
        <w:rPr>
          <w:rFonts w:ascii="Times New Roman" w:eastAsia="TimesNewRomanPSMT" w:hAnsi="Times New Roman" w:cs="Times New Roman"/>
          <w:sz w:val="24"/>
          <w:szCs w:val="24"/>
          <w:lang w:val="ru-RU" w:bidi="ar-SA"/>
        </w:rPr>
        <w:t>сходятся международные потоки движения капиталов;</w:t>
      </w:r>
    </w:p>
    <w:p w14:paraId="4E0B28AA" w14:textId="77777777" w:rsidR="00937CBF" w:rsidRPr="004E7E3E" w:rsidRDefault="00937CBF" w:rsidP="00937CBF">
      <w:pPr>
        <w:pStyle w:val="af3"/>
        <w:numPr>
          <w:ilvl w:val="0"/>
          <w:numId w:val="7"/>
        </w:numPr>
        <w:spacing w:after="0" w:line="360" w:lineRule="auto"/>
        <w:ind w:left="0" w:firstLine="709"/>
        <w:jc w:val="both"/>
        <w:rPr>
          <w:rFonts w:ascii="Times New Roman" w:hAnsi="Times New Roman" w:cs="Times New Roman"/>
          <w:sz w:val="24"/>
          <w:szCs w:val="24"/>
          <w:lang w:val="ru-RU"/>
        </w:rPr>
      </w:pPr>
      <w:r w:rsidRPr="004E7E3E">
        <w:rPr>
          <w:rFonts w:ascii="Times New Roman" w:eastAsia="TimesNewRomanPSMT" w:hAnsi="Times New Roman" w:cs="Times New Roman"/>
          <w:sz w:val="24"/>
          <w:szCs w:val="24"/>
          <w:lang w:val="ru-RU" w:bidi="ar-SA"/>
        </w:rPr>
        <w:t>сосредотачиваются международные валютно-кредитные операции;</w:t>
      </w:r>
    </w:p>
    <w:p w14:paraId="1D23D202" w14:textId="11906C2A" w:rsidR="00937CBF" w:rsidRPr="004E7E3E" w:rsidRDefault="00937CBF" w:rsidP="00937CBF">
      <w:pPr>
        <w:pStyle w:val="af3"/>
        <w:numPr>
          <w:ilvl w:val="0"/>
          <w:numId w:val="7"/>
        </w:numPr>
        <w:spacing w:after="0" w:line="360" w:lineRule="auto"/>
        <w:ind w:left="0" w:firstLine="709"/>
        <w:jc w:val="both"/>
        <w:rPr>
          <w:rFonts w:ascii="Times New Roman" w:hAnsi="Times New Roman" w:cs="Times New Roman"/>
          <w:sz w:val="24"/>
          <w:szCs w:val="24"/>
          <w:lang w:val="ru-RU"/>
        </w:rPr>
      </w:pPr>
      <w:r w:rsidRPr="004E7E3E">
        <w:rPr>
          <w:rFonts w:ascii="Times New Roman" w:eastAsia="TimesNewRomanPSMT" w:hAnsi="Times New Roman" w:cs="Times New Roman"/>
          <w:sz w:val="24"/>
          <w:szCs w:val="24"/>
          <w:lang w:val="ru-RU" w:bidi="ar-SA"/>
        </w:rPr>
        <w:t>концентрируются финансовые институты разных стран мира ввиду удобства его географического</w:t>
      </w:r>
      <w:r w:rsidRPr="004E7E3E">
        <w:rPr>
          <w:rFonts w:ascii="Times New Roman" w:hAnsi="Times New Roman" w:cs="Times New Roman"/>
          <w:sz w:val="24"/>
          <w:szCs w:val="24"/>
          <w:lang w:val="ru-RU"/>
        </w:rPr>
        <w:t xml:space="preserve"> </w:t>
      </w:r>
      <w:r w:rsidRPr="004E7E3E">
        <w:rPr>
          <w:rFonts w:ascii="Times New Roman" w:eastAsia="TimesNewRomanPSMT" w:hAnsi="Times New Roman" w:cs="Times New Roman"/>
          <w:sz w:val="24"/>
          <w:szCs w:val="24"/>
          <w:lang w:val="ru-RU" w:bidi="ar-SA"/>
        </w:rPr>
        <w:t>положения и наличия благоприятных правовых, налоговых и иных условий [</w:t>
      </w:r>
      <w:r w:rsidRPr="004E7E3E">
        <w:rPr>
          <w:rFonts w:ascii="Times New Roman" w:eastAsia="TimesNewRomanPSMT" w:hAnsi="Times New Roman" w:cs="Times New Roman"/>
          <w:sz w:val="24"/>
          <w:szCs w:val="24"/>
          <w:lang w:bidi="ar-SA"/>
        </w:rPr>
        <w:fldChar w:fldCharType="begin"/>
      </w:r>
      <w:r w:rsidRPr="004E7E3E">
        <w:rPr>
          <w:rFonts w:ascii="Times New Roman" w:eastAsia="TimesNewRomanPSMT" w:hAnsi="Times New Roman" w:cs="Times New Roman"/>
          <w:sz w:val="24"/>
          <w:szCs w:val="24"/>
          <w:lang w:val="ru-RU" w:bidi="ar-SA"/>
        </w:rPr>
        <w:instrText xml:space="preserve"> </w:instrText>
      </w:r>
      <w:r w:rsidRPr="004E7E3E">
        <w:rPr>
          <w:rFonts w:ascii="Times New Roman" w:eastAsia="TimesNewRomanPSMT" w:hAnsi="Times New Roman" w:cs="Times New Roman"/>
          <w:sz w:val="24"/>
          <w:szCs w:val="24"/>
          <w:lang w:bidi="ar-SA"/>
        </w:rPr>
        <w:instrText>REF</w:instrText>
      </w:r>
      <w:r w:rsidRPr="004E7E3E">
        <w:rPr>
          <w:rFonts w:ascii="Times New Roman" w:eastAsia="TimesNewRomanPSMT" w:hAnsi="Times New Roman" w:cs="Times New Roman"/>
          <w:sz w:val="24"/>
          <w:szCs w:val="24"/>
          <w:lang w:val="ru-RU" w:bidi="ar-SA"/>
        </w:rPr>
        <w:instrText xml:space="preserve"> _</w:instrText>
      </w:r>
      <w:r w:rsidRPr="004E7E3E">
        <w:rPr>
          <w:rFonts w:ascii="Times New Roman" w:eastAsia="TimesNewRomanPSMT" w:hAnsi="Times New Roman" w:cs="Times New Roman"/>
          <w:sz w:val="24"/>
          <w:szCs w:val="24"/>
          <w:lang w:bidi="ar-SA"/>
        </w:rPr>
        <w:instrText>Ref</w:instrText>
      </w:r>
      <w:r w:rsidRPr="004E7E3E">
        <w:rPr>
          <w:rFonts w:ascii="Times New Roman" w:eastAsia="TimesNewRomanPSMT" w:hAnsi="Times New Roman" w:cs="Times New Roman"/>
          <w:sz w:val="24"/>
          <w:szCs w:val="24"/>
          <w:lang w:val="ru-RU" w:bidi="ar-SA"/>
        </w:rPr>
        <w:instrText>498525846 \</w:instrText>
      </w:r>
      <w:r w:rsidRPr="004E7E3E">
        <w:rPr>
          <w:rFonts w:ascii="Times New Roman" w:eastAsia="TimesNewRomanPSMT" w:hAnsi="Times New Roman" w:cs="Times New Roman"/>
          <w:sz w:val="24"/>
          <w:szCs w:val="24"/>
          <w:lang w:bidi="ar-SA"/>
        </w:rPr>
        <w:instrText>r</w:instrText>
      </w:r>
      <w:r w:rsidRPr="004E7E3E">
        <w:rPr>
          <w:rFonts w:ascii="Times New Roman" w:eastAsia="TimesNewRomanPSMT" w:hAnsi="Times New Roman" w:cs="Times New Roman"/>
          <w:sz w:val="24"/>
          <w:szCs w:val="24"/>
          <w:lang w:val="ru-RU" w:bidi="ar-SA"/>
        </w:rPr>
        <w:instrText xml:space="preserve"> \</w:instrText>
      </w:r>
      <w:r w:rsidRPr="004E7E3E">
        <w:rPr>
          <w:rFonts w:ascii="Times New Roman" w:eastAsia="TimesNewRomanPSMT" w:hAnsi="Times New Roman" w:cs="Times New Roman"/>
          <w:sz w:val="24"/>
          <w:szCs w:val="24"/>
          <w:lang w:bidi="ar-SA"/>
        </w:rPr>
        <w:instrText>h</w:instrText>
      </w:r>
      <w:r w:rsidRPr="004E7E3E">
        <w:rPr>
          <w:rFonts w:ascii="Times New Roman" w:eastAsia="TimesNewRomanPSMT" w:hAnsi="Times New Roman" w:cs="Times New Roman"/>
          <w:sz w:val="24"/>
          <w:szCs w:val="24"/>
          <w:lang w:val="ru-RU" w:bidi="ar-SA"/>
        </w:rPr>
        <w:instrText xml:space="preserve">  \* </w:instrText>
      </w:r>
      <w:r w:rsidRPr="004E7E3E">
        <w:rPr>
          <w:rFonts w:ascii="Times New Roman" w:eastAsia="TimesNewRomanPSMT" w:hAnsi="Times New Roman" w:cs="Times New Roman"/>
          <w:sz w:val="24"/>
          <w:szCs w:val="24"/>
          <w:lang w:bidi="ar-SA"/>
        </w:rPr>
        <w:instrText>MERGEFORMAT</w:instrText>
      </w:r>
      <w:r w:rsidRPr="004E7E3E">
        <w:rPr>
          <w:rFonts w:ascii="Times New Roman" w:eastAsia="TimesNewRomanPSMT" w:hAnsi="Times New Roman" w:cs="Times New Roman"/>
          <w:sz w:val="24"/>
          <w:szCs w:val="24"/>
          <w:lang w:val="ru-RU" w:bidi="ar-SA"/>
        </w:rPr>
        <w:instrText xml:space="preserve"> </w:instrText>
      </w:r>
      <w:r w:rsidRPr="004E7E3E">
        <w:rPr>
          <w:rFonts w:ascii="Times New Roman" w:eastAsia="TimesNewRomanPSMT" w:hAnsi="Times New Roman" w:cs="Times New Roman"/>
          <w:sz w:val="24"/>
          <w:szCs w:val="24"/>
          <w:lang w:bidi="ar-SA"/>
        </w:rPr>
      </w:r>
      <w:r w:rsidRPr="004E7E3E">
        <w:rPr>
          <w:rFonts w:ascii="Times New Roman" w:eastAsia="TimesNewRomanPSMT" w:hAnsi="Times New Roman" w:cs="Times New Roman"/>
          <w:sz w:val="24"/>
          <w:szCs w:val="24"/>
          <w:lang w:bidi="ar-SA"/>
        </w:rPr>
        <w:fldChar w:fldCharType="separate"/>
      </w:r>
      <w:r w:rsidR="00801D78" w:rsidRPr="00801D78">
        <w:rPr>
          <w:rFonts w:ascii="Times New Roman" w:eastAsia="TimesNewRomanPSMT" w:hAnsi="Times New Roman" w:cs="Times New Roman"/>
          <w:sz w:val="24"/>
          <w:szCs w:val="24"/>
          <w:lang w:val="ru-RU" w:bidi="ar-SA"/>
        </w:rPr>
        <w:t>125</w:t>
      </w:r>
      <w:r w:rsidRPr="004E7E3E">
        <w:rPr>
          <w:rFonts w:ascii="Times New Roman" w:eastAsia="TimesNewRomanPSMT" w:hAnsi="Times New Roman" w:cs="Times New Roman"/>
          <w:sz w:val="24"/>
          <w:szCs w:val="24"/>
          <w:lang w:bidi="ar-SA"/>
        </w:rPr>
        <w:fldChar w:fldCharType="end"/>
      </w:r>
      <w:r w:rsidRPr="004E7E3E">
        <w:rPr>
          <w:rFonts w:ascii="Times New Roman" w:eastAsia="TimesNewRomanPSMT" w:hAnsi="Times New Roman" w:cs="Times New Roman"/>
          <w:sz w:val="24"/>
          <w:szCs w:val="24"/>
          <w:lang w:val="ru-RU" w:bidi="ar-SA"/>
        </w:rPr>
        <w:t>, с. 59].</w:t>
      </w:r>
    </w:p>
    <w:p w14:paraId="023C5ED0" w14:textId="1EC67CAA" w:rsidR="00937CBF" w:rsidRPr="003F2060" w:rsidRDefault="00937CBF" w:rsidP="00937CBF">
      <w:pPr>
        <w:spacing w:after="0" w:line="360" w:lineRule="auto"/>
        <w:ind w:firstLine="709"/>
        <w:contextualSpacing/>
        <w:jc w:val="both"/>
        <w:rPr>
          <w:rFonts w:ascii="Times New Roman" w:hAnsi="Times New Roman" w:cs="Times New Roman"/>
          <w:color w:val="000000" w:themeColor="text1"/>
          <w:sz w:val="24"/>
          <w:szCs w:val="24"/>
          <w:lang w:val="ru-RU"/>
        </w:rPr>
      </w:pPr>
      <w:r w:rsidRPr="004E7E3E">
        <w:rPr>
          <w:rFonts w:ascii="Times New Roman" w:hAnsi="Times New Roman" w:cs="Times New Roman"/>
          <w:sz w:val="24"/>
          <w:szCs w:val="24"/>
          <w:lang w:val="ru-RU"/>
        </w:rPr>
        <w:t xml:space="preserve">В автореферате своей диссертации она приводит несколько иное определение на основе функционального подхода </w:t>
      </w:r>
      <w:r w:rsidRPr="004E7E3E">
        <w:rPr>
          <w:rFonts w:ascii="Times New Roman" w:hAnsi="Times New Roman" w:cs="Times New Roman"/>
          <w:b/>
          <w:sz w:val="24"/>
          <w:szCs w:val="24"/>
          <w:lang w:val="ru-RU"/>
        </w:rPr>
        <w:t>(10)</w:t>
      </w:r>
      <w:r w:rsidRPr="004E7E3E">
        <w:rPr>
          <w:rFonts w:ascii="Times New Roman" w:hAnsi="Times New Roman" w:cs="Times New Roman"/>
          <w:sz w:val="24"/>
          <w:szCs w:val="24"/>
          <w:lang w:val="ru-RU"/>
        </w:rPr>
        <w:t xml:space="preserve">: </w:t>
      </w:r>
      <w:r w:rsidRPr="004E7E3E">
        <w:rPr>
          <w:rFonts w:ascii="Times New Roman" w:hAnsi="Times New Roman" w:cs="Times New Roman"/>
          <w:color w:val="000000" w:themeColor="text1"/>
          <w:sz w:val="24"/>
          <w:szCs w:val="24"/>
          <w:lang w:val="ru-RU"/>
        </w:rPr>
        <w:t xml:space="preserve">«Сущность МФЦ раскрывается в его функциях. Во-первых, МФЦ являются финансовыми </w:t>
      </w:r>
      <w:r w:rsidRPr="004E7E3E">
        <w:rPr>
          <w:rStyle w:val="hl1"/>
          <w:rFonts w:ascii="Times New Roman" w:hAnsi="Times New Roman" w:cs="Times New Roman"/>
          <w:color w:val="000000" w:themeColor="text1"/>
          <w:sz w:val="24"/>
          <w:szCs w:val="24"/>
          <w:lang w:val="ru-RU"/>
        </w:rPr>
        <w:t>посредниками</w:t>
      </w:r>
      <w:r w:rsidRPr="004E7E3E">
        <w:rPr>
          <w:rFonts w:ascii="Times New Roman" w:hAnsi="Times New Roman" w:cs="Times New Roman"/>
          <w:color w:val="000000" w:themeColor="text1"/>
          <w:sz w:val="24"/>
          <w:szCs w:val="24"/>
          <w:lang w:val="ru-RU"/>
        </w:rPr>
        <w:t xml:space="preserve">, связывая на международной арене </w:t>
      </w:r>
      <w:r w:rsidRPr="004E7E3E">
        <w:rPr>
          <w:rStyle w:val="hl1"/>
          <w:rFonts w:ascii="Times New Roman" w:hAnsi="Times New Roman" w:cs="Times New Roman"/>
          <w:color w:val="000000" w:themeColor="text1"/>
          <w:sz w:val="24"/>
          <w:szCs w:val="24"/>
          <w:lang w:val="ru-RU"/>
        </w:rPr>
        <w:t>поставщиков</w:t>
      </w:r>
      <w:r w:rsidRPr="004E7E3E">
        <w:rPr>
          <w:rFonts w:ascii="Times New Roman" w:hAnsi="Times New Roman" w:cs="Times New Roman"/>
          <w:color w:val="000000" w:themeColor="text1"/>
          <w:sz w:val="24"/>
          <w:szCs w:val="24"/>
          <w:lang w:val="ru-RU"/>
        </w:rPr>
        <w:t xml:space="preserve"> и потребителей финансовых ресурсов. Во-вторых, большинство МФЦ выполняют функции налогового убежища, привлекая </w:t>
      </w:r>
      <w:r w:rsidRPr="004E7E3E">
        <w:rPr>
          <w:rStyle w:val="hl1"/>
          <w:rFonts w:ascii="Times New Roman" w:hAnsi="Times New Roman" w:cs="Times New Roman"/>
          <w:color w:val="000000" w:themeColor="text1"/>
          <w:sz w:val="24"/>
          <w:szCs w:val="24"/>
          <w:lang w:val="ru-RU"/>
        </w:rPr>
        <w:t>инвесторов</w:t>
      </w:r>
      <w:r w:rsidRPr="004E7E3E">
        <w:rPr>
          <w:rFonts w:ascii="Times New Roman" w:hAnsi="Times New Roman" w:cs="Times New Roman"/>
          <w:color w:val="000000" w:themeColor="text1"/>
          <w:sz w:val="24"/>
          <w:szCs w:val="24"/>
          <w:lang w:val="ru-RU"/>
        </w:rPr>
        <w:t xml:space="preserve"> пониженными налоговыми ставками. В-третьих, МФЦ являются центром притяжения </w:t>
      </w:r>
      <w:r w:rsidRPr="004E7E3E">
        <w:rPr>
          <w:rStyle w:val="hl1"/>
          <w:rFonts w:ascii="Times New Roman" w:hAnsi="Times New Roman" w:cs="Times New Roman"/>
          <w:color w:val="000000" w:themeColor="text1"/>
          <w:sz w:val="24"/>
          <w:szCs w:val="24"/>
          <w:lang w:val="ru-RU"/>
        </w:rPr>
        <w:t>высококвалифицированных</w:t>
      </w:r>
      <w:r w:rsidRPr="004E7E3E">
        <w:rPr>
          <w:rFonts w:ascii="Times New Roman" w:hAnsi="Times New Roman" w:cs="Times New Roman"/>
          <w:color w:val="000000" w:themeColor="text1"/>
          <w:sz w:val="24"/>
          <w:szCs w:val="24"/>
          <w:lang w:val="ru-RU"/>
        </w:rPr>
        <w:t xml:space="preserve"> кадров из ряда отраслей, начиная от финансовой отрасли и заканчивая информационными технологиями и </w:t>
      </w:r>
      <w:r w:rsidRPr="004E7E3E">
        <w:rPr>
          <w:rStyle w:val="hl1"/>
          <w:rFonts w:ascii="Times New Roman" w:hAnsi="Times New Roman" w:cs="Times New Roman"/>
          <w:color w:val="000000" w:themeColor="text1"/>
          <w:sz w:val="24"/>
          <w:szCs w:val="24"/>
          <w:lang w:val="ru-RU"/>
        </w:rPr>
        <w:t>строительством</w:t>
      </w:r>
      <w:r w:rsidRPr="004E7E3E">
        <w:rPr>
          <w:rFonts w:ascii="Times New Roman" w:hAnsi="Times New Roman" w:cs="Times New Roman"/>
          <w:color w:val="000000" w:themeColor="text1"/>
          <w:sz w:val="24"/>
          <w:szCs w:val="24"/>
          <w:lang w:val="ru-RU"/>
        </w:rPr>
        <w:t xml:space="preserve">. В-четвертых, МФЦ выполняют функцию катализатора экономического роста в стране своего местонахождения. И, наконец, финансовые центры выполняют функцию кластера международных финансовых услуг, обеспечивая эффект </w:t>
      </w:r>
      <w:r w:rsidRPr="004E7E3E">
        <w:rPr>
          <w:rStyle w:val="hl1"/>
          <w:rFonts w:ascii="Times New Roman" w:hAnsi="Times New Roman" w:cs="Times New Roman"/>
          <w:color w:val="000000" w:themeColor="text1"/>
          <w:sz w:val="24"/>
          <w:szCs w:val="24"/>
          <w:lang w:val="ru-RU"/>
        </w:rPr>
        <w:t>экономии</w:t>
      </w:r>
      <w:r w:rsidRPr="004E7E3E">
        <w:rPr>
          <w:rFonts w:ascii="Times New Roman" w:hAnsi="Times New Roman" w:cs="Times New Roman"/>
          <w:color w:val="000000" w:themeColor="text1"/>
          <w:sz w:val="24"/>
          <w:szCs w:val="24"/>
          <w:lang w:val="ru-RU"/>
        </w:rPr>
        <w:t xml:space="preserve"> масштаба за счет концентрации участников международного финансового рынка на единой территории» [</w:t>
      </w:r>
      <w:r w:rsidRPr="004E7E3E">
        <w:rPr>
          <w:rFonts w:ascii="Times New Roman" w:hAnsi="Times New Roman" w:cs="Times New Roman"/>
          <w:color w:val="000000" w:themeColor="text1"/>
          <w:sz w:val="24"/>
          <w:szCs w:val="24"/>
          <w:lang w:val="ru-RU"/>
        </w:rPr>
        <w:fldChar w:fldCharType="begin"/>
      </w:r>
      <w:r w:rsidRPr="004E7E3E">
        <w:rPr>
          <w:rFonts w:ascii="Times New Roman" w:hAnsi="Times New Roman" w:cs="Times New Roman"/>
          <w:color w:val="000000" w:themeColor="text1"/>
          <w:sz w:val="24"/>
          <w:szCs w:val="24"/>
          <w:lang w:val="ru-RU"/>
        </w:rPr>
        <w:instrText xml:space="preserve"> REF _Ref131432940 \r \h  \* MERGEFORMAT </w:instrText>
      </w:r>
      <w:r w:rsidRPr="004E7E3E">
        <w:rPr>
          <w:rFonts w:ascii="Times New Roman" w:hAnsi="Times New Roman" w:cs="Times New Roman"/>
          <w:color w:val="000000" w:themeColor="text1"/>
          <w:sz w:val="24"/>
          <w:szCs w:val="24"/>
          <w:lang w:val="ru-RU"/>
        </w:rPr>
      </w:r>
      <w:r w:rsidRPr="004E7E3E">
        <w:rPr>
          <w:rFonts w:ascii="Times New Roman" w:hAnsi="Times New Roman" w:cs="Times New Roman"/>
          <w:color w:val="000000" w:themeColor="text1"/>
          <w:sz w:val="24"/>
          <w:szCs w:val="24"/>
          <w:lang w:val="ru-RU"/>
        </w:rPr>
        <w:fldChar w:fldCharType="separate"/>
      </w:r>
      <w:r w:rsidR="00801D78">
        <w:rPr>
          <w:rFonts w:ascii="Times New Roman" w:hAnsi="Times New Roman" w:cs="Times New Roman"/>
          <w:color w:val="000000" w:themeColor="text1"/>
          <w:sz w:val="24"/>
          <w:szCs w:val="24"/>
          <w:lang w:val="ru-RU"/>
        </w:rPr>
        <w:t>124</w:t>
      </w:r>
      <w:r w:rsidRPr="004E7E3E">
        <w:rPr>
          <w:rFonts w:ascii="Times New Roman" w:hAnsi="Times New Roman" w:cs="Times New Roman"/>
          <w:color w:val="000000" w:themeColor="text1"/>
          <w:sz w:val="24"/>
          <w:szCs w:val="24"/>
          <w:lang w:val="ru-RU"/>
        </w:rPr>
        <w:fldChar w:fldCharType="end"/>
      </w:r>
      <w:r w:rsidRPr="004E7E3E">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 xml:space="preserve">Как известно, развитие финансового сектора может быть катализатором экономического роста на определённой стадии развития, но в стадии сверхразвития данной отрасли способность быть катализатором ослабевает </w:t>
      </w:r>
      <w:r w:rsidRPr="00D9304E">
        <w:rPr>
          <w:rFonts w:ascii="Times New Roman" w:hAnsi="Times New Roman" w:cs="Times New Roman"/>
          <w:color w:val="000000" w:themeColor="text1"/>
          <w:sz w:val="24"/>
          <w:szCs w:val="24"/>
          <w:lang w:val="ru-RU"/>
        </w:rPr>
        <w:t>[</w:t>
      </w:r>
      <w:r w:rsidRPr="00D9304E">
        <w:rPr>
          <w:rFonts w:ascii="Times New Roman" w:hAnsi="Times New Roman" w:cs="Times New Roman"/>
          <w:color w:val="000000" w:themeColor="text1"/>
          <w:sz w:val="24"/>
          <w:szCs w:val="24"/>
          <w:lang w:val="ru-RU"/>
        </w:rPr>
        <w:fldChar w:fldCharType="begin"/>
      </w:r>
      <w:r w:rsidRPr="00D9304E">
        <w:rPr>
          <w:rFonts w:ascii="Times New Roman" w:hAnsi="Times New Roman" w:cs="Times New Roman"/>
          <w:color w:val="000000" w:themeColor="text1"/>
          <w:sz w:val="24"/>
          <w:szCs w:val="24"/>
          <w:lang w:val="ru-RU"/>
        </w:rPr>
        <w:instrText xml:space="preserve"> REF _Ref135681508 \r \h </w:instrText>
      </w:r>
      <w:r>
        <w:rPr>
          <w:rFonts w:ascii="Times New Roman" w:hAnsi="Times New Roman" w:cs="Times New Roman"/>
          <w:color w:val="000000" w:themeColor="text1"/>
          <w:sz w:val="24"/>
          <w:szCs w:val="24"/>
          <w:lang w:val="ru-RU"/>
        </w:rPr>
        <w:instrText xml:space="preserve"> \* MERGEFORMAT </w:instrText>
      </w:r>
      <w:r w:rsidRPr="00D9304E">
        <w:rPr>
          <w:rFonts w:ascii="Times New Roman" w:hAnsi="Times New Roman" w:cs="Times New Roman"/>
          <w:color w:val="000000" w:themeColor="text1"/>
          <w:sz w:val="24"/>
          <w:szCs w:val="24"/>
          <w:lang w:val="ru-RU"/>
        </w:rPr>
      </w:r>
      <w:r w:rsidRPr="00D9304E">
        <w:rPr>
          <w:rFonts w:ascii="Times New Roman" w:hAnsi="Times New Roman" w:cs="Times New Roman"/>
          <w:color w:val="000000" w:themeColor="text1"/>
          <w:sz w:val="24"/>
          <w:szCs w:val="24"/>
          <w:lang w:val="ru-RU"/>
        </w:rPr>
        <w:fldChar w:fldCharType="separate"/>
      </w:r>
      <w:r w:rsidR="00801D78">
        <w:rPr>
          <w:rFonts w:ascii="Times New Roman" w:hAnsi="Times New Roman" w:cs="Times New Roman"/>
          <w:color w:val="000000" w:themeColor="text1"/>
          <w:sz w:val="24"/>
          <w:szCs w:val="24"/>
          <w:lang w:val="ru-RU"/>
        </w:rPr>
        <w:t>132</w:t>
      </w:r>
      <w:r w:rsidRPr="00D9304E">
        <w:rPr>
          <w:rFonts w:ascii="Times New Roman" w:hAnsi="Times New Roman" w:cs="Times New Roman"/>
          <w:color w:val="000000" w:themeColor="text1"/>
          <w:sz w:val="24"/>
          <w:szCs w:val="24"/>
          <w:lang w:val="ru-RU"/>
        </w:rPr>
        <w:fldChar w:fldCharType="end"/>
      </w:r>
      <w:r w:rsidRPr="00D9304E">
        <w:rPr>
          <w:rFonts w:ascii="Times New Roman" w:hAnsi="Times New Roman" w:cs="Times New Roman"/>
          <w:color w:val="000000" w:themeColor="text1"/>
          <w:sz w:val="24"/>
          <w:szCs w:val="24"/>
          <w:lang w:val="ru-RU"/>
        </w:rPr>
        <w:t>, с. 97].</w:t>
      </w:r>
    </w:p>
    <w:p w14:paraId="610DFAFF" w14:textId="5E9A4FB4" w:rsidR="00937CBF" w:rsidRPr="002A08F6" w:rsidRDefault="00937CBF" w:rsidP="00937CBF">
      <w:pPr>
        <w:spacing w:after="0" w:line="360" w:lineRule="auto"/>
        <w:ind w:firstLine="709"/>
        <w:contextualSpacing/>
        <w:jc w:val="both"/>
        <w:rPr>
          <w:rFonts w:ascii="Times New Roman" w:hAnsi="Times New Roman" w:cs="Times New Roman"/>
          <w:color w:val="000000" w:themeColor="text1"/>
          <w:sz w:val="24"/>
          <w:szCs w:val="24"/>
          <w:lang w:val="ru-RU"/>
        </w:rPr>
      </w:pPr>
      <w:r w:rsidRPr="004B7A95">
        <w:rPr>
          <w:rFonts w:ascii="Times New Roman" w:hAnsi="Times New Roman" w:cs="Times New Roman"/>
          <w:color w:val="000000" w:themeColor="text1"/>
          <w:sz w:val="24"/>
          <w:szCs w:val="24"/>
          <w:lang w:val="ru-RU"/>
        </w:rPr>
        <w:t>Е. В. Семенцова  посвятила отдельную статью различным подходам к определению МФЦ,</w:t>
      </w:r>
      <w:r w:rsidRPr="004E7E3E">
        <w:rPr>
          <w:rFonts w:ascii="Times New Roman" w:hAnsi="Times New Roman" w:cs="Times New Roman"/>
          <w:color w:val="000000" w:themeColor="text1"/>
          <w:sz w:val="24"/>
          <w:szCs w:val="24"/>
          <w:lang w:val="ru-RU"/>
        </w:rPr>
        <w:t xml:space="preserve"> в которой она пр</w:t>
      </w:r>
      <w:r>
        <w:rPr>
          <w:rFonts w:ascii="Times New Roman" w:hAnsi="Times New Roman" w:cs="Times New Roman"/>
          <w:color w:val="000000" w:themeColor="text1"/>
          <w:sz w:val="24"/>
          <w:szCs w:val="24"/>
          <w:lang w:val="ru-RU"/>
        </w:rPr>
        <w:t>едложила четыре подхода для определения,</w:t>
      </w:r>
      <w:r w:rsidRPr="004E7E3E">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 xml:space="preserve">основанных на следующих </w:t>
      </w:r>
      <w:r>
        <w:rPr>
          <w:rFonts w:ascii="Times New Roman" w:hAnsi="Times New Roman" w:cs="Times New Roman"/>
          <w:color w:val="000000" w:themeColor="text1"/>
          <w:sz w:val="24"/>
          <w:szCs w:val="24"/>
          <w:lang w:val="ru-RU"/>
        </w:rPr>
        <w:lastRenderedPageBreak/>
        <w:t>признаках</w:t>
      </w:r>
      <w:r w:rsidRPr="004E7E3E">
        <w:rPr>
          <w:rFonts w:ascii="Times New Roman" w:hAnsi="Times New Roman" w:cs="Times New Roman"/>
          <w:color w:val="000000" w:themeColor="text1"/>
          <w:sz w:val="24"/>
          <w:szCs w:val="24"/>
          <w:lang w:val="ru-RU"/>
        </w:rPr>
        <w:t>: 1) трансграничный характер операций</w:t>
      </w:r>
      <w:r>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lang w:val="ru-RU"/>
        </w:rPr>
        <w:t xml:space="preserve"> 2) концентрация: а) капитала, б) операций, в) финансовых институтов</w:t>
      </w:r>
      <w:r>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lang w:val="ru-RU"/>
        </w:rPr>
        <w:t xml:space="preserve"> 3) обособленность центра</w:t>
      </w:r>
      <w:r>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lang w:val="ru-RU"/>
        </w:rPr>
        <w:t xml:space="preserve"> 4) связь с конкретным местом [</w:t>
      </w:r>
      <w:r w:rsidRPr="004E7E3E">
        <w:rPr>
          <w:rFonts w:ascii="Times New Roman" w:hAnsi="Times New Roman" w:cs="Times New Roman"/>
          <w:color w:val="000000" w:themeColor="text1"/>
          <w:sz w:val="24"/>
          <w:szCs w:val="24"/>
          <w:lang w:val="ru-RU"/>
        </w:rPr>
        <w:fldChar w:fldCharType="begin"/>
      </w:r>
      <w:r w:rsidRPr="004E7E3E">
        <w:rPr>
          <w:rFonts w:ascii="Times New Roman" w:hAnsi="Times New Roman" w:cs="Times New Roman"/>
          <w:color w:val="000000" w:themeColor="text1"/>
          <w:sz w:val="24"/>
          <w:szCs w:val="24"/>
          <w:lang w:val="ru-RU"/>
        </w:rPr>
        <w:instrText xml:space="preserve"> REF _Ref498526579 \r \h  \* MERGEFORMAT </w:instrText>
      </w:r>
      <w:r w:rsidRPr="004E7E3E">
        <w:rPr>
          <w:rFonts w:ascii="Times New Roman" w:hAnsi="Times New Roman" w:cs="Times New Roman"/>
          <w:color w:val="000000" w:themeColor="text1"/>
          <w:sz w:val="24"/>
          <w:szCs w:val="24"/>
          <w:lang w:val="ru-RU"/>
        </w:rPr>
      </w:r>
      <w:r w:rsidRPr="004E7E3E">
        <w:rPr>
          <w:rFonts w:ascii="Times New Roman" w:hAnsi="Times New Roman" w:cs="Times New Roman"/>
          <w:color w:val="000000" w:themeColor="text1"/>
          <w:sz w:val="24"/>
          <w:szCs w:val="24"/>
          <w:lang w:val="ru-RU"/>
        </w:rPr>
        <w:fldChar w:fldCharType="separate"/>
      </w:r>
      <w:r w:rsidR="00801D78">
        <w:rPr>
          <w:rFonts w:ascii="Times New Roman" w:hAnsi="Times New Roman" w:cs="Times New Roman"/>
          <w:color w:val="000000" w:themeColor="text1"/>
          <w:sz w:val="24"/>
          <w:szCs w:val="24"/>
          <w:lang w:val="ru-RU"/>
        </w:rPr>
        <w:t>122</w:t>
      </w:r>
      <w:r w:rsidRPr="004E7E3E">
        <w:rPr>
          <w:rFonts w:ascii="Times New Roman" w:hAnsi="Times New Roman" w:cs="Times New Roman"/>
          <w:color w:val="000000" w:themeColor="text1"/>
          <w:sz w:val="24"/>
          <w:szCs w:val="24"/>
          <w:lang w:val="ru-RU"/>
        </w:rPr>
        <w:fldChar w:fldCharType="end"/>
      </w:r>
      <w:r w:rsidRPr="004E7E3E">
        <w:rPr>
          <w:rFonts w:ascii="Times New Roman" w:hAnsi="Times New Roman" w:cs="Times New Roman"/>
          <w:color w:val="000000" w:themeColor="text1"/>
          <w:sz w:val="24"/>
          <w:szCs w:val="24"/>
          <w:lang w:val="ru-RU"/>
        </w:rPr>
        <w:t>, с. 46].</w:t>
      </w:r>
      <w:r>
        <w:rPr>
          <w:rFonts w:ascii="Times New Roman" w:hAnsi="Times New Roman" w:cs="Times New Roman"/>
          <w:color w:val="000000" w:themeColor="text1"/>
          <w:sz w:val="24"/>
          <w:szCs w:val="24"/>
          <w:lang w:val="ru-RU"/>
        </w:rPr>
        <w:t xml:space="preserve"> </w:t>
      </w:r>
    </w:p>
    <w:p w14:paraId="7062F3A2" w14:textId="07460C81" w:rsidR="00937CBF"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Петербурге вопросы МФЦ изучает профессор И. К. Ключников. </w:t>
      </w:r>
      <w:r>
        <w:rPr>
          <w:rFonts w:ascii="Times New Roman" w:hAnsi="Times New Roman" w:cs="Times New Roman"/>
          <w:color w:val="000000"/>
          <w:sz w:val="24"/>
          <w:szCs w:val="24"/>
          <w:shd w:val="clear" w:color="auto" w:fill="FFFFFF"/>
          <w:lang w:val="ru-RU"/>
        </w:rPr>
        <w:t>В</w:t>
      </w:r>
      <w:r w:rsidRPr="004E7E3E">
        <w:rPr>
          <w:rFonts w:ascii="Times New Roman" w:hAnsi="Times New Roman" w:cs="Times New Roman"/>
          <w:color w:val="000000"/>
          <w:sz w:val="24"/>
          <w:szCs w:val="24"/>
          <w:shd w:val="clear" w:color="auto" w:fill="FFFFFF"/>
          <w:lang w:val="ru-RU"/>
        </w:rPr>
        <w:t xml:space="preserve"> рамках специального курса, посвященно</w:t>
      </w:r>
      <w:r>
        <w:rPr>
          <w:rFonts w:ascii="Times New Roman" w:hAnsi="Times New Roman" w:cs="Times New Roman"/>
          <w:color w:val="000000"/>
          <w:sz w:val="24"/>
          <w:szCs w:val="24"/>
          <w:shd w:val="clear" w:color="auto" w:fill="FFFFFF"/>
          <w:lang w:val="ru-RU"/>
        </w:rPr>
        <w:t>го</w:t>
      </w:r>
      <w:r w:rsidRPr="004E7E3E">
        <w:rPr>
          <w:rFonts w:ascii="Times New Roman" w:hAnsi="Times New Roman" w:cs="Times New Roman"/>
          <w:color w:val="000000"/>
          <w:sz w:val="24"/>
          <w:szCs w:val="24"/>
          <w:shd w:val="clear" w:color="auto" w:fill="FFFFFF"/>
          <w:lang w:val="ru-RU"/>
        </w:rPr>
        <w:t xml:space="preserve"> данной проблематике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он </w:t>
      </w:r>
      <w:r w:rsidRPr="004E7E3E">
        <w:rPr>
          <w:rFonts w:ascii="Times New Roman" w:hAnsi="Times New Roman" w:cs="Times New Roman"/>
          <w:color w:val="000000"/>
          <w:sz w:val="24"/>
          <w:szCs w:val="24"/>
          <w:shd w:val="clear" w:color="auto" w:fill="FFFFFF"/>
          <w:lang w:val="ru-RU"/>
        </w:rPr>
        <w:t>предлагает следующее определение: «МФЦ можно определить как глобальный город, в котором сосредоточены транснациональные компании и международный бизнес, поскольку там имеется глобальный финансовый рынок и транснациональные финансовые институты, работающие по принципам сетевой экономики, а все участники процесса обеспечены соответствующим качеством жизни»</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_Ref135077669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88</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с. 93]</w:t>
      </w:r>
      <w:r>
        <w:rPr>
          <w:rFonts w:ascii="Times New Roman" w:hAnsi="Times New Roman" w:cs="Times New Roman"/>
          <w:color w:val="000000"/>
          <w:sz w:val="24"/>
          <w:szCs w:val="24"/>
          <w:shd w:val="clear" w:color="auto" w:fill="FFFFFF"/>
          <w:lang w:val="ru-RU"/>
        </w:rPr>
        <w:t>.</w:t>
      </w:r>
    </w:p>
    <w:p w14:paraId="1F298D62" w14:textId="18D0A362" w:rsidR="00937CBF" w:rsidRPr="003F2060"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Перечень определений был бы неполным без цитаты из первого отечественного исследования по проблематике МФЦ Г. Г. Матюхина, но потребуется компиляция из нескольких отрывков, помещённых в разных главах: «Мировые финансовые центры являются важнейшим элементом мирового капиталистического хозяйства… Современные мировые финансовые центры образуются в местах сосредоточения и концентрации капитала, независимо от того, находятся ли эти места в странах-экспортёрах капитала или нет… В подавляющем же большинстве мировые финансовые центры представляют собой совершенно новые образования, сформировавшиеся на основе международных рынков капитала, а точнее, еврорынков… В большинстве случаев национальные рынки не определяют лица современных мировых финансовых центров. Поэтому необязательно финансовые центры будут ведущими только потому, что национальные рынки стран, где они располагаются, весьма развиты или даже огромны (например, США). Критерием оценки финансового центра служит степень развитости его операций с участием не столько национального, сколько интернационального капитала» </w:t>
      </w:r>
      <w:r w:rsidRPr="003D7B16">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_Ref135307314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101</w:t>
      </w:r>
      <w:r>
        <w:rPr>
          <w:rFonts w:ascii="Times New Roman" w:hAnsi="Times New Roman" w:cs="Times New Roman"/>
          <w:color w:val="000000"/>
          <w:sz w:val="24"/>
          <w:szCs w:val="24"/>
          <w:shd w:val="clear" w:color="auto" w:fill="FFFFFF"/>
          <w:lang w:val="ru-RU"/>
        </w:rPr>
        <w:fldChar w:fldCharType="end"/>
      </w:r>
      <w:r>
        <w:rPr>
          <w:rFonts w:ascii="Times New Roman" w:hAnsi="Times New Roman" w:cs="Times New Roman"/>
          <w:color w:val="000000"/>
          <w:sz w:val="24"/>
          <w:szCs w:val="24"/>
          <w:shd w:val="clear" w:color="auto" w:fill="FFFFFF"/>
          <w:lang w:val="ru-RU"/>
        </w:rPr>
        <w:t>, с. 3-4, 64-65</w:t>
      </w:r>
      <w:r w:rsidRPr="003D7B16">
        <w:rPr>
          <w:rFonts w:ascii="Times New Roman" w:hAnsi="Times New Roman" w:cs="Times New Roman"/>
          <w:color w:val="000000"/>
          <w:sz w:val="24"/>
          <w:szCs w:val="24"/>
          <w:shd w:val="clear" w:color="auto" w:fill="FFFFFF"/>
          <w:lang w:val="ru-RU"/>
        </w:rPr>
        <w:t>]</w:t>
      </w:r>
      <w:r w:rsidRPr="003F2060">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Нам представляется, что, несмотря на идеологизированный стиль изложения, по широте охвата и глубине проникновения исследователя в проблематику работа Г. Г. Матюхина остаётся классической и требует включения в библиографию исследований МФЦ. </w:t>
      </w:r>
    </w:p>
    <w:p w14:paraId="1821A213"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Предложим </w:t>
      </w:r>
      <w:r w:rsidRPr="004E7E3E">
        <w:rPr>
          <w:rFonts w:ascii="Times New Roman" w:hAnsi="Times New Roman" w:cs="Times New Roman"/>
          <w:i/>
          <w:color w:val="000000"/>
          <w:sz w:val="24"/>
          <w:szCs w:val="24"/>
          <w:shd w:val="clear" w:color="auto" w:fill="FFFFFF"/>
          <w:lang w:val="ru-RU"/>
        </w:rPr>
        <w:t>наше определение</w:t>
      </w:r>
      <w:r w:rsidRPr="004E7E3E">
        <w:rPr>
          <w:rFonts w:ascii="Times New Roman" w:hAnsi="Times New Roman" w:cs="Times New Roman"/>
          <w:color w:val="000000"/>
          <w:sz w:val="24"/>
          <w:szCs w:val="24"/>
          <w:shd w:val="clear" w:color="auto" w:fill="FFFFFF"/>
          <w:lang w:val="ru-RU"/>
        </w:rPr>
        <w:t>, в котором производится попытка обобщить и</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синтезировать наиболее интересные мысли других исследователей, занимавшихся проблематикой МФЦ. </w:t>
      </w:r>
      <w:r w:rsidRPr="004E7E3E">
        <w:rPr>
          <w:rFonts w:ascii="Times New Roman" w:hAnsi="Times New Roman" w:cs="Times New Roman"/>
          <w:b/>
          <w:color w:val="000000"/>
          <w:sz w:val="24"/>
          <w:szCs w:val="24"/>
          <w:shd w:val="clear" w:color="auto" w:fill="FFFFFF"/>
          <w:lang w:val="ru-RU"/>
        </w:rPr>
        <w:t>Международные финансовые центры</w:t>
      </w:r>
      <w:r w:rsidRPr="004E7E3E">
        <w:rPr>
          <w:rFonts w:ascii="Times New Roman" w:hAnsi="Times New Roman" w:cs="Times New Roman"/>
          <w:color w:val="000000"/>
          <w:sz w:val="24"/>
          <w:szCs w:val="24"/>
          <w:shd w:val="clear" w:color="auto" w:fill="FFFFFF"/>
          <w:lang w:val="ru-RU"/>
        </w:rPr>
        <w:t xml:space="preserve"> – это сетевой институт мировых финансов, обслуживающий крупнейшие региональные (национальные) экономики и</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связывающий их с мировыми процессами. Для международных финансовых </w:t>
      </w:r>
      <w:r>
        <w:rPr>
          <w:rFonts w:ascii="Times New Roman" w:hAnsi="Times New Roman" w:cs="Times New Roman"/>
          <w:color w:val="000000"/>
          <w:sz w:val="24"/>
          <w:szCs w:val="24"/>
          <w:shd w:val="clear" w:color="auto" w:fill="FFFFFF"/>
          <w:lang w:val="ru-RU"/>
        </w:rPr>
        <w:t>центров</w:t>
      </w:r>
      <w:r w:rsidRPr="004E7E3E">
        <w:rPr>
          <w:rFonts w:ascii="Times New Roman" w:hAnsi="Times New Roman" w:cs="Times New Roman"/>
          <w:color w:val="000000"/>
          <w:sz w:val="24"/>
          <w:szCs w:val="24"/>
          <w:shd w:val="clear" w:color="auto" w:fill="FFFFFF"/>
          <w:lang w:val="ru-RU"/>
        </w:rPr>
        <w:t xml:space="preserve"> характерна сверхконцентрация фондовых и валютных бирж, представительств мировых банков, страховых, инвестиционных компаний, пенсионных и хэджинговых фондов, брокерских контор, депозитариев, клиринговых агентств</w:t>
      </w:r>
      <w:r>
        <w:rPr>
          <w:rFonts w:ascii="Times New Roman" w:hAnsi="Times New Roman" w:cs="Times New Roman"/>
          <w:color w:val="000000"/>
          <w:sz w:val="24"/>
          <w:szCs w:val="24"/>
          <w:shd w:val="clear" w:color="auto" w:fill="FFFFFF"/>
          <w:lang w:val="ru-RU"/>
        </w:rPr>
        <w:t xml:space="preserve"> и транснациональных корпораций, а также наличие норм регулирования оптовых операций структурированными финансовыми продуктам и услугами на внутреннем и внешнем рынках.</w:t>
      </w:r>
      <w:r w:rsidRPr="004E7E3E">
        <w:rPr>
          <w:rFonts w:ascii="Times New Roman" w:hAnsi="Times New Roman" w:cs="Times New Roman"/>
          <w:color w:val="000000"/>
          <w:sz w:val="24"/>
          <w:szCs w:val="24"/>
          <w:shd w:val="clear" w:color="auto" w:fill="FFFFFF"/>
          <w:lang w:val="ru-RU"/>
        </w:rPr>
        <w:t xml:space="preserve"> МФЦ</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как флюгеры</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улавливают мировые тенденции, </w:t>
      </w:r>
      <w:r w:rsidRPr="004E7E3E">
        <w:rPr>
          <w:rFonts w:ascii="Times New Roman" w:hAnsi="Times New Roman" w:cs="Times New Roman"/>
          <w:color w:val="000000"/>
          <w:sz w:val="24"/>
          <w:szCs w:val="24"/>
          <w:shd w:val="clear" w:color="auto" w:fill="FFFFFF"/>
          <w:lang w:val="ru-RU"/>
        </w:rPr>
        <w:lastRenderedPageBreak/>
        <w:t xml:space="preserve">гармонизируют практики региональных экономик с общемировыми стандартами, а также информируют мировое сообщество о задачах, стоящих перед регионом, в котором они базируются. </w:t>
      </w:r>
    </w:p>
    <w:p w14:paraId="5D537297"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Предложенное выше определение можно было дать без привлечения научного аппарата экономической теории. Оно подходит для широких масс, интересующихся данной проблематикой. Но мы претендуем на более глубокое понимание данного явления, поэтому воспользуемся разработками научных школ. </w:t>
      </w:r>
    </w:p>
    <w:p w14:paraId="655FF3D4"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Очевидно, что МФЦ – это предмет для изучения в рамках институционального подхода. Институциональный подход, как правило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делят на два этапа: 1) «старый» институционализм (Т. Б. Веблен, У. Хамильтон, Д. Р. Коммонс, У. К. Митчелл, Д. К. Гэлбрейт и др.), 2) новая институциональная экономика (Р. Коуз, Д. Норт, К. Эрроу, Г. Саймон, О. Уильямсон и др.).</w:t>
      </w:r>
    </w:p>
    <w:p w14:paraId="2D19F837" w14:textId="229CC8F1"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Рассмотрим, как институт МФЦ соотносится с понятиями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организация</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право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государство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фирма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транзакционные издержки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контракт</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Как можно было заметить </w:t>
      </w:r>
      <w:r>
        <w:rPr>
          <w:rFonts w:ascii="Times New Roman" w:hAnsi="Times New Roman" w:cs="Times New Roman"/>
          <w:color w:val="000000"/>
          <w:sz w:val="24"/>
          <w:szCs w:val="24"/>
          <w:shd w:val="clear" w:color="auto" w:fill="FFFFFF"/>
          <w:lang w:val="ru-RU"/>
        </w:rPr>
        <w:t xml:space="preserve">из </w:t>
      </w:r>
      <w:r w:rsidRPr="004E7E3E">
        <w:rPr>
          <w:rFonts w:ascii="Times New Roman" w:hAnsi="Times New Roman" w:cs="Times New Roman"/>
          <w:color w:val="000000"/>
          <w:sz w:val="24"/>
          <w:szCs w:val="24"/>
          <w:shd w:val="clear" w:color="auto" w:fill="FFFFFF"/>
          <w:lang w:val="ru-RU"/>
        </w:rPr>
        <w:t>выше</w:t>
      </w:r>
      <w:r>
        <w:rPr>
          <w:rFonts w:ascii="Times New Roman" w:hAnsi="Times New Roman" w:cs="Times New Roman"/>
          <w:color w:val="000000"/>
          <w:sz w:val="24"/>
          <w:szCs w:val="24"/>
          <w:shd w:val="clear" w:color="auto" w:fill="FFFFFF"/>
          <w:lang w:val="ru-RU"/>
        </w:rPr>
        <w:t xml:space="preserve"> представленного</w:t>
      </w:r>
      <w:r w:rsidRPr="004E7E3E">
        <w:rPr>
          <w:rFonts w:ascii="Times New Roman" w:hAnsi="Times New Roman" w:cs="Times New Roman"/>
          <w:color w:val="000000"/>
          <w:sz w:val="24"/>
          <w:szCs w:val="24"/>
          <w:shd w:val="clear" w:color="auto" w:fill="FFFFFF"/>
          <w:lang w:val="ru-RU"/>
        </w:rPr>
        <w:t xml:space="preserve"> списка определений, к понятию МФЦ есть разные подходы. </w:t>
      </w:r>
      <w:r>
        <w:rPr>
          <w:rFonts w:ascii="Times New Roman" w:hAnsi="Times New Roman" w:cs="Times New Roman"/>
          <w:color w:val="000000"/>
          <w:sz w:val="24"/>
          <w:szCs w:val="24"/>
          <w:shd w:val="clear" w:color="auto" w:fill="FFFFFF"/>
          <w:lang w:val="ru-RU"/>
        </w:rPr>
        <w:t xml:space="preserve">В любом мегаполисе можно найти </w:t>
      </w:r>
      <w:r w:rsidRPr="004E7E3E">
        <w:rPr>
          <w:rFonts w:ascii="Times New Roman" w:hAnsi="Times New Roman" w:cs="Times New Roman"/>
          <w:color w:val="000000"/>
          <w:sz w:val="24"/>
          <w:szCs w:val="24"/>
          <w:shd w:val="clear" w:color="auto" w:fill="FFFFFF"/>
          <w:lang w:val="ru-RU"/>
        </w:rPr>
        <w:t>здание с вывеской «международный финансовый центр», но организацией, которая бы признавала или не признавала право на существование какого-нибудь МФЦ нет. По этому признаку МФЦ – это не организация, а неформальный институт, «свод правил», действующ</w:t>
      </w:r>
      <w:r>
        <w:rPr>
          <w:rFonts w:ascii="Times New Roman" w:hAnsi="Times New Roman" w:cs="Times New Roman"/>
          <w:color w:val="000000"/>
          <w:sz w:val="24"/>
          <w:szCs w:val="24"/>
          <w:shd w:val="clear" w:color="auto" w:fill="FFFFFF"/>
          <w:lang w:val="ru-RU"/>
        </w:rPr>
        <w:t>их</w:t>
      </w:r>
      <w:r w:rsidRPr="004E7E3E">
        <w:rPr>
          <w:rFonts w:ascii="Times New Roman" w:hAnsi="Times New Roman" w:cs="Times New Roman"/>
          <w:color w:val="000000"/>
          <w:sz w:val="24"/>
          <w:szCs w:val="24"/>
          <w:shd w:val="clear" w:color="auto" w:fill="FFFFFF"/>
          <w:lang w:val="ru-RU"/>
        </w:rPr>
        <w:t xml:space="preserve"> на определённой территории, как правило, включающ</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й границы одного города. То есть </w:t>
      </w:r>
      <w:r>
        <w:rPr>
          <w:rFonts w:ascii="Times New Roman" w:hAnsi="Times New Roman" w:cs="Times New Roman"/>
          <w:color w:val="000000"/>
          <w:sz w:val="24"/>
          <w:szCs w:val="24"/>
          <w:shd w:val="clear" w:color="auto" w:fill="FFFFFF"/>
          <w:lang w:val="ru-RU"/>
        </w:rPr>
        <w:t xml:space="preserve">данное понимание МФЦ </w:t>
      </w:r>
      <w:r w:rsidRPr="004E7E3E">
        <w:rPr>
          <w:rFonts w:ascii="Times New Roman" w:hAnsi="Times New Roman" w:cs="Times New Roman"/>
          <w:color w:val="000000"/>
          <w:sz w:val="24"/>
          <w:szCs w:val="24"/>
          <w:shd w:val="clear" w:color="auto" w:fill="FFFFFF"/>
          <w:lang w:val="ru-RU"/>
        </w:rPr>
        <w:t>вполне соответствует классическому определению Дугласа Норта: «Институты – это правила, механизмы, обеспечивающие их выполнение, и нормы поведения, которые структурируют повторяющиеся взаимодействия между людьми»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_Ref497923666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110</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73]</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В</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здании с</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вывеской «МФЦ», скорее всего (мы говорим именно «скорее всего», так как в различных рейтингах насчитывается уже около </w:t>
      </w:r>
      <w:r>
        <w:rPr>
          <w:rFonts w:ascii="Times New Roman" w:hAnsi="Times New Roman" w:cs="Times New Roman"/>
          <w:color w:val="000000"/>
          <w:sz w:val="24"/>
          <w:szCs w:val="24"/>
          <w:shd w:val="clear" w:color="auto" w:fill="FFFFFF"/>
          <w:lang w:val="ru-RU"/>
        </w:rPr>
        <w:t>ста МФЦ</w:t>
      </w:r>
      <w:r w:rsidRPr="004E7E3E">
        <w:rPr>
          <w:rFonts w:ascii="Times New Roman" w:hAnsi="Times New Roman" w:cs="Times New Roman"/>
          <w:color w:val="000000"/>
          <w:sz w:val="24"/>
          <w:szCs w:val="24"/>
          <w:shd w:val="clear" w:color="auto" w:fill="FFFFFF"/>
          <w:lang w:val="ru-RU"/>
        </w:rPr>
        <w:t>, и не в</w:t>
      </w:r>
      <w:r>
        <w:rPr>
          <w:rFonts w:ascii="Times New Roman" w:hAnsi="Times New Roman" w:cs="Times New Roman"/>
          <w:color w:val="000000"/>
          <w:sz w:val="24"/>
          <w:szCs w:val="24"/>
          <w:shd w:val="clear" w:color="auto" w:fill="FFFFFF"/>
          <w:lang w:val="ru-RU"/>
        </w:rPr>
        <w:t xml:space="preserve"> каждом из них</w:t>
      </w:r>
      <w:r w:rsidRPr="004E7E3E">
        <w:rPr>
          <w:rFonts w:ascii="Times New Roman" w:hAnsi="Times New Roman" w:cs="Times New Roman"/>
          <w:color w:val="000000"/>
          <w:sz w:val="24"/>
          <w:szCs w:val="24"/>
          <w:shd w:val="clear" w:color="auto" w:fill="FFFFFF"/>
          <w:lang w:val="ru-RU"/>
        </w:rPr>
        <w:t xml:space="preserve"> можно найти подобное здание), находится некоммерческая организация, занимающаяся вопросами разработки правил усовершенствования финансовых практик и гармонизации их с международными правилами. Если сравнивать МФЦ с более привычными для России объединениями, </w:t>
      </w:r>
      <w:r>
        <w:rPr>
          <w:rFonts w:ascii="Times New Roman" w:hAnsi="Times New Roman" w:cs="Times New Roman"/>
          <w:color w:val="000000"/>
          <w:sz w:val="24"/>
          <w:szCs w:val="24"/>
          <w:shd w:val="clear" w:color="auto" w:fill="FFFFFF"/>
          <w:lang w:val="ru-RU"/>
        </w:rPr>
        <w:t xml:space="preserve">то </w:t>
      </w:r>
      <w:r w:rsidRPr="004E7E3E">
        <w:rPr>
          <w:rFonts w:ascii="Times New Roman" w:hAnsi="Times New Roman" w:cs="Times New Roman"/>
          <w:color w:val="000000"/>
          <w:sz w:val="24"/>
          <w:szCs w:val="24"/>
          <w:shd w:val="clear" w:color="auto" w:fill="FFFFFF"/>
          <w:lang w:val="ru-RU"/>
        </w:rPr>
        <w:t xml:space="preserve">в узком смысле слова МФЦ – это комбинация НИИ по финансовым рынкам и торгово-промышленной </w:t>
      </w:r>
      <w:r w:rsidRPr="004140F8">
        <w:rPr>
          <w:rFonts w:ascii="Times New Roman" w:hAnsi="Times New Roman" w:cs="Times New Roman"/>
          <w:color w:val="000000"/>
          <w:sz w:val="24"/>
          <w:szCs w:val="24"/>
          <w:shd w:val="clear" w:color="auto" w:fill="FFFFFF"/>
          <w:lang w:val="ru-RU"/>
        </w:rPr>
        <w:t>палаты</w:t>
      </w:r>
      <w:r w:rsidRPr="004E7E3E">
        <w:rPr>
          <w:rFonts w:ascii="Times New Roman" w:hAnsi="Times New Roman" w:cs="Times New Roman"/>
          <w:color w:val="000000"/>
          <w:sz w:val="24"/>
          <w:szCs w:val="24"/>
          <w:shd w:val="clear" w:color="auto" w:fill="FFFFFF"/>
          <w:lang w:val="ru-RU"/>
        </w:rPr>
        <w:t>. МФЦ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обычном своём понимании всегда подразумевает определённую инфраструктуру (район Сити и Даунтауна с расположенными там финансовыми институтами, а также транспортные узлы), систему органов, регулирующих финансовый сектор, и нормы (формальные – законы, нормативные документы, – и неформальные – практики, режимы, обычаи). Международные финансовые центры как институты, занимающиеся управлением капиталами, должны представлять из себя унифицированную (хотя бы отчасти) сеть</w:t>
      </w:r>
      <w:r>
        <w:rPr>
          <w:rFonts w:ascii="Times New Roman" w:hAnsi="Times New Roman" w:cs="Times New Roman"/>
          <w:color w:val="000000"/>
          <w:sz w:val="24"/>
          <w:szCs w:val="24"/>
          <w:shd w:val="clear" w:color="auto" w:fill="FFFFFF"/>
          <w:lang w:val="ru-RU"/>
        </w:rPr>
        <w:t>. Иными словами,</w:t>
      </w:r>
      <w:r w:rsidRPr="004E7E3E">
        <w:rPr>
          <w:rFonts w:ascii="Times New Roman" w:hAnsi="Times New Roman" w:cs="Times New Roman"/>
          <w:color w:val="000000"/>
          <w:sz w:val="24"/>
          <w:szCs w:val="24"/>
          <w:shd w:val="clear" w:color="auto" w:fill="FFFFFF"/>
          <w:lang w:val="ru-RU"/>
        </w:rPr>
        <w:t xml:space="preserve"> должно соблюдаться правило институциональной комплементарности не только на формальном, но и на </w:t>
      </w:r>
      <w:r w:rsidRPr="004E7E3E">
        <w:rPr>
          <w:rFonts w:ascii="Times New Roman" w:hAnsi="Times New Roman" w:cs="Times New Roman"/>
          <w:color w:val="000000"/>
          <w:sz w:val="24"/>
          <w:szCs w:val="24"/>
          <w:shd w:val="clear" w:color="auto" w:fill="FFFFFF"/>
          <w:lang w:val="ru-RU"/>
        </w:rPr>
        <w:lastRenderedPageBreak/>
        <w:t>неформальном уровн</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МФЦ отвечают за транзакционное посредничество в финансовом секторе, выполнение контрактов, снижение транзакционных издержек, хотя, конечно, и сами их создают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_Ref497924853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91</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xml:space="preserve">. 23]. </w:t>
      </w:r>
    </w:p>
    <w:p w14:paraId="5854148B" w14:textId="69CF76E4"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Проследим эволюцию МФЦ в рамках исторического подхода. В некоторых исследованиях историю МФЦ начинают с </w:t>
      </w:r>
      <w:r>
        <w:rPr>
          <w:rFonts w:ascii="Times New Roman" w:hAnsi="Times New Roman" w:cs="Times New Roman"/>
          <w:color w:val="000000"/>
          <w:sz w:val="24"/>
          <w:szCs w:val="24"/>
          <w:shd w:val="clear" w:color="auto" w:fill="FFFFFF"/>
          <w:lang w:val="ru-RU"/>
        </w:rPr>
        <w:t xml:space="preserve">17 </w:t>
      </w:r>
      <w:r w:rsidRPr="004E7E3E">
        <w:rPr>
          <w:rFonts w:ascii="Times New Roman" w:hAnsi="Times New Roman" w:cs="Times New Roman"/>
          <w:color w:val="000000"/>
          <w:sz w:val="24"/>
          <w:szCs w:val="24"/>
          <w:shd w:val="clear" w:color="auto" w:fill="FFFFFF"/>
          <w:lang w:val="ru-RU"/>
        </w:rPr>
        <w:t>века и первым МФЦ называют Амстердам, через век главным центром становится Лондон</w:t>
      </w:r>
      <w:r>
        <w:rPr>
          <w:rFonts w:ascii="Times New Roman" w:hAnsi="Times New Roman" w:cs="Times New Roman"/>
          <w:color w:val="000000"/>
          <w:sz w:val="24"/>
          <w:szCs w:val="24"/>
          <w:shd w:val="clear" w:color="auto" w:fill="FFFFFF"/>
          <w:lang w:val="ru-RU"/>
        </w:rPr>
        <w:t>. Позже,</w:t>
      </w:r>
      <w:r w:rsidRPr="004E7E3E">
        <w:rPr>
          <w:rFonts w:ascii="Times New Roman" w:hAnsi="Times New Roman" w:cs="Times New Roman"/>
          <w:color w:val="000000"/>
          <w:sz w:val="24"/>
          <w:szCs w:val="24"/>
          <w:shd w:val="clear" w:color="auto" w:fill="FFFFFF"/>
          <w:lang w:val="ru-RU"/>
        </w:rPr>
        <w:t xml:space="preserve"> в </w:t>
      </w:r>
      <w:r>
        <w:rPr>
          <w:rFonts w:ascii="Times New Roman" w:hAnsi="Times New Roman" w:cs="Times New Roman"/>
          <w:color w:val="000000"/>
          <w:sz w:val="24"/>
          <w:szCs w:val="24"/>
          <w:shd w:val="clear" w:color="auto" w:fill="FFFFFF"/>
        </w:rPr>
        <w:t>XIX</w:t>
      </w:r>
      <w:r w:rsidRPr="004E7E3E">
        <w:rPr>
          <w:rFonts w:ascii="Times New Roman" w:hAnsi="Times New Roman" w:cs="Times New Roman"/>
          <w:color w:val="000000"/>
          <w:sz w:val="24"/>
          <w:szCs w:val="24"/>
          <w:shd w:val="clear" w:color="auto" w:fill="FFFFFF"/>
          <w:lang w:val="ru-RU"/>
        </w:rPr>
        <w:t xml:space="preserve"> веке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список пополняют Париж, Берлин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_Ref446781184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117</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xml:space="preserve">. 24]. Весь </w:t>
      </w:r>
      <w:r>
        <w:rPr>
          <w:rFonts w:ascii="Times New Roman" w:hAnsi="Times New Roman" w:cs="Times New Roman"/>
          <w:color w:val="000000"/>
          <w:sz w:val="24"/>
          <w:szCs w:val="24"/>
          <w:shd w:val="clear" w:color="auto" w:fill="FFFFFF"/>
          <w:lang w:val="ru-RU"/>
        </w:rPr>
        <w:t>20</w:t>
      </w:r>
      <w:r w:rsidRPr="004E7E3E">
        <w:rPr>
          <w:rFonts w:ascii="Times New Roman" w:hAnsi="Times New Roman" w:cs="Times New Roman"/>
          <w:color w:val="000000"/>
          <w:sz w:val="24"/>
          <w:szCs w:val="24"/>
          <w:shd w:val="clear" w:color="auto" w:fill="FFFFFF"/>
          <w:lang w:val="ru-RU"/>
        </w:rPr>
        <w:t xml:space="preserve"> век прошёл под знаком Нью-Йорка, лидерство которого оспаривали Токио и вновь Лондон.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_Ref446781184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117</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25]</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сущности, вопрос о первом финансовом центре не столь важен для проведения нашего исследования, но, на наш взгляд, признание Амстердама первым международным финансовым центром европоцентри</w:t>
      </w:r>
      <w:r>
        <w:rPr>
          <w:rFonts w:ascii="Times New Roman" w:hAnsi="Times New Roman" w:cs="Times New Roman"/>
          <w:color w:val="000000"/>
          <w:sz w:val="24"/>
          <w:szCs w:val="24"/>
          <w:shd w:val="clear" w:color="auto" w:fill="FFFFFF"/>
          <w:lang w:val="ru-RU"/>
        </w:rPr>
        <w:t>чно</w:t>
      </w:r>
      <w:r w:rsidRPr="004E7E3E">
        <w:rPr>
          <w:rFonts w:ascii="Times New Roman" w:hAnsi="Times New Roman" w:cs="Times New Roman"/>
          <w:color w:val="000000"/>
          <w:sz w:val="24"/>
          <w:szCs w:val="24"/>
          <w:shd w:val="clear" w:color="auto" w:fill="FFFFFF"/>
          <w:lang w:val="ru-RU"/>
        </w:rPr>
        <w:t xml:space="preserve">, как во многом и вся отечественная наука. Кроме того, изучая финансовую историю </w:t>
      </w:r>
      <w:r>
        <w:rPr>
          <w:rFonts w:ascii="Times New Roman" w:hAnsi="Times New Roman" w:cs="Times New Roman"/>
          <w:color w:val="000000"/>
          <w:sz w:val="24"/>
          <w:szCs w:val="24"/>
          <w:shd w:val="clear" w:color="auto" w:fill="FFFFFF"/>
          <w:lang w:val="ru-RU"/>
        </w:rPr>
        <w:t>16–17</w:t>
      </w:r>
      <w:r w:rsidRPr="004E7E3E">
        <w:rPr>
          <w:rFonts w:ascii="Times New Roman" w:hAnsi="Times New Roman" w:cs="Times New Roman"/>
          <w:color w:val="000000"/>
          <w:sz w:val="24"/>
          <w:szCs w:val="24"/>
          <w:shd w:val="clear" w:color="auto" w:fill="FFFFFF"/>
          <w:lang w:val="ru-RU"/>
        </w:rPr>
        <w:t xml:space="preserve"> век</w:t>
      </w:r>
      <w:r>
        <w:rPr>
          <w:rFonts w:ascii="Times New Roman" w:hAnsi="Times New Roman" w:cs="Times New Roman"/>
          <w:color w:val="000000"/>
          <w:sz w:val="24"/>
          <w:szCs w:val="24"/>
          <w:shd w:val="clear" w:color="auto" w:fill="FFFFFF"/>
          <w:lang w:val="ru-RU"/>
        </w:rPr>
        <w:t>ов</w:t>
      </w:r>
      <w:r w:rsidRPr="004E7E3E">
        <w:rPr>
          <w:rFonts w:ascii="Times New Roman" w:hAnsi="Times New Roman" w:cs="Times New Roman"/>
          <w:color w:val="000000"/>
          <w:sz w:val="24"/>
          <w:szCs w:val="24"/>
          <w:shd w:val="clear" w:color="auto" w:fill="FFFFFF"/>
          <w:lang w:val="ru-RU"/>
        </w:rPr>
        <w:t xml:space="preserve">, надо упомянуть города Северной Италии (в первую очередь Венецию, Геную, Флоренцию и Милан), где возникли первые банки. Но территориальная раздробленность, унаследованная от феодального периода, не позволила создать </w:t>
      </w:r>
      <w:r>
        <w:rPr>
          <w:rFonts w:ascii="Times New Roman" w:hAnsi="Times New Roman" w:cs="Times New Roman"/>
          <w:color w:val="000000"/>
          <w:sz w:val="24"/>
          <w:szCs w:val="24"/>
          <w:shd w:val="clear" w:color="auto" w:fill="FFFFFF"/>
          <w:lang w:val="ru-RU"/>
        </w:rPr>
        <w:t xml:space="preserve">здесь </w:t>
      </w:r>
      <w:r w:rsidRPr="004E7E3E">
        <w:rPr>
          <w:rFonts w:ascii="Times New Roman" w:hAnsi="Times New Roman" w:cs="Times New Roman"/>
          <w:color w:val="000000"/>
          <w:sz w:val="24"/>
          <w:szCs w:val="24"/>
          <w:shd w:val="clear" w:color="auto" w:fill="FFFFFF"/>
          <w:lang w:val="ru-RU"/>
        </w:rPr>
        <w:t xml:space="preserve">центр общеевропейского уровня. </w:t>
      </w:r>
    </w:p>
    <w:p w14:paraId="2CA50C09"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Если сейчас исследовать правовой статус международных центров (например, Лондона – Лондон Сити Корпорейшн, Шанхая – Шанхайская зона свободной торговли), то явно наблюдается тенденция к обособленному статусу. Зарождение этого признака можно исторически проследить от Магдебургского городского права, которое было распространено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основно</w:t>
      </w:r>
      <w:r>
        <w:rPr>
          <w:rFonts w:ascii="Times New Roman" w:hAnsi="Times New Roman" w:cs="Times New Roman"/>
          <w:color w:val="000000"/>
          <w:sz w:val="24"/>
          <w:szCs w:val="24"/>
          <w:shd w:val="clear" w:color="auto" w:fill="FFFFFF"/>
          <w:lang w:val="ru-RU"/>
        </w:rPr>
        <w:t>м,</w:t>
      </w:r>
      <w:r w:rsidRPr="004E7E3E">
        <w:rPr>
          <w:rFonts w:ascii="Times New Roman" w:hAnsi="Times New Roman" w:cs="Times New Roman"/>
          <w:color w:val="000000"/>
          <w:sz w:val="24"/>
          <w:szCs w:val="24"/>
          <w:shd w:val="clear" w:color="auto" w:fill="FFFFFF"/>
          <w:lang w:val="ru-RU"/>
        </w:rPr>
        <w:t xml:space="preserve"> в Северной и Восточной Европе, но дошло также и до Голландии, или Любекского права ганзейских городов, к которым иногда причисляют и Лондон. То есть</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согласно данной практике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МФЦ должны быть несколько обособленными по отношению к государству.  </w:t>
      </w:r>
    </w:p>
    <w:p w14:paraId="52CB928E" w14:textId="507BFB60"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Украинский исследователь Ю. Ю. Хватов</w:t>
      </w:r>
      <w:r w:rsidRPr="004E7E3E">
        <w:rPr>
          <w:rFonts w:ascii="Times New Roman" w:hAnsi="Times New Roman" w:cs="Times New Roman"/>
          <w:color w:val="000000"/>
          <w:sz w:val="24"/>
          <w:szCs w:val="24"/>
          <w:shd w:val="clear" w:color="auto" w:fill="FFFFFF"/>
          <w:lang w:val="ru-RU"/>
        </w:rPr>
        <w:t xml:space="preserve"> предлагает ин</w:t>
      </w:r>
      <w:r>
        <w:rPr>
          <w:rFonts w:ascii="Times New Roman" w:hAnsi="Times New Roman" w:cs="Times New Roman"/>
          <w:color w:val="000000"/>
          <w:sz w:val="24"/>
          <w:szCs w:val="24"/>
          <w:shd w:val="clear" w:color="auto" w:fill="FFFFFF"/>
          <w:lang w:val="ru-RU"/>
        </w:rPr>
        <w:t>тересный способ анализа эволюции</w:t>
      </w:r>
      <w:r w:rsidRPr="004E7E3E">
        <w:rPr>
          <w:rFonts w:ascii="Times New Roman" w:hAnsi="Times New Roman" w:cs="Times New Roman"/>
          <w:color w:val="000000"/>
          <w:sz w:val="24"/>
          <w:szCs w:val="24"/>
          <w:shd w:val="clear" w:color="auto" w:fill="FFFFFF"/>
          <w:lang w:val="ru-RU"/>
        </w:rPr>
        <w:t xml:space="preserve"> частот</w:t>
      </w:r>
      <w:r>
        <w:rPr>
          <w:rFonts w:ascii="Times New Roman" w:hAnsi="Times New Roman" w:cs="Times New Roman"/>
          <w:color w:val="000000"/>
          <w:sz w:val="24"/>
          <w:szCs w:val="24"/>
          <w:shd w:val="clear" w:color="auto" w:fill="FFFFFF"/>
          <w:lang w:val="ru-RU"/>
        </w:rPr>
        <w:t xml:space="preserve">ы </w:t>
      </w:r>
      <w:r w:rsidRPr="004E7E3E">
        <w:rPr>
          <w:rFonts w:ascii="Times New Roman" w:hAnsi="Times New Roman" w:cs="Times New Roman"/>
          <w:color w:val="000000"/>
          <w:sz w:val="24"/>
          <w:szCs w:val="24"/>
          <w:shd w:val="clear" w:color="auto" w:fill="FFFFFF"/>
          <w:lang w:val="ru-RU"/>
        </w:rPr>
        <w:t>употребления терминов «финансовый центр»</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«международный финансовый центр» – «глобальный финансовый центр» –</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с помощью сервиса Google Ngram Viewer (онлайн-анализатор ежегодной частоты упоминания слов в печатных источниках Google Books с</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1800 по 201</w:t>
      </w:r>
      <w:r w:rsidRPr="00D743F3">
        <w:rPr>
          <w:rFonts w:ascii="Times New Roman" w:hAnsi="Times New Roman" w:cs="Times New Roman"/>
          <w:color w:val="000000"/>
          <w:sz w:val="24"/>
          <w:szCs w:val="24"/>
          <w:shd w:val="clear" w:color="auto" w:fill="FFFFFF"/>
          <w:lang w:val="ru-RU"/>
        </w:rPr>
        <w:t>9</w:t>
      </w:r>
      <w:r w:rsidRPr="004E7E3E">
        <w:rPr>
          <w:rFonts w:ascii="Times New Roman" w:hAnsi="Times New Roman" w:cs="Times New Roman"/>
          <w:color w:val="000000"/>
          <w:sz w:val="24"/>
          <w:szCs w:val="24"/>
          <w:shd w:val="clear" w:color="auto" w:fill="FFFFFF"/>
          <w:lang w:val="ru-RU"/>
        </w:rPr>
        <w:t xml:space="preserve"> гг.</w:t>
      </w:r>
      <w:r>
        <w:rPr>
          <w:rFonts w:ascii="Times New Roman" w:hAnsi="Times New Roman" w:cs="Times New Roman"/>
          <w:color w:val="000000"/>
          <w:sz w:val="24"/>
          <w:szCs w:val="24"/>
          <w:shd w:val="clear" w:color="auto" w:fill="FFFFFF"/>
          <w:lang w:val="ru-RU"/>
        </w:rPr>
        <w:t>, опция возможна на английском и русском языках</w:t>
      </w:r>
      <w:r w:rsidRPr="004E7E3E">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rPr>
        <w:fldChar w:fldCharType="begin"/>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 xml:space="preserve"> _</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498897419 \</w:instrText>
      </w:r>
      <w:r w:rsidRPr="004E7E3E">
        <w:rPr>
          <w:rFonts w:ascii="Times New Roman" w:hAnsi="Times New Roman" w:cs="Times New Roman"/>
          <w:color w:val="000000"/>
          <w:sz w:val="24"/>
          <w:szCs w:val="24"/>
          <w:shd w:val="clear" w:color="auto" w:fill="FFFFFF"/>
        </w:rPr>
        <w:instrText>r</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h</w:instrText>
      </w:r>
      <w:r w:rsidRPr="004E7E3E">
        <w:rPr>
          <w:rFonts w:ascii="Times New Roman" w:hAnsi="Times New Roman" w:cs="Times New Roman"/>
          <w:color w:val="000000"/>
          <w:sz w:val="24"/>
          <w:szCs w:val="24"/>
          <w:shd w:val="clear" w:color="auto" w:fill="FFFFFF"/>
          <w:lang w:val="ru-RU"/>
        </w:rPr>
        <w:instrText xml:space="preserve">  \* </w:instrText>
      </w:r>
      <w:r w:rsidRPr="004E7E3E">
        <w:rPr>
          <w:rFonts w:ascii="Times New Roman" w:hAnsi="Times New Roman" w:cs="Times New Roman"/>
          <w:color w:val="000000"/>
          <w:sz w:val="24"/>
          <w:szCs w:val="24"/>
          <w:shd w:val="clear" w:color="auto" w:fill="FFFFFF"/>
        </w:rPr>
        <w:instrText>MERGEFORMAT</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r>
      <w:r w:rsidRPr="004E7E3E">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138</w:t>
      </w:r>
      <w:r w:rsidRPr="004E7E3E">
        <w:rPr>
          <w:rFonts w:ascii="Times New Roman" w:hAnsi="Times New Roman" w:cs="Times New Roman"/>
          <w:color w:val="000000"/>
          <w:sz w:val="24"/>
          <w:szCs w:val="24"/>
          <w:shd w:val="clear" w:color="auto" w:fill="FFFFFF"/>
        </w:rPr>
        <w:fldChar w:fldCharType="end"/>
      </w:r>
      <w:r w:rsidRPr="004E7E3E">
        <w:rPr>
          <w:rFonts w:ascii="Times New Roman" w:hAnsi="Times New Roman" w:cs="Times New Roman"/>
          <w:color w:val="000000"/>
          <w:sz w:val="24"/>
          <w:szCs w:val="24"/>
          <w:shd w:val="clear" w:color="auto" w:fill="FFFFFF"/>
          <w:lang w:val="ru-RU"/>
        </w:rPr>
        <w:t>, с. 111]. Полученные графики можно н</w:t>
      </w:r>
      <w:r>
        <w:rPr>
          <w:rFonts w:ascii="Times New Roman" w:hAnsi="Times New Roman" w:cs="Times New Roman"/>
          <w:color w:val="000000"/>
          <w:sz w:val="24"/>
          <w:szCs w:val="24"/>
          <w:shd w:val="clear" w:color="auto" w:fill="FFFFFF"/>
          <w:lang w:val="ru-RU"/>
        </w:rPr>
        <w:t xml:space="preserve">айти в Приложении 8. Есть ограничения использования данного метода: 1) на английском языке выборка более представительная, чем на </w:t>
      </w:r>
      <w:r w:rsidRPr="00C92F95">
        <w:rPr>
          <w:rFonts w:ascii="Times New Roman" w:hAnsi="Times New Roman" w:cs="Times New Roman"/>
          <w:color w:val="000000"/>
          <w:sz w:val="24"/>
          <w:szCs w:val="24"/>
          <w:shd w:val="clear" w:color="auto" w:fill="FFFFFF"/>
          <w:lang w:val="ru-RU"/>
        </w:rPr>
        <w:t>русском, 2) данные по графикам отличаются в зависимости от британской и американской нормы написания слова центр («</w:t>
      </w:r>
      <w:r w:rsidRPr="00C92F95">
        <w:rPr>
          <w:rFonts w:ascii="Times New Roman" w:hAnsi="Times New Roman" w:cs="Times New Roman"/>
          <w:color w:val="000000"/>
          <w:sz w:val="24"/>
          <w:szCs w:val="24"/>
          <w:shd w:val="clear" w:color="auto" w:fill="FFFFFF"/>
        </w:rPr>
        <w:t>centre</w:t>
      </w:r>
      <w:r w:rsidRPr="00C92F95">
        <w:rPr>
          <w:rFonts w:ascii="Times New Roman" w:hAnsi="Times New Roman" w:cs="Times New Roman"/>
          <w:color w:val="000000"/>
          <w:sz w:val="24"/>
          <w:szCs w:val="24"/>
          <w:shd w:val="clear" w:color="auto" w:fill="FFFFFF"/>
          <w:lang w:val="ru-RU"/>
        </w:rPr>
        <w:t>» и «</w:t>
      </w:r>
      <w:r w:rsidRPr="00C92F95">
        <w:rPr>
          <w:rFonts w:ascii="Times New Roman" w:hAnsi="Times New Roman" w:cs="Times New Roman"/>
          <w:color w:val="000000"/>
          <w:sz w:val="24"/>
          <w:szCs w:val="24"/>
          <w:shd w:val="clear" w:color="auto" w:fill="FFFFFF"/>
        </w:rPr>
        <w:t>center</w:t>
      </w:r>
      <w:r w:rsidRPr="00C92F95">
        <w:rPr>
          <w:rFonts w:ascii="Times New Roman" w:hAnsi="Times New Roman" w:cs="Times New Roman"/>
          <w:color w:val="000000"/>
          <w:sz w:val="24"/>
          <w:szCs w:val="24"/>
          <w:shd w:val="clear" w:color="auto" w:fill="FFFFFF"/>
          <w:lang w:val="ru-RU"/>
        </w:rPr>
        <w:t xml:space="preserve">»). Однако интересно заметить, что рост частотности употребления всех вариантов написания идёт с 70-х годов </w:t>
      </w:r>
      <w:r w:rsidRPr="00C92F95">
        <w:rPr>
          <w:rFonts w:ascii="Times New Roman" w:hAnsi="Times New Roman" w:cs="Times New Roman"/>
          <w:color w:val="000000"/>
          <w:sz w:val="24"/>
          <w:szCs w:val="24"/>
          <w:shd w:val="clear" w:color="auto" w:fill="FFFFFF"/>
        </w:rPr>
        <w:t>XX</w:t>
      </w:r>
      <w:r w:rsidRPr="00C92F95">
        <w:rPr>
          <w:rFonts w:ascii="Times New Roman" w:hAnsi="Times New Roman" w:cs="Times New Roman"/>
          <w:color w:val="000000"/>
          <w:sz w:val="24"/>
          <w:szCs w:val="24"/>
          <w:shd w:val="clear" w:color="auto" w:fill="FFFFFF"/>
          <w:lang w:val="ru-RU"/>
        </w:rPr>
        <w:t xml:space="preserve"> века (когда произошёл Никсоновский шок и</w:t>
      </w:r>
      <w:r w:rsidRPr="004E7E3E">
        <w:rPr>
          <w:rFonts w:ascii="Times New Roman" w:hAnsi="Times New Roman" w:cs="Times New Roman"/>
          <w:color w:val="000000"/>
          <w:sz w:val="24"/>
          <w:szCs w:val="24"/>
          <w:shd w:val="clear" w:color="auto" w:fill="FFFFFF"/>
          <w:lang w:val="ru-RU"/>
        </w:rPr>
        <w:t xml:space="preserve"> переход на Ямайскую систему плавающих курсов) до последних лет с небольшим спадом в конце рассматриваемого периода (2007–2008 гг</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Для словосочетаний «международный финансовый центр» и «финансовый центр» также очевиден всплеск упоминаний в период 20-х – 30-х год</w:t>
      </w:r>
      <w:r>
        <w:rPr>
          <w:rFonts w:ascii="Times New Roman" w:hAnsi="Times New Roman" w:cs="Times New Roman"/>
          <w:color w:val="000000"/>
          <w:sz w:val="24"/>
          <w:szCs w:val="24"/>
          <w:shd w:val="clear" w:color="auto" w:fill="FFFFFF"/>
          <w:lang w:val="ru-RU"/>
        </w:rPr>
        <w:t>ов</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lastRenderedPageBreak/>
        <w:t>XX</w:t>
      </w:r>
      <w:r w:rsidRPr="004E7E3E">
        <w:rPr>
          <w:rFonts w:ascii="Times New Roman" w:hAnsi="Times New Roman" w:cs="Times New Roman"/>
          <w:color w:val="000000"/>
          <w:sz w:val="24"/>
          <w:szCs w:val="24"/>
          <w:shd w:val="clear" w:color="auto" w:fill="FFFFFF"/>
          <w:lang w:val="ru-RU"/>
        </w:rPr>
        <w:t xml:space="preserve"> века</w:t>
      </w:r>
      <w:r>
        <w:rPr>
          <w:rFonts w:ascii="Times New Roman" w:hAnsi="Times New Roman" w:cs="Times New Roman"/>
          <w:color w:val="000000"/>
          <w:sz w:val="24"/>
          <w:szCs w:val="24"/>
          <w:shd w:val="clear" w:color="auto" w:fill="FFFFFF"/>
          <w:lang w:val="ru-RU"/>
        </w:rPr>
        <w:t xml:space="preserve"> с</w:t>
      </w:r>
      <w:r w:rsidRPr="004E7E3E">
        <w:rPr>
          <w:rFonts w:ascii="Times New Roman" w:hAnsi="Times New Roman" w:cs="Times New Roman"/>
          <w:color w:val="000000"/>
          <w:sz w:val="24"/>
          <w:szCs w:val="24"/>
          <w:shd w:val="clear" w:color="auto" w:fill="FFFFFF"/>
          <w:lang w:val="ru-RU"/>
        </w:rPr>
        <w:t xml:space="preserve"> пиком во второй половине 40-х и резким спадом в 50-е годы. В данном случае можно предположить, что рост этой во</w:t>
      </w:r>
      <w:r>
        <w:rPr>
          <w:rFonts w:ascii="Times New Roman" w:hAnsi="Times New Roman" w:cs="Times New Roman"/>
          <w:color w:val="000000"/>
          <w:sz w:val="24"/>
          <w:szCs w:val="24"/>
          <w:shd w:val="clear" w:color="auto" w:fill="FFFFFF"/>
          <w:lang w:val="ru-RU"/>
        </w:rPr>
        <w:t xml:space="preserve">лны упоминаний был обусловлен </w:t>
      </w:r>
      <w:r w:rsidRPr="004E7E3E">
        <w:rPr>
          <w:rFonts w:ascii="Times New Roman" w:hAnsi="Times New Roman" w:cs="Times New Roman"/>
          <w:color w:val="000000"/>
          <w:sz w:val="24"/>
          <w:szCs w:val="24"/>
          <w:shd w:val="clear" w:color="auto" w:fill="FFFFFF"/>
          <w:lang w:val="ru-RU"/>
        </w:rPr>
        <w:t>началом кейнсианской политик</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«нового курса» Рузвельта, предполагавш</w:t>
      </w:r>
      <w:r>
        <w:rPr>
          <w:rFonts w:ascii="Times New Roman" w:hAnsi="Times New Roman" w:cs="Times New Roman"/>
          <w:color w:val="000000"/>
          <w:sz w:val="24"/>
          <w:szCs w:val="24"/>
          <w:shd w:val="clear" w:color="auto" w:fill="FFFFFF"/>
          <w:lang w:val="ru-RU"/>
        </w:rPr>
        <w:t>ей</w:t>
      </w:r>
      <w:r w:rsidRPr="004E7E3E">
        <w:rPr>
          <w:rFonts w:ascii="Times New Roman" w:hAnsi="Times New Roman" w:cs="Times New Roman"/>
          <w:color w:val="000000"/>
          <w:sz w:val="24"/>
          <w:szCs w:val="24"/>
          <w:shd w:val="clear" w:color="auto" w:fill="FFFFFF"/>
          <w:lang w:val="ru-RU"/>
        </w:rPr>
        <w:t xml:space="preserve"> значительное вовлечени</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государства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национальные финансы, а продолжение роста было связано со становлением Бреттон-Вудской системы и началом действия плана Маршалла. </w:t>
      </w:r>
      <w:r>
        <w:rPr>
          <w:rFonts w:ascii="Times New Roman" w:hAnsi="Times New Roman" w:cs="Times New Roman"/>
          <w:color w:val="000000"/>
          <w:sz w:val="24"/>
          <w:szCs w:val="24"/>
          <w:shd w:val="clear" w:color="auto" w:fill="FFFFFF"/>
          <w:lang w:val="ru-RU"/>
        </w:rPr>
        <w:t>Ю. Ю. Хватов</w:t>
      </w:r>
      <w:r w:rsidRPr="004E7E3E">
        <w:rPr>
          <w:rFonts w:ascii="Times New Roman" w:hAnsi="Times New Roman" w:cs="Times New Roman"/>
          <w:color w:val="000000"/>
          <w:sz w:val="24"/>
          <w:szCs w:val="24"/>
          <w:shd w:val="clear" w:color="auto" w:fill="FFFFFF"/>
          <w:lang w:val="ru-RU"/>
        </w:rPr>
        <w:t xml:space="preserve"> прослеживает тенденцию роста частотности употребления выбранных терминов с 70-80-х годов </w:t>
      </w:r>
      <w:r w:rsidRPr="004E7E3E">
        <w:rPr>
          <w:rFonts w:ascii="Times New Roman" w:hAnsi="Times New Roman" w:cs="Times New Roman"/>
          <w:color w:val="000000"/>
          <w:sz w:val="24"/>
          <w:szCs w:val="24"/>
          <w:shd w:val="clear" w:color="auto" w:fill="FFFFFF"/>
        </w:rPr>
        <w:t>XX</w:t>
      </w:r>
      <w:r w:rsidRPr="004E7E3E">
        <w:rPr>
          <w:rFonts w:ascii="Times New Roman" w:hAnsi="Times New Roman" w:cs="Times New Roman"/>
          <w:color w:val="000000"/>
          <w:sz w:val="24"/>
          <w:szCs w:val="24"/>
          <w:shd w:val="clear" w:color="auto" w:fill="FFFFFF"/>
          <w:lang w:val="ru-RU"/>
        </w:rPr>
        <w:t xml:space="preserve"> века. Он связывает её со следующими явлениями: 1) </w:t>
      </w:r>
      <w:r>
        <w:rPr>
          <w:rFonts w:ascii="Times New Roman" w:hAnsi="Times New Roman" w:cs="Times New Roman"/>
          <w:color w:val="000000"/>
          <w:sz w:val="24"/>
          <w:szCs w:val="24"/>
          <w:shd w:val="clear" w:color="auto" w:fill="FFFFFF"/>
          <w:lang w:val="ru-RU"/>
        </w:rPr>
        <w:t>т</w:t>
      </w:r>
      <w:r w:rsidRPr="004E7E3E">
        <w:rPr>
          <w:rFonts w:ascii="Times New Roman" w:hAnsi="Times New Roman" w:cs="Times New Roman"/>
          <w:color w:val="000000"/>
          <w:sz w:val="24"/>
          <w:szCs w:val="24"/>
          <w:shd w:val="clear" w:color="auto" w:fill="FFFFFF"/>
          <w:lang w:val="ru-RU"/>
        </w:rPr>
        <w:t>ехнический прогресс (компьютеризация; развитие систем мобильной, спутниковой связи и телекоммуникаций; интернет; электронные тор</w:t>
      </w:r>
      <w:r>
        <w:rPr>
          <w:rFonts w:ascii="Times New Roman" w:hAnsi="Times New Roman" w:cs="Times New Roman"/>
          <w:color w:val="000000"/>
          <w:sz w:val="24"/>
          <w:szCs w:val="24"/>
          <w:shd w:val="clear" w:color="auto" w:fill="FFFFFF"/>
          <w:lang w:val="ru-RU"/>
        </w:rPr>
        <w:t>говые платформы); 2) д</w:t>
      </w:r>
      <w:r w:rsidRPr="004E7E3E">
        <w:rPr>
          <w:rFonts w:ascii="Times New Roman" w:hAnsi="Times New Roman" w:cs="Times New Roman"/>
          <w:color w:val="000000"/>
          <w:sz w:val="24"/>
          <w:szCs w:val="24"/>
          <w:shd w:val="clear" w:color="auto" w:fill="FFFFFF"/>
          <w:lang w:val="ru-RU"/>
        </w:rPr>
        <w:t>ерегуляция и либерализация международных финансовых опера</w:t>
      </w:r>
      <w:r>
        <w:rPr>
          <w:rFonts w:ascii="Times New Roman" w:hAnsi="Times New Roman" w:cs="Times New Roman"/>
          <w:color w:val="000000"/>
          <w:sz w:val="24"/>
          <w:szCs w:val="24"/>
          <w:shd w:val="clear" w:color="auto" w:fill="FFFFFF"/>
          <w:lang w:val="ru-RU"/>
        </w:rPr>
        <w:t xml:space="preserve">ций (Big </w:t>
      </w:r>
      <w:r w:rsidRPr="004E7E3E">
        <w:rPr>
          <w:rFonts w:ascii="Times New Roman" w:hAnsi="Times New Roman" w:cs="Times New Roman"/>
          <w:color w:val="000000"/>
          <w:sz w:val="24"/>
          <w:szCs w:val="24"/>
          <w:shd w:val="clear" w:color="auto" w:fill="FFFFFF"/>
          <w:lang w:val="ru-RU"/>
        </w:rPr>
        <w:t>Bang или «Большой взрыв» в Лондонском Сити 27 октября 1986, рыночные реформы в Китае, странах Восточной Евр</w:t>
      </w:r>
      <w:r>
        <w:rPr>
          <w:rFonts w:ascii="Times New Roman" w:hAnsi="Times New Roman" w:cs="Times New Roman"/>
          <w:color w:val="000000"/>
          <w:sz w:val="24"/>
          <w:szCs w:val="24"/>
          <w:shd w:val="clear" w:color="auto" w:fill="FFFFFF"/>
          <w:lang w:val="ru-RU"/>
        </w:rPr>
        <w:t>опы и бывшего Советского Союза);</w:t>
      </w:r>
      <w:r w:rsidRPr="004E7E3E">
        <w:rPr>
          <w:rFonts w:ascii="Times New Roman" w:hAnsi="Times New Roman" w:cs="Times New Roman"/>
          <w:color w:val="000000"/>
          <w:sz w:val="24"/>
          <w:szCs w:val="24"/>
          <w:shd w:val="clear" w:color="auto" w:fill="FFFFFF"/>
          <w:lang w:val="ru-RU"/>
        </w:rPr>
        <w:t xml:space="preserve"> 3) </w:t>
      </w:r>
      <w:r>
        <w:rPr>
          <w:rFonts w:ascii="Times New Roman" w:hAnsi="Times New Roman" w:cs="Times New Roman"/>
          <w:color w:val="000000"/>
          <w:sz w:val="24"/>
          <w:szCs w:val="24"/>
          <w:shd w:val="clear" w:color="auto" w:fill="FFFFFF"/>
          <w:lang w:val="ru-RU"/>
        </w:rPr>
        <w:t>у</w:t>
      </w:r>
      <w:r w:rsidRPr="004E7E3E">
        <w:rPr>
          <w:rFonts w:ascii="Times New Roman" w:hAnsi="Times New Roman" w:cs="Times New Roman"/>
          <w:color w:val="000000"/>
          <w:sz w:val="24"/>
          <w:szCs w:val="24"/>
          <w:shd w:val="clear" w:color="auto" w:fill="FFFFFF"/>
          <w:lang w:val="ru-RU"/>
        </w:rPr>
        <w:t>становление единых правил и механизмов проведения банковских и других финансовых операций, а также критериев оценки финансовых рисков и создание для этого новых финансовых инструментов (глобальные рейтинговые и информационные агентства; единые стандарты Базельского комитета по банковскому надзору (Базель-1, 2, 3); система всемирных межбанковских финансовых телекоммуникаций SWIFT; кредитные дефолтные свопы</w:t>
      </w:r>
      <w:r>
        <w:rPr>
          <w:rFonts w:ascii="Times New Roman" w:hAnsi="Times New Roman" w:cs="Times New Roman"/>
          <w:color w:val="000000"/>
          <w:sz w:val="24"/>
          <w:szCs w:val="24"/>
          <w:shd w:val="clear" w:color="auto" w:fill="FFFFFF"/>
          <w:lang w:val="ru-RU"/>
        </w:rPr>
        <w:t xml:space="preserve"> (CDS) и маржинальная торговля); 4) г</w:t>
      </w:r>
      <w:r w:rsidRPr="004E7E3E">
        <w:rPr>
          <w:rFonts w:ascii="Times New Roman" w:hAnsi="Times New Roman" w:cs="Times New Roman"/>
          <w:color w:val="000000"/>
          <w:sz w:val="24"/>
          <w:szCs w:val="24"/>
          <w:shd w:val="clear" w:color="auto" w:fill="FFFFFF"/>
          <w:lang w:val="ru-RU"/>
        </w:rPr>
        <w:t>лобальные финансовые институты, обеспечивающие выполнение этих правил и критериев (Международный валютный фонд и Всемирный банк; Банк международных расчетов и комитеты при нем; Совет по финансовой стабильности (FSB); Международная ассоциация свопов и деривативов (ISDA); Международная ассоциация страховых надзоров (IAIS) и т. д.) [</w:t>
      </w:r>
      <w:r w:rsidRPr="004E7E3E">
        <w:rPr>
          <w:rFonts w:ascii="Times New Roman" w:hAnsi="Times New Roman" w:cs="Times New Roman"/>
          <w:color w:val="000000"/>
          <w:sz w:val="24"/>
          <w:szCs w:val="24"/>
          <w:shd w:val="clear" w:color="auto" w:fill="FFFFFF"/>
        </w:rPr>
        <w:fldChar w:fldCharType="begin"/>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 xml:space="preserve"> _</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498897419 \</w:instrText>
      </w:r>
      <w:r w:rsidRPr="004E7E3E">
        <w:rPr>
          <w:rFonts w:ascii="Times New Roman" w:hAnsi="Times New Roman" w:cs="Times New Roman"/>
          <w:color w:val="000000"/>
          <w:sz w:val="24"/>
          <w:szCs w:val="24"/>
          <w:shd w:val="clear" w:color="auto" w:fill="FFFFFF"/>
        </w:rPr>
        <w:instrText>r</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h</w:instrText>
      </w:r>
      <w:r w:rsidRPr="004E7E3E">
        <w:rPr>
          <w:rFonts w:ascii="Times New Roman" w:hAnsi="Times New Roman" w:cs="Times New Roman"/>
          <w:color w:val="000000"/>
          <w:sz w:val="24"/>
          <w:szCs w:val="24"/>
          <w:shd w:val="clear" w:color="auto" w:fill="FFFFFF"/>
          <w:lang w:val="ru-RU"/>
        </w:rPr>
        <w:instrText xml:space="preserve">  \* </w:instrText>
      </w:r>
      <w:r w:rsidRPr="004E7E3E">
        <w:rPr>
          <w:rFonts w:ascii="Times New Roman" w:hAnsi="Times New Roman" w:cs="Times New Roman"/>
          <w:color w:val="000000"/>
          <w:sz w:val="24"/>
          <w:szCs w:val="24"/>
          <w:shd w:val="clear" w:color="auto" w:fill="FFFFFF"/>
        </w:rPr>
        <w:instrText>MERGEFORMAT</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r>
      <w:r w:rsidRPr="004E7E3E">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138</w:t>
      </w:r>
      <w:r w:rsidRPr="004E7E3E">
        <w:rPr>
          <w:rFonts w:ascii="Times New Roman" w:hAnsi="Times New Roman" w:cs="Times New Roman"/>
          <w:color w:val="000000"/>
          <w:sz w:val="24"/>
          <w:szCs w:val="24"/>
          <w:shd w:val="clear" w:color="auto" w:fill="FFFFFF"/>
        </w:rPr>
        <w:fldChar w:fldCharType="end"/>
      </w:r>
      <w:r w:rsidRPr="004E7E3E">
        <w:rPr>
          <w:rFonts w:ascii="Times New Roman" w:hAnsi="Times New Roman" w:cs="Times New Roman"/>
          <w:color w:val="000000"/>
          <w:sz w:val="24"/>
          <w:szCs w:val="24"/>
          <w:shd w:val="clear" w:color="auto" w:fill="FFFFFF"/>
          <w:lang w:val="ru-RU"/>
        </w:rPr>
        <w:t>, с. 111-112]</w:t>
      </w:r>
      <w:r>
        <w:rPr>
          <w:rFonts w:ascii="Times New Roman" w:hAnsi="Times New Roman" w:cs="Times New Roman"/>
          <w:color w:val="000000"/>
          <w:sz w:val="24"/>
          <w:szCs w:val="24"/>
          <w:shd w:val="clear" w:color="auto" w:fill="FFFFFF"/>
          <w:lang w:val="ru-RU"/>
        </w:rPr>
        <w:t>. Мы бы расположили факторы несколько иначе</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исходя их причинно-следственных связей, в начале бы </w:t>
      </w:r>
      <w:r w:rsidRPr="004E7E3E">
        <w:rPr>
          <w:rFonts w:ascii="Times New Roman" w:hAnsi="Times New Roman" w:cs="Times New Roman"/>
          <w:color w:val="000000"/>
          <w:sz w:val="24"/>
          <w:szCs w:val="24"/>
          <w:shd w:val="clear" w:color="auto" w:fill="FFFFFF"/>
          <w:lang w:val="ru-RU"/>
        </w:rPr>
        <w:t xml:space="preserve">мы </w:t>
      </w:r>
      <w:r>
        <w:rPr>
          <w:rFonts w:ascii="Times New Roman" w:hAnsi="Times New Roman" w:cs="Times New Roman"/>
          <w:color w:val="000000"/>
          <w:sz w:val="24"/>
          <w:szCs w:val="24"/>
          <w:shd w:val="clear" w:color="auto" w:fill="FFFFFF"/>
          <w:lang w:val="ru-RU"/>
        </w:rPr>
        <w:t xml:space="preserve">поставили </w:t>
      </w:r>
      <w:r w:rsidRPr="004E7E3E">
        <w:rPr>
          <w:rFonts w:ascii="Times New Roman" w:hAnsi="Times New Roman" w:cs="Times New Roman"/>
          <w:color w:val="000000"/>
          <w:sz w:val="24"/>
          <w:szCs w:val="24"/>
          <w:shd w:val="clear" w:color="auto" w:fill="FFFFFF"/>
          <w:lang w:val="ru-RU"/>
        </w:rPr>
        <w:t>отмен</w:t>
      </w:r>
      <w:r>
        <w:rPr>
          <w:rFonts w:ascii="Times New Roman" w:hAnsi="Times New Roman" w:cs="Times New Roman"/>
          <w:color w:val="000000"/>
          <w:sz w:val="24"/>
          <w:szCs w:val="24"/>
          <w:shd w:val="clear" w:color="auto" w:fill="FFFFFF"/>
          <w:lang w:val="ru-RU"/>
        </w:rPr>
        <w:t>у</w:t>
      </w:r>
      <w:r w:rsidRPr="004E7E3E">
        <w:rPr>
          <w:rFonts w:ascii="Times New Roman" w:hAnsi="Times New Roman" w:cs="Times New Roman"/>
          <w:color w:val="000000"/>
          <w:sz w:val="24"/>
          <w:szCs w:val="24"/>
          <w:shd w:val="clear" w:color="auto" w:fill="FFFFFF"/>
          <w:lang w:val="ru-RU"/>
        </w:rPr>
        <w:t xml:space="preserve"> золотовалютного стандарта доллара и общ</w:t>
      </w:r>
      <w:r>
        <w:rPr>
          <w:rFonts w:ascii="Times New Roman" w:hAnsi="Times New Roman" w:cs="Times New Roman"/>
          <w:color w:val="000000"/>
          <w:sz w:val="24"/>
          <w:szCs w:val="24"/>
          <w:shd w:val="clear" w:color="auto" w:fill="FFFFFF"/>
          <w:lang w:val="ru-RU"/>
        </w:rPr>
        <w:t>ую</w:t>
      </w:r>
      <w:r w:rsidRPr="004E7E3E">
        <w:rPr>
          <w:rFonts w:ascii="Times New Roman" w:hAnsi="Times New Roman" w:cs="Times New Roman"/>
          <w:color w:val="000000"/>
          <w:sz w:val="24"/>
          <w:szCs w:val="24"/>
          <w:shd w:val="clear" w:color="auto" w:fill="FFFFFF"/>
          <w:lang w:val="ru-RU"/>
        </w:rPr>
        <w:t xml:space="preserve"> либерализаци</w:t>
      </w:r>
      <w:r>
        <w:rPr>
          <w:rFonts w:ascii="Times New Roman" w:hAnsi="Times New Roman" w:cs="Times New Roman"/>
          <w:color w:val="000000"/>
          <w:sz w:val="24"/>
          <w:szCs w:val="24"/>
          <w:shd w:val="clear" w:color="auto" w:fill="FFFFFF"/>
          <w:lang w:val="ru-RU"/>
        </w:rPr>
        <w:t>ей</w:t>
      </w:r>
      <w:r w:rsidRPr="004E7E3E">
        <w:rPr>
          <w:rFonts w:ascii="Times New Roman" w:hAnsi="Times New Roman" w:cs="Times New Roman"/>
          <w:color w:val="000000"/>
          <w:sz w:val="24"/>
          <w:szCs w:val="24"/>
          <w:shd w:val="clear" w:color="auto" w:fill="FFFFFF"/>
          <w:lang w:val="ru-RU"/>
        </w:rPr>
        <w:t xml:space="preserve"> финансовых рынков, приведшей впоследствии к созданию евровалютного рынка в Лондоне и других центрах, катализатором роста которого стала стандартизаци</w:t>
      </w:r>
      <w:r>
        <w:rPr>
          <w:rFonts w:ascii="Times New Roman" w:hAnsi="Times New Roman" w:cs="Times New Roman"/>
          <w:color w:val="000000"/>
          <w:sz w:val="24"/>
          <w:szCs w:val="24"/>
          <w:shd w:val="clear" w:color="auto" w:fill="FFFFFF"/>
          <w:lang w:val="ru-RU"/>
        </w:rPr>
        <w:t>я</w:t>
      </w:r>
      <w:r w:rsidRPr="004E7E3E">
        <w:rPr>
          <w:rFonts w:ascii="Times New Roman" w:hAnsi="Times New Roman" w:cs="Times New Roman"/>
          <w:color w:val="000000"/>
          <w:sz w:val="24"/>
          <w:szCs w:val="24"/>
          <w:shd w:val="clear" w:color="auto" w:fill="FFFFFF"/>
          <w:lang w:val="ru-RU"/>
        </w:rPr>
        <w:t xml:space="preserve"> финансовых процедур, использование информационных технологий, создание международных организаций и т. д. </w:t>
      </w:r>
    </w:p>
    <w:p w14:paraId="66C230E5" w14:textId="30DC49C1" w:rsidR="00937CBF"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С помощью инструмента Google Ngram Viewer можно также выявить замещение термина «</w:t>
      </w:r>
      <w:r>
        <w:rPr>
          <w:rFonts w:ascii="Times New Roman" w:hAnsi="Times New Roman" w:cs="Times New Roman"/>
          <w:color w:val="000000"/>
          <w:sz w:val="24"/>
          <w:szCs w:val="24"/>
          <w:shd w:val="clear" w:color="auto" w:fill="FFFFFF"/>
        </w:rPr>
        <w:t>world</w:t>
      </w:r>
      <w:r w:rsidRPr="0003551C">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financial</w:t>
      </w:r>
      <w:r w:rsidRPr="0003551C">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centre</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мировой финансовый центр»</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 xml:space="preserve">набравший популярность в конце 70-х годов </w:t>
      </w:r>
      <w:r w:rsidRPr="004E7E3E">
        <w:rPr>
          <w:rFonts w:ascii="Times New Roman" w:hAnsi="Times New Roman" w:cs="Times New Roman"/>
          <w:color w:val="000000"/>
          <w:sz w:val="24"/>
          <w:szCs w:val="24"/>
          <w:shd w:val="clear" w:color="auto" w:fill="FFFFFF"/>
        </w:rPr>
        <w:t>XX</w:t>
      </w:r>
      <w:r>
        <w:rPr>
          <w:rFonts w:ascii="Times New Roman" w:hAnsi="Times New Roman" w:cs="Times New Roman"/>
          <w:color w:val="000000"/>
          <w:sz w:val="24"/>
          <w:szCs w:val="24"/>
          <w:shd w:val="clear" w:color="auto" w:fill="FFFFFF"/>
          <w:lang w:val="ru-RU"/>
        </w:rPr>
        <w:t xml:space="preserve"> века,</w:t>
      </w:r>
      <w:r w:rsidRPr="004E7E3E">
        <w:rPr>
          <w:rFonts w:ascii="Times New Roman" w:hAnsi="Times New Roman" w:cs="Times New Roman"/>
          <w:color w:val="000000"/>
          <w:sz w:val="24"/>
          <w:szCs w:val="24"/>
          <w:shd w:val="clear" w:color="auto" w:fill="FFFFFF"/>
          <w:lang w:val="ru-RU"/>
        </w:rPr>
        <w:t xml:space="preserve"> на «</w:t>
      </w:r>
      <w:r>
        <w:rPr>
          <w:rFonts w:ascii="Times New Roman" w:hAnsi="Times New Roman" w:cs="Times New Roman"/>
          <w:color w:val="000000"/>
          <w:sz w:val="24"/>
          <w:szCs w:val="24"/>
          <w:shd w:val="clear" w:color="auto" w:fill="FFFFFF"/>
        </w:rPr>
        <w:t>global</w:t>
      </w:r>
      <w:r w:rsidRPr="0003551C">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financial</w:t>
      </w:r>
      <w:r w:rsidRPr="0003551C">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centre</w:t>
      </w:r>
      <w:r>
        <w:rPr>
          <w:rFonts w:ascii="Times New Roman" w:hAnsi="Times New Roman" w:cs="Times New Roman"/>
          <w:color w:val="000000"/>
          <w:sz w:val="24"/>
          <w:szCs w:val="24"/>
          <w:shd w:val="clear" w:color="auto" w:fill="FFFFFF"/>
          <w:lang w:val="ru-RU"/>
        </w:rPr>
        <w:t>»</w:t>
      </w:r>
      <w:r w:rsidRPr="0003551C">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глобальный финансовый центр»</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(этот термин содержит отсылку на феномен «глобализация»). </w:t>
      </w:r>
      <w:r>
        <w:rPr>
          <w:rFonts w:ascii="Times New Roman" w:hAnsi="Times New Roman" w:cs="Times New Roman"/>
          <w:color w:val="000000"/>
          <w:sz w:val="24"/>
          <w:szCs w:val="24"/>
          <w:shd w:val="clear" w:color="auto" w:fill="FFFFFF"/>
          <w:lang w:val="ru-RU"/>
        </w:rPr>
        <w:t>По списку литературы данного исследования также можно наблюдать, что отечественные и зарубежные авторы, публиковавшиеся в 70-</w:t>
      </w:r>
      <w:r w:rsidRPr="00007445">
        <w:rPr>
          <w:rFonts w:ascii="Times New Roman" w:hAnsi="Times New Roman" w:cs="Times New Roman"/>
          <w:color w:val="000000"/>
          <w:sz w:val="24"/>
          <w:szCs w:val="24"/>
          <w:shd w:val="clear" w:color="auto" w:fill="FFFFFF"/>
          <w:lang w:val="ru-RU"/>
        </w:rPr>
        <w:t>9</w:t>
      </w:r>
      <w:r>
        <w:rPr>
          <w:rFonts w:ascii="Times New Roman" w:hAnsi="Times New Roman" w:cs="Times New Roman"/>
          <w:color w:val="000000"/>
          <w:sz w:val="24"/>
          <w:szCs w:val="24"/>
          <w:shd w:val="clear" w:color="auto" w:fill="FFFFFF"/>
          <w:lang w:val="ru-RU"/>
        </w:rPr>
        <w:t xml:space="preserve">0-е годы </w:t>
      </w:r>
      <w:r>
        <w:rPr>
          <w:rFonts w:ascii="Times New Roman" w:hAnsi="Times New Roman" w:cs="Times New Roman"/>
          <w:color w:val="000000"/>
          <w:sz w:val="24"/>
          <w:szCs w:val="24"/>
          <w:shd w:val="clear" w:color="auto" w:fill="FFFFFF"/>
        </w:rPr>
        <w:t>XX</w:t>
      </w:r>
      <w:r w:rsidRPr="00007445">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века, использовали прилагательное «мировые» в отношении предмета исследования, а </w:t>
      </w:r>
      <w:r>
        <w:rPr>
          <w:rFonts w:ascii="Times New Roman" w:hAnsi="Times New Roman" w:cs="Times New Roman"/>
          <w:color w:val="000000"/>
          <w:sz w:val="24"/>
          <w:szCs w:val="24"/>
          <w:shd w:val="clear" w:color="auto" w:fill="FFFFFF"/>
        </w:rPr>
        <w:t>c</w:t>
      </w:r>
      <w:r>
        <w:rPr>
          <w:rFonts w:ascii="Times New Roman" w:hAnsi="Times New Roman" w:cs="Times New Roman"/>
          <w:color w:val="000000"/>
          <w:sz w:val="24"/>
          <w:szCs w:val="24"/>
          <w:shd w:val="clear" w:color="auto" w:fill="FFFFFF"/>
          <w:lang w:val="ru-RU"/>
        </w:rPr>
        <w:t xml:space="preserve"> начала </w:t>
      </w:r>
      <w:r>
        <w:rPr>
          <w:rFonts w:ascii="Times New Roman" w:hAnsi="Times New Roman" w:cs="Times New Roman"/>
          <w:color w:val="000000"/>
          <w:sz w:val="24"/>
          <w:szCs w:val="24"/>
          <w:shd w:val="clear" w:color="auto" w:fill="FFFFFF"/>
        </w:rPr>
        <w:t>XXI</w:t>
      </w:r>
      <w:r w:rsidRPr="00007445">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века чаще использовали термин «глобальные». </w:t>
      </w:r>
      <w:r w:rsidRPr="00C92F95">
        <w:rPr>
          <w:rFonts w:ascii="Times New Roman" w:hAnsi="Times New Roman" w:cs="Times New Roman"/>
          <w:color w:val="000000"/>
          <w:sz w:val="24"/>
          <w:szCs w:val="24"/>
          <w:shd w:val="clear" w:color="auto" w:fill="FFFFFF"/>
          <w:lang w:val="ru-RU"/>
        </w:rPr>
        <w:t>Т</w:t>
      </w:r>
      <w:r>
        <w:rPr>
          <w:rFonts w:ascii="Times New Roman" w:hAnsi="Times New Roman" w:cs="Times New Roman"/>
          <w:color w:val="000000"/>
          <w:sz w:val="24"/>
          <w:szCs w:val="24"/>
          <w:shd w:val="clear" w:color="auto" w:fill="FFFFFF"/>
          <w:lang w:val="ru-RU"/>
        </w:rPr>
        <w:t xml:space="preserve">ермин «глобализация» и в англоязычной, и в русскоязычной литературе переживает спад. В последней спад более резкий, чем в первой. </w:t>
      </w:r>
    </w:p>
    <w:p w14:paraId="20A1BCFF" w14:textId="77777777" w:rsidR="00E90D2C" w:rsidRDefault="00E90D2C" w:rsidP="00E90D2C">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lastRenderedPageBreak/>
        <w:t xml:space="preserve">В русскоязычной отечественной литературе, по данным сервиса </w:t>
      </w:r>
      <w:r>
        <w:rPr>
          <w:rFonts w:ascii="Times New Roman" w:hAnsi="Times New Roman" w:cs="Times New Roman"/>
          <w:color w:val="000000"/>
          <w:sz w:val="24"/>
          <w:szCs w:val="24"/>
          <w:shd w:val="clear" w:color="auto" w:fill="FFFFFF"/>
        </w:rPr>
        <w:t>Google</w:t>
      </w:r>
      <w:r w:rsidRPr="0003551C">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Ngram</w:t>
      </w:r>
      <w:r w:rsidRPr="0003551C">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Viewer</w:t>
      </w:r>
      <w:r w:rsidRPr="0003551C">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термин «глобальный финансовый центр»</w:t>
      </w:r>
      <w:r w:rsidRPr="0003551C">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оказался низкочастотным и не индексируемым, хотя термины «международный финансовый центр» и «мировой финансовый центр» вошли в лексикон. Хотя аббревиатура «МФЦ» на русском языке скорее означает сервис мультифункциональный центр «Мои документы», чем «Московский финансовый центр». </w:t>
      </w:r>
    </w:p>
    <w:p w14:paraId="2347132F" w14:textId="7BD5F195" w:rsidR="00E90D2C" w:rsidRDefault="004356C4" w:rsidP="00E90D2C">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МФЦ – это не абстрактное понятие, а вполне конкретн</w:t>
      </w:r>
      <w:r>
        <w:rPr>
          <w:rFonts w:ascii="Times New Roman" w:hAnsi="Times New Roman" w:cs="Times New Roman"/>
          <w:color w:val="000000"/>
          <w:sz w:val="24"/>
          <w:szCs w:val="24"/>
          <w:shd w:val="clear" w:color="auto" w:fill="FFFFFF"/>
          <w:lang w:val="ru-RU"/>
        </w:rPr>
        <w:t>ая территория</w:t>
      </w:r>
      <w:r w:rsidRPr="004E7E3E">
        <w:rPr>
          <w:rFonts w:ascii="Times New Roman" w:hAnsi="Times New Roman" w:cs="Times New Roman"/>
          <w:color w:val="000000"/>
          <w:sz w:val="24"/>
          <w:szCs w:val="24"/>
          <w:shd w:val="clear" w:color="auto" w:fill="FFFFFF"/>
          <w:lang w:val="ru-RU"/>
        </w:rPr>
        <w:t xml:space="preserve"> – </w:t>
      </w:r>
      <w:r>
        <w:rPr>
          <w:rFonts w:ascii="Times New Roman" w:hAnsi="Times New Roman" w:cs="Times New Roman"/>
          <w:color w:val="000000"/>
          <w:sz w:val="24"/>
          <w:szCs w:val="24"/>
          <w:shd w:val="clear" w:color="auto" w:fill="FFFFFF"/>
          <w:lang w:val="ru-RU"/>
        </w:rPr>
        <w:t>сов</w:t>
      </w:r>
      <w:r w:rsidRPr="004E7E3E">
        <w:rPr>
          <w:rFonts w:ascii="Times New Roman" w:hAnsi="Times New Roman" w:cs="Times New Roman"/>
          <w:color w:val="000000"/>
          <w:sz w:val="24"/>
          <w:szCs w:val="24"/>
          <w:shd w:val="clear" w:color="auto" w:fill="FFFFFF"/>
          <w:lang w:val="ru-RU"/>
        </w:rPr>
        <w:t xml:space="preserve">окупность </w:t>
      </w:r>
      <w:r w:rsidRPr="004140F8">
        <w:rPr>
          <w:rFonts w:ascii="Times New Roman" w:hAnsi="Times New Roman" w:cs="Times New Roman"/>
          <w:color w:val="000000"/>
          <w:sz w:val="24"/>
          <w:szCs w:val="24"/>
          <w:shd w:val="clear" w:color="auto" w:fill="FFFFFF"/>
          <w:lang w:val="ru-RU"/>
        </w:rPr>
        <w:t>инфраструктурных объектов,</w:t>
      </w:r>
      <w:r w:rsidRPr="004E7E3E">
        <w:rPr>
          <w:rFonts w:ascii="Times New Roman" w:hAnsi="Times New Roman" w:cs="Times New Roman"/>
          <w:color w:val="000000"/>
          <w:sz w:val="24"/>
          <w:szCs w:val="24"/>
          <w:shd w:val="clear" w:color="auto" w:fill="FFFFFF"/>
          <w:lang w:val="ru-RU"/>
        </w:rPr>
        <w:t xml:space="preserve"> наполненная реальным содержанием финансовых сделок</w:t>
      </w:r>
      <w:r>
        <w:rPr>
          <w:rFonts w:ascii="Times New Roman" w:hAnsi="Times New Roman" w:cs="Times New Roman"/>
          <w:color w:val="000000"/>
          <w:sz w:val="24"/>
          <w:szCs w:val="24"/>
          <w:shd w:val="clear" w:color="auto" w:fill="FFFFFF"/>
          <w:lang w:val="ru-RU"/>
        </w:rPr>
        <w:t>, это институт, вписанный в контекст пространственных аспектов финансового развития.</w:t>
      </w:r>
      <w:r w:rsidRPr="004E7E3E">
        <w:rPr>
          <w:rFonts w:ascii="Times New Roman" w:hAnsi="Times New Roman" w:cs="Times New Roman"/>
          <w:color w:val="000000"/>
          <w:sz w:val="24"/>
          <w:szCs w:val="24"/>
          <w:shd w:val="clear" w:color="auto" w:fill="FFFFFF"/>
          <w:lang w:val="ru-RU"/>
        </w:rPr>
        <w:t xml:space="preserve"> При изучении финансовых центров нам не раз попадалось использование сленгового термина – хабы (от англ. “</w:t>
      </w:r>
      <w:r w:rsidRPr="004E7E3E">
        <w:rPr>
          <w:rFonts w:ascii="Times New Roman" w:hAnsi="Times New Roman" w:cs="Times New Roman"/>
          <w:color w:val="000000"/>
          <w:sz w:val="24"/>
          <w:szCs w:val="24"/>
          <w:shd w:val="clear" w:color="auto" w:fill="FFFFFF"/>
        </w:rPr>
        <w:t>hub</w:t>
      </w:r>
      <w:r w:rsidRPr="004E7E3E">
        <w:rPr>
          <w:rFonts w:ascii="Times New Roman" w:hAnsi="Times New Roman" w:cs="Times New Roman"/>
          <w:color w:val="000000"/>
          <w:sz w:val="24"/>
          <w:szCs w:val="24"/>
          <w:shd w:val="clear" w:color="auto" w:fill="FFFFFF"/>
          <w:lang w:val="ru-RU"/>
        </w:rPr>
        <w:t>” – гавань) для именования этих образований. То есть международный финансовый центр – это порт в океане мировых финансов</w:t>
      </w:r>
      <w:r>
        <w:rPr>
          <w:rFonts w:ascii="Times New Roman" w:hAnsi="Times New Roman" w:cs="Times New Roman"/>
          <w:color w:val="000000"/>
          <w:sz w:val="24"/>
          <w:szCs w:val="24"/>
          <w:shd w:val="clear" w:color="auto" w:fill="FFFFFF"/>
          <w:lang w:val="ru-RU"/>
        </w:rPr>
        <w:t>. Е</w:t>
      </w:r>
      <w:r w:rsidRPr="004E7E3E">
        <w:rPr>
          <w:rFonts w:ascii="Times New Roman" w:hAnsi="Times New Roman" w:cs="Times New Roman"/>
          <w:color w:val="000000"/>
          <w:sz w:val="24"/>
          <w:szCs w:val="24"/>
          <w:shd w:val="clear" w:color="auto" w:fill="FFFFFF"/>
          <w:lang w:val="ru-RU"/>
        </w:rPr>
        <w:t xml:space="preserve">сли совсем упрощать, то в «океане денег», </w:t>
      </w:r>
      <w:r>
        <w:rPr>
          <w:rFonts w:ascii="Times New Roman" w:hAnsi="Times New Roman" w:cs="Times New Roman"/>
          <w:color w:val="000000"/>
          <w:sz w:val="24"/>
          <w:szCs w:val="24"/>
          <w:shd w:val="clear" w:color="auto" w:fill="FFFFFF"/>
          <w:lang w:val="ru-RU"/>
        </w:rPr>
        <w:t>но</w:t>
      </w:r>
      <w:r w:rsidRPr="004E7E3E">
        <w:rPr>
          <w:rFonts w:ascii="Times New Roman" w:hAnsi="Times New Roman" w:cs="Times New Roman"/>
          <w:color w:val="000000"/>
          <w:sz w:val="24"/>
          <w:szCs w:val="24"/>
          <w:shd w:val="clear" w:color="auto" w:fill="FFFFFF"/>
          <w:lang w:val="ru-RU"/>
        </w:rPr>
        <w:t xml:space="preserve"> лучше всего сказать в «океане ценностей» (мы имеем в виду английское слова “</w:t>
      </w:r>
      <w:r w:rsidRPr="004E7E3E">
        <w:rPr>
          <w:rFonts w:ascii="Times New Roman" w:hAnsi="Times New Roman" w:cs="Times New Roman"/>
          <w:color w:val="000000"/>
          <w:sz w:val="24"/>
          <w:szCs w:val="24"/>
          <w:shd w:val="clear" w:color="auto" w:fill="FFFFFF"/>
        </w:rPr>
        <w:t>value</w:t>
      </w:r>
      <w:r w:rsidRPr="004E7E3E">
        <w:rPr>
          <w:rFonts w:ascii="Times New Roman" w:hAnsi="Times New Roman" w:cs="Times New Roman"/>
          <w:color w:val="000000"/>
          <w:sz w:val="24"/>
          <w:szCs w:val="24"/>
          <w:shd w:val="clear" w:color="auto" w:fill="FFFFFF"/>
          <w:lang w:val="ru-RU"/>
        </w:rPr>
        <w:t>”, которое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марксистской традиции переводится как «стоимость»). </w:t>
      </w:r>
      <w:r>
        <w:rPr>
          <w:rFonts w:ascii="Times New Roman" w:hAnsi="Times New Roman" w:cs="Times New Roman"/>
          <w:color w:val="000000"/>
          <w:sz w:val="24"/>
          <w:szCs w:val="24"/>
          <w:shd w:val="clear" w:color="auto" w:fill="FFFFFF"/>
          <w:lang w:val="ru-RU"/>
        </w:rPr>
        <w:t xml:space="preserve">По мнению И. К. Ключникова, «в традиционной финансовой теории опущены три важных обстоятельства, имеющие большое практическое значение, – финансовая география, привязка финансового капитала не только ко времени, но и к местности и воздействие городов на его локализацию и концентрацию». Он пишет: «Выбор сроков кредитования, условия трансформации денег в инвестиции, соотношение уровней потребления и сбережения, а также инвестиционная привлекательность городов зависят от массы обстоятельств. Среди них выделяется местонахождение кредиторов и должников, инвесторов и предпринимателей. От конкретного места во многом зависят организационная структура и эффективность всей системы «сбережения-инвестиции» </w:t>
      </w:r>
      <w:r w:rsidRPr="00FF6203">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_Ref135940613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133</w:t>
      </w:r>
      <w:r>
        <w:rPr>
          <w:rFonts w:ascii="Times New Roman" w:hAnsi="Times New Roman" w:cs="Times New Roman"/>
          <w:color w:val="000000"/>
          <w:sz w:val="24"/>
          <w:szCs w:val="24"/>
          <w:shd w:val="clear" w:color="auto" w:fill="FFFFFF"/>
          <w:lang w:val="ru-RU"/>
        </w:rPr>
        <w:fldChar w:fldCharType="end"/>
      </w:r>
      <w:r w:rsidRPr="00FF6203">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c</w:t>
      </w:r>
      <w:r w:rsidRPr="00FF6203">
        <w:rPr>
          <w:rFonts w:ascii="Times New Roman" w:hAnsi="Times New Roman" w:cs="Times New Roman"/>
          <w:color w:val="000000"/>
          <w:sz w:val="24"/>
          <w:szCs w:val="24"/>
          <w:shd w:val="clear" w:color="auto" w:fill="FFFFFF"/>
          <w:lang w:val="ru-RU"/>
        </w:rPr>
        <w:t>. 269]</w:t>
      </w:r>
      <w:r>
        <w:rPr>
          <w:rFonts w:ascii="Times New Roman" w:hAnsi="Times New Roman" w:cs="Times New Roman"/>
          <w:color w:val="000000"/>
          <w:sz w:val="24"/>
          <w:szCs w:val="24"/>
          <w:shd w:val="clear" w:color="auto" w:fill="FFFFFF"/>
          <w:lang w:val="ru-RU"/>
        </w:rPr>
        <w:t xml:space="preserve">. </w:t>
      </w:r>
    </w:p>
    <w:p w14:paraId="5692DB2B" w14:textId="58147130" w:rsidR="004356C4" w:rsidRPr="00E72AF8" w:rsidRDefault="004356C4" w:rsidP="00E90D2C">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С сетью мировых финансовых центров «Лондон – Дубай – Сингапур – Гонконг – Токио – Лос-Анжелес – Нью-Йорк и вновь Лондон», которая обеспечивает функционирование биржевых площадок 24 часа в сутки, хорошо сочетается концепция городских сервисных кластеров. Москва хотела бы встроиться в эту цепочку финансовых центров, которая, по большому счету, не требует развития демократических политических институтов (иначе Дубай, Сингапур и Гонконг не попали бы в неё). Но наличие собственных геополитических амбиций и активная внешняя политика не позволяют встроиться в эту цепь. Во многих определениях МФЦ, приведённых выше, говорилось о сети центров. Сеть не подразумевает иерархичности, а скорее должна базироваться на горизонтальных связях узлов–хабов. Однако, если посмотреть на </w:t>
      </w:r>
      <w:r w:rsidRPr="004E7E3E">
        <w:rPr>
          <w:rFonts w:ascii="Times New Roman" w:hAnsi="Times New Roman" w:cs="Times New Roman"/>
          <w:color w:val="000000"/>
          <w:sz w:val="24"/>
          <w:szCs w:val="24"/>
          <w:shd w:val="clear" w:color="auto" w:fill="FFFFFF"/>
          <w:lang w:val="ru-RU"/>
        </w:rPr>
        <w:t>рис. 4</w:t>
      </w:r>
      <w:r>
        <w:rPr>
          <w:rFonts w:ascii="Times New Roman" w:hAnsi="Times New Roman" w:cs="Times New Roman"/>
          <w:color w:val="000000"/>
          <w:sz w:val="24"/>
          <w:szCs w:val="24"/>
          <w:shd w:val="clear" w:color="auto" w:fill="FFFFFF"/>
          <w:lang w:val="ru-RU"/>
        </w:rPr>
        <w:t>, где</w:t>
      </w:r>
      <w:r w:rsidRPr="004E7E3E">
        <w:rPr>
          <w:rFonts w:ascii="Times New Roman" w:hAnsi="Times New Roman" w:cs="Times New Roman"/>
          <w:color w:val="000000"/>
          <w:sz w:val="24"/>
          <w:szCs w:val="24"/>
          <w:shd w:val="clear" w:color="auto" w:fill="FFFFFF"/>
          <w:lang w:val="ru-RU"/>
        </w:rPr>
        <w:t xml:space="preserve"> представлена географическая иерархия офисов консалтингового агентства </w:t>
      </w:r>
      <w:r w:rsidRPr="004E7E3E">
        <w:rPr>
          <w:rFonts w:ascii="Times New Roman" w:hAnsi="Times New Roman" w:cs="Times New Roman"/>
          <w:color w:val="000000"/>
          <w:sz w:val="24"/>
          <w:szCs w:val="24"/>
          <w:shd w:val="clear" w:color="auto" w:fill="FFFFFF"/>
        </w:rPr>
        <w:t>McKinsey</w:t>
      </w:r>
      <w:r>
        <w:rPr>
          <w:rFonts w:ascii="Times New Roman" w:hAnsi="Times New Roman" w:cs="Times New Roman"/>
          <w:color w:val="000000"/>
          <w:sz w:val="24"/>
          <w:szCs w:val="24"/>
          <w:shd w:val="clear" w:color="auto" w:fill="FFFFFF"/>
          <w:lang w:val="ru-RU"/>
        </w:rPr>
        <w:t>, то можно предположить, что в случае, если все узлы сети приходят в один или два центра (на рисунке можно предположить, что это Лондон и Нью-Йорк), то характер взаимоотношений в ней получает иерархический характер.</w:t>
      </w:r>
    </w:p>
    <w:p w14:paraId="5AEEDBF5" w14:textId="77777777" w:rsidR="004356C4" w:rsidRPr="004E7E3E" w:rsidRDefault="004356C4" w:rsidP="004356C4">
      <w:pPr>
        <w:spacing w:before="100" w:beforeAutospacing="1" w:after="100" w:line="360" w:lineRule="auto"/>
        <w:ind w:firstLine="709"/>
        <w:contextualSpacing/>
        <w:jc w:val="center"/>
        <w:rPr>
          <w:rFonts w:ascii="Times New Roman" w:hAnsi="Times New Roman" w:cs="Times New Roman"/>
          <w:color w:val="000000"/>
          <w:sz w:val="24"/>
          <w:szCs w:val="24"/>
          <w:shd w:val="clear" w:color="auto" w:fill="FFFFFF"/>
        </w:rPr>
      </w:pPr>
      <w:r w:rsidRPr="004E7E3E">
        <w:rPr>
          <w:rFonts w:ascii="Times New Roman" w:hAnsi="Times New Roman" w:cs="Times New Roman"/>
          <w:noProof/>
          <w:sz w:val="24"/>
          <w:szCs w:val="24"/>
          <w:lang w:val="ru-RU" w:eastAsia="ru-RU" w:bidi="ar-SA"/>
        </w:rPr>
        <w:lastRenderedPageBreak/>
        <w:drawing>
          <wp:inline distT="0" distB="0" distL="0" distR="0" wp14:anchorId="0F1C1661" wp14:editId="439340DC">
            <wp:extent cx="3438394" cy="1934097"/>
            <wp:effectExtent l="0" t="0" r="0" b="9525"/>
            <wp:docPr id="4" name="Рисунок 4" descr="rb40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401f4"/>
                    <pic:cNvPicPr>
                      <a:picLocks noChangeAspect="1"/>
                    </pic:cNvPicPr>
                  </pic:nvPicPr>
                  <pic:blipFill>
                    <a:blip r:embed="rId11"/>
                    <a:stretch/>
                  </pic:blipFill>
                  <pic:spPr bwMode="auto">
                    <a:xfrm>
                      <a:off x="0" y="0"/>
                      <a:ext cx="3472487" cy="1953274"/>
                    </a:xfrm>
                    <a:prstGeom prst="rect">
                      <a:avLst/>
                    </a:prstGeom>
                    <a:noFill/>
                    <a:ln w="9525">
                      <a:noFill/>
                      <a:miter lim="800000"/>
                      <a:headEnd/>
                      <a:tailEnd/>
                    </a:ln>
                  </pic:spPr>
                </pic:pic>
              </a:graphicData>
            </a:graphic>
          </wp:inline>
        </w:drawing>
      </w:r>
    </w:p>
    <w:p w14:paraId="18792FF5" w14:textId="77777777" w:rsidR="004356C4" w:rsidRPr="004E7E3E" w:rsidRDefault="004356C4" w:rsidP="004356C4">
      <w:pPr>
        <w:pStyle w:val="15"/>
        <w:spacing w:before="0" w:beforeAutospacing="0" w:after="0"/>
        <w:rPr>
          <w:lang w:eastAsia="zh-CN"/>
        </w:rPr>
      </w:pPr>
      <w:r w:rsidRPr="004E7E3E">
        <w:t>Рис</w:t>
      </w:r>
      <w:r>
        <w:t>.</w:t>
      </w:r>
      <w:r w:rsidRPr="004E7E3E">
        <w:t xml:space="preserve"> </w:t>
      </w:r>
      <w:r>
        <w:t>1</w:t>
      </w:r>
      <w:r w:rsidRPr="004E7E3E">
        <w:t xml:space="preserve">. Карта географической субординации офисов консалтингового агентства </w:t>
      </w:r>
      <w:r w:rsidRPr="004E7E3E">
        <w:rPr>
          <w:lang w:eastAsia="zh-CN"/>
        </w:rPr>
        <w:t xml:space="preserve">McKinsey. </w:t>
      </w:r>
    </w:p>
    <w:p w14:paraId="7C317755" w14:textId="3214CE37" w:rsidR="004356C4" w:rsidRPr="002A3A7A" w:rsidRDefault="004356C4" w:rsidP="004356C4">
      <w:pPr>
        <w:spacing w:after="0" w:line="360" w:lineRule="auto"/>
        <w:ind w:firstLine="709"/>
        <w:contextualSpacing/>
        <w:jc w:val="both"/>
        <w:rPr>
          <w:rFonts w:ascii="Times New Roman" w:hAnsi="Times New Roman" w:cs="Times New Roman"/>
          <w:color w:val="000000"/>
          <w:sz w:val="24"/>
          <w:szCs w:val="24"/>
          <w:lang w:val="ru-RU"/>
        </w:rPr>
      </w:pPr>
      <w:r w:rsidRPr="004E7E3E">
        <w:rPr>
          <w:rFonts w:ascii="Times New Roman" w:hAnsi="Times New Roman" w:cs="Times New Roman"/>
          <w:color w:val="000000" w:themeColor="text1"/>
          <w:sz w:val="24"/>
          <w:szCs w:val="24"/>
          <w:shd w:val="clear" w:color="auto" w:fill="FFFFFF"/>
          <w:lang w:val="ru-RU"/>
        </w:rPr>
        <w:t>Источник: [</w:t>
      </w:r>
      <w:r w:rsidRPr="004E7E3E">
        <w:rPr>
          <w:rFonts w:ascii="Times New Roman" w:hAnsi="Times New Roman" w:cs="Times New Roman"/>
          <w:color w:val="000000" w:themeColor="text1"/>
          <w:sz w:val="24"/>
          <w:szCs w:val="24"/>
          <w:shd w:val="clear" w:color="auto" w:fill="FFFFFF"/>
        </w:rPr>
        <w:fldChar w:fldCharType="begin"/>
      </w:r>
      <w:r w:rsidRPr="004E7E3E">
        <w:rPr>
          <w:rFonts w:ascii="Times New Roman" w:hAnsi="Times New Roman" w:cs="Times New Roman"/>
          <w:color w:val="000000" w:themeColor="text1"/>
          <w:sz w:val="24"/>
          <w:szCs w:val="24"/>
          <w:shd w:val="clear" w:color="auto" w:fill="FFFFFF"/>
          <w:lang w:val="ru-RU"/>
        </w:rPr>
        <w:instrText xml:space="preserve"> </w:instrText>
      </w:r>
      <w:r w:rsidRPr="004E7E3E">
        <w:rPr>
          <w:rFonts w:ascii="Times New Roman" w:hAnsi="Times New Roman" w:cs="Times New Roman"/>
          <w:color w:val="000000" w:themeColor="text1"/>
          <w:sz w:val="24"/>
          <w:szCs w:val="24"/>
          <w:shd w:val="clear" w:color="auto" w:fill="FFFFFF"/>
        </w:rPr>
        <w:instrText>REF</w:instrText>
      </w:r>
      <w:r w:rsidRPr="004E7E3E">
        <w:rPr>
          <w:rFonts w:ascii="Times New Roman" w:hAnsi="Times New Roman" w:cs="Times New Roman"/>
          <w:color w:val="000000" w:themeColor="text1"/>
          <w:sz w:val="24"/>
          <w:szCs w:val="24"/>
          <w:shd w:val="clear" w:color="auto" w:fill="FFFFFF"/>
          <w:lang w:val="ru-RU"/>
        </w:rPr>
        <w:instrText xml:space="preserve"> _</w:instrText>
      </w:r>
      <w:r w:rsidRPr="004E7E3E">
        <w:rPr>
          <w:rFonts w:ascii="Times New Roman" w:hAnsi="Times New Roman" w:cs="Times New Roman"/>
          <w:color w:val="000000" w:themeColor="text1"/>
          <w:sz w:val="24"/>
          <w:szCs w:val="24"/>
          <w:shd w:val="clear" w:color="auto" w:fill="FFFFFF"/>
        </w:rPr>
        <w:instrText>Ref</w:instrText>
      </w:r>
      <w:r w:rsidRPr="004E7E3E">
        <w:rPr>
          <w:rFonts w:ascii="Times New Roman" w:hAnsi="Times New Roman" w:cs="Times New Roman"/>
          <w:color w:val="000000" w:themeColor="text1"/>
          <w:sz w:val="24"/>
          <w:szCs w:val="24"/>
          <w:shd w:val="clear" w:color="auto" w:fill="FFFFFF"/>
          <w:lang w:val="ru-RU"/>
        </w:rPr>
        <w:instrText>501277358 \</w:instrText>
      </w:r>
      <w:r w:rsidRPr="004E7E3E">
        <w:rPr>
          <w:rFonts w:ascii="Times New Roman" w:hAnsi="Times New Roman" w:cs="Times New Roman"/>
          <w:color w:val="000000" w:themeColor="text1"/>
          <w:sz w:val="24"/>
          <w:szCs w:val="24"/>
          <w:shd w:val="clear" w:color="auto" w:fill="FFFFFF"/>
        </w:rPr>
        <w:instrText>r</w:instrText>
      </w:r>
      <w:r w:rsidRPr="004E7E3E">
        <w:rPr>
          <w:rFonts w:ascii="Times New Roman" w:hAnsi="Times New Roman" w:cs="Times New Roman"/>
          <w:color w:val="000000" w:themeColor="text1"/>
          <w:sz w:val="24"/>
          <w:szCs w:val="24"/>
          <w:shd w:val="clear" w:color="auto" w:fill="FFFFFF"/>
          <w:lang w:val="ru-RU"/>
        </w:rPr>
        <w:instrText xml:space="preserve"> \</w:instrText>
      </w:r>
      <w:r w:rsidRPr="004E7E3E">
        <w:rPr>
          <w:rFonts w:ascii="Times New Roman" w:hAnsi="Times New Roman" w:cs="Times New Roman"/>
          <w:color w:val="000000" w:themeColor="text1"/>
          <w:sz w:val="24"/>
          <w:szCs w:val="24"/>
          <w:shd w:val="clear" w:color="auto" w:fill="FFFFFF"/>
        </w:rPr>
        <w:instrText>h</w:instrText>
      </w:r>
      <w:r w:rsidRPr="004E7E3E">
        <w:rPr>
          <w:rFonts w:ascii="Times New Roman" w:hAnsi="Times New Roman" w:cs="Times New Roman"/>
          <w:color w:val="000000" w:themeColor="text1"/>
          <w:sz w:val="24"/>
          <w:szCs w:val="24"/>
          <w:shd w:val="clear" w:color="auto" w:fill="FFFFFF"/>
          <w:lang w:val="ru-RU"/>
        </w:rPr>
        <w:instrText xml:space="preserve">  \* </w:instrText>
      </w:r>
      <w:r w:rsidRPr="004E7E3E">
        <w:rPr>
          <w:rFonts w:ascii="Times New Roman" w:hAnsi="Times New Roman" w:cs="Times New Roman"/>
          <w:color w:val="000000" w:themeColor="text1"/>
          <w:sz w:val="24"/>
          <w:szCs w:val="24"/>
          <w:shd w:val="clear" w:color="auto" w:fill="FFFFFF"/>
        </w:rPr>
        <w:instrText>MERGEFORMAT</w:instrText>
      </w:r>
      <w:r w:rsidRPr="004E7E3E">
        <w:rPr>
          <w:rFonts w:ascii="Times New Roman" w:hAnsi="Times New Roman" w:cs="Times New Roman"/>
          <w:color w:val="000000" w:themeColor="text1"/>
          <w:sz w:val="24"/>
          <w:szCs w:val="24"/>
          <w:shd w:val="clear" w:color="auto" w:fill="FFFFFF"/>
          <w:lang w:val="ru-RU"/>
        </w:rPr>
        <w:instrText xml:space="preserve"> </w:instrText>
      </w:r>
      <w:r w:rsidRPr="004E7E3E">
        <w:rPr>
          <w:rFonts w:ascii="Times New Roman" w:hAnsi="Times New Roman" w:cs="Times New Roman"/>
          <w:color w:val="000000" w:themeColor="text1"/>
          <w:sz w:val="24"/>
          <w:szCs w:val="24"/>
          <w:shd w:val="clear" w:color="auto" w:fill="FFFFFF"/>
        </w:rPr>
      </w:r>
      <w:r w:rsidRPr="004E7E3E">
        <w:rPr>
          <w:rFonts w:ascii="Times New Roman" w:hAnsi="Times New Roman" w:cs="Times New Roman"/>
          <w:color w:val="000000" w:themeColor="text1"/>
          <w:sz w:val="24"/>
          <w:szCs w:val="24"/>
          <w:shd w:val="clear" w:color="auto" w:fill="FFFFFF"/>
        </w:rPr>
        <w:fldChar w:fldCharType="separate"/>
      </w:r>
      <w:r w:rsidR="00801D78" w:rsidRPr="00801D78">
        <w:rPr>
          <w:rFonts w:ascii="Times New Roman" w:hAnsi="Times New Roman" w:cs="Times New Roman"/>
          <w:color w:val="000000" w:themeColor="text1"/>
          <w:sz w:val="24"/>
          <w:szCs w:val="24"/>
          <w:shd w:val="clear" w:color="auto" w:fill="FFFFFF"/>
          <w:lang w:val="ru-RU"/>
        </w:rPr>
        <w:t>171</w:t>
      </w:r>
      <w:r w:rsidRPr="004E7E3E">
        <w:rPr>
          <w:rFonts w:ascii="Times New Roman" w:hAnsi="Times New Roman" w:cs="Times New Roman"/>
          <w:color w:val="000000" w:themeColor="text1"/>
          <w:sz w:val="24"/>
          <w:szCs w:val="24"/>
          <w:shd w:val="clear" w:color="auto" w:fill="FFFFFF"/>
        </w:rPr>
        <w:fldChar w:fldCharType="end"/>
      </w:r>
      <w:r w:rsidRPr="004E7E3E">
        <w:rPr>
          <w:rFonts w:ascii="Times New Roman" w:hAnsi="Times New Roman" w:cs="Times New Roman"/>
          <w:color w:val="000000" w:themeColor="text1"/>
          <w:sz w:val="24"/>
          <w:szCs w:val="24"/>
          <w:shd w:val="clear" w:color="auto" w:fill="FFFFFF"/>
          <w:lang w:val="ru-RU"/>
        </w:rPr>
        <w:t xml:space="preserve">, </w:t>
      </w:r>
      <w:r w:rsidRPr="004E7E3E">
        <w:rPr>
          <w:rFonts w:ascii="Times New Roman" w:hAnsi="Times New Roman" w:cs="Times New Roman"/>
          <w:color w:val="000000" w:themeColor="text1"/>
          <w:sz w:val="24"/>
          <w:szCs w:val="24"/>
          <w:shd w:val="clear" w:color="auto" w:fill="FFFFFF"/>
        </w:rPr>
        <w:t>c</w:t>
      </w:r>
      <w:r w:rsidRPr="004E7E3E">
        <w:rPr>
          <w:rFonts w:ascii="Times New Roman" w:hAnsi="Times New Roman" w:cs="Times New Roman"/>
          <w:color w:val="000000" w:themeColor="text1"/>
          <w:sz w:val="24"/>
          <w:szCs w:val="24"/>
          <w:shd w:val="clear" w:color="auto" w:fill="FFFFFF"/>
          <w:lang w:val="ru-RU"/>
        </w:rPr>
        <w:t>. 392]</w:t>
      </w:r>
    </w:p>
    <w:p w14:paraId="10BBF3F7" w14:textId="77777777" w:rsidR="004356C4" w:rsidRPr="00E143B1" w:rsidRDefault="004356C4" w:rsidP="004356C4">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В мировой экономике наблюдаются две противоположные тенденции: глобализация и регионализация. Глобализация способствует размыванию границ. Уровень текучести капиталов (из одной национальной экономики в другую) достиг впечатляющих значений. Это ведёт к</w:t>
      </w:r>
      <w:r>
        <w:rPr>
          <w:rFonts w:ascii="Times New Roman" w:hAnsi="Times New Roman" w:cs="Times New Roman"/>
          <w:sz w:val="24"/>
          <w:szCs w:val="24"/>
          <w:lang w:val="ru-RU"/>
        </w:rPr>
        <w:t> </w:t>
      </w:r>
      <w:r w:rsidRPr="004E7E3E">
        <w:rPr>
          <w:rFonts w:ascii="Times New Roman" w:hAnsi="Times New Roman" w:cs="Times New Roman"/>
          <w:sz w:val="24"/>
          <w:szCs w:val="24"/>
          <w:lang w:val="ru-RU"/>
        </w:rPr>
        <w:t>концентрации капиталов в руках немногих. Но финансисты следуют принципу «не хранить яйца в одном лукошке», что ведёт к другой тенденции – регионализации. Эти две тенденции, смешиваясь, ведут к появлению региональных международных финансовых центров. Главные центры –</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Нью-Йорк и Лондон,</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 не могут существовать без Токио и Гонконга, Франкфурта и Цюриха, Дубая и Мумбаи, Парижа и Москвы.</w:t>
      </w:r>
    </w:p>
    <w:p w14:paraId="5EA0F053" w14:textId="642A5CE1" w:rsidR="004356C4" w:rsidRDefault="004356C4" w:rsidP="00E90D2C">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Китай и Россия являются лидерами по количеству городов-миллионников, занимая 1</w:t>
      </w:r>
      <w:r w:rsidR="00E90D2C">
        <w:rPr>
          <w:rFonts w:ascii="Times New Roman" w:hAnsi="Times New Roman" w:cs="Times New Roman"/>
          <w:color w:val="000000"/>
          <w:sz w:val="24"/>
          <w:szCs w:val="24"/>
          <w:shd w:val="clear" w:color="auto" w:fill="FFFFFF"/>
          <w:lang w:val="ru-RU"/>
        </w:rPr>
        <w:noBreakHyphen/>
        <w:t>е</w:t>
      </w:r>
      <w:r>
        <w:rPr>
          <w:rFonts w:ascii="Times New Roman" w:hAnsi="Times New Roman" w:cs="Times New Roman"/>
          <w:color w:val="000000"/>
          <w:sz w:val="24"/>
          <w:szCs w:val="24"/>
          <w:shd w:val="clear" w:color="auto" w:fill="FFFFFF"/>
          <w:lang w:val="ru-RU"/>
        </w:rPr>
        <w:t> и 2</w:t>
      </w:r>
      <w:r w:rsidR="00E90D2C">
        <w:rPr>
          <w:rFonts w:ascii="Times New Roman" w:hAnsi="Times New Roman" w:cs="Times New Roman"/>
          <w:color w:val="000000"/>
          <w:sz w:val="24"/>
          <w:szCs w:val="24"/>
          <w:shd w:val="clear" w:color="auto" w:fill="FFFFFF"/>
          <w:lang w:val="ru-RU"/>
        </w:rPr>
        <w:noBreakHyphen/>
        <w:t>е</w:t>
      </w:r>
      <w:r>
        <w:rPr>
          <w:rFonts w:ascii="Times New Roman" w:hAnsi="Times New Roman" w:cs="Times New Roman"/>
          <w:color w:val="000000"/>
          <w:sz w:val="24"/>
          <w:szCs w:val="24"/>
          <w:shd w:val="clear" w:color="auto" w:fill="FFFFFF"/>
          <w:lang w:val="ru-RU"/>
        </w:rPr>
        <w:t xml:space="preserve"> места. В Китае предполагается создать особую городскую цивилизацию, хотя методы создания довольно спорные: территория какой-либо провинции распределяется между несколькими городами, что приводит к созданию неких городских агломераций. В российских реалиях это выглядело бы так: муниципальные образования Гатчинский и Лужский район объединились бы в городскую агломерацию Гатчина, включив все деревни и сёла, между Гатчиной и Лугой построили бы несколько крупных жилых комплексов, соединённых автострадами, и вся территория нового образования стала бы новым городом-миллионником «Гатчина Сити». Преимущества следующие: 1) растёт доля городского населения, 2) создается единый центр планирования, распределения и принятия решений, 3) создается новый городской центр, деятельность в котором может привлечь новых крупных инвесторов, 4) сокращается доля занятых в публичных администрациях, 5) аналогичную процедуру можно организовать со стороны Псковской области и организовать сотрудничество между двумя новыми агломерациями. Возможно, наше понимание китайской урбанистической реформы слишком схематическое, но в нём определенно довольно много умозрительных решений, которые приводят к появлению городов, представляющих собой скорее объединение промышленных зон: </w:t>
      </w:r>
      <w:r>
        <w:rPr>
          <w:rFonts w:ascii="Times New Roman" w:hAnsi="Times New Roman" w:cs="Times New Roman"/>
          <w:color w:val="000000"/>
          <w:sz w:val="24"/>
          <w:szCs w:val="24"/>
          <w:shd w:val="clear" w:color="auto" w:fill="FFFFFF"/>
          <w:lang w:val="ru-RU"/>
        </w:rPr>
        <w:lastRenderedPageBreak/>
        <w:t>«города фабрики и рынки», чем города в российском понимании. В то же время Россия действительно является лидером по количеству городов-миллионников (их сейчас 15). Для сравнения, в США всего 9. Но официально признанными мегалополисами, представляющими собой слияние нескольких крупных городских агломераций (не следует путать с понятием «мегагород», определяемым по количеству населения более 10 млн человек), являются только американский Босваш (объединяющий Бостон, Нью-Йорк, Филадельфию, Балтимор и Вашингтон) и японский Тайхэйё (объединяющий Токио, Осаку и ряд других японских агломераций на восточном побережье Японии, расположенных вдоль высокоскоростной железной дороги Синкансэн).</w:t>
      </w:r>
    </w:p>
    <w:p w14:paraId="57BF5079" w14:textId="77777777" w:rsidR="00937CBF" w:rsidRPr="004E7E3E" w:rsidRDefault="00937CBF" w:rsidP="00937CBF">
      <w:pPr>
        <w:pStyle w:val="2"/>
        <w:spacing w:before="100" w:beforeAutospacing="1" w:after="100" w:line="360" w:lineRule="auto"/>
        <w:ind w:firstLine="709"/>
        <w:contextualSpacing/>
        <w:rPr>
          <w:rFonts w:cs="Times New Roman"/>
          <w:sz w:val="24"/>
          <w:szCs w:val="24"/>
        </w:rPr>
      </w:pPr>
      <w:bookmarkStart w:id="8" w:name="Параграфодиндва"/>
      <w:bookmarkStart w:id="9" w:name="_Toc136448475"/>
      <w:r w:rsidRPr="004E7E3E">
        <w:rPr>
          <w:rFonts w:cs="Times New Roman"/>
          <w:sz w:val="24"/>
          <w:szCs w:val="24"/>
        </w:rPr>
        <w:t>§ 1.2 Виды мировых финансовых центров</w:t>
      </w:r>
      <w:bookmarkEnd w:id="9"/>
      <w:r w:rsidRPr="004E7E3E">
        <w:rPr>
          <w:rFonts w:cs="Times New Roman"/>
          <w:sz w:val="24"/>
          <w:szCs w:val="24"/>
        </w:rPr>
        <w:t xml:space="preserve"> </w:t>
      </w:r>
    </w:p>
    <w:bookmarkEnd w:id="8"/>
    <w:p w14:paraId="6450079F"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Классификации служат для лучшего понимания научных категорий. В основе любой классификации должен лежать один или несколько критериев. МФЦ – это сложное общественное явление с экономико-финансовым уклоном, имеющее огромное количество критериев и факторов, которые оказывают влияние на его деятельность. Такая ситуация только множит количество классификаций и рейтингов. </w:t>
      </w:r>
    </w:p>
    <w:p w14:paraId="6D414915"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Начнём исследование данного вопроса с классификаци</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а потом перейдём к рейтингам. В некоторых рейтинга также предлагаются варианты классификаций, поэтому отчасти исследование классификаций и рейтингов будут пересекаться. </w:t>
      </w:r>
    </w:p>
    <w:p w14:paraId="5716B3E8" w14:textId="6FC03018" w:rsidR="004356C4" w:rsidRPr="004E7E3E" w:rsidRDefault="00937CBF" w:rsidP="00457E80">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Исследователь Е. В. Семенцова систематизировала найденные ей </w:t>
      </w:r>
      <w:r>
        <w:rPr>
          <w:rFonts w:ascii="Times New Roman" w:hAnsi="Times New Roman" w:cs="Times New Roman"/>
          <w:color w:val="000000"/>
          <w:sz w:val="24"/>
          <w:szCs w:val="24"/>
          <w:shd w:val="clear" w:color="auto" w:fill="FFFFFF"/>
          <w:lang w:val="ru-RU"/>
        </w:rPr>
        <w:t>восемь</w:t>
      </w:r>
      <w:r w:rsidRPr="004E7E3E">
        <w:rPr>
          <w:rFonts w:ascii="Times New Roman" w:hAnsi="Times New Roman" w:cs="Times New Roman"/>
          <w:color w:val="000000"/>
          <w:sz w:val="24"/>
          <w:szCs w:val="24"/>
          <w:shd w:val="clear" w:color="auto" w:fill="FFFFFF"/>
          <w:lang w:val="ru-RU"/>
        </w:rPr>
        <w:t xml:space="preserve"> вариантов классификаций финансовых центров в таблиц</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_Ref498526579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122</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Мы расширили предложенный е</w:t>
      </w:r>
      <w:r>
        <w:rPr>
          <w:rFonts w:ascii="Times New Roman" w:hAnsi="Times New Roman" w:cs="Times New Roman"/>
          <w:color w:val="000000"/>
          <w:sz w:val="24"/>
          <w:szCs w:val="24"/>
          <w:shd w:val="clear" w:color="auto" w:fill="FFFFFF"/>
          <w:lang w:val="ru-RU"/>
        </w:rPr>
        <w:t>ю</w:t>
      </w:r>
      <w:r w:rsidRPr="004E7E3E">
        <w:rPr>
          <w:rFonts w:ascii="Times New Roman" w:hAnsi="Times New Roman" w:cs="Times New Roman"/>
          <w:color w:val="000000"/>
          <w:sz w:val="24"/>
          <w:szCs w:val="24"/>
          <w:shd w:val="clear" w:color="auto" w:fill="FFFFFF"/>
          <w:lang w:val="ru-RU"/>
        </w:rPr>
        <w:t xml:space="preserve"> вариант систематизации до 1</w:t>
      </w:r>
      <w:r w:rsidR="0018636D">
        <w:rPr>
          <w:rFonts w:ascii="Times New Roman" w:hAnsi="Times New Roman" w:cs="Times New Roman"/>
          <w:color w:val="000000"/>
          <w:sz w:val="24"/>
          <w:szCs w:val="24"/>
          <w:shd w:val="clear" w:color="auto" w:fill="FFFFFF"/>
          <w:lang w:val="ru-RU"/>
        </w:rPr>
        <w:t>6</w:t>
      </w:r>
      <w:r w:rsidRPr="004E7E3E">
        <w:rPr>
          <w:rFonts w:ascii="Times New Roman" w:hAnsi="Times New Roman" w:cs="Times New Roman"/>
          <w:color w:val="000000"/>
          <w:sz w:val="24"/>
          <w:szCs w:val="24"/>
          <w:shd w:val="clear" w:color="auto" w:fill="FFFFFF"/>
          <w:lang w:val="ru-RU"/>
        </w:rPr>
        <w:t>. Нами добавлены пункты 3, 4, 5, 12, 13, 14, 15, 16</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также </w:t>
      </w:r>
      <w:r w:rsidRPr="004E7E3E">
        <w:rPr>
          <w:rFonts w:ascii="Times New Roman" w:hAnsi="Times New Roman" w:cs="Times New Roman"/>
          <w:color w:val="000000"/>
          <w:sz w:val="24"/>
          <w:szCs w:val="24"/>
          <w:shd w:val="clear" w:color="auto" w:fill="FFFFFF"/>
          <w:lang w:val="ru-RU"/>
        </w:rPr>
        <w:t>мы изменили признак для 11 пункта</w:t>
      </w:r>
      <w:r w:rsidR="00457E80">
        <w:rPr>
          <w:rFonts w:ascii="Times New Roman" w:hAnsi="Times New Roman" w:cs="Times New Roman"/>
          <w:color w:val="000000"/>
          <w:sz w:val="24"/>
          <w:szCs w:val="24"/>
          <w:shd w:val="clear" w:color="auto" w:fill="FFFFFF"/>
          <w:lang w:val="ru-RU"/>
        </w:rPr>
        <w:t xml:space="preserve"> (см. Приложение 1)</w:t>
      </w:r>
      <w:r w:rsidRPr="004E7E3E">
        <w:rPr>
          <w:rFonts w:ascii="Times New Roman" w:hAnsi="Times New Roman" w:cs="Times New Roman"/>
          <w:color w:val="000000"/>
          <w:sz w:val="24"/>
          <w:szCs w:val="24"/>
          <w:shd w:val="clear" w:color="auto" w:fill="FFFFFF"/>
          <w:lang w:val="ru-RU"/>
        </w:rPr>
        <w:t>.</w:t>
      </w:r>
    </w:p>
    <w:p w14:paraId="09E75048"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Рассмотрим некоторые из представленных в таблице подходов более подробно. </w:t>
      </w:r>
    </w:p>
    <w:p w14:paraId="09FF81F2" w14:textId="551D99EF"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Один из первых исследователей МФЦ в отечественной науке </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Г.</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Г. Матюхин (пункты 1 и 2), который представлял школу ИМЭМО</w:t>
      </w:r>
      <w:r>
        <w:rPr>
          <w:rFonts w:ascii="Times New Roman" w:hAnsi="Times New Roman" w:cs="Times New Roman"/>
          <w:color w:val="000000"/>
          <w:sz w:val="24"/>
          <w:szCs w:val="24"/>
          <w:shd w:val="clear" w:color="auto" w:fill="FFFFFF"/>
          <w:lang w:val="ru-RU"/>
        </w:rPr>
        <w:t xml:space="preserve"> и</w:t>
      </w:r>
      <w:r w:rsidRPr="004E7E3E">
        <w:rPr>
          <w:rFonts w:ascii="Times New Roman" w:hAnsi="Times New Roman" w:cs="Times New Roman"/>
          <w:color w:val="000000"/>
          <w:sz w:val="24"/>
          <w:szCs w:val="24"/>
          <w:shd w:val="clear" w:color="auto" w:fill="FFFFFF"/>
          <w:lang w:val="ru-RU"/>
        </w:rPr>
        <w:t xml:space="preserve"> предложил две классификации финансовых центров. По природе возникновения он выделяет финансовые центры, сформировавшиеся на базе национальных рынков капитала, и офшорные центры, появившиеся позже. Он отмечает некоторую «неполноценность» офшорных центров, считая, что они выполняют скорее функцию «фискального оазиса», чем посредника в движении капитала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_Ref498526579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122</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44]</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Этот же исследователь предл</w:t>
      </w:r>
      <w:r>
        <w:rPr>
          <w:rFonts w:ascii="Times New Roman" w:hAnsi="Times New Roman" w:cs="Times New Roman"/>
          <w:color w:val="000000"/>
          <w:sz w:val="24"/>
          <w:szCs w:val="24"/>
          <w:shd w:val="clear" w:color="auto" w:fill="FFFFFF"/>
          <w:lang w:val="ru-RU"/>
        </w:rPr>
        <w:t>ожил</w:t>
      </w:r>
      <w:r w:rsidRPr="004E7E3E">
        <w:rPr>
          <w:rFonts w:ascii="Times New Roman" w:hAnsi="Times New Roman" w:cs="Times New Roman"/>
          <w:color w:val="000000"/>
          <w:sz w:val="24"/>
          <w:szCs w:val="24"/>
          <w:shd w:val="clear" w:color="auto" w:fill="FFFFFF"/>
          <w:lang w:val="ru-RU"/>
        </w:rPr>
        <w:t xml:space="preserve"> классификацию по стадиям развития центра: чем центр больше вовлечён в международные финансовые процессы, тем он выше стоит в классификации. </w:t>
      </w:r>
    </w:p>
    <w:p w14:paraId="2A28E5B3"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sz w:val="24"/>
          <w:szCs w:val="24"/>
          <w:shd w:val="clear" w:color="auto" w:fill="FFFFFF"/>
          <w:lang w:val="ru-RU"/>
        </w:rPr>
      </w:pPr>
      <w:r w:rsidRPr="004E7E3E">
        <w:rPr>
          <w:rFonts w:ascii="Times New Roman" w:hAnsi="Times New Roman" w:cs="Times New Roman"/>
          <w:sz w:val="24"/>
          <w:szCs w:val="24"/>
          <w:shd w:val="clear" w:color="auto" w:fill="FFFFFF"/>
          <w:lang w:val="ru-RU"/>
        </w:rPr>
        <w:lastRenderedPageBreak/>
        <w:t xml:space="preserve">Далее в нашей таблице идут две классификации, также учитывающие стадии развития: пункт 3 – классификация МВФ по уровню (качественный аспект) развития рынка, которые представляет центр, пункт 4 – по стадии (временной аспект) развития центра Я. М. Миркина. </w:t>
      </w:r>
    </w:p>
    <w:p w14:paraId="7E00D41F" w14:textId="768E9F56" w:rsidR="00937CBF" w:rsidRPr="004E7E3E"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shd w:val="clear" w:color="auto" w:fill="FFFFFF"/>
          <w:lang w:val="ru-RU"/>
        </w:rPr>
        <w:t>В классификации МВФ отмечается: «</w:t>
      </w:r>
      <w:r w:rsidRPr="004E7E3E">
        <w:rPr>
          <w:rFonts w:ascii="Times New Roman" w:hAnsi="Times New Roman" w:cs="Times New Roman"/>
          <w:sz w:val="24"/>
          <w:szCs w:val="24"/>
          <w:lang w:val="ru-RU"/>
        </w:rPr>
        <w:t>Более 90% финансовых активов приходится на развитые страны. Для США приход либо уход с их рынка 50 млрд. долларов будет мало заметен, а для Индии это может иметь колоссальные последствия»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_Ref498686162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137</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18]</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Там же выводится правило: чем крупнее рынок, тем меньше эффект волатильности от распространения финансовых потрясений на финансовом рынке и больше стабильность. Однако Я. М. Миркин, также представляющий школу ИМЭМО, комментируя данный подход к классификации, отмечает, что «хотя мощная внутренняя экономика может помочь поддержать существующий финансовый центр (Нью-Йорк, Токио, Франкфурт), она не является единственным и даже решающим фактором возникновения финансового центра (контрпримеры: Цюрих, Сингапур, Лихтенштейн, Люксембург)» [</w:t>
      </w:r>
      <w:r w:rsidRPr="004E7E3E">
        <w:rPr>
          <w:rFonts w:ascii="Times New Roman" w:hAnsi="Times New Roman" w:cs="Times New Roman"/>
          <w:sz w:val="24"/>
          <w:szCs w:val="24"/>
        </w:rPr>
        <w:fldChar w:fldCharType="begin"/>
      </w:r>
      <w:r w:rsidRPr="004E7E3E">
        <w:rPr>
          <w:rFonts w:ascii="Times New Roman" w:hAnsi="Times New Roman" w:cs="Times New Roman"/>
          <w:sz w:val="24"/>
          <w:szCs w:val="24"/>
          <w:lang w:val="ru-RU"/>
        </w:rPr>
        <w:instrText xml:space="preserve"> REF _Ref498686162 \r \h  \* </w:instrText>
      </w:r>
      <w:r w:rsidRPr="004E7E3E">
        <w:rPr>
          <w:rFonts w:ascii="Times New Roman" w:hAnsi="Times New Roman" w:cs="Times New Roman"/>
          <w:sz w:val="24"/>
          <w:szCs w:val="24"/>
        </w:rPr>
        <w:instrText>MERGEFORMAT</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r>
      <w:r w:rsidRPr="004E7E3E">
        <w:rPr>
          <w:rFonts w:ascii="Times New Roman" w:hAnsi="Times New Roman" w:cs="Times New Roman"/>
          <w:sz w:val="24"/>
          <w:szCs w:val="24"/>
        </w:rPr>
        <w:fldChar w:fldCharType="separate"/>
      </w:r>
      <w:r w:rsidR="00801D78">
        <w:rPr>
          <w:rFonts w:ascii="Times New Roman" w:hAnsi="Times New Roman" w:cs="Times New Roman"/>
          <w:sz w:val="24"/>
          <w:szCs w:val="24"/>
          <w:lang w:val="ru-RU"/>
        </w:rPr>
        <w:t>137</w:t>
      </w:r>
      <w:r w:rsidRPr="004E7E3E">
        <w:rPr>
          <w:rFonts w:ascii="Times New Roman" w:hAnsi="Times New Roman" w:cs="Times New Roman"/>
          <w:sz w:val="24"/>
          <w:szCs w:val="24"/>
        </w:rPr>
        <w:fldChar w:fldCharType="end"/>
      </w:r>
      <w:r w:rsidRPr="004E7E3E">
        <w:rPr>
          <w:rFonts w:ascii="Times New Roman" w:hAnsi="Times New Roman" w:cs="Times New Roman"/>
          <w:sz w:val="24"/>
          <w:szCs w:val="24"/>
          <w:lang w:val="ru-RU"/>
        </w:rPr>
        <w:t>, с. 19]</w:t>
      </w:r>
      <w:r>
        <w:rPr>
          <w:rFonts w:ascii="Times New Roman" w:hAnsi="Times New Roman" w:cs="Times New Roman"/>
          <w:sz w:val="24"/>
          <w:szCs w:val="24"/>
          <w:lang w:val="ru-RU"/>
        </w:rPr>
        <w:t>.</w:t>
      </w:r>
    </w:p>
    <w:p w14:paraId="00D6B023" w14:textId="4DCEB293" w:rsidR="00937CBF" w:rsidRPr="004E7E3E"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Далее московский исследователь предлагает два варианта классификаций по стадиям развития самих центров. Первый вариант: 1) старые </w:t>
      </w:r>
      <w:r w:rsidRPr="004E7E3E">
        <w:rPr>
          <w:rFonts w:ascii="Times New Roman" w:hAnsi="Times New Roman" w:cs="Times New Roman"/>
          <w:bCs/>
          <w:iCs/>
          <w:sz w:val="24"/>
          <w:szCs w:val="24"/>
          <w:lang w:val="ru-RU"/>
        </w:rPr>
        <w:t xml:space="preserve">(органически сформировавшиеся) финансовые центры </w:t>
      </w:r>
      <w:r w:rsidRPr="004E7E3E">
        <w:rPr>
          <w:rFonts w:ascii="Times New Roman" w:hAnsi="Times New Roman" w:cs="Times New Roman"/>
          <w:sz w:val="24"/>
          <w:szCs w:val="24"/>
          <w:lang w:val="ru-RU"/>
        </w:rPr>
        <w:t>(Лондон, Нью-Йорк, Франкфурт, Гонконг), чье возникновение и развитие обусловлено историческими и экономическими обстоятельствами, к которым, в частности, можно отнести мощную внутреннюю экономику со значительными потребностями в финансировании. При наличии необходимого объема поддерживающих мер такие центры могут функционировать практически автономно</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2) </w:t>
      </w:r>
      <w:r>
        <w:rPr>
          <w:rFonts w:ascii="Times New Roman" w:hAnsi="Times New Roman" w:cs="Times New Roman"/>
          <w:sz w:val="24"/>
          <w:szCs w:val="24"/>
          <w:lang w:val="ru-RU"/>
        </w:rPr>
        <w:t>Н</w:t>
      </w:r>
      <w:r w:rsidRPr="004E7E3E">
        <w:rPr>
          <w:rFonts w:ascii="Times New Roman" w:hAnsi="Times New Roman" w:cs="Times New Roman"/>
          <w:bCs/>
          <w:iCs/>
          <w:sz w:val="24"/>
          <w:szCs w:val="24"/>
          <w:lang w:val="ru-RU"/>
        </w:rPr>
        <w:t xml:space="preserve">овые (догоняющие) финансовые центры </w:t>
      </w:r>
      <w:r w:rsidRPr="004E7E3E">
        <w:rPr>
          <w:rFonts w:ascii="Times New Roman" w:hAnsi="Times New Roman" w:cs="Times New Roman"/>
          <w:sz w:val="24"/>
          <w:szCs w:val="24"/>
          <w:lang w:val="ru-RU"/>
        </w:rPr>
        <w:t xml:space="preserve">(Цюрих, Люксембург, Дубай, большинство офшорных финансовых центров) являются ядрами рынков, существующих в «догоняющем» по отношению к органически сформировавшимся центрам режиме. Такими центрами принимаются активные меры с целью повышения конкурентоспособности и выживания национальных рынков. Важной мерой является, как правило, предоставление экономических льгот нерезидентам. Второй вариант (на основе рейтинга </w:t>
      </w:r>
      <w:r w:rsidRPr="004E7E3E">
        <w:rPr>
          <w:rFonts w:ascii="Times New Roman" w:hAnsi="Times New Roman" w:cs="Times New Roman"/>
          <w:sz w:val="24"/>
          <w:szCs w:val="24"/>
        </w:rPr>
        <w:t>Global</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Financial</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Centre</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Index</w:t>
      </w:r>
      <w:r w:rsidRPr="004E7E3E">
        <w:rPr>
          <w:rFonts w:ascii="Times New Roman" w:hAnsi="Times New Roman" w:cs="Times New Roman"/>
          <w:sz w:val="24"/>
          <w:szCs w:val="24"/>
          <w:lang w:val="ru-RU"/>
        </w:rPr>
        <w:t xml:space="preserve">): 1) </w:t>
      </w:r>
      <w:r w:rsidRPr="004E7E3E">
        <w:rPr>
          <w:rFonts w:ascii="Times New Roman" w:hAnsi="Times New Roman" w:cs="Times New Roman"/>
          <w:bCs/>
          <w:iCs/>
          <w:sz w:val="24"/>
          <w:szCs w:val="24"/>
          <w:lang w:val="ru-RU"/>
        </w:rPr>
        <w:t xml:space="preserve">растущие финансовые центры </w:t>
      </w:r>
      <w:r w:rsidRPr="004E7E3E">
        <w:rPr>
          <w:rFonts w:ascii="Times New Roman" w:hAnsi="Times New Roman" w:cs="Times New Roman"/>
          <w:sz w:val="24"/>
          <w:szCs w:val="24"/>
          <w:lang w:val="ru-RU"/>
        </w:rPr>
        <w:t xml:space="preserve">(Шанхай, Пекин, Сеул); 2) </w:t>
      </w:r>
      <w:r w:rsidRPr="004E7E3E">
        <w:rPr>
          <w:rFonts w:ascii="Times New Roman" w:hAnsi="Times New Roman" w:cs="Times New Roman"/>
          <w:bCs/>
          <w:iCs/>
          <w:sz w:val="24"/>
          <w:szCs w:val="24"/>
          <w:lang w:val="ru-RU"/>
        </w:rPr>
        <w:t xml:space="preserve">стабильно функционирующие финансовые центры </w:t>
      </w:r>
      <w:r w:rsidRPr="004E7E3E">
        <w:rPr>
          <w:rFonts w:ascii="Times New Roman" w:hAnsi="Times New Roman" w:cs="Times New Roman"/>
          <w:sz w:val="24"/>
          <w:szCs w:val="24"/>
          <w:lang w:val="ru-RU"/>
        </w:rPr>
        <w:t>(Лондон, Нью-Йорк); 3)</w:t>
      </w:r>
      <w:r w:rsidRPr="004E7E3E">
        <w:rPr>
          <w:rFonts w:ascii="Times New Roman" w:hAnsi="Times New Roman" w:cs="Times New Roman"/>
          <w:bCs/>
          <w:iCs/>
          <w:sz w:val="24"/>
          <w:szCs w:val="24"/>
          <w:lang w:val="ru-RU"/>
        </w:rPr>
        <w:t xml:space="preserve"> «увядающие» финансовые центры </w:t>
      </w:r>
      <w:r w:rsidRPr="004E7E3E">
        <w:rPr>
          <w:rFonts w:ascii="Times New Roman" w:hAnsi="Times New Roman" w:cs="Times New Roman"/>
          <w:sz w:val="24"/>
          <w:szCs w:val="24"/>
          <w:lang w:val="ru-RU"/>
        </w:rPr>
        <w:t>(Мумбаи, Хельсинки) [</w:t>
      </w:r>
      <w:r w:rsidRPr="004E7E3E">
        <w:rPr>
          <w:rFonts w:ascii="Times New Roman" w:hAnsi="Times New Roman" w:cs="Times New Roman"/>
          <w:sz w:val="24"/>
          <w:szCs w:val="24"/>
        </w:rPr>
        <w:fldChar w:fldCharType="begin"/>
      </w:r>
      <w:r w:rsidRPr="004E7E3E">
        <w:rPr>
          <w:rFonts w:ascii="Times New Roman" w:hAnsi="Times New Roman" w:cs="Times New Roman"/>
          <w:sz w:val="24"/>
          <w:szCs w:val="24"/>
          <w:lang w:val="ru-RU"/>
        </w:rPr>
        <w:instrText xml:space="preserve"> REF _Ref498686162 \r \h  \* </w:instrText>
      </w:r>
      <w:r w:rsidRPr="004E7E3E">
        <w:rPr>
          <w:rFonts w:ascii="Times New Roman" w:hAnsi="Times New Roman" w:cs="Times New Roman"/>
          <w:sz w:val="24"/>
          <w:szCs w:val="24"/>
        </w:rPr>
        <w:instrText>MERGEFORMAT</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r>
      <w:r w:rsidRPr="004E7E3E">
        <w:rPr>
          <w:rFonts w:ascii="Times New Roman" w:hAnsi="Times New Roman" w:cs="Times New Roman"/>
          <w:sz w:val="24"/>
          <w:szCs w:val="24"/>
        </w:rPr>
        <w:fldChar w:fldCharType="separate"/>
      </w:r>
      <w:r w:rsidR="00801D78">
        <w:rPr>
          <w:rFonts w:ascii="Times New Roman" w:hAnsi="Times New Roman" w:cs="Times New Roman"/>
          <w:sz w:val="24"/>
          <w:szCs w:val="24"/>
          <w:lang w:val="ru-RU"/>
        </w:rPr>
        <w:t>137</w:t>
      </w:r>
      <w:r w:rsidRPr="004E7E3E">
        <w:rPr>
          <w:rFonts w:ascii="Times New Roman" w:hAnsi="Times New Roman" w:cs="Times New Roman"/>
          <w:sz w:val="24"/>
          <w:szCs w:val="24"/>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21-22]</w:t>
      </w:r>
      <w:r>
        <w:rPr>
          <w:rFonts w:ascii="Times New Roman" w:hAnsi="Times New Roman" w:cs="Times New Roman"/>
          <w:sz w:val="24"/>
          <w:szCs w:val="24"/>
          <w:lang w:val="ru-RU"/>
        </w:rPr>
        <w:t>.</w:t>
      </w:r>
    </w:p>
    <w:p w14:paraId="472FE064" w14:textId="10684561" w:rsidR="00937CBF" w:rsidRPr="004E7E3E" w:rsidRDefault="00937CBF" w:rsidP="00937CBF">
      <w:pPr>
        <w:spacing w:before="100" w:beforeAutospacing="1" w:after="100" w:line="360" w:lineRule="auto"/>
        <w:ind w:firstLine="709"/>
        <w:contextualSpacing/>
        <w:jc w:val="both"/>
        <w:rPr>
          <w:rFonts w:ascii="Times New Roman" w:hAnsi="Times New Roman" w:cs="Times New Roman"/>
          <w:sz w:val="24"/>
          <w:szCs w:val="24"/>
          <w:lang w:val="ru-RU" w:eastAsia="zh-CN"/>
        </w:rPr>
      </w:pPr>
      <w:r w:rsidRPr="004E7E3E">
        <w:rPr>
          <w:rFonts w:ascii="Times New Roman" w:hAnsi="Times New Roman" w:cs="Times New Roman"/>
          <w:sz w:val="24"/>
          <w:szCs w:val="24"/>
          <w:lang w:val="ru-RU"/>
        </w:rPr>
        <w:t>Далее в таблице идёт большой блок классификаций от представителей концепции «мировых городов». Мы бы не включали данный раздел, так как эта концепци</w:t>
      </w:r>
      <w:r>
        <w:rPr>
          <w:rFonts w:ascii="Times New Roman" w:hAnsi="Times New Roman" w:cs="Times New Roman"/>
          <w:sz w:val="24"/>
          <w:szCs w:val="24"/>
          <w:lang w:val="ru-RU"/>
        </w:rPr>
        <w:t>я</w:t>
      </w:r>
      <w:r w:rsidRPr="004E7E3E">
        <w:rPr>
          <w:rFonts w:ascii="Times New Roman" w:hAnsi="Times New Roman" w:cs="Times New Roman"/>
          <w:sz w:val="24"/>
          <w:szCs w:val="24"/>
          <w:lang w:val="ru-RU"/>
        </w:rPr>
        <w:t xml:space="preserve"> более общая, чем понятие МФЦ, но они были в первоначальной таблице, составленной Е. В. Семенцовой.</w:t>
      </w:r>
      <w:r w:rsidRPr="004E7E3E">
        <w:rPr>
          <w:rFonts w:ascii="Times New Roman" w:hAnsi="Times New Roman" w:cs="Times New Roman"/>
          <w:color w:val="000000"/>
          <w:sz w:val="24"/>
          <w:szCs w:val="24"/>
          <w:shd w:val="clear" w:color="auto" w:fill="FFFFFF"/>
          <w:lang w:val="ru-RU"/>
        </w:rPr>
        <w:t xml:space="preserve"> С.</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Н.</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Мирошников отмечает, что в мире возникает новая архитектура, на вершине которой находятся три глобальных города: Нью-Йорк, Токио и Лондон. На более низком уровне располагаются субглобальные города, чье влияние в одной или двух сферах распространяется за </w:t>
      </w:r>
      <w:r w:rsidRPr="004E7E3E">
        <w:rPr>
          <w:rFonts w:ascii="Times New Roman" w:hAnsi="Times New Roman" w:cs="Times New Roman"/>
          <w:color w:val="000000"/>
          <w:sz w:val="24"/>
          <w:szCs w:val="24"/>
          <w:shd w:val="clear" w:color="auto" w:fill="FFFFFF"/>
          <w:lang w:val="ru-RU"/>
        </w:rPr>
        <w:lastRenderedPageBreak/>
        <w:t>пределы государства, на территории которого этот город расположен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_Ref498526579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122</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44]</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Далее идут крупные региональные центры, которые втягивают в глобальную экономику более мелкие города своего региона, а иногда и сам регион. Г. Трифт классифицирует финансовые центры на три группы: глобальные, зональные и региональные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_Ref498526579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122</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44]</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этом же блоке упоминается известная </w:t>
      </w:r>
      <w:r w:rsidRPr="004E7E3E">
        <w:rPr>
          <w:rFonts w:ascii="Times New Roman" w:hAnsi="Times New Roman" w:cs="Times New Roman"/>
          <w:sz w:val="24"/>
          <w:szCs w:val="24"/>
          <w:lang w:val="ru-RU"/>
        </w:rPr>
        <w:t xml:space="preserve">классификация </w:t>
      </w:r>
      <w:r w:rsidRPr="004E7E3E">
        <w:rPr>
          <w:rFonts w:ascii="Times New Roman" w:hAnsi="Times New Roman" w:cs="Times New Roman"/>
          <w:sz w:val="24"/>
          <w:szCs w:val="24"/>
          <w:lang w:eastAsia="zh-CN"/>
        </w:rPr>
        <w:t>GaWC</w:t>
      </w:r>
      <w:r w:rsidRPr="004E7E3E">
        <w:rPr>
          <w:rFonts w:ascii="Times New Roman" w:hAnsi="Times New Roman" w:cs="Times New Roman"/>
          <w:sz w:val="24"/>
          <w:szCs w:val="24"/>
          <w:lang w:val="ru-RU" w:eastAsia="zh-CN"/>
        </w:rPr>
        <w:t xml:space="preserve"> (</w:t>
      </w:r>
      <w:r w:rsidRPr="004E7E3E">
        <w:rPr>
          <w:rFonts w:ascii="Times New Roman" w:hAnsi="Times New Roman" w:cs="Times New Roman"/>
          <w:sz w:val="24"/>
          <w:szCs w:val="24"/>
          <w:lang w:eastAsia="zh-CN"/>
        </w:rPr>
        <w:t>Globalization</w:t>
      </w:r>
      <w:r w:rsidRPr="004E7E3E">
        <w:rPr>
          <w:rFonts w:ascii="Times New Roman" w:hAnsi="Times New Roman" w:cs="Times New Roman"/>
          <w:sz w:val="24"/>
          <w:szCs w:val="24"/>
          <w:lang w:val="ru-RU" w:eastAsia="zh-CN"/>
        </w:rPr>
        <w:t xml:space="preserve"> </w:t>
      </w:r>
      <w:r w:rsidRPr="004E7E3E">
        <w:rPr>
          <w:rFonts w:ascii="Times New Roman" w:hAnsi="Times New Roman" w:cs="Times New Roman"/>
          <w:sz w:val="24"/>
          <w:szCs w:val="24"/>
          <w:lang w:eastAsia="zh-CN"/>
        </w:rPr>
        <w:t>and</w:t>
      </w:r>
      <w:r w:rsidRPr="004E7E3E">
        <w:rPr>
          <w:rFonts w:ascii="Times New Roman" w:hAnsi="Times New Roman" w:cs="Times New Roman"/>
          <w:sz w:val="24"/>
          <w:szCs w:val="24"/>
          <w:lang w:val="ru-RU" w:eastAsia="zh-CN"/>
        </w:rPr>
        <w:t xml:space="preserve"> </w:t>
      </w:r>
      <w:r w:rsidRPr="004E7E3E">
        <w:rPr>
          <w:rFonts w:ascii="Times New Roman" w:hAnsi="Times New Roman" w:cs="Times New Roman"/>
          <w:sz w:val="24"/>
          <w:szCs w:val="24"/>
          <w:lang w:eastAsia="zh-CN"/>
        </w:rPr>
        <w:t>World</w:t>
      </w:r>
      <w:r w:rsidRPr="004E7E3E">
        <w:rPr>
          <w:rFonts w:ascii="Times New Roman" w:hAnsi="Times New Roman" w:cs="Times New Roman"/>
          <w:sz w:val="24"/>
          <w:szCs w:val="24"/>
          <w:lang w:val="ru-RU" w:eastAsia="zh-CN"/>
        </w:rPr>
        <w:t xml:space="preserve"> </w:t>
      </w:r>
      <w:r w:rsidRPr="004E7E3E">
        <w:rPr>
          <w:rFonts w:ascii="Times New Roman" w:hAnsi="Times New Roman" w:cs="Times New Roman"/>
          <w:sz w:val="24"/>
          <w:szCs w:val="24"/>
          <w:lang w:eastAsia="zh-CN"/>
        </w:rPr>
        <w:t>Cities</w:t>
      </w:r>
      <w:r w:rsidRPr="004E7E3E">
        <w:rPr>
          <w:rFonts w:ascii="Times New Roman" w:hAnsi="Times New Roman" w:cs="Times New Roman"/>
          <w:sz w:val="24"/>
          <w:szCs w:val="24"/>
          <w:lang w:val="ru-RU" w:eastAsia="zh-CN"/>
        </w:rPr>
        <w:t xml:space="preserve">), разделившая города на альфа-, бета- и гамма-уровни </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_Ref60770410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153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w:t>
      </w:r>
    </w:p>
    <w:p w14:paraId="12C04695" w14:textId="68883B61"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После блока представителей концепции мировых городов идёт классификация Дж.</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Фридман</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который использует не</w:t>
      </w:r>
      <w:r>
        <w:rPr>
          <w:rFonts w:ascii="Times New Roman" w:hAnsi="Times New Roman" w:cs="Times New Roman"/>
          <w:color w:val="000000"/>
          <w:sz w:val="24"/>
          <w:szCs w:val="24"/>
          <w:shd w:val="clear" w:color="auto" w:fill="FFFFFF"/>
          <w:lang w:val="ru-RU"/>
        </w:rPr>
        <w:t>о</w:t>
      </w:r>
      <w:r w:rsidRPr="004E7E3E">
        <w:rPr>
          <w:rFonts w:ascii="Times New Roman" w:hAnsi="Times New Roman" w:cs="Times New Roman"/>
          <w:color w:val="000000"/>
          <w:sz w:val="24"/>
          <w:szCs w:val="24"/>
          <w:shd w:val="clear" w:color="auto" w:fill="FFFFFF"/>
          <w:lang w:val="ru-RU"/>
        </w:rPr>
        <w:t>марксистскую терминологию и разделяет «мировую иерархию» из 30 города на центр и полупериферию</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_Ref498526579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122</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44</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_Ref135596054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182</w:t>
      </w:r>
      <w:r>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p>
    <w:p w14:paraId="7560706F"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Концепции по созданию МФЦ в Москве используется простая одномерная система классификации (пункт 12 в таблице): </w:t>
      </w:r>
    </w:p>
    <w:p w14:paraId="0FC635E8" w14:textId="77777777" w:rsidR="00937CBF" w:rsidRPr="004E7E3E" w:rsidRDefault="00937CBF" w:rsidP="00937CBF">
      <w:pPr>
        <w:numPr>
          <w:ilvl w:val="0"/>
          <w:numId w:val="9"/>
        </w:numPr>
        <w:spacing w:before="100" w:beforeAutospacing="1" w:after="100" w:line="360" w:lineRule="auto"/>
        <w:ind w:left="0"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Глобальные МФЦ (Лондон, Нью-Йорк): предоставляют полный спектр финансовых услуг клиентам со всех концов мира. При этом они опираются на развитый внутренний финансовый рынок и сильную экономику.</w:t>
      </w:r>
    </w:p>
    <w:p w14:paraId="420EC831" w14:textId="77777777" w:rsidR="00937CBF" w:rsidRPr="004E7E3E" w:rsidRDefault="00937CBF" w:rsidP="00937CBF">
      <w:pPr>
        <w:numPr>
          <w:ilvl w:val="0"/>
          <w:numId w:val="9"/>
        </w:numPr>
        <w:spacing w:before="100" w:beforeAutospacing="1" w:after="100" w:line="360" w:lineRule="auto"/>
        <w:ind w:left="0"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Региональные МФЦ (Гонконг, Сингапур, Дубай): оказывают широкий спектр международных финансовых услуг, но специализируются, в основном, на операциях внутри определенного региона (Гонконг и Сингапур – Юго-Восточная и Восточная Азия, Дубай – Ближний Восток и Южная Азия).</w:t>
      </w:r>
    </w:p>
    <w:p w14:paraId="4C22E182" w14:textId="77777777" w:rsidR="00937CBF" w:rsidRPr="004E7E3E" w:rsidRDefault="00937CBF" w:rsidP="00937CBF">
      <w:pPr>
        <w:numPr>
          <w:ilvl w:val="0"/>
          <w:numId w:val="9"/>
        </w:numPr>
        <w:spacing w:before="100" w:beforeAutospacing="1" w:after="100" w:line="360" w:lineRule="auto"/>
        <w:ind w:left="0"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Локальные МФЦ (Токио, Франкфурт, Париж): предоставляют ограниченный выбор трансграничных операций и, в основном, ориентированы на обслуживание национального рынка. Они опираются на развитые внутренние финансовые рынки и инфраструктуру, но по уровню развития отстают от глобальных МФЦ.</w:t>
      </w:r>
    </w:p>
    <w:p w14:paraId="71320CAB" w14:textId="34112EB6" w:rsidR="00937CBF" w:rsidRPr="004E7E3E" w:rsidRDefault="00937CBF" w:rsidP="00937CBF">
      <w:pPr>
        <w:numPr>
          <w:ilvl w:val="0"/>
          <w:numId w:val="9"/>
        </w:numPr>
        <w:spacing w:after="0" w:line="360" w:lineRule="auto"/>
        <w:ind w:left="0"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Нишевые (офшорные) МФЦ (Цюрих, Женева, Каймановы острова, Джерси и др.): используются для специальных финансовых операций с нерезидентами, таких как управление частным капиталом (Цюрих, Женева) или налоговая оптимизация (Каймановы острова, Джерси). Многие из них отличаются мягким регулированием и привлекают портфельных менеджеров (например, хедж-фонды), страховые компании, эмитентов еврооблигаций и секьюритизированных продуктов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_Ref446785527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8</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7</w:t>
      </w:r>
      <w:r>
        <w:rPr>
          <w:rFonts w:ascii="Times New Roman" w:hAnsi="Times New Roman" w:cs="Times New Roman"/>
          <w:sz w:val="24"/>
          <w:szCs w:val="24"/>
          <w:lang w:val="ru-RU"/>
        </w:rPr>
        <w:t>–</w:t>
      </w:r>
      <w:r w:rsidRPr="004E7E3E">
        <w:rPr>
          <w:rFonts w:ascii="Times New Roman" w:hAnsi="Times New Roman" w:cs="Times New Roman"/>
          <w:sz w:val="24"/>
          <w:szCs w:val="24"/>
          <w:lang w:val="ru-RU"/>
        </w:rPr>
        <w:t>8]</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w:t>
      </w:r>
    </w:p>
    <w:p w14:paraId="281CF129" w14:textId="4B821B56" w:rsidR="00937CBF" w:rsidRPr="004E7E3E" w:rsidRDefault="00937CBF" w:rsidP="00937CBF">
      <w:pPr>
        <w:pStyle w:val="af3"/>
        <w:spacing w:after="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После приведённой классификации авторы концепции сообщают, что данная классификация условна (как в прочем и все классификации). Судя по тому, что в дальнейшем они сообщают, что Нью-Йорк осуществляет большой объём операций с резидентами своей страны, а Гонконг привлекает множество международных клиентов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_Ref446785527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8</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xml:space="preserve">. 8], условность связана </w:t>
      </w:r>
      <w:r w:rsidRPr="004E7E3E">
        <w:rPr>
          <w:rFonts w:ascii="Times New Roman" w:hAnsi="Times New Roman" w:cs="Times New Roman"/>
          <w:color w:val="000000"/>
          <w:sz w:val="24"/>
          <w:szCs w:val="24"/>
          <w:shd w:val="clear" w:color="auto" w:fill="FFFFFF"/>
          <w:lang w:val="ru-RU"/>
        </w:rPr>
        <w:lastRenderedPageBreak/>
        <w:t>с тем, что положение центров в классификации может меняться со временем в зависимости от их успехов.</w:t>
      </w:r>
    </w:p>
    <w:p w14:paraId="795C813E"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Нам представляется, что данная классификация является вторичной по отношению к классификации </w:t>
      </w:r>
      <w:r w:rsidRPr="004E7E3E">
        <w:rPr>
          <w:rFonts w:ascii="Times New Roman" w:hAnsi="Times New Roman" w:cs="Times New Roman"/>
          <w:sz w:val="24"/>
          <w:szCs w:val="24"/>
        </w:rPr>
        <w:t>Z</w:t>
      </w:r>
      <w:r w:rsidRPr="004E7E3E">
        <w:rPr>
          <w:rFonts w:ascii="Times New Roman" w:hAnsi="Times New Roman" w:cs="Times New Roman"/>
          <w:sz w:val="24"/>
          <w:szCs w:val="24"/>
          <w:lang w:val="ru-RU"/>
        </w:rPr>
        <w:t>/</w:t>
      </w:r>
      <w:r w:rsidRPr="004E7E3E">
        <w:rPr>
          <w:rFonts w:ascii="Times New Roman" w:hAnsi="Times New Roman" w:cs="Times New Roman"/>
          <w:sz w:val="24"/>
          <w:szCs w:val="24"/>
        </w:rPr>
        <w:t>Yen</w:t>
      </w:r>
      <w:r w:rsidRPr="004E7E3E">
        <w:rPr>
          <w:rFonts w:ascii="Times New Roman" w:hAnsi="Times New Roman" w:cs="Times New Roman"/>
          <w:sz w:val="24"/>
          <w:szCs w:val="24"/>
          <w:lang w:val="ru-RU"/>
        </w:rPr>
        <w:t xml:space="preserve"> (пункт 11 в таблице), представленной в третьем выпуске </w:t>
      </w:r>
      <w:r w:rsidRPr="004E7E3E">
        <w:rPr>
          <w:rFonts w:ascii="Times New Roman" w:hAnsi="Times New Roman" w:cs="Times New Roman"/>
          <w:sz w:val="24"/>
          <w:szCs w:val="24"/>
        </w:rPr>
        <w:t>GFCI</w:t>
      </w:r>
      <w:r w:rsidRPr="004E7E3E">
        <w:rPr>
          <w:rFonts w:ascii="Times New Roman" w:hAnsi="Times New Roman" w:cs="Times New Roman"/>
          <w:sz w:val="24"/>
          <w:szCs w:val="24"/>
          <w:lang w:val="ru-RU"/>
        </w:rPr>
        <w:t>, так как названия в ней полностью идентичны</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и классификация британской компании на один уровень более подробна. </w:t>
      </w:r>
    </w:p>
    <w:p w14:paraId="6CD70F12" w14:textId="77777777" w:rsidR="00937CBF"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Прорывным в методологии классификации индекса </w:t>
      </w:r>
      <w:r w:rsidRPr="004E7E3E">
        <w:rPr>
          <w:rFonts w:ascii="Times New Roman" w:hAnsi="Times New Roman" w:cs="Times New Roman"/>
          <w:color w:val="000000"/>
          <w:sz w:val="24"/>
          <w:szCs w:val="24"/>
          <w:shd w:val="clear" w:color="auto" w:fill="FFFFFF"/>
        </w:rPr>
        <w:t>GFCI</w:t>
      </w:r>
      <w:r w:rsidRPr="004E7E3E">
        <w:rPr>
          <w:rFonts w:ascii="Times New Roman" w:hAnsi="Times New Roman" w:cs="Times New Roman"/>
          <w:color w:val="000000"/>
          <w:sz w:val="24"/>
          <w:szCs w:val="24"/>
          <w:shd w:val="clear" w:color="auto" w:fill="FFFFFF"/>
          <w:lang w:val="ru-RU"/>
        </w:rPr>
        <w:t xml:space="preserve"> стал 7-й выпуск, где впервые была приведена классификация матричного типа в виде таблицы. В новой классификации представлены три измерения: 1) вовлечённость в международные связи/известность (</w:t>
      </w:r>
      <w:r w:rsidRPr="004E7E3E">
        <w:rPr>
          <w:rFonts w:ascii="Times New Roman" w:hAnsi="Times New Roman" w:cs="Times New Roman"/>
          <w:color w:val="000000"/>
          <w:sz w:val="24"/>
          <w:szCs w:val="24"/>
          <w:shd w:val="clear" w:color="auto" w:fill="FFFFFF"/>
        </w:rPr>
        <w:t>Connectivity</w:t>
      </w:r>
      <w:r w:rsidRPr="004E7E3E">
        <w:rPr>
          <w:rFonts w:ascii="Times New Roman" w:hAnsi="Times New Roman" w:cs="Times New Roman"/>
          <w:color w:val="000000"/>
          <w:sz w:val="24"/>
          <w:szCs w:val="24"/>
          <w:shd w:val="clear" w:color="auto" w:fill="FFFFFF"/>
          <w:lang w:val="ru-RU"/>
        </w:rPr>
        <w:t>), 2) профессиональный уровень (</w:t>
      </w:r>
      <w:r w:rsidRPr="004E7E3E">
        <w:rPr>
          <w:rFonts w:ascii="Times New Roman" w:hAnsi="Times New Roman" w:cs="Times New Roman"/>
          <w:color w:val="000000"/>
          <w:sz w:val="24"/>
          <w:szCs w:val="24"/>
          <w:shd w:val="clear" w:color="auto" w:fill="FFFFFF"/>
        </w:rPr>
        <w:t>Speciality</w:t>
      </w:r>
      <w:r w:rsidRPr="004E7E3E">
        <w:rPr>
          <w:rFonts w:ascii="Times New Roman" w:hAnsi="Times New Roman" w:cs="Times New Roman"/>
          <w:color w:val="000000"/>
          <w:sz w:val="24"/>
          <w:szCs w:val="24"/>
          <w:shd w:val="clear" w:color="auto" w:fill="FFFFFF"/>
          <w:lang w:val="ru-RU"/>
        </w:rPr>
        <w:t>), 3) диверсификация деятельности (</w:t>
      </w:r>
      <w:r w:rsidRPr="004E7E3E">
        <w:rPr>
          <w:rFonts w:ascii="Times New Roman" w:hAnsi="Times New Roman" w:cs="Times New Roman"/>
          <w:color w:val="000000"/>
          <w:sz w:val="24"/>
          <w:szCs w:val="24"/>
          <w:shd w:val="clear" w:color="auto" w:fill="FFFFFF"/>
        </w:rPr>
        <w:t>Diversity</w:t>
      </w:r>
      <w:r w:rsidRPr="004E7E3E">
        <w:rPr>
          <w:rFonts w:ascii="Times New Roman" w:hAnsi="Times New Roman" w:cs="Times New Roman"/>
          <w:color w:val="000000"/>
          <w:sz w:val="24"/>
          <w:szCs w:val="24"/>
          <w:shd w:val="clear" w:color="auto" w:fill="FFFFFF"/>
          <w:lang w:val="ru-RU"/>
        </w:rPr>
        <w:t xml:space="preserve">). По вовлечённости центры делятся на: 1) Глобальные (75% и более респондентов рейтинга могут дать оценку), 2) Транснациональные (более 50% респондентов могут дать оценку), 3) Локальные. По профессиональному уровню и диверсификации идёт следующее деление: 1) широкая диверсификация и глубокая специализация – «лидеры», 2) относительно диверсифицированные – «диверсифицированные», 3) относительно глубокая специализация – «специалисты», 4) с высокой вовлечённостью в международные связи – «претенденты». Таким образом, все центры распределяются в таблице по 12 ячейкам: </w:t>
      </w:r>
    </w:p>
    <w:p w14:paraId="116A26F2" w14:textId="77777777" w:rsidR="00937CBF"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1) Глобальные игроки: </w:t>
      </w:r>
    </w:p>
    <w:p w14:paraId="3064B9B4" w14:textId="77777777" w:rsidR="00937CBF"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А. Глобальные лидеры – Нью-Йорк, Лондон, Гонконг</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p>
    <w:p w14:paraId="2334F32D" w14:textId="77777777" w:rsidR="00937CBF"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Б. Глобальные диверсифицированные центры – Брюссель, Милан, Москва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p>
    <w:p w14:paraId="4161D572" w14:textId="77777777" w:rsidR="00937CBF"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В. Глобальные специалисты – Женева, Люксембург, Дубай</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p>
    <w:p w14:paraId="614656EC" w14:textId="77777777" w:rsidR="00937CBF"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Г. Глобальные претенденты – в 17-м выпуске эта ячейка пуста, но раньше туда часто попадали Москва и Пекин</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p>
    <w:p w14:paraId="628173C6" w14:textId="77777777" w:rsidR="00937CBF"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2) Транснациональные игроки: </w:t>
      </w:r>
    </w:p>
    <w:p w14:paraId="1B435D2E" w14:textId="77777777" w:rsidR="00937CBF"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А. Признанные транснациональные – Чикаго, Сидней, Вена; </w:t>
      </w:r>
    </w:p>
    <w:p w14:paraId="025A76EC" w14:textId="77777777" w:rsidR="00937CBF"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Б. Транснациональные диверсифицированные – Стамбул, Куала-Лумпур, Рим; </w:t>
      </w:r>
    </w:p>
    <w:p w14:paraId="6390DA9A" w14:textId="77777777" w:rsidR="00937CBF"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Транснациональные специалисты – Каймановы острова, Шэньчжэнь, Гибралтар, Алма-Аты, Джерси; </w:t>
      </w:r>
    </w:p>
    <w:p w14:paraId="471F3FDB" w14:textId="77777777" w:rsidR="00937CBF"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Г. Транснациональнальные претенденты – Копенгаген, Эдинбург, Джакарта; </w:t>
      </w:r>
    </w:p>
    <w:p w14:paraId="14E19359" w14:textId="77777777" w:rsidR="00937CBF"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3) Локальные игроки: </w:t>
      </w:r>
    </w:p>
    <w:p w14:paraId="2CDE6831" w14:textId="77777777" w:rsidR="00937CBF"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А. Признанные транснациональные: Сан-Паоло, Пусан, Йоханнесбург; </w:t>
      </w:r>
    </w:p>
    <w:p w14:paraId="6B4FF5BE" w14:textId="77777777" w:rsidR="00937CBF"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Б. Локальные диверсифицированные: Мехико, Лиссабон, Варшава; </w:t>
      </w:r>
    </w:p>
    <w:p w14:paraId="759360F9" w14:textId="77777777" w:rsidR="00937CBF"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Локальные специалисты: Британские Виргинские острова, Калгари, Бахрейн, Тайбэй; </w:t>
      </w:r>
    </w:p>
    <w:p w14:paraId="31FC207A" w14:textId="42EC8386" w:rsidR="00937CBF" w:rsidRPr="004E7E3E" w:rsidRDefault="00937CBF" w:rsidP="00937CBF">
      <w:pPr>
        <w:pStyle w:val="af3"/>
        <w:spacing w:before="100" w:beforeAutospacing="1" w:after="100" w:line="360" w:lineRule="auto"/>
        <w:ind w:left="0" w:firstLine="1701"/>
        <w:jc w:val="both"/>
        <w:rPr>
          <w:rFonts w:ascii="Times New Roman" w:hAnsi="Times New Roman" w:cs="Times New Roman"/>
          <w:color w:val="000000"/>
          <w:sz w:val="24"/>
          <w:szCs w:val="24"/>
          <w:highlight w:val="yellow"/>
          <w:shd w:val="clear" w:color="auto" w:fill="FFFFFF"/>
          <w:lang w:val="ru-RU"/>
        </w:rPr>
      </w:pPr>
      <w:r w:rsidRPr="004E7E3E">
        <w:rPr>
          <w:rFonts w:ascii="Times New Roman" w:hAnsi="Times New Roman" w:cs="Times New Roman"/>
          <w:color w:val="000000"/>
          <w:sz w:val="24"/>
          <w:szCs w:val="24"/>
          <w:shd w:val="clear" w:color="auto" w:fill="FFFFFF"/>
          <w:lang w:val="ru-RU"/>
        </w:rPr>
        <w:lastRenderedPageBreak/>
        <w:t>Г. Эволюционирующие центры (самая большая группа) – Мумбаи, Таллинн, Санкт-Петербург, Кипр, Веллингтон, Манила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12]</w:t>
      </w:r>
      <w:r>
        <w:rPr>
          <w:rFonts w:ascii="Times New Roman" w:hAnsi="Times New Roman" w:cs="Times New Roman"/>
          <w:color w:val="000000"/>
          <w:sz w:val="24"/>
          <w:szCs w:val="24"/>
          <w:shd w:val="clear" w:color="auto" w:fill="FFFFFF"/>
          <w:lang w:val="ru-RU"/>
        </w:rPr>
        <w:t>.</w:t>
      </w:r>
    </w:p>
    <w:p w14:paraId="3076B114"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Pr>
          <w:rFonts w:ascii="Times New Roman" w:hAnsi="Times New Roman" w:cs="Times New Roman"/>
          <w:bCs/>
          <w:iCs/>
          <w:sz w:val="24"/>
          <w:szCs w:val="24"/>
          <w:lang w:val="ru-RU"/>
        </w:rPr>
        <w:t>Далее следуют два подхода для классификации МФЦ, которое основаны на признаках</w:t>
      </w:r>
      <w:r w:rsidRPr="004E7E3E">
        <w:rPr>
          <w:rFonts w:ascii="Times New Roman" w:hAnsi="Times New Roman" w:cs="Times New Roman"/>
          <w:bCs/>
          <w:iCs/>
          <w:sz w:val="24"/>
          <w:szCs w:val="24"/>
          <w:lang w:val="ru-RU"/>
        </w:rPr>
        <w:t xml:space="preserve"> не</w:t>
      </w:r>
      <w:r>
        <w:rPr>
          <w:rFonts w:ascii="Times New Roman" w:hAnsi="Times New Roman" w:cs="Times New Roman"/>
          <w:bCs/>
          <w:iCs/>
          <w:sz w:val="24"/>
          <w:szCs w:val="24"/>
          <w:lang w:val="ru-RU"/>
        </w:rPr>
        <w:t> </w:t>
      </w:r>
      <w:r w:rsidRPr="004E7E3E">
        <w:rPr>
          <w:rFonts w:ascii="Times New Roman" w:hAnsi="Times New Roman" w:cs="Times New Roman"/>
          <w:bCs/>
          <w:iCs/>
          <w:sz w:val="24"/>
          <w:szCs w:val="24"/>
          <w:lang w:val="ru-RU"/>
        </w:rPr>
        <w:t>центр</w:t>
      </w:r>
      <w:r>
        <w:rPr>
          <w:rFonts w:ascii="Times New Roman" w:hAnsi="Times New Roman" w:cs="Times New Roman"/>
          <w:bCs/>
          <w:iCs/>
          <w:sz w:val="24"/>
          <w:szCs w:val="24"/>
          <w:lang w:val="ru-RU"/>
        </w:rPr>
        <w:t>а</w:t>
      </w:r>
      <w:r w:rsidRPr="004E7E3E">
        <w:rPr>
          <w:rFonts w:ascii="Times New Roman" w:hAnsi="Times New Roman" w:cs="Times New Roman"/>
          <w:bCs/>
          <w:iCs/>
          <w:sz w:val="24"/>
          <w:szCs w:val="24"/>
          <w:lang w:val="ru-RU"/>
        </w:rPr>
        <w:t>, а рынк</w:t>
      </w:r>
      <w:r>
        <w:rPr>
          <w:rFonts w:ascii="Times New Roman" w:hAnsi="Times New Roman" w:cs="Times New Roman"/>
          <w:bCs/>
          <w:iCs/>
          <w:sz w:val="24"/>
          <w:szCs w:val="24"/>
          <w:lang w:val="ru-RU"/>
        </w:rPr>
        <w:t>а</w:t>
      </w:r>
      <w:r w:rsidRPr="004E7E3E">
        <w:rPr>
          <w:rFonts w:ascii="Times New Roman" w:hAnsi="Times New Roman" w:cs="Times New Roman"/>
          <w:bCs/>
          <w:iCs/>
          <w:sz w:val="24"/>
          <w:szCs w:val="24"/>
          <w:lang w:val="ru-RU"/>
        </w:rPr>
        <w:t xml:space="preserve">, который финансовый центр </w:t>
      </w:r>
      <w:r>
        <w:rPr>
          <w:rFonts w:ascii="Times New Roman" w:hAnsi="Times New Roman" w:cs="Times New Roman"/>
          <w:bCs/>
          <w:iCs/>
          <w:sz w:val="24"/>
          <w:szCs w:val="24"/>
          <w:lang w:val="ru-RU"/>
        </w:rPr>
        <w:t>обслуживает</w:t>
      </w:r>
      <w:r w:rsidRPr="004E7E3E">
        <w:rPr>
          <w:rFonts w:ascii="Times New Roman" w:hAnsi="Times New Roman" w:cs="Times New Roman"/>
          <w:bCs/>
          <w:iCs/>
          <w:sz w:val="24"/>
          <w:szCs w:val="24"/>
          <w:lang w:val="ru-RU"/>
        </w:rPr>
        <w:t>. Отчасти они схожи, так как формальный уровень правовой системы во многом определяет неформальную составляющую финансовой системы</w:t>
      </w:r>
      <w:r>
        <w:rPr>
          <w:rFonts w:ascii="Times New Roman" w:hAnsi="Times New Roman" w:cs="Times New Roman"/>
          <w:bCs/>
          <w:iCs/>
          <w:sz w:val="24"/>
          <w:szCs w:val="24"/>
          <w:lang w:val="ru-RU"/>
        </w:rPr>
        <w:t>. О</w:t>
      </w:r>
      <w:r w:rsidRPr="004E7E3E">
        <w:rPr>
          <w:rFonts w:ascii="Times New Roman" w:hAnsi="Times New Roman" w:cs="Times New Roman"/>
          <w:bCs/>
          <w:iCs/>
          <w:sz w:val="24"/>
          <w:szCs w:val="24"/>
          <w:lang w:val="ru-RU"/>
        </w:rPr>
        <w:t xml:space="preserve">днако мы решили следовать в русле авторов классификаций и разделить эти два подхода. </w:t>
      </w:r>
    </w:p>
    <w:p w14:paraId="54740E0D" w14:textId="0EDD0914"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iCs/>
          <w:sz w:val="24"/>
          <w:szCs w:val="24"/>
          <w:lang w:val="ru-RU"/>
        </w:rPr>
      </w:pPr>
      <w:r w:rsidRPr="004E7E3E">
        <w:rPr>
          <w:rFonts w:ascii="Times New Roman" w:hAnsi="Times New Roman" w:cs="Times New Roman"/>
          <w:bCs/>
          <w:iCs/>
          <w:sz w:val="24"/>
          <w:szCs w:val="24"/>
          <w:lang w:val="ru-RU"/>
        </w:rPr>
        <w:t>По модели финансового рынка (пункт 14) выделяют: 1) МФЦ, тяготеющие к англосаксонской модели (</w:t>
      </w:r>
      <w:r w:rsidRPr="004E7E3E">
        <w:rPr>
          <w:rFonts w:ascii="Times New Roman" w:hAnsi="Times New Roman" w:cs="Times New Roman"/>
          <w:bCs/>
          <w:iCs/>
          <w:sz w:val="24"/>
          <w:szCs w:val="24"/>
        </w:rPr>
        <w:t>Anglo</w:t>
      </w:r>
      <w:r w:rsidRPr="004E7E3E">
        <w:rPr>
          <w:rFonts w:ascii="Times New Roman" w:hAnsi="Times New Roman" w:cs="Times New Roman"/>
          <w:bCs/>
          <w:iCs/>
          <w:sz w:val="24"/>
          <w:szCs w:val="24"/>
          <w:lang w:val="ru-RU"/>
        </w:rPr>
        <w:t>-</w:t>
      </w:r>
      <w:r w:rsidRPr="004E7E3E">
        <w:rPr>
          <w:rFonts w:ascii="Times New Roman" w:hAnsi="Times New Roman" w:cs="Times New Roman"/>
          <w:bCs/>
          <w:iCs/>
          <w:sz w:val="24"/>
          <w:szCs w:val="24"/>
        </w:rPr>
        <w:t>Saxon</w:t>
      </w:r>
      <w:r w:rsidRPr="004E7E3E">
        <w:rPr>
          <w:rFonts w:ascii="Times New Roman" w:hAnsi="Times New Roman" w:cs="Times New Roman"/>
          <w:bCs/>
          <w:iCs/>
          <w:sz w:val="24"/>
          <w:szCs w:val="24"/>
          <w:lang w:val="ru-RU"/>
        </w:rPr>
        <w:t xml:space="preserve"> или </w:t>
      </w:r>
      <w:r w:rsidRPr="004E7E3E">
        <w:rPr>
          <w:rFonts w:ascii="Times New Roman" w:hAnsi="Times New Roman" w:cs="Times New Roman"/>
          <w:bCs/>
          <w:iCs/>
          <w:sz w:val="24"/>
          <w:szCs w:val="24"/>
        </w:rPr>
        <w:t>market</w:t>
      </w:r>
      <w:r w:rsidRPr="004E7E3E">
        <w:rPr>
          <w:rFonts w:ascii="Times New Roman" w:hAnsi="Times New Roman" w:cs="Times New Roman"/>
          <w:bCs/>
          <w:iCs/>
          <w:sz w:val="24"/>
          <w:szCs w:val="24"/>
          <w:lang w:val="ru-RU"/>
        </w:rPr>
        <w:t>-</w:t>
      </w:r>
      <w:r w:rsidRPr="004E7E3E">
        <w:rPr>
          <w:rFonts w:ascii="Times New Roman" w:hAnsi="Times New Roman" w:cs="Times New Roman"/>
          <w:bCs/>
          <w:iCs/>
          <w:sz w:val="24"/>
          <w:szCs w:val="24"/>
        </w:rPr>
        <w:t>based</w:t>
      </w:r>
      <w:r w:rsidRPr="004E7E3E">
        <w:rPr>
          <w:rFonts w:ascii="Times New Roman" w:hAnsi="Times New Roman" w:cs="Times New Roman"/>
          <w:bCs/>
          <w:iCs/>
          <w:sz w:val="24"/>
          <w:szCs w:val="24"/>
          <w:lang w:val="ru-RU"/>
        </w:rPr>
        <w:t xml:space="preserve"> </w:t>
      </w:r>
      <w:r w:rsidRPr="004E7E3E">
        <w:rPr>
          <w:rFonts w:ascii="Times New Roman" w:hAnsi="Times New Roman" w:cs="Times New Roman"/>
          <w:bCs/>
          <w:iCs/>
          <w:sz w:val="24"/>
          <w:szCs w:val="24"/>
        </w:rPr>
        <w:t>financial</w:t>
      </w:r>
      <w:r w:rsidRPr="004E7E3E">
        <w:rPr>
          <w:rFonts w:ascii="Times New Roman" w:hAnsi="Times New Roman" w:cs="Times New Roman"/>
          <w:bCs/>
          <w:iCs/>
          <w:sz w:val="24"/>
          <w:szCs w:val="24"/>
          <w:lang w:val="ru-RU"/>
        </w:rPr>
        <w:t xml:space="preserve"> </w:t>
      </w:r>
      <w:r w:rsidRPr="004E7E3E">
        <w:rPr>
          <w:rFonts w:ascii="Times New Roman" w:hAnsi="Times New Roman" w:cs="Times New Roman"/>
          <w:bCs/>
          <w:iCs/>
          <w:sz w:val="24"/>
          <w:szCs w:val="24"/>
        </w:rPr>
        <w:t>system</w:t>
      </w:r>
      <w:r w:rsidRPr="004E7E3E">
        <w:rPr>
          <w:rFonts w:ascii="Times New Roman" w:hAnsi="Times New Roman" w:cs="Times New Roman"/>
          <w:bCs/>
          <w:iCs/>
          <w:sz w:val="24"/>
          <w:szCs w:val="24"/>
          <w:lang w:val="ru-RU"/>
        </w:rPr>
        <w:t xml:space="preserve">). </w:t>
      </w:r>
      <w:r w:rsidRPr="004E7E3E">
        <w:rPr>
          <w:rFonts w:ascii="Times New Roman" w:hAnsi="Times New Roman" w:cs="Times New Roman"/>
          <w:sz w:val="24"/>
          <w:szCs w:val="24"/>
          <w:lang w:val="ru-RU"/>
        </w:rPr>
        <w:t>К ним относятся Нью</w:t>
      </w:r>
      <w:r w:rsidRPr="004E7E3E">
        <w:rPr>
          <w:rFonts w:ascii="Times New Roman" w:hAnsi="Times New Roman" w:cs="Times New Roman"/>
          <w:sz w:val="24"/>
          <w:szCs w:val="24"/>
          <w:lang w:val="ru-RU"/>
        </w:rPr>
        <w:noBreakHyphen/>
        <w:t xml:space="preserve">Йорк, Чикаго, Лондон, большинство офшорных центров, другие МФЦ; 2) </w:t>
      </w:r>
      <w:r w:rsidRPr="004E7E3E">
        <w:rPr>
          <w:rFonts w:ascii="Times New Roman" w:hAnsi="Times New Roman" w:cs="Times New Roman"/>
          <w:bCs/>
          <w:iCs/>
          <w:sz w:val="24"/>
          <w:szCs w:val="24"/>
          <w:lang w:val="ru-RU"/>
        </w:rPr>
        <w:t>МФЦ, тяготеющие к континентальной модели (</w:t>
      </w:r>
      <w:r w:rsidRPr="004E7E3E">
        <w:rPr>
          <w:rFonts w:ascii="Times New Roman" w:hAnsi="Times New Roman" w:cs="Times New Roman"/>
          <w:bCs/>
          <w:iCs/>
          <w:sz w:val="24"/>
          <w:szCs w:val="24"/>
        </w:rPr>
        <w:t>bank</w:t>
      </w:r>
      <w:r w:rsidRPr="004E7E3E">
        <w:rPr>
          <w:rFonts w:ascii="Times New Roman" w:hAnsi="Times New Roman" w:cs="Times New Roman"/>
          <w:bCs/>
          <w:iCs/>
          <w:sz w:val="24"/>
          <w:szCs w:val="24"/>
          <w:lang w:val="ru-RU"/>
        </w:rPr>
        <w:t xml:space="preserve"> </w:t>
      </w:r>
      <w:r w:rsidRPr="004E7E3E">
        <w:rPr>
          <w:rFonts w:ascii="Times New Roman" w:hAnsi="Times New Roman" w:cs="Times New Roman"/>
          <w:bCs/>
          <w:iCs/>
          <w:sz w:val="24"/>
          <w:szCs w:val="24"/>
        </w:rPr>
        <w:t>based</w:t>
      </w:r>
      <w:r w:rsidRPr="004E7E3E">
        <w:rPr>
          <w:rFonts w:ascii="Times New Roman" w:hAnsi="Times New Roman" w:cs="Times New Roman"/>
          <w:bCs/>
          <w:iCs/>
          <w:sz w:val="24"/>
          <w:szCs w:val="24"/>
          <w:lang w:val="ru-RU"/>
        </w:rPr>
        <w:t xml:space="preserve"> </w:t>
      </w:r>
      <w:r w:rsidRPr="004E7E3E">
        <w:rPr>
          <w:rFonts w:ascii="Times New Roman" w:hAnsi="Times New Roman" w:cs="Times New Roman"/>
          <w:bCs/>
          <w:iCs/>
          <w:sz w:val="24"/>
          <w:szCs w:val="24"/>
        </w:rPr>
        <w:t>financial</w:t>
      </w:r>
      <w:r w:rsidRPr="004E7E3E">
        <w:rPr>
          <w:rFonts w:ascii="Times New Roman" w:hAnsi="Times New Roman" w:cs="Times New Roman"/>
          <w:bCs/>
          <w:iCs/>
          <w:sz w:val="24"/>
          <w:szCs w:val="24"/>
          <w:lang w:val="ru-RU"/>
        </w:rPr>
        <w:t xml:space="preserve"> </w:t>
      </w:r>
      <w:r w:rsidRPr="004E7E3E">
        <w:rPr>
          <w:rFonts w:ascii="Times New Roman" w:hAnsi="Times New Roman" w:cs="Times New Roman"/>
          <w:bCs/>
          <w:iCs/>
          <w:sz w:val="24"/>
          <w:szCs w:val="24"/>
        </w:rPr>
        <w:t>system</w:t>
      </w:r>
      <w:r w:rsidRPr="004E7E3E">
        <w:rPr>
          <w:rFonts w:ascii="Times New Roman" w:hAnsi="Times New Roman" w:cs="Times New Roman"/>
          <w:bCs/>
          <w:iCs/>
          <w:sz w:val="24"/>
          <w:szCs w:val="24"/>
          <w:lang w:val="ru-RU"/>
        </w:rPr>
        <w:t xml:space="preserve">). </w:t>
      </w:r>
      <w:r w:rsidRPr="004E7E3E">
        <w:rPr>
          <w:rFonts w:ascii="Times New Roman" w:hAnsi="Times New Roman" w:cs="Times New Roman"/>
          <w:iCs/>
          <w:sz w:val="24"/>
          <w:szCs w:val="24"/>
          <w:lang w:val="ru-RU"/>
        </w:rPr>
        <w:t>Представители</w:t>
      </w:r>
      <w:r>
        <w:rPr>
          <w:rFonts w:ascii="Times New Roman" w:hAnsi="Times New Roman" w:cs="Times New Roman"/>
          <w:iCs/>
          <w:sz w:val="24"/>
          <w:szCs w:val="24"/>
          <w:lang w:val="ru-RU"/>
        </w:rPr>
        <w:t>:</w:t>
      </w:r>
      <w:r w:rsidRPr="004E7E3E">
        <w:rPr>
          <w:rFonts w:ascii="Times New Roman" w:hAnsi="Times New Roman" w:cs="Times New Roman"/>
          <w:iCs/>
          <w:sz w:val="24"/>
          <w:szCs w:val="24"/>
          <w:lang w:val="ru-RU"/>
        </w:rPr>
        <w:t xml:space="preserve"> Вена и др.; 3) </w:t>
      </w:r>
      <w:r w:rsidRPr="004E7E3E">
        <w:rPr>
          <w:rFonts w:ascii="Times New Roman" w:hAnsi="Times New Roman" w:cs="Times New Roman"/>
          <w:bCs/>
          <w:iCs/>
          <w:sz w:val="24"/>
          <w:szCs w:val="24"/>
          <w:lang w:val="ru-RU"/>
        </w:rPr>
        <w:t>МФЦ на основе смешанной модели, которая образуется в результате конвергенции англосаксонской и континентальной моделей.</w:t>
      </w:r>
      <w:r w:rsidRPr="004E7E3E">
        <w:rPr>
          <w:rFonts w:ascii="Times New Roman" w:hAnsi="Times New Roman" w:cs="Times New Roman"/>
          <w:sz w:val="24"/>
          <w:szCs w:val="24"/>
          <w:lang w:val="ru-RU"/>
        </w:rPr>
        <w:t xml:space="preserve"> Финансовые центры англосаксонской модели чаще всего располагаются в развитых странах. В таких центрах фондовый рынок является основным источником инвестиций в реальный сектор, доля банковских кредитов невелика, уровень концентрации невысок (например, доля 10 крупнейших эмитентов от суммарной капитализации в США составляет около 15%, в Японии – 17%, в Великобритании – 24%), а в роли посредников преобладают небанковские компании по ценным бумагам. Англо-саксонская модель финансирования является ключевой в мире в области управления рисками, финансовых инноваций, венчурного финансирования, ценообразования на товарные и финансовые активы, конкурентной политики (решения вопроса «горячих денег», «мыльных пузырей», спекулятивных атак, финансовой инфляции, бегства капитала). Важнейшую роль в финансовых центрах, тяготеющих к континентальной системе, игра</w:t>
      </w:r>
      <w:r>
        <w:rPr>
          <w:rFonts w:ascii="Times New Roman" w:hAnsi="Times New Roman" w:cs="Times New Roman"/>
          <w:sz w:val="24"/>
          <w:szCs w:val="24"/>
          <w:lang w:val="ru-RU"/>
        </w:rPr>
        <w:t>е</w:t>
      </w:r>
      <w:r w:rsidRPr="004E7E3E">
        <w:rPr>
          <w:rFonts w:ascii="Times New Roman" w:hAnsi="Times New Roman" w:cs="Times New Roman"/>
          <w:sz w:val="24"/>
          <w:szCs w:val="24"/>
          <w:lang w:val="ru-RU"/>
        </w:rPr>
        <w:t>т банковский кредит как источник финансирования. Такая модель преобладает, как правило, в финансовых центрах стран с формирующимся рынк</w:t>
      </w:r>
      <w:r w:rsidR="00E54A81">
        <w:rPr>
          <w:rFonts w:ascii="Times New Roman" w:hAnsi="Times New Roman" w:cs="Times New Roman"/>
          <w:sz w:val="24"/>
          <w:szCs w:val="24"/>
          <w:lang w:val="ru-RU"/>
        </w:rPr>
        <w:t>ом</w:t>
      </w:r>
      <w:r w:rsidRPr="004E7E3E">
        <w:rPr>
          <w:rFonts w:ascii="Times New Roman" w:hAnsi="Times New Roman" w:cs="Times New Roman"/>
          <w:sz w:val="24"/>
          <w:szCs w:val="24"/>
          <w:lang w:val="ru-RU"/>
        </w:rPr>
        <w:t xml:space="preserve">. Для них характерен высокий уровень концентрации активов у нескольких крупнейших финансовых учреждений (на долю 10 крупнейших эмитентов может приходиться от 50% и выше всей капитализации и оборота). В отличие от финансовых центров развитых стран, институциональные инвесторы, особенно пенсионные фонды и страховые компании, играют малозаметную роль на рынке капиталов. К смешанной модели относят европейские и японские МФЦ, где изначально свойственная им континентальная система в конце </w:t>
      </w:r>
      <w:r w:rsidRPr="004E7E3E">
        <w:rPr>
          <w:rFonts w:ascii="Times New Roman" w:hAnsi="Times New Roman" w:cs="Times New Roman"/>
          <w:sz w:val="24"/>
          <w:szCs w:val="24"/>
        </w:rPr>
        <w:t>XX</w:t>
      </w:r>
      <w:r w:rsidRPr="004E7E3E">
        <w:rPr>
          <w:rFonts w:ascii="Times New Roman" w:hAnsi="Times New Roman" w:cs="Times New Roman"/>
          <w:sz w:val="24"/>
          <w:szCs w:val="24"/>
          <w:lang w:val="ru-RU"/>
        </w:rPr>
        <w:t xml:space="preserve"> – начале </w:t>
      </w:r>
      <w:r w:rsidRPr="004E7E3E">
        <w:rPr>
          <w:rFonts w:ascii="Times New Roman" w:hAnsi="Times New Roman" w:cs="Times New Roman"/>
          <w:sz w:val="24"/>
          <w:szCs w:val="24"/>
        </w:rPr>
        <w:t>XXI</w:t>
      </w:r>
      <w:r w:rsidRPr="004E7E3E">
        <w:rPr>
          <w:rFonts w:ascii="Times New Roman" w:hAnsi="Times New Roman" w:cs="Times New Roman"/>
          <w:sz w:val="24"/>
          <w:szCs w:val="24"/>
          <w:lang w:val="ru-RU"/>
        </w:rPr>
        <w:t xml:space="preserve"> век</w:t>
      </w:r>
      <w:r>
        <w:rPr>
          <w:rFonts w:ascii="Times New Roman" w:hAnsi="Times New Roman" w:cs="Times New Roman"/>
          <w:sz w:val="24"/>
          <w:szCs w:val="24"/>
          <w:lang w:val="ru-RU"/>
        </w:rPr>
        <w:t>а</w:t>
      </w:r>
      <w:r w:rsidRPr="004E7E3E">
        <w:rPr>
          <w:rFonts w:ascii="Times New Roman" w:hAnsi="Times New Roman" w:cs="Times New Roman"/>
          <w:sz w:val="24"/>
          <w:szCs w:val="24"/>
          <w:lang w:val="ru-RU"/>
        </w:rPr>
        <w:t xml:space="preserve"> начала приобретать черты англосаксонской. </w:t>
      </w:r>
      <w:r w:rsidRPr="004E7E3E">
        <w:rPr>
          <w:rFonts w:ascii="Times New Roman" w:hAnsi="Times New Roman" w:cs="Times New Roman"/>
          <w:iCs/>
          <w:sz w:val="24"/>
          <w:szCs w:val="24"/>
          <w:lang w:val="ru-RU"/>
        </w:rPr>
        <w:t xml:space="preserve">Примеры – Франкфурт, Токио и др. </w:t>
      </w:r>
      <w:r w:rsidRPr="004E7E3E">
        <w:rPr>
          <w:rFonts w:ascii="Times New Roman" w:hAnsi="Times New Roman" w:cs="Times New Roman"/>
          <w:sz w:val="24"/>
          <w:szCs w:val="24"/>
          <w:lang w:val="ru-RU"/>
        </w:rPr>
        <w:t>[</w:t>
      </w:r>
      <w:r w:rsidRPr="004E7E3E">
        <w:rPr>
          <w:rFonts w:ascii="Times New Roman" w:hAnsi="Times New Roman" w:cs="Times New Roman"/>
          <w:sz w:val="24"/>
          <w:szCs w:val="24"/>
        </w:rPr>
        <w:fldChar w:fldCharType="begin"/>
      </w:r>
      <w:r w:rsidRPr="004E7E3E">
        <w:rPr>
          <w:rFonts w:ascii="Times New Roman" w:hAnsi="Times New Roman" w:cs="Times New Roman"/>
          <w:sz w:val="24"/>
          <w:szCs w:val="24"/>
          <w:lang w:val="ru-RU"/>
        </w:rPr>
        <w:instrText xml:space="preserve"> REF _Ref498686162 \r \h  \* </w:instrText>
      </w:r>
      <w:r w:rsidRPr="004E7E3E">
        <w:rPr>
          <w:rFonts w:ascii="Times New Roman" w:hAnsi="Times New Roman" w:cs="Times New Roman"/>
          <w:sz w:val="24"/>
          <w:szCs w:val="24"/>
        </w:rPr>
        <w:instrText>MERGEFORMAT</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r>
      <w:r w:rsidRPr="004E7E3E">
        <w:rPr>
          <w:rFonts w:ascii="Times New Roman" w:hAnsi="Times New Roman" w:cs="Times New Roman"/>
          <w:sz w:val="24"/>
          <w:szCs w:val="24"/>
        </w:rPr>
        <w:fldChar w:fldCharType="separate"/>
      </w:r>
      <w:r w:rsidR="00801D78">
        <w:rPr>
          <w:rFonts w:ascii="Times New Roman" w:hAnsi="Times New Roman" w:cs="Times New Roman"/>
          <w:sz w:val="24"/>
          <w:szCs w:val="24"/>
          <w:lang w:val="ru-RU"/>
        </w:rPr>
        <w:t>137</w:t>
      </w:r>
      <w:r w:rsidRPr="004E7E3E">
        <w:rPr>
          <w:rFonts w:ascii="Times New Roman" w:hAnsi="Times New Roman" w:cs="Times New Roman"/>
          <w:sz w:val="24"/>
          <w:szCs w:val="24"/>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19]</w:t>
      </w:r>
      <w:r>
        <w:rPr>
          <w:rFonts w:ascii="Times New Roman" w:hAnsi="Times New Roman" w:cs="Times New Roman"/>
          <w:sz w:val="24"/>
          <w:szCs w:val="24"/>
          <w:lang w:val="ru-RU"/>
        </w:rPr>
        <w:t>.</w:t>
      </w:r>
      <w:r w:rsidRPr="004E7E3E">
        <w:rPr>
          <w:rFonts w:ascii="Times New Roman" w:hAnsi="Times New Roman" w:cs="Times New Roman"/>
          <w:iCs/>
          <w:sz w:val="24"/>
          <w:szCs w:val="24"/>
          <w:lang w:val="ru-RU"/>
        </w:rPr>
        <w:t xml:space="preserve"> </w:t>
      </w:r>
      <w:r w:rsidRPr="004E7E3E">
        <w:rPr>
          <w:rFonts w:ascii="Times New Roman" w:hAnsi="Times New Roman" w:cs="Times New Roman"/>
          <w:sz w:val="24"/>
          <w:szCs w:val="24"/>
          <w:lang w:val="ru-RU"/>
        </w:rPr>
        <w:t>По прогнозам Я. М. Миркина, в будущем «продолжится конвергенция моделей финансирования экономики» [</w:t>
      </w:r>
      <w:r w:rsidRPr="004E7E3E">
        <w:rPr>
          <w:rFonts w:ascii="Times New Roman" w:hAnsi="Times New Roman" w:cs="Times New Roman"/>
          <w:sz w:val="24"/>
          <w:szCs w:val="24"/>
        </w:rPr>
        <w:fldChar w:fldCharType="begin"/>
      </w:r>
      <w:r w:rsidRPr="004E7E3E">
        <w:rPr>
          <w:rFonts w:ascii="Times New Roman" w:hAnsi="Times New Roman" w:cs="Times New Roman"/>
          <w:sz w:val="24"/>
          <w:szCs w:val="24"/>
          <w:lang w:val="ru-RU"/>
        </w:rPr>
        <w:instrText xml:space="preserve"> REF _Ref498686162 \r \h  \* </w:instrText>
      </w:r>
      <w:r w:rsidRPr="004E7E3E">
        <w:rPr>
          <w:rFonts w:ascii="Times New Roman" w:hAnsi="Times New Roman" w:cs="Times New Roman"/>
          <w:sz w:val="24"/>
          <w:szCs w:val="24"/>
        </w:rPr>
        <w:instrText>MERGEFORMAT</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r>
      <w:r w:rsidRPr="004E7E3E">
        <w:rPr>
          <w:rFonts w:ascii="Times New Roman" w:hAnsi="Times New Roman" w:cs="Times New Roman"/>
          <w:sz w:val="24"/>
          <w:szCs w:val="24"/>
        </w:rPr>
        <w:fldChar w:fldCharType="separate"/>
      </w:r>
      <w:r w:rsidR="00801D78">
        <w:rPr>
          <w:rFonts w:ascii="Times New Roman" w:hAnsi="Times New Roman" w:cs="Times New Roman"/>
          <w:sz w:val="24"/>
          <w:szCs w:val="24"/>
          <w:lang w:val="ru-RU"/>
        </w:rPr>
        <w:t>137</w:t>
      </w:r>
      <w:r w:rsidRPr="004E7E3E">
        <w:rPr>
          <w:rFonts w:ascii="Times New Roman" w:hAnsi="Times New Roman" w:cs="Times New Roman"/>
          <w:sz w:val="24"/>
          <w:szCs w:val="24"/>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20]</w:t>
      </w:r>
      <w:r>
        <w:rPr>
          <w:rFonts w:ascii="Times New Roman" w:hAnsi="Times New Roman" w:cs="Times New Roman"/>
          <w:sz w:val="24"/>
          <w:szCs w:val="24"/>
          <w:lang w:val="ru-RU"/>
        </w:rPr>
        <w:t>.</w:t>
      </w:r>
    </w:p>
    <w:p w14:paraId="034BF500" w14:textId="57F98EBF"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lastRenderedPageBreak/>
        <w:t xml:space="preserve">На основе признака правовой модели (пункт 15), лежащем в основе финансового рынка выделяют: 1) </w:t>
      </w:r>
      <w:r w:rsidRPr="004E7E3E">
        <w:rPr>
          <w:rFonts w:ascii="Times New Roman" w:hAnsi="Times New Roman" w:cs="Times New Roman"/>
          <w:bCs/>
          <w:iCs/>
          <w:sz w:val="24"/>
          <w:szCs w:val="24"/>
          <w:lang w:val="ru-RU"/>
        </w:rPr>
        <w:t>финансовые центры, функционирующие в рамках англо-саксонской правовой системы</w:t>
      </w:r>
      <w:r>
        <w:rPr>
          <w:rFonts w:ascii="Times New Roman" w:hAnsi="Times New Roman" w:cs="Times New Roman"/>
          <w:bCs/>
          <w:iCs/>
          <w:sz w:val="24"/>
          <w:szCs w:val="24"/>
          <w:lang w:val="ru-RU"/>
        </w:rPr>
        <w:t>, где</w:t>
      </w:r>
      <w:r w:rsidRPr="004E7E3E">
        <w:rPr>
          <w:rFonts w:ascii="Times New Roman" w:hAnsi="Times New Roman" w:cs="Times New Roman"/>
          <w:bCs/>
          <w:iCs/>
          <w:sz w:val="24"/>
          <w:szCs w:val="24"/>
          <w:lang w:val="ru-RU"/>
        </w:rPr>
        <w:t xml:space="preserve"> в основе лежит приоритет прецедента над законодательным актом</w:t>
      </w:r>
      <w:r>
        <w:rPr>
          <w:rFonts w:ascii="Times New Roman" w:hAnsi="Times New Roman" w:cs="Times New Roman"/>
          <w:bCs/>
          <w:iCs/>
          <w:sz w:val="24"/>
          <w:szCs w:val="24"/>
          <w:lang w:val="ru-RU"/>
        </w:rPr>
        <w:t>. П</w:t>
      </w:r>
      <w:r w:rsidRPr="004E7E3E">
        <w:rPr>
          <w:rFonts w:ascii="Times New Roman" w:hAnsi="Times New Roman" w:cs="Times New Roman"/>
          <w:bCs/>
          <w:iCs/>
          <w:sz w:val="24"/>
          <w:szCs w:val="24"/>
          <w:lang w:val="ru-RU"/>
        </w:rPr>
        <w:t xml:space="preserve">редставители: </w:t>
      </w:r>
      <w:r w:rsidRPr="004E7E3E">
        <w:rPr>
          <w:rFonts w:ascii="Times New Roman" w:hAnsi="Times New Roman" w:cs="Times New Roman"/>
          <w:sz w:val="24"/>
          <w:szCs w:val="24"/>
          <w:lang w:val="ru-RU"/>
        </w:rPr>
        <w:t xml:space="preserve">Лондон, Нью-Йорк, Гонконг, Торонто, Дубай, Веллингтон; 2) </w:t>
      </w:r>
      <w:r w:rsidRPr="004E7E3E">
        <w:rPr>
          <w:rFonts w:ascii="Times New Roman" w:hAnsi="Times New Roman" w:cs="Times New Roman"/>
          <w:bCs/>
          <w:iCs/>
          <w:sz w:val="24"/>
          <w:szCs w:val="24"/>
          <w:lang w:val="ru-RU"/>
        </w:rPr>
        <w:t xml:space="preserve">финансовые центры, функционирующие в рамках романо-германской правовой системы, основным источником права </w:t>
      </w:r>
      <w:r>
        <w:rPr>
          <w:rFonts w:ascii="Times New Roman" w:hAnsi="Times New Roman" w:cs="Times New Roman"/>
          <w:bCs/>
          <w:iCs/>
          <w:sz w:val="24"/>
          <w:szCs w:val="24"/>
          <w:lang w:val="ru-RU"/>
        </w:rPr>
        <w:t xml:space="preserve">в которой </w:t>
      </w:r>
      <w:r w:rsidRPr="004E7E3E">
        <w:rPr>
          <w:rFonts w:ascii="Times New Roman" w:hAnsi="Times New Roman" w:cs="Times New Roman"/>
          <w:bCs/>
          <w:iCs/>
          <w:sz w:val="24"/>
          <w:szCs w:val="24"/>
          <w:lang w:val="ru-RU"/>
        </w:rPr>
        <w:t>является законодательный акт</w:t>
      </w:r>
      <w:r>
        <w:rPr>
          <w:rFonts w:ascii="Times New Roman" w:hAnsi="Times New Roman" w:cs="Times New Roman"/>
          <w:bCs/>
          <w:iCs/>
          <w:sz w:val="24"/>
          <w:szCs w:val="24"/>
          <w:lang w:val="ru-RU"/>
        </w:rPr>
        <w:t>. П</w:t>
      </w:r>
      <w:r w:rsidRPr="004E7E3E">
        <w:rPr>
          <w:rFonts w:ascii="Times New Roman" w:hAnsi="Times New Roman" w:cs="Times New Roman"/>
          <w:bCs/>
          <w:iCs/>
          <w:sz w:val="24"/>
          <w:szCs w:val="24"/>
          <w:lang w:val="ru-RU"/>
        </w:rPr>
        <w:t xml:space="preserve">редставители: </w:t>
      </w:r>
      <w:r w:rsidRPr="004E7E3E">
        <w:rPr>
          <w:rFonts w:ascii="Times New Roman" w:hAnsi="Times New Roman" w:cs="Times New Roman"/>
          <w:sz w:val="24"/>
          <w:szCs w:val="24"/>
          <w:lang w:val="ru-RU"/>
        </w:rPr>
        <w:t xml:space="preserve">Токио, Цюрих, Монреаль, Париж, Йоханнесбург; 3) </w:t>
      </w:r>
      <w:r w:rsidRPr="004E7E3E">
        <w:rPr>
          <w:rFonts w:ascii="Times New Roman" w:hAnsi="Times New Roman" w:cs="Times New Roman"/>
          <w:bCs/>
          <w:iCs/>
          <w:sz w:val="24"/>
          <w:szCs w:val="24"/>
          <w:lang w:val="ru-RU"/>
        </w:rPr>
        <w:t>финансовые центры, функционирующие в рамках прочих правовых систем, в том числе смешанных</w:t>
      </w:r>
      <w:r>
        <w:rPr>
          <w:rFonts w:ascii="Times New Roman" w:hAnsi="Times New Roman" w:cs="Times New Roman"/>
          <w:bCs/>
          <w:iCs/>
          <w:sz w:val="24"/>
          <w:szCs w:val="24"/>
          <w:lang w:val="ru-RU"/>
        </w:rPr>
        <w:t>. П</w:t>
      </w:r>
      <w:r w:rsidRPr="004E7E3E">
        <w:rPr>
          <w:rFonts w:ascii="Times New Roman" w:hAnsi="Times New Roman" w:cs="Times New Roman"/>
          <w:sz w:val="24"/>
          <w:szCs w:val="24"/>
          <w:lang w:val="ru-RU"/>
        </w:rPr>
        <w:t>редставители: Мальта, Бангкок, Бахрейн [</w:t>
      </w:r>
      <w:r w:rsidRPr="004E7E3E">
        <w:rPr>
          <w:rFonts w:ascii="Times New Roman" w:hAnsi="Times New Roman" w:cs="Times New Roman"/>
          <w:sz w:val="24"/>
          <w:szCs w:val="24"/>
        </w:rPr>
        <w:fldChar w:fldCharType="begin"/>
      </w:r>
      <w:r w:rsidRPr="004E7E3E">
        <w:rPr>
          <w:rFonts w:ascii="Times New Roman" w:hAnsi="Times New Roman" w:cs="Times New Roman"/>
          <w:sz w:val="24"/>
          <w:szCs w:val="24"/>
          <w:lang w:val="ru-RU"/>
        </w:rPr>
        <w:instrText xml:space="preserve"> REF _Ref498686162 \r \h  \* </w:instrText>
      </w:r>
      <w:r w:rsidRPr="004E7E3E">
        <w:rPr>
          <w:rFonts w:ascii="Times New Roman" w:hAnsi="Times New Roman" w:cs="Times New Roman"/>
          <w:sz w:val="24"/>
          <w:szCs w:val="24"/>
        </w:rPr>
        <w:instrText>MERGEFORMAT</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r>
      <w:r w:rsidRPr="004E7E3E">
        <w:rPr>
          <w:rFonts w:ascii="Times New Roman" w:hAnsi="Times New Roman" w:cs="Times New Roman"/>
          <w:sz w:val="24"/>
          <w:szCs w:val="24"/>
        </w:rPr>
        <w:fldChar w:fldCharType="separate"/>
      </w:r>
      <w:r w:rsidR="00801D78">
        <w:rPr>
          <w:rFonts w:ascii="Times New Roman" w:hAnsi="Times New Roman" w:cs="Times New Roman"/>
          <w:sz w:val="24"/>
          <w:szCs w:val="24"/>
          <w:lang w:val="ru-RU"/>
        </w:rPr>
        <w:t>137</w:t>
      </w:r>
      <w:r w:rsidRPr="004E7E3E">
        <w:rPr>
          <w:rFonts w:ascii="Times New Roman" w:hAnsi="Times New Roman" w:cs="Times New Roman"/>
          <w:sz w:val="24"/>
          <w:szCs w:val="24"/>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21]</w:t>
      </w:r>
      <w:r>
        <w:rPr>
          <w:rFonts w:ascii="Times New Roman" w:hAnsi="Times New Roman" w:cs="Times New Roman"/>
          <w:sz w:val="24"/>
          <w:szCs w:val="24"/>
          <w:lang w:val="ru-RU"/>
        </w:rPr>
        <w:t>.</w:t>
      </w:r>
    </w:p>
    <w:p w14:paraId="1402A02C" w14:textId="07635391"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Представитель петербургской школы И. К. Колесников в своём исследовании «Международные финансовые центры» предлагает исторический подход к классификации МФЦ. Исторический подход в изучении МФЦ является довольно популярным направлением среди иностранных исследователей. В качестве примера можно привести работы </w:t>
      </w:r>
      <w:r w:rsidRPr="004E7E3E">
        <w:rPr>
          <w:rFonts w:ascii="Times New Roman" w:hAnsi="Times New Roman" w:cs="Times New Roman"/>
          <w:color w:val="000000"/>
          <w:sz w:val="24"/>
          <w:szCs w:val="24"/>
          <w:shd w:val="clear" w:color="auto" w:fill="FFFFFF"/>
          <w:lang w:val="ru-RU"/>
        </w:rPr>
        <w:t>К. Киндлебергера</w:t>
      </w:r>
      <w:r>
        <w:rPr>
          <w:rFonts w:ascii="Times New Roman" w:hAnsi="Times New Roman" w:cs="Times New Roman"/>
          <w:color w:val="000000"/>
          <w:sz w:val="24"/>
          <w:szCs w:val="24"/>
          <w:shd w:val="clear" w:color="auto" w:fill="FFFFFF"/>
          <w:lang w:val="ru-RU"/>
        </w:rPr>
        <w:t xml:space="preserve"> </w:t>
      </w:r>
      <w:r w:rsidRPr="00D33683">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_Ref135595941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198</w:t>
      </w:r>
      <w:r>
        <w:rPr>
          <w:rFonts w:ascii="Times New Roman" w:hAnsi="Times New Roman" w:cs="Times New Roman"/>
          <w:color w:val="000000"/>
          <w:sz w:val="24"/>
          <w:szCs w:val="24"/>
          <w:shd w:val="clear" w:color="auto" w:fill="FFFFFF"/>
          <w:lang w:val="ru-RU"/>
        </w:rPr>
        <w:fldChar w:fldCharType="end"/>
      </w:r>
      <w:r w:rsidRPr="00D33683">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Ю. Кассиса</w:t>
      </w:r>
      <w:r w:rsidRPr="00D33683">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_Ref135595963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162</w:t>
      </w:r>
      <w:r>
        <w:rPr>
          <w:rFonts w:ascii="Times New Roman" w:hAnsi="Times New Roman" w:cs="Times New Roman"/>
          <w:color w:val="000000"/>
          <w:sz w:val="24"/>
          <w:szCs w:val="24"/>
          <w:shd w:val="clear" w:color="auto" w:fill="FFFFFF"/>
          <w:lang w:val="ru-RU"/>
        </w:rPr>
        <w:fldChar w:fldCharType="end"/>
      </w:r>
      <w:r>
        <w:rPr>
          <w:rFonts w:ascii="Times New Roman" w:hAnsi="Times New Roman" w:cs="Times New Roman"/>
          <w:color w:val="000000"/>
          <w:sz w:val="24"/>
          <w:szCs w:val="24"/>
          <w:shd w:val="clear" w:color="auto" w:fill="FFFFFF"/>
          <w:lang w:val="ru-RU"/>
        </w:rPr>
        <w:t>;</w:t>
      </w:r>
      <w:r w:rsidRPr="00E425B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_Ref135595974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163</w:t>
      </w:r>
      <w:r>
        <w:rPr>
          <w:rFonts w:ascii="Times New Roman" w:hAnsi="Times New Roman" w:cs="Times New Roman"/>
          <w:color w:val="000000"/>
          <w:sz w:val="24"/>
          <w:szCs w:val="24"/>
          <w:shd w:val="clear" w:color="auto" w:fill="FFFFFF"/>
          <w:lang w:val="ru-RU"/>
        </w:rPr>
        <w:fldChar w:fldCharType="end"/>
      </w:r>
      <w:r w:rsidRPr="00D33683">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Ф., М. Фратианни</w:t>
      </w:r>
      <w:r w:rsidRPr="00D33683">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_Ref135595983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181</w:t>
      </w:r>
      <w:r>
        <w:rPr>
          <w:rFonts w:ascii="Times New Roman" w:hAnsi="Times New Roman" w:cs="Times New Roman"/>
          <w:color w:val="000000"/>
          <w:sz w:val="24"/>
          <w:szCs w:val="24"/>
          <w:shd w:val="clear" w:color="auto" w:fill="FFFFFF"/>
          <w:lang w:val="ru-RU"/>
        </w:rPr>
        <w:fldChar w:fldCharType="end"/>
      </w:r>
      <w:r w:rsidRPr="00D33683">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sz w:val="24"/>
          <w:szCs w:val="24"/>
          <w:lang w:val="ru-RU"/>
        </w:rPr>
        <w:t xml:space="preserve">. В отечественной научной литературе исследователи редко углубляются в экономическую историю МФЦ дальше </w:t>
      </w:r>
      <w:r w:rsidRPr="004E7E3E">
        <w:rPr>
          <w:rFonts w:ascii="Times New Roman" w:hAnsi="Times New Roman" w:cs="Times New Roman"/>
          <w:sz w:val="24"/>
          <w:szCs w:val="24"/>
        </w:rPr>
        <w:t>XX</w:t>
      </w:r>
      <w:r w:rsidRPr="004E7E3E">
        <w:rPr>
          <w:rFonts w:ascii="Times New Roman" w:hAnsi="Times New Roman" w:cs="Times New Roman"/>
          <w:sz w:val="24"/>
          <w:szCs w:val="24"/>
          <w:lang w:val="ru-RU"/>
        </w:rPr>
        <w:t xml:space="preserve"> века. И тем ценнее классификация И. К. Колесникова. Он предлагает классификацию на основании </w:t>
      </w:r>
      <w:r>
        <w:rPr>
          <w:rFonts w:ascii="Times New Roman" w:hAnsi="Times New Roman" w:cs="Times New Roman"/>
          <w:sz w:val="24"/>
          <w:szCs w:val="24"/>
          <w:lang w:val="ru-RU"/>
        </w:rPr>
        <w:t>трёх</w:t>
      </w:r>
      <w:r w:rsidRPr="004E7E3E">
        <w:rPr>
          <w:rFonts w:ascii="Times New Roman" w:hAnsi="Times New Roman" w:cs="Times New Roman"/>
          <w:sz w:val="24"/>
          <w:szCs w:val="24"/>
          <w:lang w:val="ru-RU"/>
        </w:rPr>
        <w:t xml:space="preserve"> этапов формирования МФЦ. </w:t>
      </w:r>
      <w:r>
        <w:rPr>
          <w:rFonts w:ascii="Times New Roman" w:hAnsi="Times New Roman" w:cs="Times New Roman"/>
          <w:sz w:val="24"/>
          <w:szCs w:val="24"/>
          <w:lang w:val="ru-RU"/>
        </w:rPr>
        <w:t>Каждый этап развития характеризовался своим ключевым фактором формирования МФЦ</w:t>
      </w:r>
      <w:r w:rsidRPr="004E7E3E">
        <w:rPr>
          <w:rFonts w:ascii="Times New Roman" w:hAnsi="Times New Roman" w:cs="Times New Roman"/>
          <w:sz w:val="24"/>
          <w:szCs w:val="24"/>
          <w:lang w:val="ru-RU"/>
        </w:rPr>
        <w:t xml:space="preserve">: 1) </w:t>
      </w:r>
      <w:r>
        <w:rPr>
          <w:rFonts w:ascii="Times New Roman" w:hAnsi="Times New Roman" w:cs="Times New Roman"/>
          <w:sz w:val="24"/>
          <w:szCs w:val="24"/>
          <w:lang w:val="ru-RU"/>
        </w:rPr>
        <w:t>на</w:t>
      </w:r>
      <w:r w:rsidRPr="004E7E3E">
        <w:rPr>
          <w:rFonts w:ascii="Times New Roman" w:hAnsi="Times New Roman" w:cs="Times New Roman"/>
          <w:sz w:val="24"/>
          <w:szCs w:val="24"/>
          <w:lang w:val="ru-RU"/>
        </w:rPr>
        <w:t xml:space="preserve"> первом этап</w:t>
      </w:r>
      <w:r>
        <w:rPr>
          <w:rFonts w:ascii="Times New Roman" w:hAnsi="Times New Roman" w:cs="Times New Roman"/>
          <w:sz w:val="24"/>
          <w:szCs w:val="24"/>
          <w:lang w:val="ru-RU"/>
        </w:rPr>
        <w:t>е</w:t>
      </w:r>
      <w:r w:rsidRPr="004E7E3E">
        <w:rPr>
          <w:rFonts w:ascii="Times New Roman" w:hAnsi="Times New Roman" w:cs="Times New Roman"/>
          <w:sz w:val="24"/>
          <w:szCs w:val="24"/>
          <w:lang w:val="ru-RU"/>
        </w:rPr>
        <w:t xml:space="preserve"> движущим фактором была международная торговля, 2) на втором</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 xml:space="preserve"> биржи и развитие банков, 3) на третьем </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общее развитие финансовых услуг</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_Ref135077669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88</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Pr>
          <w:rFonts w:ascii="Times New Roman" w:hAnsi="Times New Roman" w:cs="Times New Roman"/>
          <w:sz w:val="24"/>
          <w:szCs w:val="24"/>
          <w:lang w:val="ru-RU"/>
        </w:rPr>
        <w:t>с</w:t>
      </w:r>
      <w:r w:rsidRPr="004E7E3E">
        <w:rPr>
          <w:rFonts w:ascii="Times New Roman" w:hAnsi="Times New Roman" w:cs="Times New Roman"/>
          <w:sz w:val="24"/>
          <w:szCs w:val="24"/>
          <w:lang w:val="ru-RU"/>
        </w:rPr>
        <w:t>. 136-141]</w:t>
      </w:r>
      <w:r>
        <w:rPr>
          <w:rFonts w:ascii="Times New Roman" w:hAnsi="Times New Roman" w:cs="Times New Roman"/>
          <w:sz w:val="24"/>
          <w:szCs w:val="24"/>
          <w:lang w:val="ru-RU"/>
        </w:rPr>
        <w:t>.</w:t>
      </w:r>
    </w:p>
    <w:p w14:paraId="08E6AA4A" w14:textId="256A5662" w:rsidR="002E6AF2" w:rsidRDefault="00937CBF" w:rsidP="002E6AF2">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Сложно выделить общее в рассмотренных 16 подход</w:t>
      </w:r>
      <w:r>
        <w:rPr>
          <w:rFonts w:ascii="Times New Roman" w:hAnsi="Times New Roman" w:cs="Times New Roman"/>
          <w:sz w:val="24"/>
          <w:szCs w:val="24"/>
          <w:lang w:val="ru-RU"/>
        </w:rPr>
        <w:t>ах</w:t>
      </w:r>
      <w:r w:rsidRPr="004E7E3E">
        <w:rPr>
          <w:rFonts w:ascii="Times New Roman" w:hAnsi="Times New Roman" w:cs="Times New Roman"/>
          <w:sz w:val="24"/>
          <w:szCs w:val="24"/>
          <w:lang w:val="ru-RU"/>
        </w:rPr>
        <w:t xml:space="preserve"> классификации МФЦ. Очевидно, что </w:t>
      </w:r>
      <w:r>
        <w:rPr>
          <w:rFonts w:ascii="Times New Roman" w:hAnsi="Times New Roman" w:cs="Times New Roman"/>
          <w:sz w:val="24"/>
          <w:szCs w:val="24"/>
          <w:lang w:val="ru-RU"/>
        </w:rPr>
        <w:t xml:space="preserve">для </w:t>
      </w:r>
      <w:r w:rsidRPr="004E7E3E">
        <w:rPr>
          <w:rFonts w:ascii="Times New Roman" w:hAnsi="Times New Roman" w:cs="Times New Roman"/>
          <w:sz w:val="24"/>
          <w:szCs w:val="24"/>
          <w:lang w:val="ru-RU"/>
        </w:rPr>
        <w:t>большинств</w:t>
      </w:r>
      <w:r>
        <w:rPr>
          <w:rFonts w:ascii="Times New Roman" w:hAnsi="Times New Roman" w:cs="Times New Roman"/>
          <w:sz w:val="24"/>
          <w:szCs w:val="24"/>
          <w:lang w:val="ru-RU"/>
        </w:rPr>
        <w:t>а</w:t>
      </w:r>
      <w:r w:rsidRPr="004E7E3E">
        <w:rPr>
          <w:rFonts w:ascii="Times New Roman" w:hAnsi="Times New Roman" w:cs="Times New Roman"/>
          <w:sz w:val="24"/>
          <w:szCs w:val="24"/>
          <w:lang w:val="ru-RU"/>
        </w:rPr>
        <w:t xml:space="preserve"> из них характерна иерархичность построения на основе критериев качества финансовых услуг, размера самих центров или представляемой ими экономики. Интересна новая классификации </w:t>
      </w:r>
      <w:r w:rsidRPr="004E7E3E">
        <w:rPr>
          <w:rFonts w:ascii="Times New Roman" w:hAnsi="Times New Roman" w:cs="Times New Roman"/>
          <w:sz w:val="24"/>
          <w:szCs w:val="24"/>
        </w:rPr>
        <w:t>Z</w:t>
      </w:r>
      <w:r w:rsidRPr="004E7E3E">
        <w:rPr>
          <w:rFonts w:ascii="Times New Roman" w:hAnsi="Times New Roman" w:cs="Times New Roman"/>
          <w:sz w:val="24"/>
          <w:szCs w:val="24"/>
          <w:lang w:val="ru-RU"/>
        </w:rPr>
        <w:t>/</w:t>
      </w:r>
      <w:r w:rsidRPr="004E7E3E">
        <w:rPr>
          <w:rFonts w:ascii="Times New Roman" w:hAnsi="Times New Roman" w:cs="Times New Roman"/>
          <w:sz w:val="24"/>
          <w:szCs w:val="24"/>
        </w:rPr>
        <w:t>Yen</w:t>
      </w:r>
      <w:r w:rsidRPr="004E7E3E">
        <w:rPr>
          <w:rFonts w:ascii="Times New Roman" w:hAnsi="Times New Roman" w:cs="Times New Roman"/>
          <w:sz w:val="24"/>
          <w:szCs w:val="24"/>
          <w:lang w:val="ru-RU"/>
        </w:rPr>
        <w:t xml:space="preserve"> на основе матричного подхода изложения информации. Неиерархичностью отличаются классификации на основе особенностей правовой системы и</w:t>
      </w:r>
      <w:r w:rsidRPr="004E7E3E">
        <w:rPr>
          <w:rFonts w:ascii="Times New Roman" w:hAnsi="Times New Roman" w:cs="Times New Roman"/>
          <w:sz w:val="24"/>
          <w:szCs w:val="24"/>
        </w:rPr>
        <w:t> </w:t>
      </w:r>
      <w:r w:rsidRPr="004E7E3E">
        <w:rPr>
          <w:rFonts w:ascii="Times New Roman" w:hAnsi="Times New Roman" w:cs="Times New Roman"/>
          <w:sz w:val="24"/>
          <w:szCs w:val="24"/>
          <w:lang w:val="ru-RU"/>
        </w:rPr>
        <w:t xml:space="preserve">модели финансового рынка, но также, как и неомарксистский подход Дж. Фридмана, они </w:t>
      </w:r>
      <w:r>
        <w:rPr>
          <w:rFonts w:ascii="Times New Roman" w:hAnsi="Times New Roman" w:cs="Times New Roman"/>
          <w:sz w:val="24"/>
          <w:szCs w:val="24"/>
          <w:lang w:val="ru-RU"/>
        </w:rPr>
        <w:t>содержат</w:t>
      </w:r>
      <w:r w:rsidRPr="004E7E3E">
        <w:rPr>
          <w:rFonts w:ascii="Times New Roman" w:hAnsi="Times New Roman" w:cs="Times New Roman"/>
          <w:sz w:val="24"/>
          <w:szCs w:val="24"/>
          <w:lang w:val="ru-RU"/>
        </w:rPr>
        <w:t xml:space="preserve"> внутренний конфликт. </w:t>
      </w:r>
    </w:p>
    <w:p w14:paraId="505A8BED" w14:textId="77777777" w:rsidR="002E6AF2" w:rsidRDefault="002E6AF2" w:rsidP="002E6AF2">
      <w:pPr>
        <w:spacing w:after="0" w:line="360" w:lineRule="auto"/>
        <w:ind w:firstLine="709"/>
        <w:contextualSpacing/>
        <w:jc w:val="both"/>
        <w:rPr>
          <w:rFonts w:ascii="Times New Roman" w:hAnsi="Times New Roman" w:cs="Times New Roman"/>
          <w:sz w:val="24"/>
          <w:szCs w:val="24"/>
          <w:lang w:val="ru-RU"/>
        </w:rPr>
      </w:pPr>
    </w:p>
    <w:p w14:paraId="242154CF" w14:textId="3AA6A1A8" w:rsidR="002E6AF2" w:rsidRDefault="002E6AF2" w:rsidP="002E6AF2">
      <w:pPr>
        <w:spacing w:after="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Перечисли</w:t>
      </w:r>
      <w:r w:rsidR="006C4269">
        <w:rPr>
          <w:rFonts w:ascii="Times New Roman" w:hAnsi="Times New Roman" w:cs="Times New Roman"/>
          <w:sz w:val="24"/>
          <w:szCs w:val="24"/>
          <w:lang w:val="ru-RU"/>
        </w:rPr>
        <w:t>м</w:t>
      </w:r>
      <w:r>
        <w:rPr>
          <w:rFonts w:ascii="Times New Roman" w:hAnsi="Times New Roman" w:cs="Times New Roman"/>
          <w:sz w:val="24"/>
          <w:szCs w:val="24"/>
          <w:lang w:val="ru-RU"/>
        </w:rPr>
        <w:t xml:space="preserve"> предварительные итоги. Мы уточнили определение «международного финансового центра» </w:t>
      </w:r>
      <w:r w:rsidR="00146C17" w:rsidRPr="004E7E3E">
        <w:rPr>
          <w:rFonts w:ascii="Times New Roman" w:hAnsi="Times New Roman" w:cs="Times New Roman"/>
          <w:color w:val="000000"/>
          <w:sz w:val="24"/>
          <w:szCs w:val="24"/>
          <w:shd w:val="clear" w:color="auto" w:fill="FFFFFF"/>
          <w:lang w:val="ru-RU"/>
        </w:rPr>
        <w:t>– это сетевой институт мировых финансов, обслуживающий крупнейшие региональные (национальные) экономики и</w:t>
      </w:r>
      <w:r w:rsidR="00146C17">
        <w:rPr>
          <w:rFonts w:ascii="Times New Roman" w:hAnsi="Times New Roman" w:cs="Times New Roman"/>
          <w:color w:val="000000"/>
          <w:sz w:val="24"/>
          <w:szCs w:val="24"/>
          <w:shd w:val="clear" w:color="auto" w:fill="FFFFFF"/>
          <w:lang w:val="ru-RU"/>
        </w:rPr>
        <w:t> </w:t>
      </w:r>
      <w:r w:rsidR="00146C17" w:rsidRPr="004E7E3E">
        <w:rPr>
          <w:rFonts w:ascii="Times New Roman" w:hAnsi="Times New Roman" w:cs="Times New Roman"/>
          <w:color w:val="000000"/>
          <w:sz w:val="24"/>
          <w:szCs w:val="24"/>
          <w:shd w:val="clear" w:color="auto" w:fill="FFFFFF"/>
          <w:lang w:val="ru-RU"/>
        </w:rPr>
        <w:t xml:space="preserve">связывающий их с мировыми процессами. Для международных финансовых </w:t>
      </w:r>
      <w:r w:rsidR="00146C17">
        <w:rPr>
          <w:rFonts w:ascii="Times New Roman" w:hAnsi="Times New Roman" w:cs="Times New Roman"/>
          <w:color w:val="000000"/>
          <w:sz w:val="24"/>
          <w:szCs w:val="24"/>
          <w:shd w:val="clear" w:color="auto" w:fill="FFFFFF"/>
          <w:lang w:val="ru-RU"/>
        </w:rPr>
        <w:t>центров</w:t>
      </w:r>
      <w:r w:rsidR="00146C17" w:rsidRPr="004E7E3E">
        <w:rPr>
          <w:rFonts w:ascii="Times New Roman" w:hAnsi="Times New Roman" w:cs="Times New Roman"/>
          <w:color w:val="000000"/>
          <w:sz w:val="24"/>
          <w:szCs w:val="24"/>
          <w:shd w:val="clear" w:color="auto" w:fill="FFFFFF"/>
          <w:lang w:val="ru-RU"/>
        </w:rPr>
        <w:t xml:space="preserve"> характерна сверхконцентрация фондовых и валютных бирж, представительств мировых банков, страховых, инвестиционных компаний, пенсионных и хэджинговых фондов, брокерских контор, депозитариев, клиринговых агентств</w:t>
      </w:r>
      <w:r w:rsidR="00146C17">
        <w:rPr>
          <w:rFonts w:ascii="Times New Roman" w:hAnsi="Times New Roman" w:cs="Times New Roman"/>
          <w:color w:val="000000"/>
          <w:sz w:val="24"/>
          <w:szCs w:val="24"/>
          <w:shd w:val="clear" w:color="auto" w:fill="FFFFFF"/>
          <w:lang w:val="ru-RU"/>
        </w:rPr>
        <w:t xml:space="preserve"> </w:t>
      </w:r>
      <w:r w:rsidR="00146C17">
        <w:rPr>
          <w:rFonts w:ascii="Times New Roman" w:hAnsi="Times New Roman" w:cs="Times New Roman"/>
          <w:color w:val="000000"/>
          <w:sz w:val="24"/>
          <w:szCs w:val="24"/>
          <w:shd w:val="clear" w:color="auto" w:fill="FFFFFF"/>
          <w:lang w:val="ru-RU"/>
        </w:rPr>
        <w:lastRenderedPageBreak/>
        <w:t>и</w:t>
      </w:r>
      <w:r w:rsidR="006C4269">
        <w:rPr>
          <w:rFonts w:ascii="Times New Roman" w:hAnsi="Times New Roman" w:cs="Times New Roman"/>
          <w:color w:val="000000"/>
          <w:sz w:val="24"/>
          <w:szCs w:val="24"/>
          <w:shd w:val="clear" w:color="auto" w:fill="FFFFFF"/>
          <w:lang w:val="ru-RU"/>
        </w:rPr>
        <w:t> </w:t>
      </w:r>
      <w:r w:rsidR="00146C17">
        <w:rPr>
          <w:rFonts w:ascii="Times New Roman" w:hAnsi="Times New Roman" w:cs="Times New Roman"/>
          <w:color w:val="000000"/>
          <w:sz w:val="24"/>
          <w:szCs w:val="24"/>
          <w:shd w:val="clear" w:color="auto" w:fill="FFFFFF"/>
          <w:lang w:val="ru-RU"/>
        </w:rPr>
        <w:t>транснациональных корпораций, а также наличие норм регулирования оптовых операций структурированными финансовыми продуктам и услугами на внутреннем и внешнем рынках. МФЦ является институтом, которых хорошо вписывается в глобальных контекст пространственных аспектов финансового развития, а также</w:t>
      </w:r>
      <w:r w:rsidR="006C4269">
        <w:rPr>
          <w:rFonts w:ascii="Times New Roman" w:hAnsi="Times New Roman" w:cs="Times New Roman"/>
          <w:color w:val="000000"/>
          <w:sz w:val="24"/>
          <w:szCs w:val="24"/>
          <w:shd w:val="clear" w:color="auto" w:fill="FFFFFF"/>
          <w:lang w:val="ru-RU"/>
        </w:rPr>
        <w:t xml:space="preserve"> соответствует</w:t>
      </w:r>
      <w:r w:rsidR="00146C17">
        <w:rPr>
          <w:rFonts w:ascii="Times New Roman" w:hAnsi="Times New Roman" w:cs="Times New Roman"/>
          <w:color w:val="000000"/>
          <w:sz w:val="24"/>
          <w:szCs w:val="24"/>
          <w:shd w:val="clear" w:color="auto" w:fill="FFFFFF"/>
          <w:lang w:val="ru-RU"/>
        </w:rPr>
        <w:t xml:space="preserve"> концепци</w:t>
      </w:r>
      <w:r w:rsidR="006C4269">
        <w:rPr>
          <w:rFonts w:ascii="Times New Roman" w:hAnsi="Times New Roman" w:cs="Times New Roman"/>
          <w:color w:val="000000"/>
          <w:sz w:val="24"/>
          <w:szCs w:val="24"/>
          <w:shd w:val="clear" w:color="auto" w:fill="FFFFFF"/>
          <w:lang w:val="ru-RU"/>
        </w:rPr>
        <w:t>и</w:t>
      </w:r>
      <w:r w:rsidR="00146C17">
        <w:rPr>
          <w:rFonts w:ascii="Times New Roman" w:hAnsi="Times New Roman" w:cs="Times New Roman"/>
          <w:color w:val="000000"/>
          <w:sz w:val="24"/>
          <w:szCs w:val="24"/>
          <w:shd w:val="clear" w:color="auto" w:fill="FFFFFF"/>
          <w:lang w:val="ru-RU"/>
        </w:rPr>
        <w:t xml:space="preserve"> </w:t>
      </w:r>
      <w:r w:rsidR="006C4269">
        <w:rPr>
          <w:rFonts w:ascii="Times New Roman" w:hAnsi="Times New Roman" w:cs="Times New Roman"/>
          <w:color w:val="000000"/>
          <w:sz w:val="24"/>
          <w:szCs w:val="24"/>
          <w:shd w:val="clear" w:color="auto" w:fill="FFFFFF"/>
          <w:lang w:val="ru-RU"/>
        </w:rPr>
        <w:t xml:space="preserve">развития </w:t>
      </w:r>
      <w:r w:rsidR="00146C17">
        <w:rPr>
          <w:rFonts w:ascii="Times New Roman" w:hAnsi="Times New Roman" w:cs="Times New Roman"/>
          <w:color w:val="000000"/>
          <w:sz w:val="24"/>
          <w:szCs w:val="24"/>
          <w:shd w:val="clear" w:color="auto" w:fill="FFFFFF"/>
          <w:lang w:val="ru-RU"/>
        </w:rPr>
        <w:t>городск</w:t>
      </w:r>
      <w:r w:rsidR="006C4269">
        <w:rPr>
          <w:rFonts w:ascii="Times New Roman" w:hAnsi="Times New Roman" w:cs="Times New Roman"/>
          <w:color w:val="000000"/>
          <w:sz w:val="24"/>
          <w:szCs w:val="24"/>
          <w:shd w:val="clear" w:color="auto" w:fill="FFFFFF"/>
          <w:lang w:val="ru-RU"/>
        </w:rPr>
        <w:t>их</w:t>
      </w:r>
      <w:r w:rsidR="00146C17">
        <w:rPr>
          <w:rFonts w:ascii="Times New Roman" w:hAnsi="Times New Roman" w:cs="Times New Roman"/>
          <w:color w:val="000000"/>
          <w:sz w:val="24"/>
          <w:szCs w:val="24"/>
          <w:shd w:val="clear" w:color="auto" w:fill="FFFFFF"/>
          <w:lang w:val="ru-RU"/>
        </w:rPr>
        <w:t xml:space="preserve"> кластер</w:t>
      </w:r>
      <w:r w:rsidR="006C4269">
        <w:rPr>
          <w:rFonts w:ascii="Times New Roman" w:hAnsi="Times New Roman" w:cs="Times New Roman"/>
          <w:color w:val="000000"/>
          <w:sz w:val="24"/>
          <w:szCs w:val="24"/>
          <w:shd w:val="clear" w:color="auto" w:fill="FFFFFF"/>
          <w:lang w:val="ru-RU"/>
        </w:rPr>
        <w:t>ов</w:t>
      </w:r>
      <w:r w:rsidR="00146C17">
        <w:rPr>
          <w:rFonts w:ascii="Times New Roman" w:hAnsi="Times New Roman" w:cs="Times New Roman"/>
          <w:color w:val="000000"/>
          <w:sz w:val="24"/>
          <w:szCs w:val="24"/>
          <w:shd w:val="clear" w:color="auto" w:fill="FFFFFF"/>
          <w:lang w:val="ru-RU"/>
        </w:rPr>
        <w:t xml:space="preserve"> финансовых услуг, удовлетворяя </w:t>
      </w:r>
      <w:r w:rsidR="006C4269">
        <w:rPr>
          <w:rFonts w:ascii="Times New Roman" w:hAnsi="Times New Roman" w:cs="Times New Roman"/>
          <w:color w:val="000000"/>
          <w:sz w:val="24"/>
          <w:szCs w:val="24"/>
          <w:shd w:val="clear" w:color="auto" w:fill="FFFFFF"/>
          <w:lang w:val="ru-RU"/>
        </w:rPr>
        <w:t xml:space="preserve">двум </w:t>
      </w:r>
      <w:r w:rsidR="00146C17">
        <w:rPr>
          <w:rFonts w:ascii="Times New Roman" w:hAnsi="Times New Roman" w:cs="Times New Roman"/>
          <w:color w:val="000000"/>
          <w:sz w:val="24"/>
          <w:szCs w:val="24"/>
          <w:shd w:val="clear" w:color="auto" w:fill="FFFFFF"/>
          <w:lang w:val="ru-RU"/>
        </w:rPr>
        <w:t>основным современным тенденция</w:t>
      </w:r>
      <w:r w:rsidR="006C4269">
        <w:rPr>
          <w:rFonts w:ascii="Times New Roman" w:hAnsi="Times New Roman" w:cs="Times New Roman"/>
          <w:color w:val="000000"/>
          <w:sz w:val="24"/>
          <w:szCs w:val="24"/>
          <w:shd w:val="clear" w:color="auto" w:fill="FFFFFF"/>
          <w:lang w:val="ru-RU"/>
        </w:rPr>
        <w:t>м</w:t>
      </w:r>
      <w:r w:rsidR="00146C17">
        <w:rPr>
          <w:rFonts w:ascii="Times New Roman" w:hAnsi="Times New Roman" w:cs="Times New Roman"/>
          <w:color w:val="000000"/>
          <w:sz w:val="24"/>
          <w:szCs w:val="24"/>
          <w:shd w:val="clear" w:color="auto" w:fill="FFFFFF"/>
          <w:lang w:val="ru-RU"/>
        </w:rPr>
        <w:t xml:space="preserve"> </w:t>
      </w:r>
      <w:r w:rsidR="006C4269">
        <w:rPr>
          <w:rFonts w:ascii="Times New Roman" w:hAnsi="Times New Roman" w:cs="Times New Roman"/>
          <w:color w:val="000000"/>
          <w:sz w:val="24"/>
          <w:szCs w:val="24"/>
          <w:shd w:val="clear" w:color="auto" w:fill="FFFFFF"/>
          <w:lang w:val="ru-RU"/>
        </w:rPr>
        <w:t>эволюции мировой финансовой системы: глобализации и регионализации. Можно выделить не</w:t>
      </w:r>
      <w:r w:rsidR="001675AC">
        <w:rPr>
          <w:rFonts w:ascii="Times New Roman" w:hAnsi="Times New Roman" w:cs="Times New Roman"/>
          <w:color w:val="000000"/>
          <w:sz w:val="24"/>
          <w:szCs w:val="24"/>
          <w:shd w:val="clear" w:color="auto" w:fill="FFFFFF"/>
          <w:lang w:val="ru-RU"/>
        </w:rPr>
        <w:t> </w:t>
      </w:r>
      <w:r w:rsidR="006C4269">
        <w:rPr>
          <w:rFonts w:ascii="Times New Roman" w:hAnsi="Times New Roman" w:cs="Times New Roman"/>
          <w:color w:val="000000"/>
          <w:sz w:val="24"/>
          <w:szCs w:val="24"/>
          <w:shd w:val="clear" w:color="auto" w:fill="FFFFFF"/>
          <w:lang w:val="ru-RU"/>
        </w:rPr>
        <w:t xml:space="preserve">менее 16 видов классификаций МФЦ, которые с разных сторон </w:t>
      </w:r>
      <w:r w:rsidR="001675AC">
        <w:rPr>
          <w:rFonts w:ascii="Times New Roman" w:hAnsi="Times New Roman" w:cs="Times New Roman"/>
          <w:color w:val="000000"/>
          <w:sz w:val="24"/>
          <w:szCs w:val="24"/>
          <w:shd w:val="clear" w:color="auto" w:fill="FFFFFF"/>
          <w:lang w:val="ru-RU"/>
        </w:rPr>
        <w:t>освещают данную нау</w:t>
      </w:r>
      <w:r w:rsidR="006C4269">
        <w:rPr>
          <w:rFonts w:ascii="Times New Roman" w:hAnsi="Times New Roman" w:cs="Times New Roman"/>
          <w:color w:val="000000"/>
          <w:sz w:val="24"/>
          <w:szCs w:val="24"/>
          <w:shd w:val="clear" w:color="auto" w:fill="FFFFFF"/>
          <w:lang w:val="ru-RU"/>
        </w:rPr>
        <w:t>чн</w:t>
      </w:r>
      <w:r w:rsidR="001675AC">
        <w:rPr>
          <w:rFonts w:ascii="Times New Roman" w:hAnsi="Times New Roman" w:cs="Times New Roman"/>
          <w:color w:val="000000"/>
          <w:sz w:val="24"/>
          <w:szCs w:val="24"/>
          <w:shd w:val="clear" w:color="auto" w:fill="FFFFFF"/>
          <w:lang w:val="ru-RU"/>
        </w:rPr>
        <w:t>ую</w:t>
      </w:r>
      <w:r w:rsidR="006C4269">
        <w:rPr>
          <w:rFonts w:ascii="Times New Roman" w:hAnsi="Times New Roman" w:cs="Times New Roman"/>
          <w:color w:val="000000"/>
          <w:sz w:val="24"/>
          <w:szCs w:val="24"/>
          <w:shd w:val="clear" w:color="auto" w:fill="FFFFFF"/>
          <w:lang w:val="ru-RU"/>
        </w:rPr>
        <w:t xml:space="preserve"> категори</w:t>
      </w:r>
      <w:r w:rsidR="001675AC">
        <w:rPr>
          <w:rFonts w:ascii="Times New Roman" w:hAnsi="Times New Roman" w:cs="Times New Roman"/>
          <w:color w:val="000000"/>
          <w:sz w:val="24"/>
          <w:szCs w:val="24"/>
          <w:shd w:val="clear" w:color="auto" w:fill="FFFFFF"/>
          <w:lang w:val="ru-RU"/>
        </w:rPr>
        <w:t xml:space="preserve">ю. В то же время многогранность явления усложняет его исследование. </w:t>
      </w:r>
    </w:p>
    <w:p w14:paraId="18660C70" w14:textId="77777777" w:rsidR="00146C17" w:rsidRDefault="00146C17" w:rsidP="002E6AF2">
      <w:pPr>
        <w:spacing w:after="0" w:line="360" w:lineRule="auto"/>
        <w:ind w:firstLine="709"/>
        <w:contextualSpacing/>
        <w:jc w:val="both"/>
        <w:rPr>
          <w:rFonts w:ascii="Times New Roman" w:hAnsi="Times New Roman" w:cs="Times New Roman"/>
          <w:sz w:val="24"/>
          <w:szCs w:val="24"/>
          <w:lang w:val="ru-RU"/>
        </w:rPr>
      </w:pPr>
    </w:p>
    <w:p w14:paraId="1E7FFDEF" w14:textId="2DC5CD69" w:rsidR="00146C17" w:rsidRPr="002E6AF2" w:rsidRDefault="00146C17" w:rsidP="002E6AF2">
      <w:pPr>
        <w:spacing w:after="0" w:line="360" w:lineRule="auto"/>
        <w:ind w:firstLine="709"/>
        <w:contextualSpacing/>
        <w:jc w:val="both"/>
        <w:rPr>
          <w:rFonts w:ascii="Times New Roman" w:hAnsi="Times New Roman" w:cs="Times New Roman"/>
          <w:sz w:val="24"/>
          <w:szCs w:val="24"/>
          <w:lang w:val="ru-RU"/>
        </w:rPr>
        <w:sectPr w:rsidR="00146C17" w:rsidRPr="002E6AF2" w:rsidSect="00A134D2">
          <w:pgSz w:w="11906" w:h="16838"/>
          <w:pgMar w:top="1134" w:right="567" w:bottom="1134" w:left="1418" w:header="708" w:footer="708" w:gutter="0"/>
          <w:cols w:space="708"/>
          <w:titlePg/>
          <w:docGrid w:linePitch="360"/>
        </w:sectPr>
      </w:pPr>
    </w:p>
    <w:p w14:paraId="44FC18AF" w14:textId="33EFAE58" w:rsidR="008338D9" w:rsidRPr="004E7E3E" w:rsidRDefault="008338D9" w:rsidP="008338D9">
      <w:pPr>
        <w:pStyle w:val="1"/>
        <w:spacing w:before="100" w:beforeAutospacing="1" w:after="100" w:line="360" w:lineRule="auto"/>
        <w:ind w:firstLine="709"/>
        <w:jc w:val="center"/>
        <w:rPr>
          <w:rFonts w:cs="Times New Roman"/>
          <w:sz w:val="24"/>
          <w:szCs w:val="24"/>
        </w:rPr>
      </w:pPr>
      <w:bookmarkStart w:id="10" w:name="_Toc136269013"/>
      <w:bookmarkStart w:id="11" w:name="_Toc136448476"/>
      <w:bookmarkEnd w:id="5"/>
      <w:r w:rsidRPr="004E7E3E">
        <w:rPr>
          <w:rFonts w:cs="Times New Roman"/>
          <w:sz w:val="24"/>
          <w:szCs w:val="24"/>
        </w:rPr>
        <w:lastRenderedPageBreak/>
        <w:t>ГЛАВА 2. ФАКТОРЫ РАЗВИТИЯ И ЗНАЧЕНИЕ МФЦ В СТРАНАХ С ФОРМИРУЮЩИМСЯ РЫНКОМ</w:t>
      </w:r>
      <w:bookmarkEnd w:id="10"/>
      <w:bookmarkEnd w:id="11"/>
    </w:p>
    <w:p w14:paraId="164BD708" w14:textId="77777777" w:rsidR="008338D9" w:rsidRDefault="008338D9" w:rsidP="008338D9">
      <w:pPr>
        <w:pStyle w:val="2"/>
        <w:spacing w:before="100" w:beforeAutospacing="1" w:after="100" w:line="360" w:lineRule="auto"/>
        <w:ind w:firstLine="709"/>
        <w:contextualSpacing/>
        <w:rPr>
          <w:rFonts w:cs="Times New Roman"/>
          <w:sz w:val="24"/>
          <w:szCs w:val="24"/>
        </w:rPr>
      </w:pPr>
      <w:bookmarkStart w:id="12" w:name="_Toc136269014"/>
      <w:bookmarkStart w:id="13" w:name="_Toc136448477"/>
      <w:r w:rsidRPr="004E7E3E">
        <w:rPr>
          <w:rFonts w:cs="Times New Roman"/>
          <w:sz w:val="24"/>
          <w:szCs w:val="24"/>
        </w:rPr>
        <w:t>§2.1 Методические подходы к оценке развития МФЦ</w:t>
      </w:r>
      <w:bookmarkEnd w:id="12"/>
      <w:bookmarkEnd w:id="13"/>
      <w:r w:rsidRPr="004E7E3E">
        <w:rPr>
          <w:rFonts w:cs="Times New Roman"/>
          <w:sz w:val="24"/>
          <w:szCs w:val="24"/>
        </w:rPr>
        <w:t xml:space="preserve"> </w:t>
      </w:r>
    </w:p>
    <w:p w14:paraId="7684FF22" w14:textId="77777777" w:rsidR="008338D9" w:rsidRDefault="008338D9" w:rsidP="008338D9">
      <w:pPr>
        <w:spacing w:before="100" w:beforeAutospacing="1" w:after="100" w:afterAutospacing="1" w:line="360" w:lineRule="auto"/>
        <w:ind w:firstLine="709"/>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Оценка любого явления может осуществляться количественными и качественными методами. </w:t>
      </w:r>
    </w:p>
    <w:p w14:paraId="673CA227" w14:textId="77777777" w:rsidR="008338D9" w:rsidRDefault="008338D9" w:rsidP="008338D9">
      <w:pPr>
        <w:spacing w:before="100" w:beforeAutospacing="1" w:after="100" w:afterAutospacing="1"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И. К. Ключников предлагает измерять масштаб деятельность мировых финансовых центров по следующим количественным параметрам: </w:t>
      </w:r>
    </w:p>
    <w:p w14:paraId="1C25941A" w14:textId="77777777" w:rsidR="008338D9" w:rsidRDefault="008338D9" w:rsidP="008338D9">
      <w:pPr>
        <w:spacing w:before="100" w:beforeAutospacing="1" w:after="100" w:afterAutospacing="1"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«1. Объём финансового рынка, размер биржевой торговли, число листингуемых компаний и их зарубежная принадлежность, количество котируемых на биржах продуктов.</w:t>
      </w:r>
    </w:p>
    <w:p w14:paraId="68AF6C6E" w14:textId="77777777" w:rsidR="008338D9" w:rsidRDefault="008338D9" w:rsidP="008338D9">
      <w:pPr>
        <w:spacing w:before="100" w:beforeAutospacing="1" w:after="100" w:afterAutospacing="1"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Число и активы транснациональных финансовых учреждений, расположенных в каждом конкретном центре. </w:t>
      </w:r>
    </w:p>
    <w:p w14:paraId="2CDFA0A3" w14:textId="74C84FEF" w:rsidR="008338D9" w:rsidRDefault="008338D9" w:rsidP="008338D9">
      <w:pPr>
        <w:spacing w:before="100" w:beforeAutospacing="1" w:after="100" w:afterAutospacing="1"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3. Доля финансовых центров в производстве валового внутреннего продукта стран базирования и доля занятых в финансовом секторе центре от</w:t>
      </w:r>
      <w:r w:rsidR="00D45E9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общего количества занятых в городе или стране» </w:t>
      </w:r>
      <w:r w:rsidRPr="00B56024">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_Ref135077669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88</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с. 95</w:t>
      </w:r>
      <w:r w:rsidRPr="00B56024">
        <w:rPr>
          <w:rFonts w:ascii="Times New Roman" w:hAnsi="Times New Roman" w:cs="Times New Roman"/>
          <w:sz w:val="24"/>
          <w:szCs w:val="24"/>
          <w:lang w:val="ru-RU"/>
        </w:rPr>
        <w:t>]</w:t>
      </w:r>
      <w:r>
        <w:rPr>
          <w:rFonts w:ascii="Times New Roman" w:hAnsi="Times New Roman" w:cs="Times New Roman"/>
          <w:sz w:val="24"/>
          <w:szCs w:val="24"/>
          <w:lang w:val="ru-RU"/>
        </w:rPr>
        <w:t>.</w:t>
      </w:r>
    </w:p>
    <w:p w14:paraId="1A225D8A" w14:textId="645B1059" w:rsidR="008338D9" w:rsidRDefault="008338D9" w:rsidP="008338D9">
      <w:pPr>
        <w:spacing w:before="100" w:beforeAutospacing="1" w:after="100" w:afterAutospacing="1"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Иногда исследователи, имеющие военное образование, подходят к рассмотрению понятия МФЦ как к штабу войск, тогда к главным центрам можно подходить как к объединённому командованию. В этом случае важными характеристиками такого «штаба» являются количество войск, которыми он располагает, уровень их оснащённости и пр. Но в таком случае вполне правомерен подход А. А. Айрапетяна рассматривать Канзас-Сити в качестве второго по значимости МФЦ в</w:t>
      </w:r>
      <w:r>
        <w:rPr>
          <w:rFonts w:ascii="Times New Roman" w:hAnsi="Times New Roman" w:cs="Times New Roman"/>
          <w:sz w:val="24"/>
          <w:szCs w:val="24"/>
        </w:rPr>
        <w:t> </w:t>
      </w:r>
      <w:r>
        <w:rPr>
          <w:rFonts w:ascii="Times New Roman" w:hAnsi="Times New Roman" w:cs="Times New Roman"/>
          <w:sz w:val="24"/>
          <w:szCs w:val="24"/>
          <w:lang w:val="ru-RU"/>
        </w:rPr>
        <w:t xml:space="preserve">США, так как в нем зарегистрирована управляющая компания, которая в момент написания его исследования контролировала фондовую </w:t>
      </w:r>
      <w:r w:rsidRPr="0082182E">
        <w:rPr>
          <w:rFonts w:ascii="Times New Roman" w:hAnsi="Times New Roman" w:cs="Times New Roman"/>
          <w:sz w:val="24"/>
          <w:szCs w:val="24"/>
          <w:lang w:val="ru-RU"/>
        </w:rPr>
        <w:t xml:space="preserve">площадку </w:t>
      </w:r>
      <w:r w:rsidRPr="0082182E">
        <w:rPr>
          <w:rFonts w:ascii="Times New Roman" w:hAnsi="Times New Roman" w:cs="Times New Roman"/>
          <w:sz w:val="24"/>
          <w:szCs w:val="24"/>
        </w:rPr>
        <w:t>BATS</w:t>
      </w:r>
      <w:r w:rsidRPr="0082182E">
        <w:rPr>
          <w:rFonts w:ascii="Times New Roman" w:hAnsi="Times New Roman" w:cs="Times New Roman"/>
          <w:sz w:val="24"/>
          <w:szCs w:val="24"/>
          <w:lang w:val="ru-RU"/>
        </w:rPr>
        <w:t xml:space="preserve"> </w:t>
      </w:r>
      <w:r w:rsidRPr="0082182E">
        <w:rPr>
          <w:rFonts w:ascii="Times New Roman" w:hAnsi="Times New Roman" w:cs="Times New Roman"/>
          <w:sz w:val="24"/>
          <w:szCs w:val="24"/>
        </w:rPr>
        <w:t>Global</w:t>
      </w:r>
      <w:r w:rsidRPr="0082182E">
        <w:rPr>
          <w:rFonts w:ascii="Times New Roman" w:hAnsi="Times New Roman" w:cs="Times New Roman"/>
          <w:sz w:val="24"/>
          <w:szCs w:val="24"/>
          <w:lang w:val="ru-RU"/>
        </w:rPr>
        <w:t xml:space="preserve"> </w:t>
      </w:r>
      <w:r w:rsidRPr="0082182E">
        <w:rPr>
          <w:rFonts w:ascii="Times New Roman" w:hAnsi="Times New Roman" w:cs="Times New Roman"/>
          <w:sz w:val="24"/>
          <w:szCs w:val="24"/>
        </w:rPr>
        <w:t>Markets</w:t>
      </w:r>
      <w:r>
        <w:rPr>
          <w:rFonts w:ascii="Times New Roman" w:hAnsi="Times New Roman" w:cs="Times New Roman"/>
          <w:sz w:val="24"/>
          <w:szCs w:val="24"/>
          <w:lang w:val="ru-RU"/>
        </w:rPr>
        <w:t xml:space="preserve"> </w:t>
      </w:r>
      <w:r w:rsidRPr="0082182E">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_Ref136077571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55</w:t>
      </w:r>
      <w:r>
        <w:rPr>
          <w:rFonts w:ascii="Times New Roman" w:hAnsi="Times New Roman" w:cs="Times New Roman"/>
          <w:sz w:val="24"/>
          <w:szCs w:val="24"/>
          <w:lang w:val="ru-RU"/>
        </w:rPr>
        <w:fldChar w:fldCharType="end"/>
      </w:r>
      <w:r w:rsidRPr="0082182E">
        <w:rPr>
          <w:rFonts w:ascii="Times New Roman" w:hAnsi="Times New Roman" w:cs="Times New Roman"/>
          <w:sz w:val="24"/>
          <w:szCs w:val="24"/>
          <w:lang w:val="ru-RU"/>
        </w:rPr>
        <w:t xml:space="preserve">, </w:t>
      </w:r>
      <w:r>
        <w:rPr>
          <w:rFonts w:ascii="Times New Roman" w:hAnsi="Times New Roman" w:cs="Times New Roman"/>
          <w:sz w:val="24"/>
          <w:szCs w:val="24"/>
        </w:rPr>
        <w:t>c</w:t>
      </w:r>
      <w:r w:rsidRPr="0082182E">
        <w:rPr>
          <w:rFonts w:ascii="Times New Roman" w:hAnsi="Times New Roman" w:cs="Times New Roman"/>
          <w:sz w:val="24"/>
          <w:szCs w:val="24"/>
          <w:lang w:val="ru-RU"/>
        </w:rPr>
        <w:t>. 178]</w:t>
      </w:r>
      <w:r>
        <w:rPr>
          <w:rFonts w:ascii="Times New Roman" w:hAnsi="Times New Roman" w:cs="Times New Roman"/>
          <w:sz w:val="24"/>
          <w:szCs w:val="24"/>
          <w:lang w:val="ru-RU"/>
        </w:rPr>
        <w:t>.</w:t>
      </w:r>
      <w:r w:rsidRPr="0082182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данном случае, если к нынешнему времени площадка поменяла владельца на </w:t>
      </w:r>
      <w:r>
        <w:rPr>
          <w:rFonts w:ascii="Times New Roman" w:hAnsi="Times New Roman" w:cs="Times New Roman"/>
          <w:sz w:val="24"/>
          <w:szCs w:val="24"/>
        </w:rPr>
        <w:t>Cboe</w:t>
      </w:r>
      <w:r w:rsidRPr="0082182E">
        <w:rPr>
          <w:rFonts w:ascii="Times New Roman" w:hAnsi="Times New Roman" w:cs="Times New Roman"/>
          <w:sz w:val="24"/>
          <w:szCs w:val="24"/>
          <w:lang w:val="ru-RU"/>
        </w:rPr>
        <w:t xml:space="preserve"> </w:t>
      </w:r>
      <w:r>
        <w:rPr>
          <w:rFonts w:ascii="Times New Roman" w:hAnsi="Times New Roman" w:cs="Times New Roman"/>
          <w:sz w:val="24"/>
          <w:szCs w:val="24"/>
        </w:rPr>
        <w:t>Global</w:t>
      </w:r>
      <w:r w:rsidRPr="0082182E">
        <w:rPr>
          <w:rFonts w:ascii="Times New Roman" w:hAnsi="Times New Roman" w:cs="Times New Roman"/>
          <w:sz w:val="24"/>
          <w:szCs w:val="24"/>
          <w:lang w:val="ru-RU"/>
        </w:rPr>
        <w:t xml:space="preserve"> </w:t>
      </w:r>
      <w:r>
        <w:rPr>
          <w:rFonts w:ascii="Times New Roman" w:hAnsi="Times New Roman" w:cs="Times New Roman"/>
          <w:sz w:val="24"/>
          <w:szCs w:val="24"/>
        </w:rPr>
        <w:t>Markets</w:t>
      </w:r>
      <w:r>
        <w:rPr>
          <w:rFonts w:ascii="Times New Roman" w:hAnsi="Times New Roman" w:cs="Times New Roman"/>
          <w:sz w:val="24"/>
          <w:szCs w:val="24"/>
          <w:lang w:val="ru-RU"/>
        </w:rPr>
        <w:t>, зарегистрированную в Чикаго, то Канзас-Сити исчез с карты «штаб-квартир» мировых финансов. Мы придерживаемся урбанистического подхода, близко связанного с</w:t>
      </w:r>
      <w:r w:rsidR="001675AC">
        <w:rPr>
          <w:rFonts w:ascii="Times New Roman" w:hAnsi="Times New Roman" w:cs="Times New Roman"/>
          <w:sz w:val="24"/>
          <w:szCs w:val="24"/>
          <w:lang w:val="ru-RU"/>
        </w:rPr>
        <w:t> </w:t>
      </w:r>
      <w:r>
        <w:rPr>
          <w:rFonts w:ascii="Times New Roman" w:hAnsi="Times New Roman" w:cs="Times New Roman"/>
          <w:sz w:val="24"/>
          <w:szCs w:val="24"/>
          <w:lang w:val="ru-RU"/>
        </w:rPr>
        <w:t>понятием «мировых городов», которые создают рабочую среду для финансового мира.</w:t>
      </w:r>
      <w:r w:rsidR="001675AC">
        <w:rPr>
          <w:rFonts w:ascii="Times New Roman" w:hAnsi="Times New Roman" w:cs="Times New Roman"/>
          <w:sz w:val="24"/>
          <w:szCs w:val="24"/>
          <w:lang w:val="ru-RU"/>
        </w:rPr>
        <w:t xml:space="preserve"> Такой подход характерен также для И. К. Ключникова.</w:t>
      </w:r>
      <w:r>
        <w:rPr>
          <w:rFonts w:ascii="Times New Roman" w:hAnsi="Times New Roman" w:cs="Times New Roman"/>
          <w:sz w:val="24"/>
          <w:szCs w:val="24"/>
          <w:lang w:val="ru-RU"/>
        </w:rPr>
        <w:t xml:space="preserve"> Тогда как офшорные центры – это зоны интересов определённых финансовых центров, способность которых регулировать финансовые потоки определяется формальными или неформальными договорённостями мировых финансовых центров. В связи с этим мы несколько скептически относимся к попыткам перенести методы анализа финансовой системы страны к финансовой системе города, в котором находится фондовая биржа. В обратном случае малые страны: Сингапур, Люксембург, Андорра – будут находится в более выигрышном положении, чем Москва, Париж и Стокгольм.</w:t>
      </w:r>
    </w:p>
    <w:p w14:paraId="336B462F" w14:textId="4D17A8E1" w:rsidR="008338D9" w:rsidRDefault="008338D9" w:rsidP="008338D9">
      <w:pPr>
        <w:spacing w:after="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Схожий набор характеристик предлагает Е. В. Семенцова, перечисляющая набор финансовых рынков, оборот которых может проходить на площадке МФЦ </w:t>
      </w:r>
      <w:r w:rsidRPr="008F5546">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_Ref136081694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123</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с. 80–82</w:t>
      </w:r>
      <w:r w:rsidRPr="008F5546">
        <w:rPr>
          <w:rFonts w:ascii="Times New Roman" w:hAnsi="Times New Roman" w:cs="Times New Roman"/>
          <w:sz w:val="24"/>
          <w:szCs w:val="24"/>
          <w:lang w:val="ru-RU"/>
        </w:rPr>
        <w:t>]</w:t>
      </w:r>
      <w:r>
        <w:rPr>
          <w:rFonts w:ascii="Times New Roman" w:hAnsi="Times New Roman" w:cs="Times New Roman"/>
          <w:sz w:val="24"/>
          <w:szCs w:val="24"/>
          <w:lang w:val="ru-RU"/>
        </w:rPr>
        <w:t>:</w:t>
      </w:r>
    </w:p>
    <w:p w14:paraId="357044C1" w14:textId="77777777" w:rsidR="008338D9" w:rsidRDefault="008338D9" w:rsidP="008338D9">
      <w:pPr>
        <w:pStyle w:val="af3"/>
        <w:numPr>
          <w:ilvl w:val="0"/>
          <w:numId w:val="16"/>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рынок валют, </w:t>
      </w:r>
    </w:p>
    <w:p w14:paraId="2F0A6520" w14:textId="77777777" w:rsidR="008338D9" w:rsidRDefault="008338D9" w:rsidP="008338D9">
      <w:pPr>
        <w:pStyle w:val="af3"/>
        <w:numPr>
          <w:ilvl w:val="0"/>
          <w:numId w:val="16"/>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рынок капитала (рынок акций, внутренний и внешний рынок облигаций), </w:t>
      </w:r>
    </w:p>
    <w:p w14:paraId="3CD63B44" w14:textId="77777777" w:rsidR="008338D9" w:rsidRDefault="008338D9" w:rsidP="008338D9">
      <w:pPr>
        <w:pStyle w:val="af3"/>
        <w:numPr>
          <w:ilvl w:val="0"/>
          <w:numId w:val="16"/>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денежный рынок</w:t>
      </w:r>
    </w:p>
    <w:p w14:paraId="01AC73DA" w14:textId="77777777" w:rsidR="008338D9" w:rsidRDefault="008338D9" w:rsidP="008338D9">
      <w:pPr>
        <w:pStyle w:val="af3"/>
        <w:numPr>
          <w:ilvl w:val="0"/>
          <w:numId w:val="16"/>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рынок сырьевых товаров (прежде всего золото и нефть), </w:t>
      </w:r>
    </w:p>
    <w:p w14:paraId="4FE524FF" w14:textId="77777777" w:rsidR="008338D9" w:rsidRPr="008F5546" w:rsidRDefault="008338D9" w:rsidP="008338D9">
      <w:pPr>
        <w:pStyle w:val="af3"/>
        <w:numPr>
          <w:ilvl w:val="0"/>
          <w:numId w:val="16"/>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рынок производственных финансовых инструментов (деривативов). </w:t>
      </w:r>
    </w:p>
    <w:p w14:paraId="24C92A53" w14:textId="662CFF2D" w:rsidR="008338D9" w:rsidRDefault="008338D9" w:rsidP="008338D9">
      <w:pPr>
        <w:spacing w:after="0" w:line="360" w:lineRule="auto"/>
        <w:ind w:firstLine="709"/>
        <w:contextualSpacing/>
        <w:jc w:val="both"/>
        <w:rPr>
          <w:rFonts w:ascii="Times New Roman" w:hAnsi="Times New Roman" w:cs="Times New Roman"/>
          <w:sz w:val="24"/>
          <w:szCs w:val="24"/>
          <w:lang w:val="ru-RU"/>
        </w:rPr>
      </w:pPr>
      <w:r w:rsidRPr="00A57156">
        <w:rPr>
          <w:rFonts w:ascii="Times New Roman" w:hAnsi="Times New Roman" w:cs="Times New Roman"/>
          <w:sz w:val="24"/>
          <w:szCs w:val="24"/>
          <w:lang w:val="ru-RU"/>
        </w:rPr>
        <w:t>Большим преимуществом её исследования является то, что она проводит попытку сделать оценки на статистических материалах Банка Международных Расчётов (показатель внешнего рынка облигация (</w:t>
      </w:r>
      <w:r w:rsidRPr="00A57156">
        <w:rPr>
          <w:rFonts w:ascii="Times New Roman" w:hAnsi="Times New Roman" w:cs="Times New Roman"/>
          <w:sz w:val="24"/>
          <w:szCs w:val="24"/>
        </w:rPr>
        <w:t>Amount</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outstanding</w:t>
      </w:r>
      <w:r w:rsidRPr="00A57156">
        <w:rPr>
          <w:rFonts w:ascii="Times New Roman" w:hAnsi="Times New Roman" w:cs="Times New Roman"/>
          <w:sz w:val="24"/>
          <w:szCs w:val="24"/>
          <w:lang w:val="ru-RU"/>
        </w:rPr>
        <w:t>), денежного рынка (</w:t>
      </w:r>
      <w:r w:rsidRPr="00A57156">
        <w:rPr>
          <w:rFonts w:ascii="Times New Roman" w:hAnsi="Times New Roman" w:cs="Times New Roman"/>
          <w:sz w:val="24"/>
          <w:szCs w:val="24"/>
        </w:rPr>
        <w:t>Amount</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outstanding</w:t>
      </w:r>
      <w:r w:rsidRPr="00A57156">
        <w:rPr>
          <w:rFonts w:ascii="Times New Roman" w:hAnsi="Times New Roman" w:cs="Times New Roman"/>
          <w:sz w:val="24"/>
          <w:szCs w:val="24"/>
          <w:lang w:val="ru-RU"/>
        </w:rPr>
        <w:t>), рынка валют (</w:t>
      </w:r>
      <w:r w:rsidRPr="00A57156">
        <w:rPr>
          <w:rFonts w:ascii="Times New Roman" w:hAnsi="Times New Roman" w:cs="Times New Roman"/>
          <w:sz w:val="24"/>
          <w:szCs w:val="24"/>
        </w:rPr>
        <w:t>Foreign</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exchange</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market</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and</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OTC</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derivatives</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turnover</w:t>
      </w:r>
      <w:r w:rsidRPr="00A57156">
        <w:rPr>
          <w:rFonts w:ascii="Times New Roman" w:hAnsi="Times New Roman" w:cs="Times New Roman"/>
          <w:sz w:val="24"/>
          <w:szCs w:val="24"/>
          <w:lang w:val="ru-RU"/>
        </w:rPr>
        <w:t>), рынка синдицированных кредитов (</w:t>
      </w:r>
      <w:r w:rsidRPr="00A57156">
        <w:rPr>
          <w:rFonts w:ascii="Times New Roman" w:hAnsi="Times New Roman" w:cs="Times New Roman"/>
          <w:sz w:val="24"/>
          <w:szCs w:val="24"/>
        </w:rPr>
        <w:t>Signed</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international</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syndicated</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credit</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facilities</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by</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nationality</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of</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borrower</w:t>
      </w:r>
      <w:r w:rsidRPr="00A57156">
        <w:rPr>
          <w:rFonts w:ascii="Times New Roman" w:hAnsi="Times New Roman" w:cs="Times New Roman"/>
          <w:sz w:val="24"/>
          <w:szCs w:val="24"/>
          <w:lang w:val="ru-RU"/>
        </w:rPr>
        <w:t>)), Международной Федерации Бирж (два показателя рынка акци</w:t>
      </w:r>
      <w:r>
        <w:rPr>
          <w:rFonts w:ascii="Times New Roman" w:hAnsi="Times New Roman" w:cs="Times New Roman"/>
          <w:sz w:val="24"/>
          <w:szCs w:val="24"/>
          <w:lang w:val="ru-RU"/>
        </w:rPr>
        <w:t>й</w:t>
      </w:r>
      <w:r w:rsidRPr="00A57156">
        <w:rPr>
          <w:rFonts w:ascii="Times New Roman" w:hAnsi="Times New Roman" w:cs="Times New Roman"/>
          <w:sz w:val="24"/>
          <w:szCs w:val="24"/>
          <w:lang w:val="ru-RU"/>
        </w:rPr>
        <w:t>: 1) рыночная капитализация (</w:t>
      </w:r>
      <w:r w:rsidRPr="00A57156">
        <w:rPr>
          <w:rFonts w:ascii="Times New Roman" w:hAnsi="Times New Roman" w:cs="Times New Roman"/>
          <w:sz w:val="24"/>
          <w:szCs w:val="24"/>
        </w:rPr>
        <w:t>Market</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capitalization</w:t>
      </w:r>
      <w:r w:rsidRPr="00A57156">
        <w:rPr>
          <w:rFonts w:ascii="Times New Roman" w:hAnsi="Times New Roman" w:cs="Times New Roman"/>
          <w:sz w:val="24"/>
          <w:szCs w:val="24"/>
          <w:lang w:val="ru-RU"/>
        </w:rPr>
        <w:t>), 2) объём торгов (</w:t>
      </w:r>
      <w:r w:rsidRPr="00A57156">
        <w:rPr>
          <w:rFonts w:ascii="Times New Roman" w:hAnsi="Times New Roman" w:cs="Times New Roman"/>
          <w:sz w:val="24"/>
          <w:szCs w:val="24"/>
        </w:rPr>
        <w:t>Value</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of</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share</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trading</w:t>
      </w:r>
      <w:r w:rsidRPr="00A57156">
        <w:rPr>
          <w:rFonts w:ascii="Times New Roman" w:hAnsi="Times New Roman" w:cs="Times New Roman"/>
          <w:sz w:val="24"/>
          <w:szCs w:val="24"/>
          <w:lang w:val="ru-RU"/>
        </w:rPr>
        <w:t>)</w:t>
      </w:r>
      <w:r>
        <w:rPr>
          <w:rFonts w:ascii="Times New Roman" w:hAnsi="Times New Roman" w:cs="Times New Roman"/>
          <w:sz w:val="24"/>
          <w:szCs w:val="24"/>
          <w:lang w:val="ru-RU"/>
        </w:rPr>
        <w:t>;</w:t>
      </w:r>
      <w:r w:rsidRPr="00A57156">
        <w:rPr>
          <w:rFonts w:ascii="Times New Roman" w:hAnsi="Times New Roman" w:cs="Times New Roman"/>
          <w:sz w:val="24"/>
          <w:szCs w:val="24"/>
          <w:lang w:val="ru-RU"/>
        </w:rPr>
        <w:t xml:space="preserve"> два показателя внутреннего рынка облигаций: 1) </w:t>
      </w:r>
      <w:r>
        <w:rPr>
          <w:rFonts w:ascii="Times New Roman" w:hAnsi="Times New Roman" w:cs="Times New Roman"/>
          <w:sz w:val="24"/>
          <w:szCs w:val="24"/>
          <w:lang w:val="ru-RU"/>
        </w:rPr>
        <w:t xml:space="preserve">общая </w:t>
      </w:r>
      <w:r w:rsidRPr="00A57156">
        <w:rPr>
          <w:rFonts w:ascii="Times New Roman" w:hAnsi="Times New Roman" w:cs="Times New Roman"/>
          <w:sz w:val="24"/>
          <w:szCs w:val="24"/>
          <w:lang w:val="ru-RU"/>
        </w:rPr>
        <w:t xml:space="preserve">стоимость </w:t>
      </w:r>
      <w:r>
        <w:rPr>
          <w:rFonts w:ascii="Times New Roman" w:hAnsi="Times New Roman" w:cs="Times New Roman"/>
          <w:sz w:val="24"/>
          <w:szCs w:val="24"/>
          <w:lang w:val="ru-RU"/>
        </w:rPr>
        <w:t xml:space="preserve">котирующихся облигаций </w:t>
      </w:r>
      <w:r w:rsidRPr="00A57156">
        <w:rPr>
          <w:rFonts w:ascii="Times New Roman" w:hAnsi="Times New Roman" w:cs="Times New Roman"/>
          <w:sz w:val="24"/>
          <w:szCs w:val="24"/>
          <w:lang w:val="ru-RU"/>
        </w:rPr>
        <w:t>(</w:t>
      </w:r>
      <w:r w:rsidRPr="00A57156">
        <w:rPr>
          <w:rFonts w:ascii="Times New Roman" w:hAnsi="Times New Roman" w:cs="Times New Roman"/>
          <w:sz w:val="24"/>
          <w:szCs w:val="24"/>
        </w:rPr>
        <w:t>Total</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value</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of</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bonds</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listed</w:t>
      </w:r>
      <w:r w:rsidRPr="00A57156">
        <w:rPr>
          <w:rFonts w:ascii="Times New Roman" w:hAnsi="Times New Roman" w:cs="Times New Roman"/>
          <w:sz w:val="24"/>
          <w:szCs w:val="24"/>
          <w:lang w:val="ru-RU"/>
        </w:rPr>
        <w:t xml:space="preserve">), 2) объём торгов </w:t>
      </w:r>
      <w:r>
        <w:rPr>
          <w:rFonts w:ascii="Times New Roman" w:hAnsi="Times New Roman" w:cs="Times New Roman"/>
          <w:sz w:val="24"/>
          <w:szCs w:val="24"/>
          <w:lang w:val="ru-RU"/>
        </w:rPr>
        <w:t xml:space="preserve">облигаций </w:t>
      </w:r>
      <w:r w:rsidRPr="00A57156">
        <w:rPr>
          <w:rFonts w:ascii="Times New Roman" w:hAnsi="Times New Roman" w:cs="Times New Roman"/>
          <w:sz w:val="24"/>
          <w:szCs w:val="24"/>
          <w:lang w:val="ru-RU"/>
        </w:rPr>
        <w:t>(</w:t>
      </w:r>
      <w:r w:rsidRPr="00A57156">
        <w:rPr>
          <w:rFonts w:ascii="Times New Roman" w:hAnsi="Times New Roman" w:cs="Times New Roman"/>
          <w:sz w:val="24"/>
          <w:szCs w:val="24"/>
        </w:rPr>
        <w:t>Value</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of</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bond</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trading</w:t>
      </w:r>
      <w:r w:rsidRPr="00A57156">
        <w:rPr>
          <w:rFonts w:ascii="Times New Roman" w:hAnsi="Times New Roman" w:cs="Times New Roman"/>
          <w:sz w:val="24"/>
          <w:szCs w:val="24"/>
          <w:lang w:val="ru-RU"/>
        </w:rPr>
        <w:t>), Мирового Совета по Золоту (</w:t>
      </w:r>
      <w:r w:rsidRPr="00A57156">
        <w:rPr>
          <w:rFonts w:ascii="Times New Roman" w:hAnsi="Times New Roman" w:cs="Times New Roman"/>
          <w:sz w:val="24"/>
          <w:szCs w:val="24"/>
        </w:rPr>
        <w:t>World</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Gold</w:t>
      </w:r>
      <w:r w:rsidRPr="00A57156">
        <w:rPr>
          <w:rFonts w:ascii="Times New Roman" w:hAnsi="Times New Roman" w:cs="Times New Roman"/>
          <w:sz w:val="24"/>
          <w:szCs w:val="24"/>
          <w:lang w:val="ru-RU"/>
        </w:rPr>
        <w:t xml:space="preserve"> </w:t>
      </w:r>
      <w:r w:rsidRPr="00A57156">
        <w:rPr>
          <w:rFonts w:ascii="Times New Roman" w:hAnsi="Times New Roman" w:cs="Times New Roman"/>
          <w:sz w:val="24"/>
          <w:szCs w:val="24"/>
        </w:rPr>
        <w:t>Council</w:t>
      </w:r>
      <w:r w:rsidRPr="00A5715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Pr="00016486">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_Ref136081694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123</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с.</w:t>
      </w:r>
      <w:r w:rsidRPr="00F71E36">
        <w:rPr>
          <w:rFonts w:ascii="Times New Roman" w:hAnsi="Times New Roman" w:cs="Times New Roman"/>
          <w:sz w:val="24"/>
          <w:szCs w:val="24"/>
          <w:lang w:val="ru-RU"/>
        </w:rPr>
        <w:t>83</w:t>
      </w:r>
      <w:r w:rsidRPr="00016486">
        <w:rPr>
          <w:rFonts w:ascii="Times New Roman" w:hAnsi="Times New Roman" w:cs="Times New Roman"/>
          <w:sz w:val="24"/>
          <w:szCs w:val="24"/>
          <w:lang w:val="ru-RU"/>
        </w:rPr>
        <w:t>]</w:t>
      </w:r>
      <w:r w:rsidRPr="00A57156">
        <w:rPr>
          <w:rFonts w:ascii="Times New Roman" w:hAnsi="Times New Roman" w:cs="Times New Roman"/>
          <w:sz w:val="24"/>
          <w:szCs w:val="24"/>
          <w:lang w:val="ru-RU"/>
        </w:rPr>
        <w:t xml:space="preserve">. </w:t>
      </w:r>
      <w:r>
        <w:rPr>
          <w:rFonts w:ascii="Times New Roman" w:hAnsi="Times New Roman" w:cs="Times New Roman"/>
          <w:sz w:val="24"/>
          <w:szCs w:val="24"/>
          <w:lang w:val="ru-RU"/>
        </w:rPr>
        <w:t>Однако фактически всё сводится к суммированию всех показателей по странам (то есть в качестве МФЦ упоминаются, в основном, политические столицы), в тому же в получившемся рейтинге выигрывают страны с акцентом на развитие финансовых рынков, так показатели биржевой и валютной торговли всегда имеют более крупные значения</w:t>
      </w:r>
      <w:r w:rsidRPr="00016486">
        <w:rPr>
          <w:rFonts w:ascii="Times New Roman" w:hAnsi="Times New Roman" w:cs="Times New Roman"/>
          <w:sz w:val="24"/>
          <w:szCs w:val="24"/>
          <w:lang w:val="ru-RU"/>
        </w:rPr>
        <w:t xml:space="preserve"> </w:t>
      </w:r>
      <w:r w:rsidRPr="008F5546">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_Ref136081694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123</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xml:space="preserve">, с. </w:t>
      </w:r>
      <w:r w:rsidRPr="00016486">
        <w:rPr>
          <w:rFonts w:ascii="Times New Roman" w:hAnsi="Times New Roman" w:cs="Times New Roman"/>
          <w:sz w:val="24"/>
          <w:szCs w:val="24"/>
          <w:lang w:val="ru-RU"/>
        </w:rPr>
        <w:t>88]</w:t>
      </w:r>
      <w:r>
        <w:rPr>
          <w:rFonts w:ascii="Times New Roman" w:hAnsi="Times New Roman" w:cs="Times New Roman"/>
          <w:sz w:val="24"/>
          <w:szCs w:val="24"/>
          <w:lang w:val="ru-RU"/>
        </w:rPr>
        <w:t xml:space="preserve">. </w:t>
      </w:r>
    </w:p>
    <w:p w14:paraId="54697AE8" w14:textId="0F16D28F" w:rsidR="008338D9" w:rsidRDefault="008338D9" w:rsidP="008338D9">
      <w:pPr>
        <w:spacing w:after="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Данный подход можно дополнить некоторыми критериями глобальных городов, перечисленными И. К. Ключниковым </w:t>
      </w:r>
      <w:r w:rsidRPr="00A32419">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_Ref135077669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88</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xml:space="preserve">; </w:t>
      </w:r>
      <w:r>
        <w:rPr>
          <w:rFonts w:ascii="Times New Roman" w:hAnsi="Times New Roman" w:cs="Times New Roman"/>
          <w:sz w:val="24"/>
          <w:szCs w:val="24"/>
        </w:rPr>
        <w:t>c</w:t>
      </w:r>
      <w:r w:rsidRPr="00A32419">
        <w:rPr>
          <w:rFonts w:ascii="Times New Roman" w:hAnsi="Times New Roman" w:cs="Times New Roman"/>
          <w:sz w:val="24"/>
          <w:szCs w:val="24"/>
          <w:lang w:val="ru-RU"/>
        </w:rPr>
        <w:t>. 85</w:t>
      </w:r>
      <w:r>
        <w:rPr>
          <w:rFonts w:ascii="Times New Roman" w:hAnsi="Times New Roman" w:cs="Times New Roman"/>
          <w:sz w:val="24"/>
          <w:szCs w:val="24"/>
          <w:lang w:val="ru-RU"/>
        </w:rPr>
        <w:t>–</w:t>
      </w:r>
      <w:r w:rsidRPr="00A32419">
        <w:rPr>
          <w:rFonts w:ascii="Times New Roman" w:hAnsi="Times New Roman" w:cs="Times New Roman"/>
          <w:sz w:val="24"/>
          <w:szCs w:val="24"/>
          <w:lang w:val="ru-RU"/>
        </w:rPr>
        <w:t>87]</w:t>
      </w:r>
      <w:r>
        <w:rPr>
          <w:rFonts w:ascii="Times New Roman" w:hAnsi="Times New Roman" w:cs="Times New Roman"/>
          <w:sz w:val="24"/>
          <w:szCs w:val="24"/>
          <w:lang w:val="ru-RU"/>
        </w:rPr>
        <w:t xml:space="preserve">: </w:t>
      </w:r>
    </w:p>
    <w:p w14:paraId="6D9CFE6E" w14:textId="77777777" w:rsidR="008338D9" w:rsidRDefault="008338D9" w:rsidP="008338D9">
      <w:pPr>
        <w:pStyle w:val="af3"/>
        <w:numPr>
          <w:ilvl w:val="0"/>
          <w:numId w:val="17"/>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Политический вес (наличие штаб-квартир международных организаций, частое упоминание в СМИ);</w:t>
      </w:r>
    </w:p>
    <w:p w14:paraId="3AD9AE3C" w14:textId="77777777" w:rsidR="008338D9" w:rsidRDefault="008338D9" w:rsidP="008338D9">
      <w:pPr>
        <w:pStyle w:val="af3"/>
        <w:numPr>
          <w:ilvl w:val="0"/>
          <w:numId w:val="17"/>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Инфраструктурное обеспечение (развитость транспортной и коммуникационных систем);</w:t>
      </w:r>
    </w:p>
    <w:p w14:paraId="4BFDF968" w14:textId="77777777" w:rsidR="008338D9" w:rsidRDefault="008338D9" w:rsidP="008338D9">
      <w:pPr>
        <w:pStyle w:val="af3"/>
        <w:numPr>
          <w:ilvl w:val="0"/>
          <w:numId w:val="17"/>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Качество жизни (развитая система здравоохранения, низкий уровень преступности);</w:t>
      </w:r>
    </w:p>
    <w:p w14:paraId="6955DACD" w14:textId="77777777" w:rsidR="008338D9" w:rsidRPr="00F71E36" w:rsidRDefault="008338D9" w:rsidP="008338D9">
      <w:pPr>
        <w:pStyle w:val="af3"/>
        <w:numPr>
          <w:ilvl w:val="0"/>
          <w:numId w:val="17"/>
        </w:numPr>
        <w:spacing w:after="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Человеческий капитал (размер населения и его уровень образования, заметная роль экспатриантов в экономической жизни).</w:t>
      </w:r>
    </w:p>
    <w:p w14:paraId="1DB7EA61" w14:textId="66165503" w:rsidR="008338D9" w:rsidRDefault="008338D9" w:rsidP="008338D9">
      <w:pPr>
        <w:spacing w:after="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Качественные методы подразумевают сбор оценок экспертных кругов о деятельности финансовых институтов в том или ином городе. Такие опросы могу проводиться разово, как например, обзор, подготовленный агентством «Оливер Вайман» (</w:t>
      </w:r>
      <w:r>
        <w:rPr>
          <w:rFonts w:ascii="Times New Roman" w:hAnsi="Times New Roman" w:cs="Times New Roman"/>
          <w:sz w:val="24"/>
          <w:szCs w:val="24"/>
        </w:rPr>
        <w:t>Oliver</w:t>
      </w:r>
      <w:r w:rsidRPr="00DA50B5">
        <w:rPr>
          <w:rFonts w:ascii="Times New Roman" w:hAnsi="Times New Roman" w:cs="Times New Roman"/>
          <w:sz w:val="24"/>
          <w:szCs w:val="24"/>
          <w:lang w:val="ru-RU"/>
        </w:rPr>
        <w:t xml:space="preserve"> </w:t>
      </w:r>
      <w:r>
        <w:rPr>
          <w:rFonts w:ascii="Times New Roman" w:hAnsi="Times New Roman" w:cs="Times New Roman"/>
          <w:sz w:val="24"/>
          <w:szCs w:val="24"/>
        </w:rPr>
        <w:t>Wayman</w:t>
      </w:r>
      <w:r>
        <w:rPr>
          <w:rFonts w:ascii="Times New Roman" w:hAnsi="Times New Roman" w:cs="Times New Roman"/>
          <w:sz w:val="24"/>
          <w:szCs w:val="24"/>
          <w:lang w:val="ru-RU"/>
        </w:rPr>
        <w:t xml:space="preserve">) по заказу </w:t>
      </w:r>
      <w:r>
        <w:rPr>
          <w:rFonts w:ascii="Times New Roman" w:hAnsi="Times New Roman" w:cs="Times New Roman"/>
          <w:sz w:val="24"/>
          <w:szCs w:val="24"/>
          <w:lang w:val="ru-RU"/>
        </w:rPr>
        <w:lastRenderedPageBreak/>
        <w:t>группы при Президенте РФ по созданию международного финансового центра в 201</w:t>
      </w:r>
      <w:r w:rsidRPr="00A676AB">
        <w:rPr>
          <w:rFonts w:ascii="Times New Roman" w:hAnsi="Times New Roman" w:cs="Times New Roman"/>
          <w:sz w:val="24"/>
          <w:szCs w:val="24"/>
          <w:lang w:val="ru-RU"/>
        </w:rPr>
        <w:t>1</w:t>
      </w:r>
      <w:r>
        <w:rPr>
          <w:rFonts w:ascii="Times New Roman" w:hAnsi="Times New Roman" w:cs="Times New Roman"/>
          <w:sz w:val="24"/>
          <w:szCs w:val="24"/>
          <w:lang w:val="ru-RU"/>
        </w:rPr>
        <w:t xml:space="preserve"> году. Он описывает собранные весной 2011 года мнения 260 иностранных экспертов, действующих на российском финансовом рынке, о возможности Москвы стать финансовым центром</w:t>
      </w:r>
      <w:r w:rsidRPr="00A676AB">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_Ref136085359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203</w:t>
      </w:r>
      <w:r>
        <w:rPr>
          <w:rFonts w:ascii="Times New Roman" w:hAnsi="Times New Roman" w:cs="Times New Roman"/>
          <w:sz w:val="24"/>
          <w:szCs w:val="24"/>
          <w:lang w:val="ru-RU"/>
        </w:rPr>
        <w:fldChar w:fldCharType="end"/>
      </w:r>
      <w:r w:rsidRPr="00A676AB">
        <w:rPr>
          <w:rFonts w:ascii="Times New Roman" w:hAnsi="Times New Roman" w:cs="Times New Roman"/>
          <w:sz w:val="24"/>
          <w:szCs w:val="24"/>
          <w:lang w:val="ru-RU"/>
        </w:rPr>
        <w:t>]</w:t>
      </w:r>
      <w:r>
        <w:rPr>
          <w:rFonts w:ascii="Times New Roman" w:hAnsi="Times New Roman" w:cs="Times New Roman"/>
          <w:sz w:val="24"/>
          <w:szCs w:val="24"/>
          <w:lang w:val="ru-RU"/>
        </w:rPr>
        <w:t xml:space="preserve">. В обзоре представлена выборка опрошенных по суботраслям (банкинг, брокерские услуги, управление капиталом и т. д.) и непосредственно их ответы в виде графиков. </w:t>
      </w:r>
    </w:p>
    <w:p w14:paraId="33A7410A" w14:textId="78EFC59C" w:rsidR="008338D9" w:rsidRDefault="008338D9" w:rsidP="008338D9">
      <w:pPr>
        <w:spacing w:after="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Другой подход демонстрируют составители индексов глобальных финансовых центров. Они частично раскрывают способ сбора оценок от пользователей: 1) оценки собираются на сайте индекса и по электронной рассылке, 3) в 33 выпуске использовались ответы от 10 252 респондентов, от которых в целом было получено 61 449 оценок (то есть около 6 оценок от человека), 4) ответы были получены в течение последних 24 месяцев, но вес их уменьшался по мере устаревания по логарифмической кривой, 4) 68% ответов пришло от респондентов из 4</w:t>
      </w:r>
      <w:r>
        <w:rPr>
          <w:rFonts w:ascii="Times New Roman" w:hAnsi="Times New Roman" w:cs="Times New Roman"/>
          <w:sz w:val="24"/>
          <w:szCs w:val="24"/>
          <w:lang w:val="ru-RU"/>
        </w:rPr>
        <w:noBreakHyphen/>
        <w:t xml:space="preserve">х сфер: «профессиональные услуги» (16%), «банкинг» (13%), «управление инвестициями» (10%), «не определено» (29%), 4) если респондент смог оценить менее 3-х центров или более половины из 130 предложенных центров, то его ответы не засчитываются, 5) не засчитываются также оценки «домашнего центра» респондента, 6) </w:t>
      </w:r>
      <w:r w:rsidRPr="004F05A0">
        <w:rPr>
          <w:rFonts w:ascii="Times New Roman" w:hAnsi="Times New Roman" w:cs="Times New Roman"/>
          <w:sz w:val="24"/>
          <w:szCs w:val="24"/>
          <w:lang w:val="ru-RU"/>
        </w:rPr>
        <w:t xml:space="preserve">58% </w:t>
      </w:r>
      <w:r>
        <w:rPr>
          <w:rFonts w:ascii="Times New Roman" w:hAnsi="Times New Roman" w:cs="Times New Roman"/>
          <w:sz w:val="24"/>
          <w:szCs w:val="24"/>
          <w:lang w:val="ru-RU"/>
        </w:rPr>
        <w:t xml:space="preserve">респондентов представляют Азию и Тихоокеанский регион, Западную Европу представляют 16% респондентов, Китай – 7%, Восточную Европу и Среднюю Азию – 2%, 7) респонденты, работающие в компаниях с числом сотрудников от 1000 и выше, составляют 44% опрошенных </w:t>
      </w:r>
      <w:r w:rsidRPr="00AD1E89">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_Ref130564109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233</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xml:space="preserve">; </w:t>
      </w:r>
      <w:r>
        <w:rPr>
          <w:rFonts w:ascii="Times New Roman" w:hAnsi="Times New Roman" w:cs="Times New Roman"/>
          <w:sz w:val="24"/>
          <w:szCs w:val="24"/>
        </w:rPr>
        <w:t>c</w:t>
      </w:r>
      <w:r w:rsidRPr="00AD1E89">
        <w:rPr>
          <w:rFonts w:ascii="Times New Roman" w:hAnsi="Times New Roman" w:cs="Times New Roman"/>
          <w:sz w:val="24"/>
          <w:szCs w:val="24"/>
          <w:lang w:val="ru-RU"/>
        </w:rPr>
        <w:t>. 45]</w:t>
      </w:r>
      <w:r>
        <w:rPr>
          <w:rFonts w:ascii="Times New Roman" w:hAnsi="Times New Roman" w:cs="Times New Roman"/>
          <w:sz w:val="24"/>
          <w:szCs w:val="24"/>
          <w:lang w:val="ru-RU"/>
        </w:rPr>
        <w:t>. Получить более подробную методику не представляется возможным.</w:t>
      </w:r>
    </w:p>
    <w:p w14:paraId="3276E025" w14:textId="77777777" w:rsidR="008338D9" w:rsidRDefault="008338D9" w:rsidP="008338D9">
      <w:pPr>
        <w:spacing w:after="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Другой способ оценки МФЦ представляет собой комбинированный вариант: использование количественных данных и ответов респондентов. </w:t>
      </w:r>
    </w:p>
    <w:p w14:paraId="1581B82C" w14:textId="77777777" w:rsidR="008338D9" w:rsidRDefault="008338D9" w:rsidP="008338D9">
      <w:pPr>
        <w:spacing w:before="100" w:beforeAutospacing="1" w:after="100" w:afterAutospacing="1"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sz w:val="24"/>
          <w:szCs w:val="24"/>
          <w:lang w:val="ru-RU"/>
        </w:rPr>
        <w:t>Примером максимально сконцентрированной оценки МФЦ являются рейтинги. Изучим примеры наиболее популярных из них, ссылки на которые давала госпрограмма по развитию мирового финансового центра в Москве: 1) британский индекс глобальных финансовых центров (</w:t>
      </w:r>
      <w:r>
        <w:rPr>
          <w:rFonts w:ascii="Times New Roman" w:hAnsi="Times New Roman" w:cs="Times New Roman"/>
          <w:sz w:val="24"/>
          <w:szCs w:val="24"/>
        </w:rPr>
        <w:t>Global</w:t>
      </w:r>
      <w:r w:rsidRPr="00CA01C4">
        <w:rPr>
          <w:rFonts w:ascii="Times New Roman" w:hAnsi="Times New Roman" w:cs="Times New Roman"/>
          <w:sz w:val="24"/>
          <w:szCs w:val="24"/>
          <w:lang w:val="ru-RU"/>
        </w:rPr>
        <w:t xml:space="preserve"> </w:t>
      </w:r>
      <w:r>
        <w:rPr>
          <w:rFonts w:ascii="Times New Roman" w:hAnsi="Times New Roman" w:cs="Times New Roman"/>
          <w:sz w:val="24"/>
          <w:szCs w:val="24"/>
        </w:rPr>
        <w:t>Financial</w:t>
      </w:r>
      <w:r w:rsidRPr="00CA01C4">
        <w:rPr>
          <w:rFonts w:ascii="Times New Roman" w:hAnsi="Times New Roman" w:cs="Times New Roman"/>
          <w:sz w:val="24"/>
          <w:szCs w:val="24"/>
          <w:lang w:val="ru-RU"/>
        </w:rPr>
        <w:t xml:space="preserve"> </w:t>
      </w:r>
      <w:r>
        <w:rPr>
          <w:rFonts w:ascii="Times New Roman" w:hAnsi="Times New Roman" w:cs="Times New Roman"/>
          <w:sz w:val="24"/>
          <w:szCs w:val="24"/>
        </w:rPr>
        <w:t>Centre</w:t>
      </w:r>
      <w:r w:rsidRPr="00CA01C4">
        <w:rPr>
          <w:rFonts w:ascii="Times New Roman" w:hAnsi="Times New Roman" w:cs="Times New Roman"/>
          <w:sz w:val="24"/>
          <w:szCs w:val="24"/>
          <w:lang w:val="ru-RU"/>
        </w:rPr>
        <w:t xml:space="preserve"> </w:t>
      </w:r>
      <w:r>
        <w:rPr>
          <w:rFonts w:ascii="Times New Roman" w:hAnsi="Times New Roman" w:cs="Times New Roman"/>
          <w:sz w:val="24"/>
          <w:szCs w:val="24"/>
        </w:rPr>
        <w:t>Index</w:t>
      </w:r>
      <w:r>
        <w:rPr>
          <w:rFonts w:ascii="Times New Roman" w:hAnsi="Times New Roman" w:cs="Times New Roman"/>
          <w:sz w:val="24"/>
          <w:szCs w:val="24"/>
          <w:lang w:val="ru-RU"/>
        </w:rPr>
        <w:t xml:space="preserve">, далее – </w:t>
      </w:r>
      <w:r>
        <w:rPr>
          <w:rFonts w:ascii="Times New Roman" w:hAnsi="Times New Roman" w:cs="Times New Roman"/>
          <w:sz w:val="24"/>
          <w:szCs w:val="24"/>
        </w:rPr>
        <w:t>GFCI</w:t>
      </w:r>
      <w:r w:rsidRPr="00CA01C4">
        <w:rPr>
          <w:rFonts w:ascii="Times New Roman" w:hAnsi="Times New Roman" w:cs="Times New Roman"/>
          <w:sz w:val="24"/>
          <w:szCs w:val="24"/>
          <w:lang w:val="ru-RU"/>
        </w:rPr>
        <w:t xml:space="preserve">), 2) </w:t>
      </w:r>
      <w:r>
        <w:rPr>
          <w:rFonts w:ascii="Times New Roman" w:hAnsi="Times New Roman" w:cs="Times New Roman"/>
          <w:sz w:val="24"/>
          <w:szCs w:val="24"/>
          <w:lang w:val="ru-RU"/>
        </w:rPr>
        <w:t xml:space="preserve">китайский </w:t>
      </w:r>
      <w:r w:rsidRPr="00674560">
        <w:rPr>
          <w:rFonts w:ascii="Times New Roman" w:hAnsi="Times New Roman" w:cs="Times New Roman"/>
          <w:sz w:val="24"/>
          <w:szCs w:val="24"/>
          <w:lang w:val="ru-RU"/>
        </w:rPr>
        <w:t>и</w:t>
      </w:r>
      <w:r w:rsidRPr="00674560">
        <w:rPr>
          <w:rFonts w:ascii="Times New Roman" w:hAnsi="Times New Roman" w:cs="Times New Roman"/>
          <w:color w:val="000000"/>
          <w:sz w:val="24"/>
          <w:szCs w:val="24"/>
          <w:shd w:val="clear" w:color="auto" w:fill="FFFFFF"/>
          <w:lang w:val="ru-RU"/>
        </w:rPr>
        <w:t>ндекс развития международных финансовых центров (International Financial Centers Development Inde</w:t>
      </w:r>
      <w:r w:rsidRPr="00674560">
        <w:rPr>
          <w:rFonts w:ascii="Times New Roman" w:hAnsi="Times New Roman" w:cs="Times New Roman"/>
          <w:color w:val="000000"/>
          <w:sz w:val="24"/>
          <w:szCs w:val="24"/>
          <w:shd w:val="clear" w:color="auto" w:fill="FFFFFF"/>
        </w:rPr>
        <w:t>x</w:t>
      </w:r>
      <w:r w:rsidRPr="00674560">
        <w:rPr>
          <w:rFonts w:ascii="Times New Roman" w:hAnsi="Times New Roman" w:cs="Times New Roman"/>
          <w:color w:val="000000"/>
          <w:sz w:val="24"/>
          <w:szCs w:val="24"/>
          <w:shd w:val="clear" w:color="auto" w:fill="FFFFFF"/>
          <w:lang w:val="ru-RU"/>
        </w:rPr>
        <w:t xml:space="preserve">; далее </w:t>
      </w:r>
      <w:r w:rsidRPr="00674560">
        <w:rPr>
          <w:rFonts w:ascii="Times New Roman" w:hAnsi="Times New Roman" w:cs="Times New Roman"/>
          <w:sz w:val="24"/>
          <w:szCs w:val="24"/>
          <w:lang w:val="ru-RU"/>
        </w:rPr>
        <w:t>–</w:t>
      </w:r>
      <w:r w:rsidRPr="00674560">
        <w:rPr>
          <w:rFonts w:ascii="Times New Roman" w:hAnsi="Times New Roman" w:cs="Times New Roman"/>
          <w:color w:val="000000"/>
          <w:sz w:val="24"/>
          <w:szCs w:val="24"/>
          <w:shd w:val="clear" w:color="auto" w:fill="FFFFFF"/>
          <w:lang w:val="ru-RU"/>
        </w:rPr>
        <w:t xml:space="preserve"> IFCD).</w:t>
      </w:r>
    </w:p>
    <w:p w14:paraId="2C832376" w14:textId="3C7D73EA" w:rsidR="008338D9" w:rsidRDefault="008C1DE0" w:rsidP="008338D9">
      <w:pPr>
        <w:spacing w:before="100" w:beforeAutospacing="1" w:after="100" w:afterAutospacing="1"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По нашим наблюдениям, одним из</w:t>
      </w:r>
      <w:r w:rsidR="008338D9">
        <w:rPr>
          <w:rFonts w:ascii="Times New Roman" w:hAnsi="Times New Roman" w:cs="Times New Roman"/>
          <w:color w:val="000000"/>
          <w:sz w:val="24"/>
          <w:szCs w:val="24"/>
          <w:shd w:val="clear" w:color="auto" w:fill="FFFFFF"/>
          <w:lang w:val="ru-RU"/>
        </w:rPr>
        <w:t xml:space="preserve"> самы</w:t>
      </w:r>
      <w:r>
        <w:rPr>
          <w:rFonts w:ascii="Times New Roman" w:hAnsi="Times New Roman" w:cs="Times New Roman"/>
          <w:color w:val="000000"/>
          <w:sz w:val="24"/>
          <w:szCs w:val="24"/>
          <w:shd w:val="clear" w:color="auto" w:fill="FFFFFF"/>
          <w:lang w:val="ru-RU"/>
        </w:rPr>
        <w:t>х</w:t>
      </w:r>
      <w:r w:rsidR="008338D9">
        <w:rPr>
          <w:rFonts w:ascii="Times New Roman" w:hAnsi="Times New Roman" w:cs="Times New Roman"/>
          <w:color w:val="000000"/>
          <w:sz w:val="24"/>
          <w:szCs w:val="24"/>
          <w:shd w:val="clear" w:color="auto" w:fill="FFFFFF"/>
          <w:lang w:val="ru-RU"/>
        </w:rPr>
        <w:t xml:space="preserve"> цитируемым</w:t>
      </w:r>
      <w:r w:rsidR="008338D9">
        <w:rPr>
          <w:rFonts w:ascii="Times New Roman" w:hAnsi="Times New Roman" w:cs="Times New Roman"/>
          <w:b/>
          <w:color w:val="000000"/>
          <w:sz w:val="24"/>
          <w:szCs w:val="24"/>
          <w:shd w:val="clear" w:color="auto" w:fill="FFFFFF"/>
          <w:lang w:val="ru-RU"/>
        </w:rPr>
        <w:t xml:space="preserve"> </w:t>
      </w:r>
      <w:r w:rsidR="008338D9" w:rsidRPr="00D30223">
        <w:rPr>
          <w:rFonts w:ascii="Times New Roman" w:hAnsi="Times New Roman" w:cs="Times New Roman"/>
          <w:bCs/>
          <w:color w:val="000000"/>
          <w:sz w:val="24"/>
          <w:szCs w:val="24"/>
          <w:shd w:val="clear" w:color="auto" w:fill="FFFFFF"/>
          <w:lang w:val="ru-RU"/>
        </w:rPr>
        <w:t>рейтингом в отечественной историографии по МФЦ</w:t>
      </w:r>
      <w:r w:rsidR="008338D9">
        <w:rPr>
          <w:rFonts w:ascii="Times New Roman" w:hAnsi="Times New Roman" w:cs="Times New Roman"/>
          <w:b/>
          <w:color w:val="000000"/>
          <w:sz w:val="24"/>
          <w:szCs w:val="24"/>
          <w:shd w:val="clear" w:color="auto" w:fill="FFFFFF"/>
          <w:lang w:val="ru-RU"/>
        </w:rPr>
        <w:t xml:space="preserve"> является индекс</w:t>
      </w:r>
      <w:r w:rsidR="008338D9" w:rsidRPr="004E7E3E">
        <w:rPr>
          <w:rFonts w:ascii="Times New Roman" w:hAnsi="Times New Roman" w:cs="Times New Roman"/>
          <w:b/>
          <w:color w:val="000000"/>
          <w:sz w:val="24"/>
          <w:szCs w:val="24"/>
          <w:shd w:val="clear" w:color="auto" w:fill="FFFFFF"/>
          <w:lang w:val="ru-RU"/>
        </w:rPr>
        <w:t xml:space="preserve"> глобальных финансовых центром (Global Financial Cen</w:t>
      </w:r>
      <w:r w:rsidR="00D45E96">
        <w:rPr>
          <w:rFonts w:ascii="Times New Roman" w:hAnsi="Times New Roman" w:cs="Times New Roman"/>
          <w:b/>
          <w:color w:val="000000"/>
          <w:sz w:val="24"/>
          <w:szCs w:val="24"/>
          <w:shd w:val="clear" w:color="auto" w:fill="FFFFFF"/>
        </w:rPr>
        <w:t>t</w:t>
      </w:r>
      <w:r w:rsidR="008338D9" w:rsidRPr="004E7E3E">
        <w:rPr>
          <w:rFonts w:ascii="Times New Roman" w:hAnsi="Times New Roman" w:cs="Times New Roman"/>
          <w:b/>
          <w:color w:val="000000"/>
          <w:sz w:val="24"/>
          <w:szCs w:val="24"/>
          <w:shd w:val="clear" w:color="auto" w:fill="FFFFFF"/>
          <w:lang w:val="ru-RU"/>
        </w:rPr>
        <w:t>re Index – GFCI)</w:t>
      </w:r>
      <w:r w:rsidR="008338D9" w:rsidRPr="004E7E3E">
        <w:rPr>
          <w:rFonts w:ascii="Times New Roman" w:hAnsi="Times New Roman" w:cs="Times New Roman"/>
          <w:color w:val="000000"/>
          <w:sz w:val="24"/>
          <w:szCs w:val="24"/>
          <w:shd w:val="clear" w:color="auto" w:fill="FFFFFF"/>
          <w:lang w:val="ru-RU"/>
        </w:rPr>
        <w:t xml:space="preserve">, изучению которого уделяется также много </w:t>
      </w:r>
      <w:r w:rsidR="008338D9">
        <w:rPr>
          <w:rFonts w:ascii="Times New Roman" w:hAnsi="Times New Roman" w:cs="Times New Roman"/>
          <w:color w:val="000000"/>
          <w:sz w:val="24"/>
          <w:szCs w:val="24"/>
          <w:shd w:val="clear" w:color="auto" w:fill="FFFFFF"/>
          <w:lang w:val="ru-RU"/>
        </w:rPr>
        <w:t>внимания</w:t>
      </w:r>
      <w:r w:rsidR="008338D9" w:rsidRPr="004E7E3E">
        <w:rPr>
          <w:rFonts w:ascii="Times New Roman" w:hAnsi="Times New Roman" w:cs="Times New Roman"/>
          <w:color w:val="000000"/>
          <w:sz w:val="24"/>
          <w:szCs w:val="24"/>
          <w:shd w:val="clear" w:color="auto" w:fill="FFFFFF"/>
          <w:lang w:val="ru-RU"/>
        </w:rPr>
        <w:t xml:space="preserve"> на официальном сайте МФЦ в Москве [</w:t>
      </w:r>
      <w:r w:rsidR="008338D9" w:rsidRPr="004E7E3E">
        <w:rPr>
          <w:rFonts w:ascii="Times New Roman" w:hAnsi="Times New Roman" w:cs="Times New Roman"/>
          <w:color w:val="000000"/>
          <w:sz w:val="24"/>
          <w:szCs w:val="24"/>
          <w:shd w:val="clear" w:color="auto" w:fill="FFFFFF"/>
          <w:lang w:val="ru-RU"/>
        </w:rPr>
        <w:fldChar w:fldCharType="begin"/>
      </w:r>
      <w:r w:rsidR="008338D9"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008338D9" w:rsidRPr="004E7E3E">
        <w:rPr>
          <w:rFonts w:ascii="Times New Roman" w:hAnsi="Times New Roman" w:cs="Times New Roman"/>
          <w:color w:val="000000"/>
          <w:sz w:val="24"/>
          <w:szCs w:val="24"/>
          <w:shd w:val="clear" w:color="auto" w:fill="FFFFFF"/>
          <w:lang w:val="ru-RU"/>
        </w:rPr>
      </w:r>
      <w:r w:rsidR="008338D9"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008338D9" w:rsidRPr="004E7E3E">
        <w:rPr>
          <w:rFonts w:ascii="Times New Roman" w:hAnsi="Times New Roman" w:cs="Times New Roman"/>
          <w:color w:val="000000"/>
          <w:sz w:val="24"/>
          <w:szCs w:val="24"/>
          <w:shd w:val="clear" w:color="auto" w:fill="FFFFFF"/>
          <w:lang w:val="ru-RU"/>
        </w:rPr>
        <w:fldChar w:fldCharType="end"/>
      </w:r>
      <w:r w:rsidR="008338D9" w:rsidRPr="004E7E3E">
        <w:rPr>
          <w:rFonts w:ascii="Times New Roman" w:hAnsi="Times New Roman" w:cs="Times New Roman"/>
          <w:color w:val="000000"/>
          <w:sz w:val="24"/>
          <w:szCs w:val="24"/>
          <w:shd w:val="clear" w:color="auto" w:fill="FFFFFF"/>
          <w:lang w:val="ru-RU"/>
        </w:rPr>
        <w:t xml:space="preserve">]. Агентство </w:t>
      </w:r>
      <w:r w:rsidR="008338D9" w:rsidRPr="004E7E3E">
        <w:rPr>
          <w:rFonts w:ascii="Times New Roman" w:hAnsi="Times New Roman" w:cs="Times New Roman"/>
          <w:color w:val="000000"/>
          <w:sz w:val="24"/>
          <w:szCs w:val="24"/>
          <w:shd w:val="clear" w:color="auto" w:fill="FFFFFF"/>
        </w:rPr>
        <w:t>Z</w:t>
      </w:r>
      <w:r w:rsidR="008338D9" w:rsidRPr="004E7E3E">
        <w:rPr>
          <w:rFonts w:ascii="Times New Roman" w:hAnsi="Times New Roman" w:cs="Times New Roman"/>
          <w:color w:val="000000"/>
          <w:sz w:val="24"/>
          <w:szCs w:val="24"/>
          <w:shd w:val="clear" w:color="auto" w:fill="FFFFFF"/>
          <w:lang w:val="ru-RU"/>
        </w:rPr>
        <w:t>-</w:t>
      </w:r>
      <w:r w:rsidR="008338D9" w:rsidRPr="004E7E3E">
        <w:rPr>
          <w:rFonts w:ascii="Times New Roman" w:hAnsi="Times New Roman" w:cs="Times New Roman"/>
          <w:color w:val="000000"/>
          <w:sz w:val="24"/>
          <w:szCs w:val="24"/>
          <w:shd w:val="clear" w:color="auto" w:fill="FFFFFF"/>
        </w:rPr>
        <w:t>Yen</w:t>
      </w:r>
      <w:r w:rsidR="008338D9" w:rsidRPr="004E7E3E">
        <w:rPr>
          <w:rFonts w:ascii="Times New Roman" w:hAnsi="Times New Roman" w:cs="Times New Roman"/>
          <w:color w:val="000000"/>
          <w:sz w:val="24"/>
          <w:szCs w:val="24"/>
          <w:shd w:val="clear" w:color="auto" w:fill="FFFFFF"/>
          <w:lang w:val="ru-RU"/>
        </w:rPr>
        <w:t>, начиная с 2007 года, два раза в год, в сентябре и марте, публикует рейтинг глобальных финансовых центров (в нашем исследовании мы использовали все 19 (</w:t>
      </w:r>
      <w:r w:rsidR="008338D9" w:rsidRPr="004E7E3E">
        <w:rPr>
          <w:rFonts w:ascii="Times New Roman" w:hAnsi="Times New Roman" w:cs="Times New Roman"/>
          <w:color w:val="000000"/>
          <w:sz w:val="24"/>
          <w:szCs w:val="24"/>
          <w:shd w:val="clear" w:color="auto" w:fill="FFFFFF"/>
        </w:rPr>
        <w:t>c</w:t>
      </w:r>
      <w:r w:rsidR="008338D9" w:rsidRPr="004E7E3E">
        <w:rPr>
          <w:rFonts w:ascii="Times New Roman" w:hAnsi="Times New Roman" w:cs="Times New Roman"/>
          <w:color w:val="000000"/>
          <w:sz w:val="24"/>
          <w:szCs w:val="24"/>
          <w:shd w:val="clear" w:color="auto" w:fill="FFFFFF"/>
          <w:lang w:val="ru-RU"/>
        </w:rPr>
        <w:t xml:space="preserve"> 4 по 22) выпусков индекса, размещённых на официально</w:t>
      </w:r>
      <w:r w:rsidR="008338D9">
        <w:rPr>
          <w:rFonts w:ascii="Times New Roman" w:hAnsi="Times New Roman" w:cs="Times New Roman"/>
          <w:color w:val="000000"/>
          <w:sz w:val="24"/>
          <w:szCs w:val="24"/>
          <w:shd w:val="clear" w:color="auto" w:fill="FFFFFF"/>
          <w:lang w:val="ru-RU"/>
        </w:rPr>
        <w:t>м</w:t>
      </w:r>
      <w:r w:rsidR="008338D9" w:rsidRPr="004E7E3E">
        <w:rPr>
          <w:rFonts w:ascii="Times New Roman" w:hAnsi="Times New Roman" w:cs="Times New Roman"/>
          <w:color w:val="000000"/>
          <w:sz w:val="24"/>
          <w:szCs w:val="24"/>
          <w:shd w:val="clear" w:color="auto" w:fill="FFFFFF"/>
          <w:lang w:val="ru-RU"/>
        </w:rPr>
        <w:t xml:space="preserve"> сайте агентства </w:t>
      </w:r>
      <w:r w:rsidR="008338D9" w:rsidRPr="004E7E3E">
        <w:rPr>
          <w:rFonts w:ascii="Times New Roman" w:hAnsi="Times New Roman" w:cs="Times New Roman"/>
          <w:color w:val="000000"/>
          <w:sz w:val="24"/>
          <w:szCs w:val="24"/>
          <w:shd w:val="clear" w:color="auto" w:fill="FFFFFF"/>
        </w:rPr>
        <w:t>Z</w:t>
      </w:r>
      <w:r w:rsidR="008338D9" w:rsidRPr="004E7E3E">
        <w:rPr>
          <w:rFonts w:ascii="Times New Roman" w:hAnsi="Times New Roman" w:cs="Times New Roman"/>
          <w:color w:val="000000"/>
          <w:sz w:val="24"/>
          <w:szCs w:val="24"/>
          <w:shd w:val="clear" w:color="auto" w:fill="FFFFFF"/>
          <w:lang w:val="ru-RU"/>
        </w:rPr>
        <w:t>/</w:t>
      </w:r>
      <w:r w:rsidR="008338D9" w:rsidRPr="004E7E3E">
        <w:rPr>
          <w:rFonts w:ascii="Times New Roman" w:hAnsi="Times New Roman" w:cs="Times New Roman"/>
          <w:color w:val="000000"/>
          <w:sz w:val="24"/>
          <w:szCs w:val="24"/>
          <w:shd w:val="clear" w:color="auto" w:fill="FFFFFF"/>
        </w:rPr>
        <w:t>Yen</w:t>
      </w:r>
      <w:r w:rsidR="008338D9" w:rsidRPr="004E7E3E">
        <w:rPr>
          <w:rFonts w:ascii="Times New Roman" w:hAnsi="Times New Roman" w:cs="Times New Roman"/>
          <w:color w:val="000000"/>
          <w:sz w:val="24"/>
          <w:szCs w:val="24"/>
          <w:shd w:val="clear" w:color="auto" w:fill="FFFFFF"/>
          <w:lang w:val="ru-RU"/>
        </w:rPr>
        <w:t xml:space="preserve"> на текущий момент (</w:t>
      </w:r>
      <w:r w:rsidR="008338D9" w:rsidRPr="004E7E3E">
        <w:rPr>
          <w:rFonts w:ascii="Times New Roman" w:hAnsi="Times New Roman" w:cs="Times New Roman"/>
          <w:color w:val="000000"/>
          <w:sz w:val="24"/>
          <w:szCs w:val="24"/>
          <w:shd w:val="clear" w:color="auto" w:fill="FFFFFF"/>
        </w:rPr>
        <w:t>www</w:t>
      </w:r>
      <w:r w:rsidR="008338D9" w:rsidRPr="004E7E3E">
        <w:rPr>
          <w:rFonts w:ascii="Times New Roman" w:hAnsi="Times New Roman" w:cs="Times New Roman"/>
          <w:color w:val="000000"/>
          <w:sz w:val="24"/>
          <w:szCs w:val="24"/>
          <w:shd w:val="clear" w:color="auto" w:fill="FFFFFF"/>
          <w:lang w:val="ru-RU"/>
        </w:rPr>
        <w:t>.</w:t>
      </w:r>
      <w:r w:rsidR="008338D9" w:rsidRPr="004E7E3E">
        <w:rPr>
          <w:rFonts w:ascii="Times New Roman" w:hAnsi="Times New Roman" w:cs="Times New Roman"/>
          <w:color w:val="000000"/>
          <w:sz w:val="24"/>
          <w:szCs w:val="24"/>
          <w:shd w:val="clear" w:color="auto" w:fill="FFFFFF"/>
        </w:rPr>
        <w:t>zyen</w:t>
      </w:r>
      <w:r w:rsidR="008338D9" w:rsidRPr="004E7E3E">
        <w:rPr>
          <w:rFonts w:ascii="Times New Roman" w:hAnsi="Times New Roman" w:cs="Times New Roman"/>
          <w:color w:val="000000"/>
          <w:sz w:val="24"/>
          <w:szCs w:val="24"/>
          <w:shd w:val="clear" w:color="auto" w:fill="FFFFFF"/>
          <w:lang w:val="ru-RU"/>
        </w:rPr>
        <w:t>.</w:t>
      </w:r>
      <w:r w:rsidR="008338D9" w:rsidRPr="004E7E3E">
        <w:rPr>
          <w:rFonts w:ascii="Times New Roman" w:hAnsi="Times New Roman" w:cs="Times New Roman"/>
          <w:color w:val="000000"/>
          <w:sz w:val="24"/>
          <w:szCs w:val="24"/>
          <w:shd w:val="clear" w:color="auto" w:fill="FFFFFF"/>
        </w:rPr>
        <w:t>com</w:t>
      </w:r>
      <w:r w:rsidR="008338D9" w:rsidRPr="004E7E3E">
        <w:rPr>
          <w:rFonts w:ascii="Times New Roman" w:hAnsi="Times New Roman" w:cs="Times New Roman"/>
          <w:color w:val="000000"/>
          <w:sz w:val="24"/>
          <w:szCs w:val="24"/>
          <w:shd w:val="clear" w:color="auto" w:fill="FFFFFF"/>
          <w:lang w:val="ru-RU"/>
        </w:rPr>
        <w:t xml:space="preserve">). Методология составления рейтинга </w:t>
      </w:r>
      <w:r w:rsidR="008338D9" w:rsidRPr="004E7E3E">
        <w:rPr>
          <w:rFonts w:ascii="Times New Roman" w:hAnsi="Times New Roman" w:cs="Times New Roman"/>
          <w:color w:val="000000"/>
          <w:sz w:val="24"/>
          <w:szCs w:val="24"/>
          <w:shd w:val="clear" w:color="auto" w:fill="FFFFFF"/>
        </w:rPr>
        <w:t>GFCI</w:t>
      </w:r>
      <w:r w:rsidR="008338D9" w:rsidRPr="004E7E3E">
        <w:rPr>
          <w:rFonts w:ascii="Times New Roman" w:hAnsi="Times New Roman" w:cs="Times New Roman"/>
          <w:color w:val="000000"/>
          <w:sz w:val="24"/>
          <w:szCs w:val="24"/>
          <w:shd w:val="clear" w:color="auto" w:fill="FFFFFF"/>
          <w:lang w:val="ru-RU"/>
        </w:rPr>
        <w:t xml:space="preserve"> в отношении МФЦ является эталонной. Авторы постоянно её улучшают. В данный момент </w:t>
      </w:r>
      <w:r w:rsidR="008338D9" w:rsidRPr="004E7E3E">
        <w:rPr>
          <w:rFonts w:ascii="Times New Roman" w:hAnsi="Times New Roman" w:cs="Times New Roman"/>
          <w:color w:val="000000"/>
          <w:sz w:val="24"/>
          <w:szCs w:val="24"/>
          <w:shd w:val="clear" w:color="auto" w:fill="FFFFFF"/>
          <w:lang w:val="ru-RU"/>
        </w:rPr>
        <w:lastRenderedPageBreak/>
        <w:t>ранжирование происходит по факторно-оценочному принципу. Исследователи выделяют две основные группы методов: 1) инструментально-факторный анализ, 2) онлайн</w:t>
      </w:r>
      <w:r w:rsidR="008338D9">
        <w:rPr>
          <w:rFonts w:ascii="Times New Roman" w:hAnsi="Times New Roman" w:cs="Times New Roman"/>
          <w:color w:val="000000"/>
          <w:sz w:val="24"/>
          <w:szCs w:val="24"/>
          <w:shd w:val="clear" w:color="auto" w:fill="FFFFFF"/>
          <w:lang w:val="ru-RU"/>
        </w:rPr>
        <w:t>-</w:t>
      </w:r>
      <w:r w:rsidR="008338D9" w:rsidRPr="004E7E3E">
        <w:rPr>
          <w:rFonts w:ascii="Times New Roman" w:hAnsi="Times New Roman" w:cs="Times New Roman"/>
          <w:color w:val="000000"/>
          <w:sz w:val="24"/>
          <w:szCs w:val="24"/>
          <w:shd w:val="clear" w:color="auto" w:fill="FFFFFF"/>
          <w:lang w:val="ru-RU"/>
        </w:rPr>
        <w:t>опрос участников финансового рынка. Инструментально-факторный анализ подразумевает формирование рейтинга на основе уже имеющих в мире индексов. В последних выпусках использовал</w:t>
      </w:r>
      <w:r w:rsidR="008338D9">
        <w:rPr>
          <w:rFonts w:ascii="Times New Roman" w:hAnsi="Times New Roman" w:cs="Times New Roman"/>
          <w:color w:val="000000"/>
          <w:sz w:val="24"/>
          <w:szCs w:val="24"/>
          <w:shd w:val="clear" w:color="auto" w:fill="FFFFFF"/>
          <w:lang w:val="ru-RU"/>
        </w:rPr>
        <w:t>о</w:t>
      </w:r>
      <w:r w:rsidR="008338D9" w:rsidRPr="004E7E3E">
        <w:rPr>
          <w:rFonts w:ascii="Times New Roman" w:hAnsi="Times New Roman" w:cs="Times New Roman"/>
          <w:color w:val="000000"/>
          <w:sz w:val="24"/>
          <w:szCs w:val="24"/>
          <w:shd w:val="clear" w:color="auto" w:fill="FFFFFF"/>
          <w:lang w:val="ru-RU"/>
        </w:rPr>
        <w:t>сь около 100 различных индексов, начиная с индекса развития человеческого капитала ООН и заканчивая индексом розничных цен журнала «Экономист». В первых выпусках авторы выделяли пять основных групп факторов, влияющих на развитие МФЦ: люди, бизнес-среда, доступность рынка, инфраструктура и общая конкурентоспособность. Со временем компоновка групп несколько изменилась: 1) блоки «бизнес среда», «люди», «инфраструктура», «доступность рынка» остались, 2) блок «общая конкурентоспособность» исчез, но появились 2 дополнительных</w:t>
      </w:r>
      <w:r w:rsidR="008338D9">
        <w:rPr>
          <w:rFonts w:ascii="Times New Roman" w:hAnsi="Times New Roman" w:cs="Times New Roman"/>
          <w:color w:val="000000"/>
          <w:sz w:val="24"/>
          <w:szCs w:val="24"/>
          <w:shd w:val="clear" w:color="auto" w:fill="FFFFFF"/>
          <w:lang w:val="ru-RU"/>
        </w:rPr>
        <w:t>:</w:t>
      </w:r>
      <w:r w:rsidR="008338D9" w:rsidRPr="004E7E3E">
        <w:rPr>
          <w:rFonts w:ascii="Times New Roman" w:hAnsi="Times New Roman" w:cs="Times New Roman"/>
          <w:color w:val="000000"/>
          <w:sz w:val="24"/>
          <w:szCs w:val="24"/>
          <w:shd w:val="clear" w:color="auto" w:fill="FFFFFF"/>
          <w:lang w:val="ru-RU"/>
        </w:rPr>
        <w:t xml:space="preserve"> «налоги» и «репутация». В 16-м выпуске налоговый фактор вновь стал частью фактора «бизнес сред</w:t>
      </w:r>
      <w:r w:rsidR="008338D9">
        <w:rPr>
          <w:rFonts w:ascii="Times New Roman" w:hAnsi="Times New Roman" w:cs="Times New Roman"/>
          <w:color w:val="000000"/>
          <w:sz w:val="24"/>
          <w:szCs w:val="24"/>
          <w:shd w:val="clear" w:color="auto" w:fill="FFFFFF"/>
          <w:lang w:val="ru-RU"/>
        </w:rPr>
        <w:t>а</w:t>
      </w:r>
      <w:r w:rsidR="008338D9" w:rsidRPr="004E7E3E">
        <w:rPr>
          <w:rFonts w:ascii="Times New Roman" w:hAnsi="Times New Roman" w:cs="Times New Roman"/>
          <w:color w:val="000000"/>
          <w:sz w:val="24"/>
          <w:szCs w:val="24"/>
          <w:shd w:val="clear" w:color="auto" w:fill="FFFFFF"/>
          <w:lang w:val="ru-RU"/>
        </w:rPr>
        <w:t xml:space="preserve">», а фактор «доступность рынка» был заменён на фактор «развитие финансового сектора». При составлении рейтинга исследователи придают факторам определённый вес при расчёте баллов (разница между весом фактора «глобальная конкуренция города» в 2 раза выше фактора «туристические места»: </w:t>
      </w:r>
      <w:r w:rsidR="008338D9" w:rsidRPr="004E7E3E">
        <w:rPr>
          <w:rFonts w:ascii="Times New Roman" w:hAnsi="Times New Roman" w:cs="Times New Roman"/>
          <w:color w:val="000000"/>
          <w:sz w:val="24"/>
          <w:szCs w:val="24"/>
          <w:shd w:val="clear" w:color="auto" w:fill="FFFFFF"/>
        </w:rPr>
        <w:t>Global</w:t>
      </w:r>
      <w:r w:rsidR="008338D9" w:rsidRPr="004E7E3E">
        <w:rPr>
          <w:rFonts w:ascii="Times New Roman" w:hAnsi="Times New Roman" w:cs="Times New Roman"/>
          <w:color w:val="000000"/>
          <w:sz w:val="24"/>
          <w:szCs w:val="24"/>
          <w:shd w:val="clear" w:color="auto" w:fill="FFFFFF"/>
          <w:lang w:val="ru-RU"/>
        </w:rPr>
        <w:t xml:space="preserve"> </w:t>
      </w:r>
      <w:r w:rsidR="008338D9" w:rsidRPr="004E7E3E">
        <w:rPr>
          <w:rFonts w:ascii="Times New Roman" w:hAnsi="Times New Roman" w:cs="Times New Roman"/>
          <w:color w:val="000000"/>
          <w:sz w:val="24"/>
          <w:szCs w:val="24"/>
          <w:shd w:val="clear" w:color="auto" w:fill="FFFFFF"/>
        </w:rPr>
        <w:t>City</w:t>
      </w:r>
      <w:r w:rsidR="008338D9" w:rsidRPr="004E7E3E">
        <w:rPr>
          <w:rFonts w:ascii="Times New Roman" w:hAnsi="Times New Roman" w:cs="Times New Roman"/>
          <w:color w:val="000000"/>
          <w:sz w:val="24"/>
          <w:szCs w:val="24"/>
          <w:shd w:val="clear" w:color="auto" w:fill="FFFFFF"/>
          <w:lang w:val="ru-RU"/>
        </w:rPr>
        <w:t xml:space="preserve"> </w:t>
      </w:r>
      <w:r w:rsidR="008338D9" w:rsidRPr="004E7E3E">
        <w:rPr>
          <w:rFonts w:ascii="Times New Roman" w:hAnsi="Times New Roman" w:cs="Times New Roman"/>
          <w:color w:val="000000"/>
          <w:sz w:val="24"/>
          <w:szCs w:val="24"/>
          <w:shd w:val="clear" w:color="auto" w:fill="FFFFFF"/>
        </w:rPr>
        <w:t>Competitiveness</w:t>
      </w:r>
      <w:r w:rsidR="008338D9" w:rsidRPr="004E7E3E">
        <w:rPr>
          <w:rFonts w:ascii="Times New Roman" w:hAnsi="Times New Roman" w:cs="Times New Roman"/>
          <w:color w:val="000000"/>
          <w:sz w:val="24"/>
          <w:szCs w:val="24"/>
          <w:shd w:val="clear" w:color="auto" w:fill="FFFFFF"/>
          <w:lang w:val="ru-RU"/>
        </w:rPr>
        <w:t xml:space="preserve"> – 0.52 </w:t>
      </w:r>
      <w:r w:rsidR="008338D9" w:rsidRPr="004E7E3E">
        <w:rPr>
          <w:rFonts w:ascii="Times New Roman" w:hAnsi="Times New Roman" w:cs="Times New Roman"/>
          <w:color w:val="000000"/>
          <w:sz w:val="24"/>
          <w:szCs w:val="24"/>
          <w:shd w:val="clear" w:color="auto" w:fill="FFFFFF"/>
        </w:rPr>
        <w:t>R</w:t>
      </w:r>
      <w:r w:rsidR="008338D9" w:rsidRPr="004E7E3E">
        <w:rPr>
          <w:rFonts w:ascii="Times New Roman" w:hAnsi="Times New Roman" w:cs="Times New Roman"/>
          <w:color w:val="000000"/>
          <w:sz w:val="24"/>
          <w:szCs w:val="24"/>
          <w:shd w:val="clear" w:color="auto" w:fill="FFFFFF"/>
          <w:lang w:val="ru-RU"/>
        </w:rPr>
        <w:t>/</w:t>
      </w:r>
      <w:r w:rsidR="008338D9" w:rsidRPr="004E7E3E">
        <w:rPr>
          <w:rFonts w:ascii="Times New Roman" w:hAnsi="Times New Roman" w:cs="Times New Roman"/>
          <w:color w:val="000000"/>
          <w:sz w:val="24"/>
          <w:szCs w:val="24"/>
          <w:shd w:val="clear" w:color="auto" w:fill="FFFFFF"/>
        </w:rPr>
        <w:t>Sq</w:t>
      </w:r>
      <w:r w:rsidR="008338D9" w:rsidRPr="004E7E3E">
        <w:rPr>
          <w:rFonts w:ascii="Times New Roman" w:hAnsi="Times New Roman" w:cs="Times New Roman"/>
          <w:color w:val="000000"/>
          <w:sz w:val="24"/>
          <w:szCs w:val="24"/>
          <w:shd w:val="clear" w:color="auto" w:fill="FFFFFF"/>
          <w:lang w:val="ru-RU"/>
        </w:rPr>
        <w:t xml:space="preserve">, </w:t>
      </w:r>
      <w:r w:rsidR="008338D9" w:rsidRPr="004E7E3E">
        <w:rPr>
          <w:rFonts w:ascii="Times New Roman" w:hAnsi="Times New Roman" w:cs="Times New Roman"/>
          <w:color w:val="000000"/>
          <w:sz w:val="24"/>
          <w:szCs w:val="24"/>
          <w:shd w:val="clear" w:color="auto" w:fill="FFFFFF"/>
        </w:rPr>
        <w:t>Top</w:t>
      </w:r>
      <w:r w:rsidR="008338D9" w:rsidRPr="004E7E3E">
        <w:rPr>
          <w:rFonts w:ascii="Times New Roman" w:hAnsi="Times New Roman" w:cs="Times New Roman"/>
          <w:color w:val="000000"/>
          <w:sz w:val="24"/>
          <w:szCs w:val="24"/>
          <w:shd w:val="clear" w:color="auto" w:fill="FFFFFF"/>
          <w:lang w:val="ru-RU"/>
        </w:rPr>
        <w:t xml:space="preserve"> </w:t>
      </w:r>
      <w:r w:rsidR="008338D9" w:rsidRPr="004E7E3E">
        <w:rPr>
          <w:rFonts w:ascii="Times New Roman" w:hAnsi="Times New Roman" w:cs="Times New Roman"/>
          <w:color w:val="000000"/>
          <w:sz w:val="24"/>
          <w:szCs w:val="24"/>
          <w:shd w:val="clear" w:color="auto" w:fill="FFFFFF"/>
        </w:rPr>
        <w:t>Tourism</w:t>
      </w:r>
      <w:r w:rsidR="008338D9" w:rsidRPr="004E7E3E">
        <w:rPr>
          <w:rFonts w:ascii="Times New Roman" w:hAnsi="Times New Roman" w:cs="Times New Roman"/>
          <w:color w:val="000000"/>
          <w:sz w:val="24"/>
          <w:szCs w:val="24"/>
          <w:shd w:val="clear" w:color="auto" w:fill="FFFFFF"/>
          <w:lang w:val="ru-RU"/>
        </w:rPr>
        <w:t xml:space="preserve"> </w:t>
      </w:r>
      <w:r w:rsidR="008338D9" w:rsidRPr="004E7E3E">
        <w:rPr>
          <w:rFonts w:ascii="Times New Roman" w:hAnsi="Times New Roman" w:cs="Times New Roman"/>
          <w:color w:val="000000"/>
          <w:sz w:val="24"/>
          <w:szCs w:val="24"/>
          <w:shd w:val="clear" w:color="auto" w:fill="FFFFFF"/>
        </w:rPr>
        <w:t>Destinations</w:t>
      </w:r>
      <w:r w:rsidR="008338D9" w:rsidRPr="004E7E3E">
        <w:rPr>
          <w:rFonts w:ascii="Times New Roman" w:hAnsi="Times New Roman" w:cs="Times New Roman"/>
          <w:color w:val="000000"/>
          <w:sz w:val="24"/>
          <w:szCs w:val="24"/>
          <w:shd w:val="clear" w:color="auto" w:fill="FFFFFF"/>
          <w:lang w:val="ru-RU"/>
        </w:rPr>
        <w:t xml:space="preserve"> – 0.240 </w:t>
      </w:r>
      <w:r w:rsidR="008338D9" w:rsidRPr="004E7E3E">
        <w:rPr>
          <w:rFonts w:ascii="Times New Roman" w:hAnsi="Times New Roman" w:cs="Times New Roman"/>
          <w:color w:val="000000"/>
          <w:sz w:val="24"/>
          <w:szCs w:val="24"/>
          <w:shd w:val="clear" w:color="auto" w:fill="FFFFFF"/>
        </w:rPr>
        <w:t>R</w:t>
      </w:r>
      <w:r w:rsidR="008338D9" w:rsidRPr="004E7E3E">
        <w:rPr>
          <w:rFonts w:ascii="Times New Roman" w:hAnsi="Times New Roman" w:cs="Times New Roman"/>
          <w:color w:val="000000"/>
          <w:sz w:val="24"/>
          <w:szCs w:val="24"/>
          <w:shd w:val="clear" w:color="auto" w:fill="FFFFFF"/>
          <w:lang w:val="ru-RU"/>
        </w:rPr>
        <w:t>/</w:t>
      </w:r>
      <w:r w:rsidR="008338D9" w:rsidRPr="004E7E3E">
        <w:rPr>
          <w:rFonts w:ascii="Times New Roman" w:hAnsi="Times New Roman" w:cs="Times New Roman"/>
          <w:color w:val="000000"/>
          <w:sz w:val="24"/>
          <w:szCs w:val="24"/>
          <w:shd w:val="clear" w:color="auto" w:fill="FFFFFF"/>
        </w:rPr>
        <w:t>Sq</w:t>
      </w:r>
      <w:r w:rsidR="008338D9" w:rsidRPr="004E7E3E">
        <w:rPr>
          <w:rFonts w:ascii="Times New Roman" w:hAnsi="Times New Roman" w:cs="Times New Roman"/>
          <w:color w:val="000000"/>
          <w:sz w:val="24"/>
          <w:szCs w:val="24"/>
          <w:shd w:val="clear" w:color="auto" w:fill="FFFFFF"/>
          <w:lang w:val="ru-RU"/>
        </w:rPr>
        <w:t>) [</w:t>
      </w:r>
      <w:r w:rsidR="008338D9" w:rsidRPr="004E7E3E">
        <w:rPr>
          <w:rFonts w:ascii="Times New Roman" w:hAnsi="Times New Roman" w:cs="Times New Roman"/>
          <w:color w:val="000000"/>
          <w:sz w:val="24"/>
          <w:szCs w:val="24"/>
          <w:shd w:val="clear" w:color="auto" w:fill="FFFFFF"/>
          <w:lang w:val="ru-RU"/>
        </w:rPr>
        <w:fldChar w:fldCharType="begin"/>
      </w:r>
      <w:r w:rsidR="008338D9"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008338D9" w:rsidRPr="004E7E3E">
        <w:rPr>
          <w:rFonts w:ascii="Times New Roman" w:hAnsi="Times New Roman" w:cs="Times New Roman"/>
          <w:color w:val="000000"/>
          <w:sz w:val="24"/>
          <w:szCs w:val="24"/>
          <w:shd w:val="clear" w:color="auto" w:fill="FFFFFF"/>
          <w:lang w:val="ru-RU"/>
        </w:rPr>
      </w:r>
      <w:r w:rsidR="008338D9"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008338D9" w:rsidRPr="004E7E3E">
        <w:rPr>
          <w:rFonts w:ascii="Times New Roman" w:hAnsi="Times New Roman" w:cs="Times New Roman"/>
          <w:color w:val="000000"/>
          <w:sz w:val="24"/>
          <w:szCs w:val="24"/>
          <w:shd w:val="clear" w:color="auto" w:fill="FFFFFF"/>
          <w:lang w:val="ru-RU"/>
        </w:rPr>
        <w:fldChar w:fldCharType="end"/>
      </w:r>
      <w:r w:rsidR="008338D9" w:rsidRPr="004E7E3E">
        <w:rPr>
          <w:rFonts w:ascii="Times New Roman" w:hAnsi="Times New Roman" w:cs="Times New Roman"/>
          <w:color w:val="000000"/>
          <w:sz w:val="24"/>
          <w:szCs w:val="24"/>
          <w:shd w:val="clear" w:color="auto" w:fill="FFFFFF"/>
          <w:lang w:val="ru-RU"/>
        </w:rPr>
        <w:t xml:space="preserve">, </w:t>
      </w:r>
      <w:r w:rsidR="008338D9" w:rsidRPr="004E7E3E">
        <w:rPr>
          <w:rFonts w:ascii="Times New Roman" w:hAnsi="Times New Roman" w:cs="Times New Roman"/>
          <w:color w:val="000000"/>
          <w:sz w:val="24"/>
          <w:szCs w:val="24"/>
          <w:shd w:val="clear" w:color="auto" w:fill="FFFFFF"/>
        </w:rPr>
        <w:t>c</w:t>
      </w:r>
      <w:r w:rsidR="008338D9" w:rsidRPr="004E7E3E">
        <w:rPr>
          <w:rFonts w:ascii="Times New Roman" w:hAnsi="Times New Roman" w:cs="Times New Roman"/>
          <w:color w:val="000000"/>
          <w:sz w:val="24"/>
          <w:szCs w:val="24"/>
          <w:shd w:val="clear" w:color="auto" w:fill="FFFFFF"/>
          <w:lang w:val="ru-RU"/>
        </w:rPr>
        <w:t>. 46], сумма которых в итоге определяет положение центра в рейтинге. Использования статистических методов позволяет решить ряд вопросов, возникающих из-за невозможности получить достаточную информацию по всем пунктам исследования. Так</w:t>
      </w:r>
      <w:r w:rsidR="008338D9">
        <w:rPr>
          <w:rFonts w:ascii="Times New Roman" w:hAnsi="Times New Roman" w:cs="Times New Roman"/>
          <w:color w:val="000000"/>
          <w:sz w:val="24"/>
          <w:szCs w:val="24"/>
          <w:shd w:val="clear" w:color="auto" w:fill="FFFFFF"/>
          <w:lang w:val="ru-RU"/>
        </w:rPr>
        <w:t>,</w:t>
      </w:r>
      <w:r w:rsidR="008338D9" w:rsidRPr="004E7E3E">
        <w:rPr>
          <w:rFonts w:ascii="Times New Roman" w:hAnsi="Times New Roman" w:cs="Times New Roman"/>
          <w:color w:val="000000"/>
          <w:sz w:val="24"/>
          <w:szCs w:val="24"/>
          <w:shd w:val="clear" w:color="auto" w:fill="FFFFFF"/>
          <w:lang w:val="ru-RU"/>
        </w:rPr>
        <w:t xml:space="preserve"> при объяснении своей методологии исследователи агентства задаются вопросом: «Если у представителя инвестиционного банка есть определённое мнение по поводу Сингапура и Сиднея, тогда какое его будет мнение о Париже, если основываться на инструментальных оценках Сингапура, Сиднея и Парижа?» [</w:t>
      </w:r>
      <w:r w:rsidR="008338D9" w:rsidRPr="004E7E3E">
        <w:rPr>
          <w:rFonts w:ascii="Times New Roman" w:hAnsi="Times New Roman" w:cs="Times New Roman"/>
          <w:color w:val="000000"/>
          <w:sz w:val="24"/>
          <w:szCs w:val="24"/>
          <w:shd w:val="clear" w:color="auto" w:fill="FFFFFF"/>
        </w:rPr>
        <w:fldChar w:fldCharType="begin"/>
      </w:r>
      <w:r w:rsidR="008338D9" w:rsidRPr="004E7E3E">
        <w:rPr>
          <w:rFonts w:ascii="Times New Roman" w:hAnsi="Times New Roman" w:cs="Times New Roman"/>
          <w:color w:val="000000"/>
          <w:sz w:val="24"/>
          <w:szCs w:val="24"/>
          <w:shd w:val="clear" w:color="auto" w:fill="FFFFFF"/>
          <w:lang w:val="ru-RU"/>
        </w:rPr>
        <w:instrText xml:space="preserve"> </w:instrText>
      </w:r>
      <w:r w:rsidR="008338D9" w:rsidRPr="004E7E3E">
        <w:rPr>
          <w:rFonts w:ascii="Times New Roman" w:hAnsi="Times New Roman" w:cs="Times New Roman"/>
          <w:color w:val="000000"/>
          <w:sz w:val="24"/>
          <w:szCs w:val="24"/>
          <w:shd w:val="clear" w:color="auto" w:fill="FFFFFF"/>
        </w:rPr>
        <w:instrText>REF</w:instrText>
      </w:r>
      <w:r w:rsidR="008338D9" w:rsidRPr="004E7E3E">
        <w:rPr>
          <w:rFonts w:ascii="Times New Roman" w:hAnsi="Times New Roman" w:cs="Times New Roman"/>
          <w:color w:val="000000"/>
          <w:sz w:val="24"/>
          <w:szCs w:val="24"/>
          <w:shd w:val="clear" w:color="auto" w:fill="FFFFFF"/>
          <w:lang w:val="ru-RU"/>
        </w:rPr>
        <w:instrText xml:space="preserve"> _</w:instrText>
      </w:r>
      <w:r w:rsidR="008338D9" w:rsidRPr="004E7E3E">
        <w:rPr>
          <w:rFonts w:ascii="Times New Roman" w:hAnsi="Times New Roman" w:cs="Times New Roman"/>
          <w:color w:val="000000"/>
          <w:sz w:val="24"/>
          <w:szCs w:val="24"/>
          <w:shd w:val="clear" w:color="auto" w:fill="FFFFFF"/>
        </w:rPr>
        <w:instrText>Ref</w:instrText>
      </w:r>
      <w:r w:rsidR="008338D9" w:rsidRPr="004E7E3E">
        <w:rPr>
          <w:rFonts w:ascii="Times New Roman" w:hAnsi="Times New Roman" w:cs="Times New Roman"/>
          <w:color w:val="000000"/>
          <w:sz w:val="24"/>
          <w:szCs w:val="24"/>
          <w:shd w:val="clear" w:color="auto" w:fill="FFFFFF"/>
          <w:lang w:val="ru-RU"/>
        </w:rPr>
        <w:instrText>446780226 \</w:instrText>
      </w:r>
      <w:r w:rsidR="008338D9" w:rsidRPr="004E7E3E">
        <w:rPr>
          <w:rFonts w:ascii="Times New Roman" w:hAnsi="Times New Roman" w:cs="Times New Roman"/>
          <w:color w:val="000000"/>
          <w:sz w:val="24"/>
          <w:szCs w:val="24"/>
          <w:shd w:val="clear" w:color="auto" w:fill="FFFFFF"/>
        </w:rPr>
        <w:instrText>r</w:instrText>
      </w:r>
      <w:r w:rsidR="008338D9" w:rsidRPr="004E7E3E">
        <w:rPr>
          <w:rFonts w:ascii="Times New Roman" w:hAnsi="Times New Roman" w:cs="Times New Roman"/>
          <w:color w:val="000000"/>
          <w:sz w:val="24"/>
          <w:szCs w:val="24"/>
          <w:shd w:val="clear" w:color="auto" w:fill="FFFFFF"/>
          <w:lang w:val="ru-RU"/>
        </w:rPr>
        <w:instrText xml:space="preserve"> \</w:instrText>
      </w:r>
      <w:r w:rsidR="008338D9" w:rsidRPr="004E7E3E">
        <w:rPr>
          <w:rFonts w:ascii="Times New Roman" w:hAnsi="Times New Roman" w:cs="Times New Roman"/>
          <w:color w:val="000000"/>
          <w:sz w:val="24"/>
          <w:szCs w:val="24"/>
          <w:shd w:val="clear" w:color="auto" w:fill="FFFFFF"/>
        </w:rPr>
        <w:instrText>h</w:instrText>
      </w:r>
      <w:r w:rsidR="008338D9" w:rsidRPr="004E7E3E">
        <w:rPr>
          <w:rFonts w:ascii="Times New Roman" w:hAnsi="Times New Roman" w:cs="Times New Roman"/>
          <w:color w:val="000000"/>
          <w:sz w:val="24"/>
          <w:szCs w:val="24"/>
          <w:shd w:val="clear" w:color="auto" w:fill="FFFFFF"/>
          <w:lang w:val="ru-RU"/>
        </w:rPr>
        <w:instrText xml:space="preserve">  \* </w:instrText>
      </w:r>
      <w:r w:rsidR="008338D9" w:rsidRPr="004E7E3E">
        <w:rPr>
          <w:rFonts w:ascii="Times New Roman" w:hAnsi="Times New Roman" w:cs="Times New Roman"/>
          <w:color w:val="000000"/>
          <w:sz w:val="24"/>
          <w:szCs w:val="24"/>
          <w:shd w:val="clear" w:color="auto" w:fill="FFFFFF"/>
        </w:rPr>
        <w:instrText>MERGEFORMAT</w:instrText>
      </w:r>
      <w:r w:rsidR="008338D9" w:rsidRPr="004E7E3E">
        <w:rPr>
          <w:rFonts w:ascii="Times New Roman" w:hAnsi="Times New Roman" w:cs="Times New Roman"/>
          <w:color w:val="000000"/>
          <w:sz w:val="24"/>
          <w:szCs w:val="24"/>
          <w:shd w:val="clear" w:color="auto" w:fill="FFFFFF"/>
          <w:lang w:val="ru-RU"/>
        </w:rPr>
        <w:instrText xml:space="preserve"> </w:instrText>
      </w:r>
      <w:r w:rsidR="008338D9" w:rsidRPr="004E7E3E">
        <w:rPr>
          <w:rFonts w:ascii="Times New Roman" w:hAnsi="Times New Roman" w:cs="Times New Roman"/>
          <w:color w:val="000000"/>
          <w:sz w:val="24"/>
          <w:szCs w:val="24"/>
          <w:shd w:val="clear" w:color="auto" w:fill="FFFFFF"/>
        </w:rPr>
      </w:r>
      <w:r w:rsidR="008338D9" w:rsidRPr="004E7E3E">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185</w:t>
      </w:r>
      <w:r w:rsidR="008338D9" w:rsidRPr="004E7E3E">
        <w:rPr>
          <w:rFonts w:ascii="Times New Roman" w:hAnsi="Times New Roman" w:cs="Times New Roman"/>
          <w:color w:val="000000"/>
          <w:sz w:val="24"/>
          <w:szCs w:val="24"/>
          <w:shd w:val="clear" w:color="auto" w:fill="FFFFFF"/>
        </w:rPr>
        <w:fldChar w:fldCharType="end"/>
      </w:r>
      <w:r w:rsidR="008338D9" w:rsidRPr="004E7E3E">
        <w:rPr>
          <w:rFonts w:ascii="Times New Roman" w:hAnsi="Times New Roman" w:cs="Times New Roman"/>
          <w:color w:val="000000"/>
          <w:sz w:val="24"/>
          <w:szCs w:val="24"/>
          <w:shd w:val="clear" w:color="auto" w:fill="FFFFFF"/>
          <w:lang w:val="ru-RU"/>
        </w:rPr>
        <w:t xml:space="preserve">, </w:t>
      </w:r>
      <w:r w:rsidR="008338D9" w:rsidRPr="004E7E3E">
        <w:rPr>
          <w:rFonts w:ascii="Times New Roman" w:hAnsi="Times New Roman" w:cs="Times New Roman"/>
          <w:color w:val="000000"/>
          <w:sz w:val="24"/>
          <w:szCs w:val="24"/>
          <w:shd w:val="clear" w:color="auto" w:fill="FFFFFF"/>
        </w:rPr>
        <w:t>c</w:t>
      </w:r>
      <w:r w:rsidR="008338D9" w:rsidRPr="004E7E3E">
        <w:rPr>
          <w:rFonts w:ascii="Times New Roman" w:hAnsi="Times New Roman" w:cs="Times New Roman"/>
          <w:color w:val="000000"/>
          <w:sz w:val="24"/>
          <w:szCs w:val="24"/>
          <w:shd w:val="clear" w:color="auto" w:fill="FFFFFF"/>
          <w:lang w:val="ru-RU"/>
        </w:rPr>
        <w:t>. 1]</w:t>
      </w:r>
      <w:r w:rsidR="008338D9">
        <w:rPr>
          <w:rFonts w:ascii="Times New Roman" w:hAnsi="Times New Roman" w:cs="Times New Roman"/>
          <w:color w:val="000000"/>
          <w:sz w:val="24"/>
          <w:szCs w:val="24"/>
          <w:shd w:val="clear" w:color="auto" w:fill="FFFFFF"/>
          <w:lang w:val="ru-RU"/>
        </w:rPr>
        <w:t>.</w:t>
      </w:r>
    </w:p>
    <w:p w14:paraId="3DF4378A" w14:textId="7187867D" w:rsidR="008338D9" w:rsidRDefault="008338D9" w:rsidP="008338D9">
      <w:pPr>
        <w:spacing w:before="100" w:beforeAutospacing="1" w:after="100" w:afterAutospacing="1"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Очевидно, что это наиболее полный рейтинг МФЦ на сегодняшний день, но даже в него попадают далеко не все центры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5]. Это связано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прежде всего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 недостатком оценок экспертов по тому или иному городу. Список каждый раз пополняется новыми участниками. Но иногда некоторые из них не набирают нужного количества оценок, чтобы попасть в топ (в 22-м выпуске в основном списке было представлено 92 города), тогда они попадают в специальный список ассоциированных центров. Так, например, Санкт-Петербург попал в основной список только в 6-м выпуске. В 5-м выпуске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имея 50 оценок (столько же оценок было у Джакарты и Манилы)</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он набрал баллы</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соответствующие 49-50 строчке (между Осакой и</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Римом)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25-27]. В 6-м выпуске список был расширен до 75 центров, и Санкт-Петербург прошёл в основной рейтинг, хотя занял только 70-ю строчку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xml:space="preserve">. 19]. </w:t>
      </w:r>
    </w:p>
    <w:p w14:paraId="5D038285" w14:textId="762FC37F" w:rsidR="008338D9" w:rsidRDefault="008338D9" w:rsidP="008338D9">
      <w:pPr>
        <w:spacing w:before="100" w:beforeAutospacing="1" w:after="100" w:afterAutospacing="1"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Кроме того, этому рейтингу присущи проблемы роста и недоработки в методах оценки. Например, в шестом выпуске (сентябрь 2009 года) китайский центр </w:t>
      </w:r>
      <w:r w:rsidR="00D45E96" w:rsidRPr="004E7E3E">
        <w:rPr>
          <w:rFonts w:ascii="Times New Roman" w:hAnsi="Times New Roman" w:cs="Times New Roman"/>
          <w:color w:val="000000"/>
          <w:sz w:val="24"/>
          <w:szCs w:val="24"/>
          <w:shd w:val="clear" w:color="auto" w:fill="FFFFFF"/>
          <w:lang w:val="ru-RU"/>
        </w:rPr>
        <w:t>Шэньчжэнь</w:t>
      </w:r>
      <w:r w:rsidRPr="004E7E3E">
        <w:rPr>
          <w:rFonts w:ascii="Times New Roman" w:hAnsi="Times New Roman" w:cs="Times New Roman"/>
          <w:color w:val="000000"/>
          <w:sz w:val="24"/>
          <w:szCs w:val="24"/>
          <w:shd w:val="clear" w:color="auto" w:fill="FFFFFF"/>
          <w:lang w:val="ru-RU"/>
        </w:rPr>
        <w:t xml:space="preserve">, только </w:t>
      </w:r>
      <w:r w:rsidRPr="004E7E3E">
        <w:rPr>
          <w:rFonts w:ascii="Times New Roman" w:hAnsi="Times New Roman" w:cs="Times New Roman"/>
          <w:color w:val="000000"/>
          <w:sz w:val="24"/>
          <w:szCs w:val="24"/>
          <w:shd w:val="clear" w:color="auto" w:fill="FFFFFF"/>
          <w:lang w:val="ru-RU"/>
        </w:rPr>
        <w:lastRenderedPageBreak/>
        <w:t>появившись в списке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тут же занял 5-ю строчку, однако это произошло благодаря голосованию</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прежде всего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респондентов из Азии и отсутстви</w:t>
      </w:r>
      <w:r>
        <w:rPr>
          <w:rFonts w:ascii="Times New Roman" w:hAnsi="Times New Roman" w:cs="Times New Roman"/>
          <w:color w:val="000000"/>
          <w:sz w:val="24"/>
          <w:szCs w:val="24"/>
          <w:shd w:val="clear" w:color="auto" w:fill="FFFFFF"/>
          <w:lang w:val="ru-RU"/>
        </w:rPr>
        <w:t>ю</w:t>
      </w:r>
      <w:r w:rsidRPr="004E7E3E">
        <w:rPr>
          <w:rFonts w:ascii="Times New Roman" w:hAnsi="Times New Roman" w:cs="Times New Roman"/>
          <w:color w:val="000000"/>
          <w:sz w:val="24"/>
          <w:szCs w:val="24"/>
          <w:shd w:val="clear" w:color="auto" w:fill="FFFFFF"/>
          <w:lang w:val="ru-RU"/>
        </w:rPr>
        <w:t xml:space="preserve"> экспертных оценок из других регионов (например, из Северной Америки или Европы). В то время</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как </w:t>
      </w:r>
      <w:r w:rsidR="00D45E96" w:rsidRPr="004E7E3E">
        <w:rPr>
          <w:rFonts w:ascii="Times New Roman" w:hAnsi="Times New Roman" w:cs="Times New Roman"/>
          <w:color w:val="000000"/>
          <w:sz w:val="24"/>
          <w:szCs w:val="24"/>
          <w:shd w:val="clear" w:color="auto" w:fill="FFFFFF"/>
          <w:lang w:val="ru-RU"/>
        </w:rPr>
        <w:t>Шэньчжэнь</w:t>
      </w:r>
      <w:r w:rsidRPr="004E7E3E">
        <w:rPr>
          <w:rFonts w:ascii="Times New Roman" w:hAnsi="Times New Roman" w:cs="Times New Roman"/>
          <w:color w:val="000000"/>
          <w:sz w:val="24"/>
          <w:szCs w:val="24"/>
          <w:shd w:val="clear" w:color="auto" w:fill="FFFFFF"/>
          <w:lang w:val="ru-RU"/>
        </w:rPr>
        <w:t xml:space="preserve"> ворвался в топ-5, по субиндексу «Человеческий капитал» он занял только 15 место, по субиндексу «Бизнес среда» – 27-е, по субиндексу «Доступность рынка» – 33-е, а по «Инфраструктуре» – 46-е. Тоже самое наблюдается в случае Шанхая. Войдя в первую десятку в основном рейтинге, по субиндексу «Человеческого капитала» он занял 17-е место, по субиндексу «Бизнес сред</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 22-е, по субиндексу «Доступност</w:t>
      </w:r>
      <w:r>
        <w:rPr>
          <w:rFonts w:ascii="Times New Roman" w:hAnsi="Times New Roman" w:cs="Times New Roman"/>
          <w:color w:val="000000"/>
          <w:sz w:val="24"/>
          <w:szCs w:val="24"/>
          <w:shd w:val="clear" w:color="auto" w:fill="FFFFFF"/>
          <w:lang w:val="ru-RU"/>
        </w:rPr>
        <w:t>ь</w:t>
      </w:r>
      <w:r w:rsidRPr="004E7E3E">
        <w:rPr>
          <w:rFonts w:ascii="Times New Roman" w:hAnsi="Times New Roman" w:cs="Times New Roman"/>
          <w:color w:val="000000"/>
          <w:sz w:val="24"/>
          <w:szCs w:val="24"/>
          <w:shd w:val="clear" w:color="auto" w:fill="FFFFFF"/>
          <w:lang w:val="ru-RU"/>
        </w:rPr>
        <w:t xml:space="preserve"> рынка» – 26-е, по субиндекс</w:t>
      </w:r>
      <w:r>
        <w:rPr>
          <w:rFonts w:ascii="Times New Roman" w:hAnsi="Times New Roman" w:cs="Times New Roman"/>
          <w:color w:val="000000"/>
          <w:sz w:val="24"/>
          <w:szCs w:val="24"/>
          <w:shd w:val="clear" w:color="auto" w:fill="FFFFFF"/>
          <w:lang w:val="ru-RU"/>
        </w:rPr>
        <w:t>у</w:t>
      </w:r>
      <w:r w:rsidRPr="004E7E3E">
        <w:rPr>
          <w:rFonts w:ascii="Times New Roman" w:hAnsi="Times New Roman" w:cs="Times New Roman"/>
          <w:color w:val="000000"/>
          <w:sz w:val="24"/>
          <w:szCs w:val="24"/>
          <w:shd w:val="clear" w:color="auto" w:fill="FFFFFF"/>
          <w:lang w:val="ru-RU"/>
        </w:rPr>
        <w:t xml:space="preserve"> «Инфраструктур</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 33-е. Для таких постоянных участников рынка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как Лондон, Нью-Йорк, Гонконг, Сингапур, Чикаго, Цюрих такой разброс за гранью возможного. Их показатели по субиндексам иногда отличаются от их места в основном рейтинге, но отличия </w:t>
      </w:r>
      <w:r>
        <w:rPr>
          <w:rFonts w:ascii="Times New Roman" w:hAnsi="Times New Roman" w:cs="Times New Roman"/>
          <w:color w:val="000000"/>
          <w:sz w:val="24"/>
          <w:szCs w:val="24"/>
          <w:shd w:val="clear" w:color="auto" w:fill="FFFFFF"/>
          <w:lang w:val="ru-RU"/>
        </w:rPr>
        <w:t xml:space="preserve">остаются </w:t>
      </w:r>
      <w:r w:rsidRPr="004E7E3E">
        <w:rPr>
          <w:rFonts w:ascii="Times New Roman" w:hAnsi="Times New Roman" w:cs="Times New Roman"/>
          <w:color w:val="000000"/>
          <w:sz w:val="24"/>
          <w:szCs w:val="24"/>
          <w:shd w:val="clear" w:color="auto" w:fill="FFFFFF"/>
          <w:lang w:val="ru-RU"/>
        </w:rPr>
        <w:t xml:space="preserve">в пределах +/-3 места. Но никак не 41, как в случае </w:t>
      </w:r>
      <w:r w:rsidR="00D45E96" w:rsidRPr="004E7E3E">
        <w:rPr>
          <w:rFonts w:ascii="Times New Roman" w:hAnsi="Times New Roman" w:cs="Times New Roman"/>
          <w:color w:val="000000"/>
          <w:sz w:val="24"/>
          <w:szCs w:val="24"/>
          <w:shd w:val="clear" w:color="auto" w:fill="FFFFFF"/>
          <w:lang w:val="ru-RU"/>
        </w:rPr>
        <w:t>Шэньчжэня</w:t>
      </w:r>
      <w:r w:rsidRPr="004E7E3E">
        <w:rPr>
          <w:rFonts w:ascii="Times New Roman" w:hAnsi="Times New Roman" w:cs="Times New Roman"/>
          <w:color w:val="000000"/>
          <w:sz w:val="24"/>
          <w:szCs w:val="24"/>
          <w:shd w:val="clear" w:color="auto" w:fill="FFFFFF"/>
          <w:lang w:val="ru-RU"/>
        </w:rPr>
        <w:t xml:space="preserve"> в разделе «Инфраструктура»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xml:space="preserve">. 23]. </w:t>
      </w:r>
    </w:p>
    <w:p w14:paraId="6AB31CE7" w14:textId="41AEC66D" w:rsidR="008338D9" w:rsidRDefault="008338D9" w:rsidP="008338D9">
      <w:pPr>
        <w:spacing w:before="100" w:beforeAutospacing="1" w:after="100" w:afterAutospacing="1"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Авторы рейтинга в первых 6-ти выпусках признавали только </w:t>
      </w:r>
      <w:r>
        <w:rPr>
          <w:rFonts w:ascii="Times New Roman" w:hAnsi="Times New Roman" w:cs="Times New Roman"/>
          <w:color w:val="000000"/>
          <w:sz w:val="24"/>
          <w:szCs w:val="24"/>
          <w:shd w:val="clear" w:color="auto" w:fill="FFFFFF"/>
          <w:lang w:val="ru-RU"/>
        </w:rPr>
        <w:t>два</w:t>
      </w:r>
      <w:r w:rsidRPr="004E7E3E">
        <w:rPr>
          <w:rFonts w:ascii="Times New Roman" w:hAnsi="Times New Roman" w:cs="Times New Roman"/>
          <w:color w:val="000000"/>
          <w:sz w:val="24"/>
          <w:szCs w:val="24"/>
          <w:shd w:val="clear" w:color="auto" w:fill="FFFFFF"/>
          <w:lang w:val="ru-RU"/>
        </w:rPr>
        <w:t xml:space="preserve"> «по-настоящему» глобальных центра – Лондон и Нью-Йорк. Они и сейчас попеременно занимают 1-ю и 2-ю строчки в рейтинге всех респондентов (управляющих активами, банковского сектора, государственного и иных регуляторов, страховщиков, профессиональных служб). Третьим глобальным финансовым центром можно назвать конкурирующий тандем Гонконга и Сингапура, которые занимают 3-ю и 4-ю строчки. С одной стороны, они являются конкурентами на рынке Юго-Восточной Азии, с другой – у них есть своя специализация: Гонконг служит основной площадкой для первичного размещения акций китайски</w:t>
      </w:r>
      <w:r>
        <w:rPr>
          <w:rFonts w:ascii="Times New Roman" w:hAnsi="Times New Roman" w:cs="Times New Roman"/>
          <w:color w:val="000000"/>
          <w:sz w:val="24"/>
          <w:szCs w:val="24"/>
          <w:shd w:val="clear" w:color="auto" w:fill="FFFFFF"/>
          <w:lang w:val="ru-RU"/>
        </w:rPr>
        <w:t>х</w:t>
      </w:r>
      <w:r w:rsidRPr="004E7E3E">
        <w:rPr>
          <w:rFonts w:ascii="Times New Roman" w:hAnsi="Times New Roman" w:cs="Times New Roman"/>
          <w:color w:val="000000"/>
          <w:sz w:val="24"/>
          <w:szCs w:val="24"/>
          <w:shd w:val="clear" w:color="auto" w:fill="FFFFFF"/>
          <w:lang w:val="ru-RU"/>
        </w:rPr>
        <w:t xml:space="preserve"> государственных корпораций, Сингапур ориентируется на рынок Южной Азии (Малайзии, Таиланда, Индонезии, Вьетнама). С 6-го выпуска эти два «азиатских тигра» также стали признаваться полноценными глобальными центрам. Далее рейтинг менее предсказуем: швейцарские центры (Цюрих, реже Женева), американские Чикаго, Бостон, реже Сан-Франциско, канадские Торонто, Ванкувер, Монреаль</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и в последних выпусках – центр финансирования энергетических проектов Калгари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 2009 года – китайские Шанхай, </w:t>
      </w:r>
      <w:r w:rsidR="00D45E96" w:rsidRPr="004E7E3E">
        <w:rPr>
          <w:rFonts w:ascii="Times New Roman" w:hAnsi="Times New Roman" w:cs="Times New Roman"/>
          <w:color w:val="000000"/>
          <w:sz w:val="24"/>
          <w:szCs w:val="24"/>
          <w:shd w:val="clear" w:color="auto" w:fill="FFFFFF"/>
          <w:lang w:val="ru-RU"/>
        </w:rPr>
        <w:t>Шэньчжэнь</w:t>
      </w:r>
      <w:r w:rsidRPr="004E7E3E">
        <w:rPr>
          <w:rFonts w:ascii="Times New Roman" w:hAnsi="Times New Roman" w:cs="Times New Roman"/>
          <w:color w:val="000000"/>
          <w:sz w:val="24"/>
          <w:szCs w:val="24"/>
          <w:shd w:val="clear" w:color="auto" w:fill="FFFFFF"/>
          <w:lang w:val="ru-RU"/>
        </w:rPr>
        <w:t xml:space="preserve"> и Пекин, а также финансовые центры Германии (Франкфурт), Франции (Париж), Японии (Токио), Южной Кореи (Сеул), Австралии (Сидней), Ближнего Востока (Дубай или Катар), Люксембург. Временами в топ-25 пробиваются офшорные центры (проливные офшоры – Джерси, Гернси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Каймановы острова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Бермудские острова), но в связи с обострившейся борьбой национальных налоговых ведомств многих стран, а также Организации экономического сотрудничества и развития против «серых» схем по уходу от налогов, их позиции в рейтинге просели. </w:t>
      </w:r>
      <w:bookmarkStart w:id="14" w:name="смтаблица12"/>
    </w:p>
    <w:p w14:paraId="7468BC08" w14:textId="081D4305" w:rsidR="008338D9" w:rsidRPr="004E7E3E" w:rsidRDefault="008338D9" w:rsidP="008338D9">
      <w:pPr>
        <w:spacing w:before="100" w:beforeAutospacing="1" w:after="100" w:afterAutospacing="1"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На основе всех имеющихся на сайте </w:t>
      </w:r>
      <w:r w:rsidRPr="004E7E3E">
        <w:rPr>
          <w:rFonts w:ascii="Times New Roman" w:hAnsi="Times New Roman" w:cs="Times New Roman"/>
          <w:color w:val="000000"/>
          <w:sz w:val="24"/>
          <w:szCs w:val="24"/>
          <w:shd w:val="clear" w:color="auto" w:fill="FFFFFF"/>
        </w:rPr>
        <w:t>Z</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rPr>
        <w:t>Yen</w:t>
      </w:r>
      <w:r w:rsidRPr="004E7E3E">
        <w:rPr>
          <w:rFonts w:ascii="Times New Roman" w:hAnsi="Times New Roman" w:cs="Times New Roman"/>
          <w:color w:val="000000"/>
          <w:sz w:val="24"/>
          <w:szCs w:val="24"/>
          <w:shd w:val="clear" w:color="auto" w:fill="FFFFFF"/>
          <w:lang w:val="ru-RU"/>
        </w:rPr>
        <w:t xml:space="preserve"> выпусков мы составили свою диаграмму</w:t>
      </w:r>
      <w:bookmarkEnd w:id="14"/>
      <w:r w:rsidRPr="004E7E3E">
        <w:rPr>
          <w:rFonts w:ascii="Times New Roman" w:hAnsi="Times New Roman" w:cs="Times New Roman"/>
          <w:color w:val="000000"/>
          <w:sz w:val="24"/>
          <w:szCs w:val="24"/>
          <w:shd w:val="clear" w:color="auto" w:fill="FFFFFF"/>
          <w:lang w:val="ru-RU"/>
        </w:rPr>
        <w:t xml:space="preserve"> динамики развития лидера рейтинга</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GFCI</w:t>
      </w:r>
      <w:r w:rsidRPr="003E53DA">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в сравнении с</w:t>
      </w:r>
      <w:r w:rsidRPr="004E7E3E">
        <w:rPr>
          <w:rFonts w:ascii="Times New Roman" w:hAnsi="Times New Roman" w:cs="Times New Roman"/>
          <w:color w:val="000000"/>
          <w:sz w:val="24"/>
          <w:szCs w:val="24"/>
          <w:shd w:val="clear" w:color="auto" w:fill="FFFFFF"/>
          <w:lang w:val="ru-RU"/>
        </w:rPr>
        <w:t xml:space="preserve"> российскими центрами и </w:t>
      </w:r>
      <w:r w:rsidRPr="004E7E3E">
        <w:rPr>
          <w:rFonts w:ascii="Times New Roman" w:hAnsi="Times New Roman" w:cs="Times New Roman"/>
          <w:color w:val="000000"/>
          <w:sz w:val="24"/>
          <w:szCs w:val="24"/>
          <w:shd w:val="clear" w:color="auto" w:fill="FFFFFF"/>
          <w:lang w:val="ru-RU"/>
        </w:rPr>
        <w:lastRenderedPageBreak/>
        <w:t>китаеязычными центрами (Рис. 2 по баллам, Рис. 3. по рейтингу).</w:t>
      </w:r>
      <w:r w:rsidR="008C1DE0">
        <w:rPr>
          <w:rFonts w:ascii="Times New Roman" w:hAnsi="Times New Roman" w:cs="Times New Roman"/>
          <w:color w:val="000000"/>
          <w:sz w:val="24"/>
          <w:szCs w:val="24"/>
          <w:shd w:val="clear" w:color="auto" w:fill="FFFFFF"/>
          <w:lang w:val="ru-RU"/>
        </w:rPr>
        <w:t xml:space="preserve"> Полную базу значений рейтинга </w:t>
      </w:r>
      <w:r w:rsidR="008C1DE0">
        <w:rPr>
          <w:rFonts w:ascii="Times New Roman" w:hAnsi="Times New Roman" w:cs="Times New Roman"/>
          <w:color w:val="000000"/>
          <w:sz w:val="24"/>
          <w:szCs w:val="24"/>
          <w:shd w:val="clear" w:color="auto" w:fill="FFFFFF"/>
        </w:rPr>
        <w:t>GFCI</w:t>
      </w:r>
      <w:r w:rsidR="008C1DE0" w:rsidRPr="008C1DE0">
        <w:rPr>
          <w:rFonts w:ascii="Times New Roman" w:hAnsi="Times New Roman" w:cs="Times New Roman"/>
          <w:color w:val="000000"/>
          <w:sz w:val="24"/>
          <w:szCs w:val="24"/>
          <w:shd w:val="clear" w:color="auto" w:fill="FFFFFF"/>
          <w:lang w:val="ru-RU"/>
        </w:rPr>
        <w:t xml:space="preserve"> </w:t>
      </w:r>
      <w:r w:rsidR="008C1DE0">
        <w:rPr>
          <w:rFonts w:ascii="Times New Roman" w:hAnsi="Times New Roman" w:cs="Times New Roman"/>
          <w:color w:val="000000"/>
          <w:sz w:val="24"/>
          <w:szCs w:val="24"/>
          <w:shd w:val="clear" w:color="auto" w:fill="FFFFFF"/>
          <w:lang w:val="ru-RU"/>
        </w:rPr>
        <w:t>для российских и китайских центров можно найти в Приложении 2.</w:t>
      </w:r>
      <w:r w:rsidRPr="004E7E3E">
        <w:rPr>
          <w:rFonts w:ascii="Times New Roman" w:hAnsi="Times New Roman" w:cs="Times New Roman"/>
          <w:color w:val="000000"/>
          <w:sz w:val="24"/>
          <w:szCs w:val="24"/>
          <w:shd w:val="clear" w:color="auto" w:fill="FFFFFF"/>
          <w:lang w:val="ru-RU"/>
        </w:rPr>
        <w:t xml:space="preserve"> </w:t>
      </w:r>
    </w:p>
    <w:p w14:paraId="1F8EB111" w14:textId="094EDB24" w:rsidR="003C7B98" w:rsidRPr="004E7E3E" w:rsidRDefault="003C7B98"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noProof/>
          <w:color w:val="000000"/>
          <w:sz w:val="24"/>
          <w:szCs w:val="24"/>
          <w:shd w:val="clear" w:color="auto" w:fill="FFFFFF"/>
          <w:lang w:val="ru-RU"/>
        </w:rPr>
        <w:drawing>
          <wp:inline distT="0" distB="0" distL="0" distR="0" wp14:anchorId="4C33239C" wp14:editId="670015BD">
            <wp:extent cx="5848350" cy="36290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3629025"/>
                    </a:xfrm>
                    <a:prstGeom prst="rect">
                      <a:avLst/>
                    </a:prstGeom>
                    <a:noFill/>
                    <a:ln>
                      <a:noFill/>
                    </a:ln>
                  </pic:spPr>
                </pic:pic>
              </a:graphicData>
            </a:graphic>
          </wp:inline>
        </w:drawing>
      </w:r>
    </w:p>
    <w:p w14:paraId="05BF5EEC" w14:textId="77777777" w:rsidR="008338D9" w:rsidRPr="004E7E3E" w:rsidRDefault="008338D9" w:rsidP="008338D9">
      <w:pPr>
        <w:spacing w:before="100" w:beforeAutospacing="1" w:after="100" w:line="360" w:lineRule="auto"/>
        <w:ind w:firstLine="709"/>
        <w:contextualSpacing/>
        <w:rPr>
          <w:rFonts w:ascii="Times New Roman" w:hAnsi="Times New Roman" w:cs="Times New Roman"/>
          <w:sz w:val="24"/>
          <w:szCs w:val="24"/>
          <w:lang w:val="ru-RU" w:eastAsia="zh-CN"/>
        </w:rPr>
      </w:pPr>
      <w:bookmarkStart w:id="15" w:name="таблицаодин"/>
      <w:r w:rsidRPr="003C7B98">
        <w:rPr>
          <w:rStyle w:val="16"/>
        </w:rPr>
        <w:t>Рис 2.</w:t>
      </w:r>
      <w:r w:rsidRPr="003C7B98">
        <w:rPr>
          <w:rFonts w:ascii="Times New Roman" w:hAnsi="Times New Roman" w:cs="Times New Roman"/>
          <w:sz w:val="24"/>
          <w:szCs w:val="24"/>
          <w:lang w:val="ru-RU"/>
        </w:rPr>
        <w:t xml:space="preserve"> </w:t>
      </w:r>
      <w:bookmarkEnd w:id="15"/>
      <w:r w:rsidRPr="003C7B98">
        <w:rPr>
          <w:rFonts w:ascii="Times New Roman" w:hAnsi="Times New Roman" w:cs="Times New Roman"/>
          <w:sz w:val="24"/>
          <w:szCs w:val="24"/>
          <w:lang w:val="ru-RU"/>
        </w:rPr>
        <w:t xml:space="preserve">Сравнение динамики российских и китайских МФЦ в </w:t>
      </w:r>
      <w:r w:rsidRPr="003C7B98">
        <w:rPr>
          <w:rFonts w:ascii="Times New Roman" w:hAnsi="Times New Roman" w:cs="Times New Roman"/>
          <w:sz w:val="24"/>
          <w:szCs w:val="24"/>
          <w:lang w:eastAsia="zh-CN"/>
        </w:rPr>
        <w:t>GFCI</w:t>
      </w:r>
      <w:r w:rsidRPr="003C7B98">
        <w:rPr>
          <w:rFonts w:ascii="Times New Roman" w:hAnsi="Times New Roman" w:cs="Times New Roman"/>
          <w:sz w:val="24"/>
          <w:szCs w:val="24"/>
          <w:lang w:val="ru-RU" w:eastAsia="zh-CN"/>
        </w:rPr>
        <w:t xml:space="preserve"> (рейтинг, баллы).</w:t>
      </w:r>
    </w:p>
    <w:p w14:paraId="19A93FE8" w14:textId="618430A4" w:rsidR="008338D9" w:rsidRPr="004E7E3E" w:rsidRDefault="008338D9" w:rsidP="008338D9">
      <w:pPr>
        <w:spacing w:before="100" w:beforeAutospacing="1" w:after="100" w:line="360" w:lineRule="auto"/>
        <w:ind w:firstLine="709"/>
        <w:contextualSpacing/>
        <w:rPr>
          <w:rStyle w:val="a9"/>
          <w:rFonts w:ascii="Times New Roman" w:hAnsi="Times New Roman" w:cs="Times New Roman"/>
          <w:color w:val="000000"/>
          <w:sz w:val="24"/>
          <w:szCs w:val="24"/>
          <w:u w:val="none"/>
          <w:lang w:val="ru-RU" w:eastAsia="zh-CN" w:bidi="ar-SA"/>
        </w:rPr>
      </w:pPr>
      <w:r w:rsidRPr="004E7E3E">
        <w:rPr>
          <w:rFonts w:ascii="Times New Roman" w:eastAsia="Times New Roman" w:hAnsi="Times New Roman" w:cs="Times New Roman"/>
          <w:color w:val="000000"/>
          <w:sz w:val="24"/>
          <w:szCs w:val="24"/>
          <w:lang w:val="ru-RU" w:eastAsia="zh-CN" w:bidi="ar-SA"/>
        </w:rPr>
        <w:t xml:space="preserve">Источник: составлено автором на основе материалов </w:t>
      </w:r>
      <w:r w:rsidRPr="004E7E3E">
        <w:rPr>
          <w:rFonts w:ascii="Times New Roman" w:hAnsi="Times New Roman" w:cs="Times New Roman"/>
          <w:color w:val="000000"/>
          <w:sz w:val="24"/>
          <w:szCs w:val="24"/>
          <w:lang w:val="ru-RU" w:eastAsia="zh-CN" w:bidi="ar-SA"/>
        </w:rPr>
        <w:t>[</w:t>
      </w:r>
      <w:r w:rsidRPr="004E7E3E">
        <w:rPr>
          <w:rFonts w:ascii="Times New Roman" w:hAnsi="Times New Roman" w:cs="Times New Roman"/>
          <w:color w:val="000000"/>
          <w:sz w:val="24"/>
          <w:szCs w:val="24"/>
          <w:lang w:val="ru-RU" w:eastAsia="zh-CN" w:bidi="ar-SA"/>
        </w:rPr>
        <w:fldChar w:fldCharType="begin"/>
      </w:r>
      <w:r w:rsidRPr="004E7E3E">
        <w:rPr>
          <w:rFonts w:ascii="Times New Roman" w:hAnsi="Times New Roman" w:cs="Times New Roman"/>
          <w:color w:val="000000"/>
          <w:sz w:val="24"/>
          <w:szCs w:val="24"/>
          <w:lang w:val="ru-RU" w:eastAsia="zh-CN" w:bidi="ar-SA"/>
        </w:rPr>
        <w:instrText xml:space="preserve"> REF _Ref130564109 \r \h  \* MERGEFORMAT </w:instrText>
      </w:r>
      <w:r w:rsidRPr="004E7E3E">
        <w:rPr>
          <w:rFonts w:ascii="Times New Roman" w:hAnsi="Times New Roman" w:cs="Times New Roman"/>
          <w:color w:val="000000"/>
          <w:sz w:val="24"/>
          <w:szCs w:val="24"/>
          <w:lang w:val="ru-RU" w:eastAsia="zh-CN" w:bidi="ar-SA"/>
        </w:rPr>
      </w:r>
      <w:r w:rsidRPr="004E7E3E">
        <w:rPr>
          <w:rFonts w:ascii="Times New Roman" w:hAnsi="Times New Roman" w:cs="Times New Roman"/>
          <w:color w:val="000000"/>
          <w:sz w:val="24"/>
          <w:szCs w:val="24"/>
          <w:lang w:val="ru-RU" w:eastAsia="zh-CN" w:bidi="ar-SA"/>
        </w:rPr>
        <w:fldChar w:fldCharType="separate"/>
      </w:r>
      <w:r w:rsidR="00801D78">
        <w:rPr>
          <w:rFonts w:ascii="Times New Roman" w:hAnsi="Times New Roman" w:cs="Times New Roman"/>
          <w:color w:val="000000"/>
          <w:sz w:val="24"/>
          <w:szCs w:val="24"/>
          <w:lang w:val="ru-RU" w:eastAsia="zh-CN" w:bidi="ar-SA"/>
        </w:rPr>
        <w:t>233</w:t>
      </w:r>
      <w:r w:rsidRPr="004E7E3E">
        <w:rPr>
          <w:rFonts w:ascii="Times New Roman" w:hAnsi="Times New Roman" w:cs="Times New Roman"/>
          <w:color w:val="000000"/>
          <w:sz w:val="24"/>
          <w:szCs w:val="24"/>
          <w:lang w:val="ru-RU" w:eastAsia="zh-CN" w:bidi="ar-SA"/>
        </w:rPr>
        <w:fldChar w:fldCharType="end"/>
      </w:r>
      <w:r w:rsidRPr="004E7E3E">
        <w:rPr>
          <w:rFonts w:ascii="Times New Roman" w:hAnsi="Times New Roman" w:cs="Times New Roman"/>
          <w:color w:val="000000"/>
          <w:sz w:val="24"/>
          <w:szCs w:val="24"/>
          <w:lang w:val="ru-RU" w:eastAsia="zh-CN" w:bidi="ar-SA"/>
        </w:rPr>
        <w:t>]</w:t>
      </w:r>
      <w:r>
        <w:rPr>
          <w:rFonts w:ascii="Times New Roman" w:hAnsi="Times New Roman" w:cs="Times New Roman"/>
          <w:color w:val="000000"/>
          <w:sz w:val="24"/>
          <w:szCs w:val="24"/>
          <w:lang w:val="ru-RU" w:eastAsia="zh-CN" w:bidi="ar-SA"/>
        </w:rPr>
        <w:t>.</w:t>
      </w:r>
    </w:p>
    <w:p w14:paraId="3B52B296" w14:textId="77777777" w:rsidR="008338D9" w:rsidRPr="004E7E3E"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Сравнивая оба рейтинга, легко самостоятельно прийти к заключению,</w:t>
      </w:r>
      <w:r>
        <w:rPr>
          <w:rFonts w:ascii="Times New Roman" w:hAnsi="Times New Roman" w:cs="Times New Roman"/>
          <w:color w:val="000000"/>
          <w:sz w:val="24"/>
          <w:szCs w:val="24"/>
          <w:shd w:val="clear" w:color="auto" w:fill="FFFFFF"/>
          <w:lang w:val="ru-RU"/>
        </w:rPr>
        <w:t xml:space="preserve"> представленному</w:t>
      </w:r>
      <w:r w:rsidRPr="004E7E3E">
        <w:rPr>
          <w:rFonts w:ascii="Times New Roman" w:hAnsi="Times New Roman" w:cs="Times New Roman"/>
          <w:color w:val="000000"/>
          <w:sz w:val="24"/>
          <w:szCs w:val="24"/>
          <w:shd w:val="clear" w:color="auto" w:fill="FFFFFF"/>
          <w:lang w:val="ru-RU"/>
        </w:rPr>
        <w:t xml:space="preserve"> на страницах выпусков </w:t>
      </w:r>
      <w:r w:rsidRPr="004E7E3E">
        <w:rPr>
          <w:rFonts w:ascii="Times New Roman" w:hAnsi="Times New Roman" w:cs="Times New Roman"/>
          <w:color w:val="000000"/>
          <w:sz w:val="24"/>
          <w:szCs w:val="24"/>
          <w:shd w:val="clear" w:color="auto" w:fill="FFFFFF"/>
        </w:rPr>
        <w:t>GFCI</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о том, что конкуренция в мировых финансах усиливается</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и положительное развитие финансовых услуг ещё не гарантирует </w:t>
      </w:r>
      <w:r>
        <w:rPr>
          <w:rFonts w:ascii="Times New Roman" w:hAnsi="Times New Roman" w:cs="Times New Roman"/>
          <w:color w:val="000000"/>
          <w:sz w:val="24"/>
          <w:szCs w:val="24"/>
          <w:shd w:val="clear" w:color="auto" w:fill="FFFFFF"/>
          <w:lang w:val="ru-RU"/>
        </w:rPr>
        <w:t>улучшения позиции</w:t>
      </w:r>
      <w:r w:rsidRPr="004E7E3E">
        <w:rPr>
          <w:rFonts w:ascii="Times New Roman" w:hAnsi="Times New Roman" w:cs="Times New Roman"/>
          <w:color w:val="000000"/>
          <w:sz w:val="24"/>
          <w:szCs w:val="24"/>
          <w:shd w:val="clear" w:color="auto" w:fill="FFFFFF"/>
          <w:lang w:val="ru-RU"/>
        </w:rPr>
        <w:t xml:space="preserve"> центра в рейтинге. Это особенно заметно по российским центрам. Хотя на графике заметно влияние политических рисков и снижение суммы баллов, оценивая позиции </w:t>
      </w:r>
      <w:r>
        <w:rPr>
          <w:rFonts w:ascii="Times New Roman" w:hAnsi="Times New Roman" w:cs="Times New Roman"/>
          <w:color w:val="000000"/>
          <w:sz w:val="24"/>
          <w:szCs w:val="24"/>
          <w:shd w:val="clear" w:color="auto" w:fill="FFFFFF"/>
          <w:lang w:val="ru-RU"/>
        </w:rPr>
        <w:t xml:space="preserve">российских </w:t>
      </w:r>
      <w:r w:rsidRPr="004E7E3E">
        <w:rPr>
          <w:rFonts w:ascii="Times New Roman" w:hAnsi="Times New Roman" w:cs="Times New Roman"/>
          <w:color w:val="000000"/>
          <w:sz w:val="24"/>
          <w:szCs w:val="24"/>
          <w:shd w:val="clear" w:color="auto" w:fill="FFFFFF"/>
          <w:lang w:val="ru-RU"/>
        </w:rPr>
        <w:t>центр</w:t>
      </w:r>
      <w:r>
        <w:rPr>
          <w:rFonts w:ascii="Times New Roman" w:hAnsi="Times New Roman" w:cs="Times New Roman"/>
          <w:color w:val="000000"/>
          <w:sz w:val="24"/>
          <w:szCs w:val="24"/>
          <w:shd w:val="clear" w:color="auto" w:fill="FFFFFF"/>
          <w:lang w:val="ru-RU"/>
        </w:rPr>
        <w:t>ов,</w:t>
      </w:r>
      <w:r w:rsidRPr="004E7E3E">
        <w:rPr>
          <w:rFonts w:ascii="Times New Roman" w:hAnsi="Times New Roman" w:cs="Times New Roman"/>
          <w:color w:val="000000"/>
          <w:sz w:val="24"/>
          <w:szCs w:val="24"/>
          <w:shd w:val="clear" w:color="auto" w:fill="FFFFFF"/>
          <w:lang w:val="ru-RU"/>
        </w:rPr>
        <w:t xml:space="preserve"> видно, что между ними и лидерами появил</w:t>
      </w:r>
      <w:r>
        <w:rPr>
          <w:rFonts w:ascii="Times New Roman" w:hAnsi="Times New Roman" w:cs="Times New Roman"/>
          <w:color w:val="000000"/>
          <w:sz w:val="24"/>
          <w:szCs w:val="24"/>
          <w:shd w:val="clear" w:color="auto" w:fill="FFFFFF"/>
          <w:lang w:val="ru-RU"/>
        </w:rPr>
        <w:t>о</w:t>
      </w:r>
      <w:r w:rsidRPr="004E7E3E">
        <w:rPr>
          <w:rFonts w:ascii="Times New Roman" w:hAnsi="Times New Roman" w:cs="Times New Roman"/>
          <w:color w:val="000000"/>
          <w:sz w:val="24"/>
          <w:szCs w:val="24"/>
          <w:shd w:val="clear" w:color="auto" w:fill="FFFFFF"/>
          <w:lang w:val="ru-RU"/>
        </w:rPr>
        <w:t>сь множество новых центров, отодвинувших российские центры дальше от лидеров.</w:t>
      </w:r>
    </w:p>
    <w:p w14:paraId="6E9A0B24" w14:textId="1CB1D387" w:rsidR="008338D9" w:rsidRPr="004E7E3E"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Всем известно значение репутации в финансовой сфере. В одном из выпусков </w:t>
      </w:r>
      <w:r w:rsidRPr="004E7E3E">
        <w:rPr>
          <w:rFonts w:ascii="Times New Roman" w:hAnsi="Times New Roman" w:cs="Times New Roman"/>
          <w:color w:val="000000"/>
          <w:sz w:val="24"/>
          <w:szCs w:val="24"/>
          <w:shd w:val="clear" w:color="auto" w:fill="FFFFFF"/>
        </w:rPr>
        <w:t>GFCI</w:t>
      </w:r>
      <w:r w:rsidRPr="004E7E3E">
        <w:rPr>
          <w:rFonts w:ascii="Times New Roman" w:hAnsi="Times New Roman" w:cs="Times New Roman"/>
          <w:color w:val="000000"/>
          <w:sz w:val="24"/>
          <w:szCs w:val="24"/>
          <w:shd w:val="clear" w:color="auto" w:fill="FFFFFF"/>
          <w:lang w:val="ru-RU"/>
        </w:rPr>
        <w:t xml:space="preserve"> приводится цитата: «Репутация – это всё в этом бизнесе»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xml:space="preserve">. 40]. Авторы индекса выделили репутацию в отдельный фактор и составляют список наиболее оценённых центров по этому показателю. Трактовка «репутации» у исследователей оригинальная: сила репутации определяется разницей между положением центра по оценкам экспертов и инструментальным показателям. То есть, грубо говоря, репутация – это успех работы </w:t>
      </w:r>
      <w:r w:rsidRPr="004E7E3E">
        <w:rPr>
          <w:rFonts w:ascii="Times New Roman" w:hAnsi="Times New Roman" w:cs="Times New Roman"/>
          <w:color w:val="000000"/>
          <w:sz w:val="24"/>
          <w:szCs w:val="24"/>
          <w:shd w:val="clear" w:color="auto" w:fill="FFFFFF"/>
        </w:rPr>
        <w:t>PR</w:t>
      </w:r>
      <w:r w:rsidRPr="004E7E3E">
        <w:rPr>
          <w:rFonts w:ascii="Times New Roman" w:hAnsi="Times New Roman" w:cs="Times New Roman"/>
          <w:color w:val="000000"/>
          <w:sz w:val="24"/>
          <w:szCs w:val="24"/>
          <w:shd w:val="clear" w:color="auto" w:fill="FFFFFF"/>
          <w:lang w:val="ru-RU"/>
        </w:rPr>
        <w:t>-менеджеров. К слову, в 10-м выпуске индекса китайские центры (</w:t>
      </w:r>
      <w:r w:rsidR="00D45E96" w:rsidRPr="004E7E3E">
        <w:rPr>
          <w:rFonts w:ascii="Times New Roman" w:hAnsi="Times New Roman" w:cs="Times New Roman"/>
          <w:color w:val="000000"/>
          <w:sz w:val="24"/>
          <w:szCs w:val="24"/>
          <w:shd w:val="clear" w:color="auto" w:fill="FFFFFF"/>
          <w:lang w:val="ru-RU"/>
        </w:rPr>
        <w:t>Шэньчжэнь</w:t>
      </w:r>
      <w:r w:rsidRPr="004E7E3E">
        <w:rPr>
          <w:rFonts w:ascii="Times New Roman" w:hAnsi="Times New Roman" w:cs="Times New Roman"/>
          <w:color w:val="000000"/>
          <w:sz w:val="24"/>
          <w:szCs w:val="24"/>
          <w:shd w:val="clear" w:color="auto" w:fill="FFFFFF"/>
          <w:lang w:val="ru-RU"/>
        </w:rPr>
        <w:t>, Шанхай и Пекин) получили высокие репутационные показатели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xml:space="preserve">. 32]. В исследовании отмечалось, что позиция этих центров </w:t>
      </w:r>
      <w:r w:rsidRPr="004E7E3E">
        <w:rPr>
          <w:rFonts w:ascii="Times New Roman" w:hAnsi="Times New Roman" w:cs="Times New Roman"/>
          <w:color w:val="000000"/>
          <w:sz w:val="24"/>
          <w:szCs w:val="24"/>
          <w:shd w:val="clear" w:color="auto" w:fill="FFFFFF"/>
          <w:lang w:val="ru-RU"/>
        </w:rPr>
        <w:lastRenderedPageBreak/>
        <w:t>является нестабильной и возможны изменения как в лучшую, так и в худшую сторону. И там же приводилась цитата одного из участников рынка: «Отчего китайские центры занимают такие высокие позиции в рейтинге? Ощущение, что они наняли первоклассных пиарщиков»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31]. А вот российские центры оказались в 17-м выпуске в конце списка по репутации: Москва (-52 пункта), Санкт-Петербург (-59 пункта). До Эр-Рияда, высадившего свои войска в Йемене, им далеко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138 пунктов), но результат вполне сопоставим с Афинами (-72 пункта) или Кипром (-50)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37]. Вообще, обзор региона Восточной Европы и Центральной Азии, в который входит Россия, начинается с того, что «тень Москвы пала на весь регион и снизила оценки центров региона в рейтинге (в том числе Стамбула, Алматы и Варшавы)»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17].</w:t>
      </w:r>
    </w:p>
    <w:p w14:paraId="26AA5E70" w14:textId="77777777" w:rsidR="008338D9" w:rsidRPr="004E7E3E"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На основе индексов можно проследить роль офшорных центров. Как правило, они находятся близ континентальных центров: офисы компаний на островах в проливе Ла-Манша (</w:t>
      </w:r>
      <w:r w:rsidRPr="004E7E3E">
        <w:rPr>
          <w:rFonts w:ascii="Times New Roman" w:hAnsi="Times New Roman" w:cs="Times New Roman"/>
          <w:color w:val="000000"/>
          <w:sz w:val="24"/>
          <w:szCs w:val="24"/>
          <w:shd w:val="clear" w:color="auto" w:fill="FFFFFF"/>
        </w:rPr>
        <w:t>Channel</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centres</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Джерси, Гернси), а также Гибралтара формируются персоналом из Лондона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офисы Карибских офшоров (Бермудские, Каймановы, Британские Виргинские острова) ориентируются на США. После начала кампании по борьбе с серыми налоговыми схемами репутация офшоров пошатнулась, их место постепенно </w:t>
      </w:r>
      <w:r>
        <w:rPr>
          <w:rFonts w:ascii="Times New Roman" w:hAnsi="Times New Roman" w:cs="Times New Roman"/>
          <w:color w:val="000000"/>
          <w:sz w:val="24"/>
          <w:szCs w:val="24"/>
          <w:shd w:val="clear" w:color="auto" w:fill="FFFFFF"/>
          <w:lang w:val="ru-RU"/>
        </w:rPr>
        <w:t>занимают</w:t>
      </w:r>
      <w:r w:rsidRPr="004E7E3E">
        <w:rPr>
          <w:rFonts w:ascii="Times New Roman" w:hAnsi="Times New Roman" w:cs="Times New Roman"/>
          <w:color w:val="000000"/>
          <w:sz w:val="24"/>
          <w:szCs w:val="24"/>
          <w:shd w:val="clear" w:color="auto" w:fill="FFFFFF"/>
          <w:lang w:val="ru-RU"/>
        </w:rPr>
        <w:t xml:space="preserve"> легальны</w:t>
      </w:r>
      <w:r>
        <w:rPr>
          <w:rFonts w:ascii="Times New Roman" w:hAnsi="Times New Roman" w:cs="Times New Roman"/>
          <w:color w:val="000000"/>
          <w:sz w:val="24"/>
          <w:szCs w:val="24"/>
          <w:shd w:val="clear" w:color="auto" w:fill="FFFFFF"/>
          <w:lang w:val="ru-RU"/>
        </w:rPr>
        <w:t xml:space="preserve">е </w:t>
      </w:r>
      <w:r w:rsidRPr="004E7E3E">
        <w:rPr>
          <w:rFonts w:ascii="Times New Roman" w:hAnsi="Times New Roman" w:cs="Times New Roman"/>
          <w:color w:val="000000"/>
          <w:sz w:val="24"/>
          <w:szCs w:val="24"/>
          <w:shd w:val="clear" w:color="auto" w:fill="FFFFFF"/>
          <w:lang w:val="ru-RU"/>
        </w:rPr>
        <w:t>офшор</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швейцарски</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центр</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xml:space="preserve"> (Цюрих, Женева), Люксембург, Гонконг, Сингапур и канадски</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центр</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xml:space="preserve"> для американских налогоплательщиков. </w:t>
      </w:r>
    </w:p>
    <w:p w14:paraId="70F5B9FD" w14:textId="77777777" w:rsidR="008338D9" w:rsidRPr="004E7E3E"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Необходимо ответить, что рейтинг </w:t>
      </w:r>
      <w:r w:rsidRPr="004E7E3E">
        <w:rPr>
          <w:rFonts w:ascii="Times New Roman" w:hAnsi="Times New Roman" w:cs="Times New Roman"/>
          <w:color w:val="000000"/>
          <w:sz w:val="24"/>
          <w:szCs w:val="24"/>
          <w:shd w:val="clear" w:color="auto" w:fill="FFFFFF"/>
        </w:rPr>
        <w:t>GFCI</w:t>
      </w:r>
      <w:r w:rsidRPr="004E7E3E">
        <w:rPr>
          <w:rFonts w:ascii="Times New Roman" w:hAnsi="Times New Roman" w:cs="Times New Roman"/>
          <w:color w:val="000000"/>
          <w:sz w:val="24"/>
          <w:szCs w:val="24"/>
          <w:shd w:val="clear" w:color="auto" w:fill="FFFFFF"/>
          <w:lang w:val="ru-RU"/>
        </w:rPr>
        <w:t xml:space="preserve"> изначально ставил</w:t>
      </w:r>
      <w:r>
        <w:rPr>
          <w:rFonts w:ascii="Times New Roman" w:hAnsi="Times New Roman" w:cs="Times New Roman"/>
          <w:color w:val="000000"/>
          <w:sz w:val="24"/>
          <w:szCs w:val="24"/>
          <w:shd w:val="clear" w:color="auto" w:fill="FFFFFF"/>
          <w:lang w:val="ru-RU"/>
        </w:rPr>
        <w:t xml:space="preserve"> своей</w:t>
      </w:r>
      <w:r w:rsidRPr="004E7E3E">
        <w:rPr>
          <w:rFonts w:ascii="Times New Roman" w:hAnsi="Times New Roman" w:cs="Times New Roman"/>
          <w:color w:val="000000"/>
          <w:sz w:val="24"/>
          <w:szCs w:val="24"/>
          <w:shd w:val="clear" w:color="auto" w:fill="FFFFFF"/>
          <w:lang w:val="ru-RU"/>
        </w:rPr>
        <w:t xml:space="preserve"> цель</w:t>
      </w:r>
      <w:r>
        <w:rPr>
          <w:rFonts w:ascii="Times New Roman" w:hAnsi="Times New Roman" w:cs="Times New Roman"/>
          <w:color w:val="000000"/>
          <w:sz w:val="24"/>
          <w:szCs w:val="24"/>
          <w:shd w:val="clear" w:color="auto" w:fill="FFFFFF"/>
          <w:lang w:val="ru-RU"/>
        </w:rPr>
        <w:t>ю</w:t>
      </w:r>
      <w:r w:rsidRPr="004E7E3E">
        <w:rPr>
          <w:rFonts w:ascii="Times New Roman" w:hAnsi="Times New Roman" w:cs="Times New Roman"/>
          <w:color w:val="000000"/>
          <w:sz w:val="24"/>
          <w:szCs w:val="24"/>
          <w:shd w:val="clear" w:color="auto" w:fill="FFFFFF"/>
          <w:lang w:val="ru-RU"/>
        </w:rPr>
        <w:t xml:space="preserve"> проследить динамику изменений в международных финансах (с этим связана частота его выхода: дважды в год, а не </w:t>
      </w:r>
      <w:r>
        <w:rPr>
          <w:rFonts w:ascii="Times New Roman" w:hAnsi="Times New Roman" w:cs="Times New Roman"/>
          <w:color w:val="000000"/>
          <w:sz w:val="24"/>
          <w:szCs w:val="24"/>
          <w:shd w:val="clear" w:color="auto" w:fill="FFFFFF"/>
          <w:lang w:val="ru-RU"/>
        </w:rPr>
        <w:t>единожды</w:t>
      </w:r>
      <w:r w:rsidRPr="004E7E3E">
        <w:rPr>
          <w:rFonts w:ascii="Times New Roman" w:hAnsi="Times New Roman" w:cs="Times New Roman"/>
          <w:color w:val="000000"/>
          <w:sz w:val="24"/>
          <w:szCs w:val="24"/>
          <w:shd w:val="clear" w:color="auto" w:fill="FFFFFF"/>
          <w:lang w:val="ru-RU"/>
        </w:rPr>
        <w:t xml:space="preserve">, как обычно выходят другие рейтинги). </w:t>
      </w:r>
    </w:p>
    <w:p w14:paraId="1DED0DCE" w14:textId="035DAFCF"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8B51DB">
        <w:rPr>
          <w:rFonts w:ascii="Times New Roman" w:hAnsi="Times New Roman" w:cs="Times New Roman"/>
          <w:sz w:val="24"/>
          <w:szCs w:val="24"/>
          <w:lang w:val="ru-RU"/>
        </w:rPr>
        <w:t xml:space="preserve">Более подробное изучение рейтинга </w:t>
      </w:r>
      <w:r w:rsidRPr="008B51DB">
        <w:rPr>
          <w:rFonts w:ascii="Times New Roman" w:hAnsi="Times New Roman" w:cs="Times New Roman"/>
          <w:sz w:val="24"/>
          <w:szCs w:val="24"/>
        </w:rPr>
        <w:t>GFCI</w:t>
      </w:r>
      <w:r w:rsidRPr="008B51DB">
        <w:rPr>
          <w:rFonts w:ascii="Times New Roman" w:hAnsi="Times New Roman" w:cs="Times New Roman"/>
          <w:sz w:val="24"/>
          <w:szCs w:val="24"/>
          <w:lang w:val="ru-RU"/>
        </w:rPr>
        <w:t xml:space="preserve"> позволило выявить </w:t>
      </w:r>
      <w:r w:rsidRPr="008B51DB">
        <w:rPr>
          <w:rFonts w:ascii="Times New Roman" w:hAnsi="Times New Roman" w:cs="Times New Roman"/>
          <w:color w:val="000000"/>
          <w:sz w:val="24"/>
          <w:szCs w:val="24"/>
          <w:shd w:val="clear" w:color="auto" w:fill="FFFFFF"/>
          <w:lang w:val="ru-RU"/>
        </w:rPr>
        <w:t xml:space="preserve">ряд </w:t>
      </w:r>
      <w:r w:rsidRPr="008B51DB">
        <w:rPr>
          <w:rFonts w:ascii="Times New Roman" w:hAnsi="Times New Roman" w:cs="Times New Roman"/>
          <w:b/>
          <w:color w:val="000000"/>
          <w:sz w:val="24"/>
          <w:szCs w:val="24"/>
          <w:shd w:val="clear" w:color="auto" w:fill="FFFFFF"/>
          <w:lang w:val="ru-RU"/>
        </w:rPr>
        <w:t>нестыковок</w:t>
      </w:r>
      <w:r w:rsidRPr="008B51DB">
        <w:rPr>
          <w:rFonts w:ascii="Times New Roman" w:hAnsi="Times New Roman" w:cs="Times New Roman"/>
          <w:color w:val="000000"/>
          <w:sz w:val="24"/>
          <w:szCs w:val="24"/>
          <w:shd w:val="clear" w:color="auto" w:fill="FFFFFF"/>
          <w:lang w:val="ru-RU"/>
        </w:rPr>
        <w:t xml:space="preserve">, </w:t>
      </w:r>
      <w:r w:rsidRPr="008B51DB">
        <w:rPr>
          <w:rFonts w:ascii="Times New Roman" w:hAnsi="Times New Roman" w:cs="Times New Roman"/>
          <w:i/>
          <w:color w:val="000000"/>
          <w:sz w:val="24"/>
          <w:szCs w:val="24"/>
          <w:shd w:val="clear" w:color="auto" w:fill="FFFFFF"/>
          <w:lang w:val="ru-RU"/>
        </w:rPr>
        <w:t>которые не позволяют на 100% утверждать, что рейтинг составляется исключительно на основе объективных, количественны</w:t>
      </w:r>
      <w:r>
        <w:rPr>
          <w:rFonts w:ascii="Times New Roman" w:hAnsi="Times New Roman" w:cs="Times New Roman"/>
          <w:i/>
          <w:color w:val="000000"/>
          <w:sz w:val="24"/>
          <w:szCs w:val="24"/>
          <w:shd w:val="clear" w:color="auto" w:fill="FFFFFF"/>
          <w:lang w:val="ru-RU"/>
        </w:rPr>
        <w:t>х</w:t>
      </w:r>
      <w:r w:rsidRPr="008B51DB">
        <w:rPr>
          <w:rFonts w:ascii="Times New Roman" w:hAnsi="Times New Roman" w:cs="Times New Roman"/>
          <w:i/>
          <w:color w:val="000000"/>
          <w:sz w:val="24"/>
          <w:szCs w:val="24"/>
          <w:shd w:val="clear" w:color="auto" w:fill="FFFFFF"/>
          <w:lang w:val="ru-RU"/>
        </w:rPr>
        <w:t xml:space="preserve"> данных</w:t>
      </w:r>
      <w:r w:rsidRPr="008B51DB">
        <w:rPr>
          <w:rFonts w:ascii="Times New Roman" w:hAnsi="Times New Roman" w:cs="Times New Roman"/>
          <w:color w:val="000000"/>
          <w:sz w:val="24"/>
          <w:szCs w:val="24"/>
          <w:shd w:val="clear" w:color="auto" w:fill="FFFFFF"/>
          <w:lang w:val="ru-RU"/>
        </w:rPr>
        <w:t xml:space="preserve"> и не подвергнут влиянию субъективных оценок его составителей: </w:t>
      </w:r>
      <w:r w:rsidRPr="008B51DB">
        <w:rPr>
          <w:rFonts w:ascii="Times New Roman" w:hAnsi="Times New Roman" w:cs="Times New Roman"/>
          <w:b/>
          <w:color w:val="000000"/>
          <w:sz w:val="24"/>
          <w:szCs w:val="24"/>
          <w:shd w:val="clear" w:color="auto" w:fill="FFFFFF"/>
          <w:lang w:val="ru-RU"/>
        </w:rPr>
        <w:t>1)</w:t>
      </w:r>
      <w:r w:rsidRPr="008B51DB">
        <w:rPr>
          <w:rFonts w:ascii="Times New Roman" w:hAnsi="Times New Roman" w:cs="Times New Roman"/>
          <w:color w:val="000000"/>
          <w:sz w:val="24"/>
          <w:szCs w:val="24"/>
          <w:shd w:val="clear" w:color="auto" w:fill="FFFFFF"/>
          <w:lang w:val="ru-RU"/>
        </w:rPr>
        <w:t xml:space="preserve"> довольно часто разница между соседними центра</w:t>
      </w:r>
      <w:r>
        <w:rPr>
          <w:rFonts w:ascii="Times New Roman" w:hAnsi="Times New Roman" w:cs="Times New Roman"/>
          <w:color w:val="000000"/>
          <w:sz w:val="24"/>
          <w:szCs w:val="24"/>
          <w:shd w:val="clear" w:color="auto" w:fill="FFFFFF"/>
          <w:lang w:val="ru-RU"/>
        </w:rPr>
        <w:t>ми</w:t>
      </w:r>
      <w:r w:rsidRPr="008B51DB">
        <w:rPr>
          <w:rFonts w:ascii="Times New Roman" w:hAnsi="Times New Roman" w:cs="Times New Roman"/>
          <w:color w:val="000000"/>
          <w:sz w:val="24"/>
          <w:szCs w:val="24"/>
          <w:shd w:val="clear" w:color="auto" w:fill="FFFFFF"/>
          <w:lang w:val="ru-RU"/>
        </w:rPr>
        <w:t xml:space="preserve"> в рейтинге составляет лишь 1 балл (при максимальном показателе около 780 баллов из 1000 баллов возможных)</w:t>
      </w:r>
      <w:r>
        <w:rPr>
          <w:rFonts w:ascii="Times New Roman" w:hAnsi="Times New Roman" w:cs="Times New Roman"/>
          <w:color w:val="000000"/>
          <w:sz w:val="24"/>
          <w:szCs w:val="24"/>
          <w:shd w:val="clear" w:color="auto" w:fill="FFFFFF"/>
          <w:lang w:val="ru-RU"/>
        </w:rPr>
        <w:t>. Н</w:t>
      </w:r>
      <w:r w:rsidRPr="008B51DB">
        <w:rPr>
          <w:rFonts w:ascii="Times New Roman" w:hAnsi="Times New Roman" w:cs="Times New Roman"/>
          <w:color w:val="000000"/>
          <w:sz w:val="24"/>
          <w:szCs w:val="24"/>
          <w:shd w:val="clear" w:color="auto" w:fill="FFFFFF"/>
          <w:lang w:val="ru-RU"/>
        </w:rPr>
        <w:t xml:space="preserve">апример, разница между Нью-Йорком и Лондоном в 17-м выпуске; </w:t>
      </w:r>
      <w:r w:rsidRPr="008B51DB">
        <w:rPr>
          <w:rFonts w:ascii="Times New Roman" w:hAnsi="Times New Roman" w:cs="Times New Roman"/>
          <w:b/>
          <w:color w:val="000000"/>
          <w:sz w:val="24"/>
          <w:szCs w:val="24"/>
          <w:shd w:val="clear" w:color="auto" w:fill="FFFFFF"/>
          <w:lang w:val="ru-RU"/>
        </w:rPr>
        <w:t>2)</w:t>
      </w:r>
      <w:r w:rsidRPr="008B51DB">
        <w:rPr>
          <w:rFonts w:ascii="Times New Roman" w:hAnsi="Times New Roman" w:cs="Times New Roman"/>
          <w:color w:val="000000"/>
          <w:sz w:val="24"/>
          <w:szCs w:val="24"/>
          <w:shd w:val="clear" w:color="auto" w:fill="FFFFFF"/>
          <w:lang w:val="ru-RU"/>
        </w:rPr>
        <w:t xml:space="preserve"> стоит обратить внимание не только на положение МФЦ страны в рейтинге, но и на количество МФЦ одной страны в рейтинге. Например, США представлен 6-ю городам, находящимися на территории страны, Китай – 6-ю, Канада – 4-мя, Россия – 2–мя, Германия – 2-мя, Великобритания – 3-мя, плюс 8 зависимых территорий, а если учесть долларизацию некоторых стран (либо те территории, на которых доллар стал фактически единственной валютой, либо курс национальной валюты привязан к курсу США), то США будет представлена уже 13-ю участниками [</w:t>
      </w:r>
      <w:r w:rsidRPr="008B51DB">
        <w:rPr>
          <w:rFonts w:ascii="Times New Roman" w:hAnsi="Times New Roman" w:cs="Times New Roman"/>
          <w:color w:val="000000"/>
          <w:sz w:val="24"/>
          <w:szCs w:val="24"/>
          <w:shd w:val="clear" w:color="auto" w:fill="FFFFFF"/>
          <w:lang w:val="ru-RU"/>
        </w:rPr>
        <w:fldChar w:fldCharType="begin"/>
      </w:r>
      <w:r w:rsidRPr="008B51DB">
        <w:rPr>
          <w:rFonts w:ascii="Times New Roman" w:hAnsi="Times New Roman" w:cs="Times New Roman"/>
          <w:color w:val="000000"/>
          <w:sz w:val="24"/>
          <w:szCs w:val="24"/>
          <w:shd w:val="clear" w:color="auto" w:fill="FFFFFF"/>
          <w:lang w:val="ru-RU"/>
        </w:rPr>
        <w:instrText xml:space="preserve"> REF _Ref130564109 \r \h  \* MERGEFORMAT </w:instrText>
      </w:r>
      <w:r w:rsidRPr="008B51DB">
        <w:rPr>
          <w:rFonts w:ascii="Times New Roman" w:hAnsi="Times New Roman" w:cs="Times New Roman"/>
          <w:color w:val="000000"/>
          <w:sz w:val="24"/>
          <w:szCs w:val="24"/>
          <w:shd w:val="clear" w:color="auto" w:fill="FFFFFF"/>
          <w:lang w:val="ru-RU"/>
        </w:rPr>
      </w:r>
      <w:r w:rsidRPr="008B51DB">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8B51DB">
        <w:rPr>
          <w:rFonts w:ascii="Times New Roman" w:hAnsi="Times New Roman" w:cs="Times New Roman"/>
          <w:color w:val="000000"/>
          <w:sz w:val="24"/>
          <w:szCs w:val="24"/>
          <w:shd w:val="clear" w:color="auto" w:fill="FFFFFF"/>
          <w:lang w:val="ru-RU"/>
        </w:rPr>
        <w:fldChar w:fldCharType="end"/>
      </w:r>
      <w:r w:rsidRPr="008B51DB">
        <w:rPr>
          <w:rFonts w:ascii="Times New Roman" w:hAnsi="Times New Roman" w:cs="Times New Roman"/>
          <w:color w:val="000000"/>
          <w:sz w:val="24"/>
          <w:szCs w:val="24"/>
          <w:shd w:val="clear" w:color="auto" w:fill="FFFFFF"/>
          <w:lang w:val="ru-RU"/>
        </w:rPr>
        <w:t xml:space="preserve">, </w:t>
      </w:r>
      <w:r w:rsidRPr="008B51DB">
        <w:rPr>
          <w:rFonts w:ascii="Times New Roman" w:hAnsi="Times New Roman" w:cs="Times New Roman"/>
          <w:color w:val="000000"/>
          <w:sz w:val="24"/>
          <w:szCs w:val="24"/>
          <w:shd w:val="clear" w:color="auto" w:fill="FFFFFF"/>
        </w:rPr>
        <w:t>c</w:t>
      </w:r>
      <w:r w:rsidRPr="008B51DB">
        <w:rPr>
          <w:rFonts w:ascii="Times New Roman" w:hAnsi="Times New Roman" w:cs="Times New Roman"/>
          <w:color w:val="000000"/>
          <w:sz w:val="24"/>
          <w:szCs w:val="24"/>
          <w:shd w:val="clear" w:color="auto" w:fill="FFFFFF"/>
          <w:lang w:val="ru-RU"/>
        </w:rPr>
        <w:t xml:space="preserve">. 6-7]; </w:t>
      </w:r>
      <w:r w:rsidRPr="008B51DB">
        <w:rPr>
          <w:rFonts w:ascii="Times New Roman" w:hAnsi="Times New Roman" w:cs="Times New Roman"/>
          <w:b/>
          <w:color w:val="000000"/>
          <w:sz w:val="24"/>
          <w:szCs w:val="24"/>
          <w:shd w:val="clear" w:color="auto" w:fill="FFFFFF"/>
          <w:lang w:val="ru-RU"/>
        </w:rPr>
        <w:t xml:space="preserve">3) </w:t>
      </w:r>
      <w:r w:rsidRPr="008B51DB">
        <w:rPr>
          <w:rFonts w:ascii="Times New Roman" w:hAnsi="Times New Roman" w:cs="Times New Roman"/>
          <w:color w:val="000000"/>
          <w:sz w:val="24"/>
          <w:szCs w:val="24"/>
          <w:shd w:val="clear" w:color="auto" w:fill="FFFFFF"/>
          <w:lang w:val="ru-RU"/>
        </w:rPr>
        <w:t xml:space="preserve">в рейтинге ведётся список ассоциированных членов, которые пока по каким-то параметрам не могут попасть в основной список, однако не совсем понятно по какому критерию в список 17-го выпуска вошёл </w:t>
      </w:r>
      <w:r w:rsidRPr="008B51DB">
        <w:rPr>
          <w:rFonts w:ascii="Times New Roman" w:hAnsi="Times New Roman" w:cs="Times New Roman"/>
          <w:color w:val="000000"/>
          <w:sz w:val="24"/>
          <w:szCs w:val="24"/>
          <w:shd w:val="clear" w:color="auto" w:fill="FFFFFF"/>
          <w:lang w:val="ru-RU"/>
        </w:rPr>
        <w:lastRenderedPageBreak/>
        <w:t>Таллин и Рейкьявик, население которых вместе взятых меньше, чем население одного Васильевского острова Санкт-Петербург</w:t>
      </w:r>
      <w:r>
        <w:rPr>
          <w:rFonts w:ascii="Times New Roman" w:hAnsi="Times New Roman" w:cs="Times New Roman"/>
          <w:color w:val="000000"/>
          <w:sz w:val="24"/>
          <w:szCs w:val="24"/>
          <w:shd w:val="clear" w:color="auto" w:fill="FFFFFF"/>
          <w:lang w:val="ru-RU"/>
        </w:rPr>
        <w:t>а. При этом</w:t>
      </w:r>
      <w:r w:rsidRPr="008B51DB">
        <w:rPr>
          <w:rFonts w:ascii="Times New Roman" w:hAnsi="Times New Roman" w:cs="Times New Roman"/>
          <w:color w:val="000000"/>
          <w:sz w:val="24"/>
          <w:szCs w:val="24"/>
          <w:shd w:val="clear" w:color="auto" w:fill="FFFFFF"/>
          <w:lang w:val="ru-RU"/>
        </w:rPr>
        <w:t xml:space="preserve"> Германия представлена только Франкфуртом и Мюнхеном, а Берлин, Гамбург и Штутгарт не числятся даже в ассоциированных членах. [</w:t>
      </w:r>
      <w:r w:rsidRPr="008B51DB">
        <w:rPr>
          <w:rFonts w:ascii="Times New Roman" w:hAnsi="Times New Roman" w:cs="Times New Roman"/>
          <w:color w:val="000000"/>
          <w:sz w:val="24"/>
          <w:szCs w:val="24"/>
          <w:shd w:val="clear" w:color="auto" w:fill="FFFFFF"/>
          <w:lang w:val="ru-RU"/>
        </w:rPr>
        <w:fldChar w:fldCharType="begin"/>
      </w:r>
      <w:r w:rsidRPr="008B51DB">
        <w:rPr>
          <w:rFonts w:ascii="Times New Roman" w:hAnsi="Times New Roman" w:cs="Times New Roman"/>
          <w:color w:val="000000"/>
          <w:sz w:val="24"/>
          <w:szCs w:val="24"/>
          <w:shd w:val="clear" w:color="auto" w:fill="FFFFFF"/>
          <w:lang w:val="ru-RU"/>
        </w:rPr>
        <w:instrText xml:space="preserve"> REF _Ref130564109 \r \h  \* MERGEFORMAT </w:instrText>
      </w:r>
      <w:r w:rsidRPr="008B51DB">
        <w:rPr>
          <w:rFonts w:ascii="Times New Roman" w:hAnsi="Times New Roman" w:cs="Times New Roman"/>
          <w:color w:val="000000"/>
          <w:sz w:val="24"/>
          <w:szCs w:val="24"/>
          <w:shd w:val="clear" w:color="auto" w:fill="FFFFFF"/>
          <w:lang w:val="ru-RU"/>
        </w:rPr>
      </w:r>
      <w:r w:rsidRPr="008B51DB">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8B51DB">
        <w:rPr>
          <w:rFonts w:ascii="Times New Roman" w:hAnsi="Times New Roman" w:cs="Times New Roman"/>
          <w:color w:val="000000"/>
          <w:sz w:val="24"/>
          <w:szCs w:val="24"/>
          <w:shd w:val="clear" w:color="auto" w:fill="FFFFFF"/>
          <w:lang w:val="ru-RU"/>
        </w:rPr>
        <w:fldChar w:fldCharType="end"/>
      </w:r>
      <w:r w:rsidRPr="008B51DB">
        <w:rPr>
          <w:rFonts w:ascii="Times New Roman" w:hAnsi="Times New Roman" w:cs="Times New Roman"/>
          <w:color w:val="000000"/>
          <w:sz w:val="24"/>
          <w:szCs w:val="24"/>
          <w:shd w:val="clear" w:color="auto" w:fill="FFFFFF"/>
          <w:lang w:val="ru-RU"/>
        </w:rPr>
        <w:t xml:space="preserve">] Впрочем, в 22-м выпуске Гамбург впервые вошёл в основной список, а Штутгарт появился в списке ассоциированных членов, но это случилось, когда список был расширен с 82-х </w:t>
      </w:r>
      <w:r>
        <w:rPr>
          <w:rFonts w:ascii="Times New Roman" w:hAnsi="Times New Roman" w:cs="Times New Roman"/>
          <w:color w:val="000000"/>
          <w:sz w:val="24"/>
          <w:szCs w:val="24"/>
          <w:shd w:val="clear" w:color="auto" w:fill="FFFFFF"/>
          <w:lang w:val="ru-RU"/>
        </w:rPr>
        <w:t xml:space="preserve">позиций </w:t>
      </w:r>
      <w:r w:rsidRPr="008B51DB">
        <w:rPr>
          <w:rFonts w:ascii="Times New Roman" w:hAnsi="Times New Roman" w:cs="Times New Roman"/>
          <w:color w:val="000000"/>
          <w:sz w:val="24"/>
          <w:szCs w:val="24"/>
          <w:shd w:val="clear" w:color="auto" w:fill="FFFFFF"/>
          <w:lang w:val="ru-RU"/>
        </w:rPr>
        <w:t>до 92-х [</w:t>
      </w:r>
      <w:r w:rsidRPr="008B51DB">
        <w:rPr>
          <w:rFonts w:ascii="Times New Roman" w:hAnsi="Times New Roman" w:cs="Times New Roman"/>
          <w:color w:val="000000"/>
          <w:sz w:val="24"/>
          <w:szCs w:val="24"/>
          <w:shd w:val="clear" w:color="auto" w:fill="FFFFFF"/>
          <w:lang w:val="ru-RU"/>
        </w:rPr>
        <w:fldChar w:fldCharType="begin"/>
      </w:r>
      <w:r w:rsidRPr="008B51DB">
        <w:rPr>
          <w:rFonts w:ascii="Times New Roman" w:hAnsi="Times New Roman" w:cs="Times New Roman"/>
          <w:color w:val="000000"/>
          <w:sz w:val="24"/>
          <w:szCs w:val="24"/>
          <w:shd w:val="clear" w:color="auto" w:fill="FFFFFF"/>
          <w:lang w:val="ru-RU"/>
        </w:rPr>
        <w:instrText xml:space="preserve"> REF _Ref130564109 \r \h  \* MERGEFORMAT </w:instrText>
      </w:r>
      <w:r w:rsidRPr="008B51DB">
        <w:rPr>
          <w:rFonts w:ascii="Times New Roman" w:hAnsi="Times New Roman" w:cs="Times New Roman"/>
          <w:color w:val="000000"/>
          <w:sz w:val="24"/>
          <w:szCs w:val="24"/>
          <w:shd w:val="clear" w:color="auto" w:fill="FFFFFF"/>
          <w:lang w:val="ru-RU"/>
        </w:rPr>
      </w:r>
      <w:r w:rsidRPr="008B51DB">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8B51DB">
        <w:rPr>
          <w:rFonts w:ascii="Times New Roman" w:hAnsi="Times New Roman" w:cs="Times New Roman"/>
          <w:color w:val="000000"/>
          <w:sz w:val="24"/>
          <w:szCs w:val="24"/>
          <w:shd w:val="clear" w:color="auto" w:fill="FFFFFF"/>
          <w:lang w:val="ru-RU"/>
        </w:rPr>
        <w:fldChar w:fldCharType="end"/>
      </w:r>
      <w:r w:rsidRPr="008B51DB">
        <w:rPr>
          <w:rFonts w:ascii="Times New Roman" w:hAnsi="Times New Roman" w:cs="Times New Roman"/>
          <w:color w:val="000000"/>
          <w:sz w:val="24"/>
          <w:szCs w:val="24"/>
          <w:shd w:val="clear" w:color="auto" w:fill="FFFFFF"/>
          <w:lang w:val="ru-RU"/>
        </w:rPr>
        <w:t>].</w:t>
      </w:r>
    </w:p>
    <w:p w14:paraId="2A376B15" w14:textId="55F7AA95" w:rsidR="008338D9" w:rsidRPr="00F26B2E"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Мы продолжили анализ данных </w:t>
      </w:r>
      <w:r>
        <w:rPr>
          <w:rFonts w:ascii="Times New Roman" w:hAnsi="Times New Roman" w:cs="Times New Roman"/>
          <w:color w:val="000000"/>
          <w:sz w:val="24"/>
          <w:szCs w:val="24"/>
          <w:shd w:val="clear" w:color="auto" w:fill="FFFFFF"/>
        </w:rPr>
        <w:t>GFCI</w:t>
      </w:r>
      <w:r>
        <w:rPr>
          <w:rFonts w:ascii="Times New Roman" w:hAnsi="Times New Roman" w:cs="Times New Roman"/>
          <w:color w:val="000000"/>
          <w:sz w:val="24"/>
          <w:szCs w:val="24"/>
          <w:shd w:val="clear" w:color="auto" w:fill="FFFFFF"/>
          <w:lang w:val="ru-RU"/>
        </w:rPr>
        <w:t xml:space="preserve">, сравнив его с другим бизнес-рейтингом – </w:t>
      </w:r>
      <w:r>
        <w:rPr>
          <w:rFonts w:ascii="Times New Roman" w:hAnsi="Times New Roman" w:cs="Times New Roman"/>
          <w:color w:val="000000"/>
          <w:sz w:val="24"/>
          <w:szCs w:val="24"/>
          <w:shd w:val="clear" w:color="auto" w:fill="FFFFFF"/>
        </w:rPr>
        <w:t>Doing</w:t>
      </w:r>
      <w:r w:rsidRPr="002A3A7A">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Pr>
          <w:rFonts w:ascii="Times New Roman" w:hAnsi="Times New Roman" w:cs="Times New Roman"/>
          <w:color w:val="000000"/>
          <w:sz w:val="24"/>
          <w:szCs w:val="24"/>
          <w:shd w:val="clear" w:color="auto" w:fill="FFFFFF"/>
          <w:lang w:val="ru-RU"/>
        </w:rPr>
        <w:t xml:space="preserve"> Всемирного банка</w:t>
      </w:r>
      <w:r w:rsidRPr="002A3A7A">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К сожалению, последний рейтинг </w:t>
      </w:r>
      <w:r>
        <w:rPr>
          <w:rFonts w:ascii="Times New Roman" w:hAnsi="Times New Roman" w:cs="Times New Roman"/>
          <w:color w:val="000000"/>
          <w:sz w:val="24"/>
          <w:szCs w:val="24"/>
          <w:shd w:val="clear" w:color="auto" w:fill="FFFFFF"/>
        </w:rPr>
        <w:t>Doing</w:t>
      </w:r>
      <w:r w:rsidRPr="00AC61A5">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Pr>
          <w:rFonts w:ascii="Times New Roman" w:hAnsi="Times New Roman" w:cs="Times New Roman"/>
          <w:color w:val="000000"/>
          <w:sz w:val="24"/>
          <w:szCs w:val="24"/>
          <w:shd w:val="clear" w:color="auto" w:fill="FFFFFF"/>
          <w:lang w:val="ru-RU"/>
        </w:rPr>
        <w:t xml:space="preserve"> вышел в 2020 году, его должен заменить индекс </w:t>
      </w:r>
      <w:r>
        <w:rPr>
          <w:rFonts w:ascii="Times New Roman" w:hAnsi="Times New Roman" w:cs="Times New Roman"/>
          <w:color w:val="000000"/>
          <w:sz w:val="24"/>
          <w:szCs w:val="24"/>
          <w:shd w:val="clear" w:color="auto" w:fill="FFFFFF"/>
        </w:rPr>
        <w:t>B</w:t>
      </w:r>
      <w:r w:rsidRPr="00A727A7">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rPr>
        <w:t>Ready</w:t>
      </w:r>
      <w:r>
        <w:rPr>
          <w:rFonts w:ascii="Times New Roman" w:hAnsi="Times New Roman" w:cs="Times New Roman"/>
          <w:color w:val="000000"/>
          <w:sz w:val="24"/>
          <w:szCs w:val="24"/>
          <w:shd w:val="clear" w:color="auto" w:fill="FFFFFF"/>
          <w:lang w:val="ru-RU"/>
        </w:rPr>
        <w:t xml:space="preserve">, но пока опубликована лишь его предварительная методика. Однако у индекса </w:t>
      </w:r>
      <w:r>
        <w:rPr>
          <w:rFonts w:ascii="Times New Roman" w:hAnsi="Times New Roman" w:cs="Times New Roman"/>
          <w:color w:val="000000"/>
          <w:sz w:val="24"/>
          <w:szCs w:val="24"/>
          <w:shd w:val="clear" w:color="auto" w:fill="FFFFFF"/>
        </w:rPr>
        <w:t>Doing</w:t>
      </w:r>
      <w:r w:rsidRPr="00A727A7">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Pr>
          <w:rFonts w:ascii="Times New Roman" w:hAnsi="Times New Roman" w:cs="Times New Roman"/>
          <w:color w:val="000000"/>
          <w:sz w:val="24"/>
          <w:szCs w:val="24"/>
          <w:shd w:val="clear" w:color="auto" w:fill="FFFFFF"/>
          <w:lang w:val="ru-RU"/>
        </w:rPr>
        <w:t xml:space="preserve"> была очень интересная методика расчёта, которая включала, помимо опроса экспертов, также «полевые расчёты»: сколько дней потребуется для регистрации компании, какие затраты в человеко-часах требуются для получения разрешения на строительство, какова доступность кредитов и т. д. Российское правительство также довольно долго отслеживало показатели страны в рейтинге </w:t>
      </w:r>
      <w:r>
        <w:rPr>
          <w:rFonts w:ascii="Times New Roman" w:hAnsi="Times New Roman" w:cs="Times New Roman"/>
          <w:color w:val="000000"/>
          <w:sz w:val="24"/>
          <w:szCs w:val="24"/>
          <w:shd w:val="clear" w:color="auto" w:fill="FFFFFF"/>
        </w:rPr>
        <w:t>Doing</w:t>
      </w:r>
      <w:r w:rsidRPr="00AC61A5">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Pr>
          <w:rFonts w:ascii="Times New Roman" w:hAnsi="Times New Roman" w:cs="Times New Roman"/>
          <w:color w:val="000000"/>
          <w:sz w:val="24"/>
          <w:szCs w:val="24"/>
          <w:shd w:val="clear" w:color="auto" w:fill="FFFFFF"/>
          <w:lang w:val="ru-RU"/>
        </w:rPr>
        <w:t xml:space="preserve">, также как и показатели российских столиц в </w:t>
      </w:r>
      <w:r>
        <w:rPr>
          <w:rFonts w:ascii="Times New Roman" w:hAnsi="Times New Roman" w:cs="Times New Roman"/>
          <w:color w:val="000000"/>
          <w:sz w:val="24"/>
          <w:szCs w:val="24"/>
          <w:shd w:val="clear" w:color="auto" w:fill="FFFFFF"/>
        </w:rPr>
        <w:t>GFCI</w:t>
      </w:r>
      <w:r w:rsidRPr="00270E48">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Хотя </w:t>
      </w:r>
      <w:r>
        <w:rPr>
          <w:rFonts w:ascii="Times New Roman" w:hAnsi="Times New Roman" w:cs="Times New Roman"/>
          <w:color w:val="000000"/>
          <w:sz w:val="24"/>
          <w:szCs w:val="24"/>
          <w:shd w:val="clear" w:color="auto" w:fill="FFFFFF"/>
        </w:rPr>
        <w:t>Doing</w:t>
      </w:r>
      <w:r w:rsidRPr="00691DB2">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sidRPr="00691DB2">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ориентировался прежде всего на страны, урбанистический подход проник в методику расчёта: отдельные крупные города также получали баллы, хотя не попадали в финальный рейтинг. Один из выпусков </w:t>
      </w:r>
      <w:r>
        <w:rPr>
          <w:rFonts w:ascii="Times New Roman" w:hAnsi="Times New Roman" w:cs="Times New Roman"/>
          <w:color w:val="000000"/>
          <w:sz w:val="24"/>
          <w:szCs w:val="24"/>
          <w:shd w:val="clear" w:color="auto" w:fill="FFFFFF"/>
        </w:rPr>
        <w:t>Doing</w:t>
      </w:r>
      <w:r w:rsidRPr="00270E48">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Pr>
          <w:rFonts w:ascii="Times New Roman" w:hAnsi="Times New Roman" w:cs="Times New Roman"/>
          <w:color w:val="000000"/>
          <w:sz w:val="24"/>
          <w:szCs w:val="24"/>
          <w:shd w:val="clear" w:color="auto" w:fill="FFFFFF"/>
          <w:lang w:val="ru-RU"/>
        </w:rPr>
        <w:t xml:space="preserve"> в 2012 году был полностью посвящён России. Тогда Москва уже входила в рейтинг </w:t>
      </w:r>
      <w:r>
        <w:rPr>
          <w:rFonts w:ascii="Times New Roman" w:hAnsi="Times New Roman" w:cs="Times New Roman"/>
          <w:color w:val="000000"/>
          <w:sz w:val="24"/>
          <w:szCs w:val="24"/>
          <w:shd w:val="clear" w:color="auto" w:fill="FFFFFF"/>
        </w:rPr>
        <w:t>GFCI</w:t>
      </w:r>
      <w:r>
        <w:rPr>
          <w:rFonts w:ascii="Times New Roman" w:hAnsi="Times New Roman" w:cs="Times New Roman"/>
          <w:color w:val="000000"/>
          <w:sz w:val="24"/>
          <w:szCs w:val="24"/>
          <w:shd w:val="clear" w:color="auto" w:fill="FFFFFF"/>
          <w:lang w:val="ru-RU"/>
        </w:rPr>
        <w:t xml:space="preserve">, но по данным </w:t>
      </w:r>
      <w:r>
        <w:rPr>
          <w:rFonts w:ascii="Times New Roman" w:hAnsi="Times New Roman" w:cs="Times New Roman"/>
          <w:color w:val="000000"/>
          <w:sz w:val="24"/>
          <w:szCs w:val="24"/>
          <w:shd w:val="clear" w:color="auto" w:fill="FFFFFF"/>
        </w:rPr>
        <w:t>Doing</w:t>
      </w:r>
      <w:r w:rsidRPr="00270E48">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sidRPr="00270E48">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Москва занимала последнее место среди </w:t>
      </w:r>
      <w:r w:rsidRPr="004313C1">
        <w:rPr>
          <w:rFonts w:ascii="Times New Roman" w:hAnsi="Times New Roman" w:cs="Times New Roman"/>
          <w:color w:val="000000"/>
          <w:sz w:val="24"/>
          <w:szCs w:val="24"/>
          <w:shd w:val="clear" w:color="auto" w:fill="FFFFFF"/>
          <w:lang w:val="ru-RU"/>
        </w:rPr>
        <w:t>30</w:t>
      </w:r>
      <w:r>
        <w:rPr>
          <w:rFonts w:ascii="Times New Roman" w:hAnsi="Times New Roman" w:cs="Times New Roman"/>
          <w:color w:val="000000"/>
          <w:sz w:val="24"/>
          <w:szCs w:val="24"/>
          <w:shd w:val="clear" w:color="auto" w:fill="FFFFFF"/>
          <w:lang w:val="ru-RU"/>
        </w:rPr>
        <w:t xml:space="preserve"> российских городов, вошедших в обзор </w:t>
      </w:r>
      <w:r w:rsidRPr="00F26B2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_Ref136025807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46</w:t>
      </w:r>
      <w:r>
        <w:rPr>
          <w:rFonts w:ascii="Times New Roman" w:hAnsi="Times New Roman" w:cs="Times New Roman"/>
          <w:color w:val="000000"/>
          <w:sz w:val="24"/>
          <w:szCs w:val="24"/>
          <w:shd w:val="clear" w:color="auto" w:fill="FFFFFF"/>
          <w:lang w:val="ru-RU"/>
        </w:rPr>
        <w:fldChar w:fldCharType="end"/>
      </w:r>
      <w:r w:rsidRPr="00F26B2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Дело в том, что мониторинг </w:t>
      </w:r>
      <w:r>
        <w:rPr>
          <w:rFonts w:ascii="Times New Roman" w:hAnsi="Times New Roman" w:cs="Times New Roman"/>
          <w:color w:val="000000"/>
          <w:sz w:val="24"/>
          <w:szCs w:val="24"/>
          <w:shd w:val="clear" w:color="auto" w:fill="FFFFFF"/>
        </w:rPr>
        <w:t>Doing</w:t>
      </w:r>
      <w:r w:rsidRPr="00F26B2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sidRPr="00F26B2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ориентировался, прежде всего, на условия работы малого и</w:t>
      </w:r>
      <w:r>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lang w:val="ru-RU"/>
        </w:rPr>
        <w:t xml:space="preserve">среднего бизнеса. </w:t>
      </w:r>
    </w:p>
    <w:p w14:paraId="2B13D6E7" w14:textId="26EA3E16" w:rsidR="008338D9" w:rsidRPr="00B44E32"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Мы задались целью выявить корреляцию между данными в баллах рейтинга </w:t>
      </w:r>
      <w:r>
        <w:rPr>
          <w:rFonts w:ascii="Times New Roman" w:hAnsi="Times New Roman" w:cs="Times New Roman"/>
          <w:color w:val="000000"/>
          <w:sz w:val="24"/>
          <w:szCs w:val="24"/>
          <w:shd w:val="clear" w:color="auto" w:fill="FFFFFF"/>
        </w:rPr>
        <w:t>GFCI</w:t>
      </w:r>
      <w:r w:rsidRPr="00232A8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и</w:t>
      </w:r>
      <w:r>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lang w:val="ru-RU"/>
        </w:rPr>
        <w:t xml:space="preserve">баллами по всем параметрам </w:t>
      </w:r>
      <w:r>
        <w:rPr>
          <w:rFonts w:ascii="Times New Roman" w:hAnsi="Times New Roman" w:cs="Times New Roman"/>
          <w:color w:val="000000"/>
          <w:sz w:val="24"/>
          <w:szCs w:val="24"/>
          <w:shd w:val="clear" w:color="auto" w:fill="FFFFFF"/>
        </w:rPr>
        <w:t>Doing</w:t>
      </w:r>
      <w:r w:rsidRPr="00232A8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sidRPr="00232A8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Для анализа мы взяли данные последнего рейтинга </w:t>
      </w:r>
      <w:r>
        <w:rPr>
          <w:rFonts w:ascii="Times New Roman" w:hAnsi="Times New Roman" w:cs="Times New Roman"/>
          <w:color w:val="000000"/>
          <w:sz w:val="24"/>
          <w:szCs w:val="24"/>
          <w:shd w:val="clear" w:color="auto" w:fill="FFFFFF"/>
        </w:rPr>
        <w:t>Doing</w:t>
      </w:r>
      <w:r w:rsidRPr="00232A8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sidRPr="00232A8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за 2020 год и двух рейтингов </w:t>
      </w:r>
      <w:r>
        <w:rPr>
          <w:rFonts w:ascii="Times New Roman" w:hAnsi="Times New Roman" w:cs="Times New Roman"/>
          <w:color w:val="000000"/>
          <w:sz w:val="24"/>
          <w:szCs w:val="24"/>
          <w:shd w:val="clear" w:color="auto" w:fill="FFFFFF"/>
        </w:rPr>
        <w:t>GFCI</w:t>
      </w:r>
      <w:r>
        <w:rPr>
          <w:rFonts w:ascii="Times New Roman" w:hAnsi="Times New Roman" w:cs="Times New Roman"/>
          <w:color w:val="000000"/>
          <w:sz w:val="24"/>
          <w:szCs w:val="24"/>
          <w:shd w:val="clear" w:color="auto" w:fill="FFFFFF"/>
          <w:lang w:val="ru-RU"/>
        </w:rPr>
        <w:t xml:space="preserve">, опубликованных также в 2020 году. </w:t>
      </w:r>
      <w:r>
        <w:rPr>
          <w:rFonts w:ascii="Times New Roman" w:hAnsi="Times New Roman" w:cs="Times New Roman"/>
          <w:color w:val="000000"/>
          <w:sz w:val="24"/>
          <w:szCs w:val="24"/>
          <w:shd w:val="clear" w:color="auto" w:fill="FFFFFF"/>
        </w:rPr>
        <w:t>Doing</w:t>
      </w:r>
      <w:r w:rsidRPr="008D265B">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sidRPr="008D265B">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предлагал полный перечень по странам</w:t>
      </w:r>
      <w:r w:rsidRPr="008D265B">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и некоторым крупным городам. </w:t>
      </w:r>
      <w:r>
        <w:rPr>
          <w:rFonts w:ascii="Times New Roman" w:hAnsi="Times New Roman" w:cs="Times New Roman"/>
          <w:color w:val="000000"/>
          <w:sz w:val="24"/>
          <w:szCs w:val="24"/>
          <w:shd w:val="clear" w:color="auto" w:fill="FFFFFF"/>
        </w:rPr>
        <w:t>GFCI</w:t>
      </w:r>
      <w:r w:rsidRPr="008D265B">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в 2020 году включал около 110 городов и территорий, но лишь 66 стран, в то время как </w:t>
      </w:r>
      <w:r>
        <w:rPr>
          <w:rFonts w:ascii="Times New Roman" w:hAnsi="Times New Roman" w:cs="Times New Roman"/>
          <w:color w:val="000000"/>
          <w:sz w:val="24"/>
          <w:szCs w:val="24"/>
          <w:shd w:val="clear" w:color="auto" w:fill="FFFFFF"/>
        </w:rPr>
        <w:t>Doing</w:t>
      </w:r>
      <w:r w:rsidRPr="008D265B">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sidRPr="008D265B">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мог предоставить данные по 190 странам. Как было отмечено, за основу мы взяли ряд данных двух выпусков </w:t>
      </w:r>
      <w:r>
        <w:rPr>
          <w:rFonts w:ascii="Times New Roman" w:hAnsi="Times New Roman" w:cs="Times New Roman"/>
          <w:color w:val="000000"/>
          <w:sz w:val="24"/>
          <w:szCs w:val="24"/>
          <w:shd w:val="clear" w:color="auto" w:fill="FFFFFF"/>
        </w:rPr>
        <w:t>GFCI</w:t>
      </w:r>
      <w:r>
        <w:rPr>
          <w:rFonts w:ascii="Times New Roman" w:hAnsi="Times New Roman" w:cs="Times New Roman"/>
          <w:color w:val="000000"/>
          <w:sz w:val="24"/>
          <w:szCs w:val="24"/>
          <w:shd w:val="clear" w:color="auto" w:fill="FFFFFF"/>
          <w:lang w:val="ru-RU"/>
        </w:rPr>
        <w:t xml:space="preserve">, в которых нашли соответствующие значения по городу или стране из </w:t>
      </w:r>
      <w:r>
        <w:rPr>
          <w:rFonts w:ascii="Times New Roman" w:hAnsi="Times New Roman" w:cs="Times New Roman"/>
          <w:color w:val="000000"/>
          <w:sz w:val="24"/>
          <w:szCs w:val="24"/>
          <w:shd w:val="clear" w:color="auto" w:fill="FFFFFF"/>
        </w:rPr>
        <w:t>Doing</w:t>
      </w:r>
      <w:r w:rsidRPr="004707C3">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sidRPr="004707C3">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в баллах. Корреляция между рядом баллов </w:t>
      </w:r>
      <w:r>
        <w:rPr>
          <w:rFonts w:ascii="Times New Roman" w:hAnsi="Times New Roman" w:cs="Times New Roman"/>
          <w:color w:val="000000"/>
          <w:sz w:val="24"/>
          <w:szCs w:val="24"/>
          <w:shd w:val="clear" w:color="auto" w:fill="FFFFFF"/>
        </w:rPr>
        <w:t>GFCI</w:t>
      </w:r>
      <w:r w:rsidRPr="00FA0F8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и </w:t>
      </w:r>
      <w:r w:rsidR="00D45E96">
        <w:rPr>
          <w:rFonts w:ascii="Times New Roman" w:hAnsi="Times New Roman" w:cs="Times New Roman"/>
          <w:color w:val="000000"/>
          <w:sz w:val="24"/>
          <w:szCs w:val="24"/>
          <w:shd w:val="clear" w:color="auto" w:fill="FFFFFF"/>
          <w:lang w:val="ru-RU"/>
        </w:rPr>
        <w:t>соответствующих</w:t>
      </w:r>
      <w:r>
        <w:rPr>
          <w:rFonts w:ascii="Times New Roman" w:hAnsi="Times New Roman" w:cs="Times New Roman"/>
          <w:color w:val="000000"/>
          <w:sz w:val="24"/>
          <w:szCs w:val="24"/>
          <w:shd w:val="clear" w:color="auto" w:fill="FFFFFF"/>
          <w:lang w:val="ru-RU"/>
        </w:rPr>
        <w:t xml:space="preserve"> ему баллов </w:t>
      </w:r>
      <w:r>
        <w:rPr>
          <w:rFonts w:ascii="Times New Roman" w:hAnsi="Times New Roman" w:cs="Times New Roman"/>
          <w:color w:val="000000"/>
          <w:sz w:val="24"/>
          <w:szCs w:val="24"/>
          <w:shd w:val="clear" w:color="auto" w:fill="FFFFFF"/>
        </w:rPr>
        <w:t>Doing</w:t>
      </w:r>
      <w:r w:rsidRPr="00FA0F8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sidRPr="00FA0F8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по первому в 2020 году выпуску </w:t>
      </w:r>
      <w:r>
        <w:rPr>
          <w:rFonts w:ascii="Times New Roman" w:hAnsi="Times New Roman" w:cs="Times New Roman"/>
          <w:color w:val="000000"/>
          <w:sz w:val="24"/>
          <w:szCs w:val="24"/>
          <w:shd w:val="clear" w:color="auto" w:fill="FFFFFF"/>
        </w:rPr>
        <w:t>GFCI</w:t>
      </w:r>
      <w:r>
        <w:rPr>
          <w:rFonts w:ascii="Times New Roman" w:hAnsi="Times New Roman" w:cs="Times New Roman"/>
          <w:color w:val="000000"/>
          <w:sz w:val="24"/>
          <w:szCs w:val="24"/>
          <w:shd w:val="clear" w:color="auto" w:fill="FFFFFF"/>
          <w:lang w:val="ru-RU"/>
        </w:rPr>
        <w:t xml:space="preserve"> составила 0,54, по второму в 2020 году выпуску </w:t>
      </w:r>
      <w:r>
        <w:rPr>
          <w:rFonts w:ascii="Times New Roman" w:hAnsi="Times New Roman" w:cs="Times New Roman"/>
          <w:color w:val="000000"/>
          <w:sz w:val="24"/>
          <w:szCs w:val="24"/>
          <w:shd w:val="clear" w:color="auto" w:fill="FFFFFF"/>
        </w:rPr>
        <w:t>GFCI</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только 0,38. Корреляции по каждому из параметров </w:t>
      </w:r>
      <w:r>
        <w:rPr>
          <w:rFonts w:ascii="Times New Roman" w:hAnsi="Times New Roman" w:cs="Times New Roman"/>
          <w:color w:val="000000"/>
          <w:sz w:val="24"/>
          <w:szCs w:val="24"/>
          <w:shd w:val="clear" w:color="auto" w:fill="FFFFFF"/>
        </w:rPr>
        <w:t>Doing</w:t>
      </w:r>
      <w:r w:rsidRPr="004707C3">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sidRPr="004707C3">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были ещё меньше: их можно посмотреть в Приложениях </w:t>
      </w:r>
      <w:r w:rsidR="00CD2F83">
        <w:rPr>
          <w:rFonts w:ascii="Times New Roman" w:hAnsi="Times New Roman" w:cs="Times New Roman"/>
          <w:color w:val="000000"/>
          <w:sz w:val="24"/>
          <w:szCs w:val="24"/>
          <w:shd w:val="clear" w:color="auto" w:fill="FFFFFF"/>
          <w:lang w:val="ru-RU"/>
        </w:rPr>
        <w:t>2</w:t>
      </w:r>
      <w:r w:rsidR="008C1DE0">
        <w:rPr>
          <w:rFonts w:ascii="Times New Roman" w:hAnsi="Times New Roman" w:cs="Times New Roman"/>
          <w:color w:val="000000"/>
          <w:sz w:val="24"/>
          <w:szCs w:val="24"/>
          <w:shd w:val="clear" w:color="auto" w:fill="FFFFFF"/>
          <w:lang w:val="ru-RU"/>
        </w:rPr>
        <w:t xml:space="preserve"> и 3</w:t>
      </w:r>
      <w:r>
        <w:rPr>
          <w:rFonts w:ascii="Times New Roman" w:hAnsi="Times New Roman" w:cs="Times New Roman"/>
          <w:color w:val="000000"/>
          <w:sz w:val="24"/>
          <w:szCs w:val="24"/>
          <w:shd w:val="clear" w:color="auto" w:fill="FFFFFF"/>
          <w:lang w:val="ru-RU"/>
        </w:rPr>
        <w:t xml:space="preserve">. При этом внутренняя корреляция между основным рейтингом и субрейтингами по параметрам находилась в диапазоне 0,61–0,82, то есть ее можно описать как среднюю и сильную </w:t>
      </w:r>
      <w:r w:rsidRPr="00B44E32">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см. Приложение </w:t>
      </w:r>
      <w:r w:rsidR="00CD2F83">
        <w:rPr>
          <w:rFonts w:ascii="Times New Roman" w:hAnsi="Times New Roman" w:cs="Times New Roman"/>
          <w:color w:val="000000"/>
          <w:sz w:val="24"/>
          <w:szCs w:val="24"/>
          <w:shd w:val="clear" w:color="auto" w:fill="FFFFFF"/>
          <w:lang w:val="ru-RU"/>
        </w:rPr>
        <w:t>4</w:t>
      </w:r>
      <w:r>
        <w:rPr>
          <w:rFonts w:ascii="Times New Roman" w:hAnsi="Times New Roman" w:cs="Times New Roman"/>
          <w:color w:val="000000"/>
          <w:sz w:val="24"/>
          <w:szCs w:val="24"/>
          <w:shd w:val="clear" w:color="auto" w:fill="FFFFFF"/>
          <w:lang w:val="ru-RU"/>
        </w:rPr>
        <w:t xml:space="preserve">). </w:t>
      </w:r>
    </w:p>
    <w:p w14:paraId="17628E71" w14:textId="7BB4645B" w:rsidR="00554BA5" w:rsidRDefault="00554BA5" w:rsidP="008338D9">
      <w:pPr>
        <w:spacing w:before="100" w:beforeAutospacing="1" w:after="100" w:line="360" w:lineRule="auto"/>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noProof/>
          <w:color w:val="000000"/>
          <w:sz w:val="24"/>
          <w:szCs w:val="24"/>
          <w:shd w:val="clear" w:color="auto" w:fill="FFFFFF"/>
          <w:lang w:val="ru-RU"/>
        </w:rPr>
        <w:lastRenderedPageBreak/>
        <w:drawing>
          <wp:inline distT="0" distB="0" distL="0" distR="0" wp14:anchorId="5FDEA360" wp14:editId="0AC326CE">
            <wp:extent cx="6238875" cy="4000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4000500"/>
                    </a:xfrm>
                    <a:prstGeom prst="rect">
                      <a:avLst/>
                    </a:prstGeom>
                    <a:noFill/>
                    <a:ln>
                      <a:noFill/>
                    </a:ln>
                  </pic:spPr>
                </pic:pic>
              </a:graphicData>
            </a:graphic>
          </wp:inline>
        </w:drawing>
      </w:r>
    </w:p>
    <w:p w14:paraId="632AAF76" w14:textId="6008AA9D" w:rsidR="008338D9" w:rsidRPr="00711283"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1E2EA3">
        <w:rPr>
          <w:rStyle w:val="16"/>
        </w:rPr>
        <w:t xml:space="preserve">Рис. </w:t>
      </w:r>
      <w:r w:rsidR="008C1DE0" w:rsidRPr="001E2EA3">
        <w:rPr>
          <w:rStyle w:val="16"/>
        </w:rPr>
        <w:t>3</w:t>
      </w:r>
      <w:r w:rsidRPr="001E2EA3">
        <w:rPr>
          <w:rStyle w:val="16"/>
        </w:rPr>
        <w:t>.</w:t>
      </w:r>
      <w:r w:rsidRPr="001E2EA3">
        <w:rPr>
          <w:rFonts w:ascii="Times New Roman" w:hAnsi="Times New Roman" w:cs="Times New Roman"/>
          <w:color w:val="000000"/>
          <w:sz w:val="24"/>
          <w:szCs w:val="24"/>
          <w:shd w:val="clear" w:color="auto" w:fill="FFFFFF"/>
          <w:lang w:val="ru-RU"/>
        </w:rPr>
        <w:t xml:space="preserve"> Составлено автором на основе </w:t>
      </w:r>
      <w:r w:rsidR="001E2EA3">
        <w:rPr>
          <w:rFonts w:ascii="Times New Roman" w:hAnsi="Times New Roman" w:cs="Times New Roman"/>
          <w:color w:val="000000"/>
          <w:sz w:val="24"/>
          <w:szCs w:val="24"/>
          <w:shd w:val="clear" w:color="auto" w:fill="FFFFFF"/>
          <w:lang w:val="ru-RU"/>
        </w:rPr>
        <w:t xml:space="preserve">данных </w:t>
      </w:r>
      <w:r w:rsidRPr="001E2EA3">
        <w:rPr>
          <w:rFonts w:ascii="Times New Roman" w:hAnsi="Times New Roman" w:cs="Times New Roman"/>
          <w:color w:val="000000"/>
          <w:sz w:val="24"/>
          <w:szCs w:val="24"/>
          <w:shd w:val="clear" w:color="auto" w:fill="FFFFFF"/>
          <w:lang w:val="ru-RU"/>
        </w:rPr>
        <w:t>[</w:t>
      </w:r>
      <w:r w:rsidRPr="001E2EA3">
        <w:rPr>
          <w:rFonts w:ascii="Times New Roman" w:hAnsi="Times New Roman" w:cs="Times New Roman"/>
          <w:color w:val="000000"/>
          <w:sz w:val="24"/>
          <w:szCs w:val="24"/>
          <w:shd w:val="clear" w:color="auto" w:fill="FFFFFF"/>
        </w:rPr>
        <w:fldChar w:fldCharType="begin"/>
      </w:r>
      <w:r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instrText>REF</w:instrText>
      </w:r>
      <w:r w:rsidRPr="001E2EA3">
        <w:rPr>
          <w:rFonts w:ascii="Times New Roman" w:hAnsi="Times New Roman" w:cs="Times New Roman"/>
          <w:color w:val="000000"/>
          <w:sz w:val="24"/>
          <w:szCs w:val="24"/>
          <w:shd w:val="clear" w:color="auto" w:fill="FFFFFF"/>
          <w:lang w:val="ru-RU"/>
        </w:rPr>
        <w:instrText xml:space="preserve"> _</w:instrText>
      </w:r>
      <w:r w:rsidRPr="001E2EA3">
        <w:rPr>
          <w:rFonts w:ascii="Times New Roman" w:hAnsi="Times New Roman" w:cs="Times New Roman"/>
          <w:color w:val="000000"/>
          <w:sz w:val="24"/>
          <w:szCs w:val="24"/>
          <w:shd w:val="clear" w:color="auto" w:fill="FFFFFF"/>
        </w:rPr>
        <w:instrText>Ref</w:instrText>
      </w:r>
      <w:r w:rsidRPr="001E2EA3">
        <w:rPr>
          <w:rFonts w:ascii="Times New Roman" w:hAnsi="Times New Roman" w:cs="Times New Roman"/>
          <w:color w:val="000000"/>
          <w:sz w:val="24"/>
          <w:szCs w:val="24"/>
          <w:shd w:val="clear" w:color="auto" w:fill="FFFFFF"/>
          <w:lang w:val="ru-RU"/>
        </w:rPr>
        <w:instrText>135397695 \</w:instrText>
      </w:r>
      <w:r w:rsidRPr="001E2EA3">
        <w:rPr>
          <w:rFonts w:ascii="Times New Roman" w:hAnsi="Times New Roman" w:cs="Times New Roman"/>
          <w:color w:val="000000"/>
          <w:sz w:val="24"/>
          <w:szCs w:val="24"/>
          <w:shd w:val="clear" w:color="auto" w:fill="FFFFFF"/>
        </w:rPr>
        <w:instrText>r</w:instrText>
      </w:r>
      <w:r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instrText>h</w:instrText>
      </w:r>
      <w:r w:rsidRPr="001E2EA3">
        <w:rPr>
          <w:rFonts w:ascii="Times New Roman" w:hAnsi="Times New Roman" w:cs="Times New Roman"/>
          <w:color w:val="000000"/>
          <w:sz w:val="24"/>
          <w:szCs w:val="24"/>
          <w:shd w:val="clear" w:color="auto" w:fill="FFFFFF"/>
          <w:lang w:val="ru-RU"/>
        </w:rPr>
        <w:instrText xml:space="preserve"> </w:instrText>
      </w:r>
      <w:r w:rsidR="008C1DE0" w:rsidRPr="001E2EA3">
        <w:rPr>
          <w:rFonts w:ascii="Times New Roman" w:hAnsi="Times New Roman" w:cs="Times New Roman"/>
          <w:color w:val="000000"/>
          <w:sz w:val="24"/>
          <w:szCs w:val="24"/>
          <w:shd w:val="clear" w:color="auto" w:fill="FFFFFF"/>
          <w:lang w:val="ru-RU"/>
        </w:rPr>
        <w:instrText xml:space="preserve"> \* </w:instrText>
      </w:r>
      <w:r w:rsidR="008C1DE0" w:rsidRPr="001E2EA3">
        <w:rPr>
          <w:rFonts w:ascii="Times New Roman" w:hAnsi="Times New Roman" w:cs="Times New Roman"/>
          <w:color w:val="000000"/>
          <w:sz w:val="24"/>
          <w:szCs w:val="24"/>
          <w:shd w:val="clear" w:color="auto" w:fill="FFFFFF"/>
        </w:rPr>
        <w:instrText>MERGEFORMAT</w:instrText>
      </w:r>
      <w:r w:rsidR="008C1DE0"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r>
      <w:r w:rsidRPr="001E2EA3">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45</w:t>
      </w:r>
      <w:r w:rsidRPr="001E2EA3">
        <w:rPr>
          <w:rFonts w:ascii="Times New Roman" w:hAnsi="Times New Roman" w:cs="Times New Roman"/>
          <w:color w:val="000000"/>
          <w:sz w:val="24"/>
          <w:szCs w:val="24"/>
          <w:shd w:val="clear" w:color="auto" w:fill="FFFFFF"/>
        </w:rPr>
        <w:fldChar w:fldCharType="end"/>
      </w:r>
      <w:r w:rsidRPr="001E2EA3">
        <w:rPr>
          <w:rFonts w:ascii="Times New Roman" w:hAnsi="Times New Roman" w:cs="Times New Roman"/>
          <w:color w:val="000000"/>
          <w:sz w:val="24"/>
          <w:szCs w:val="24"/>
          <w:shd w:val="clear" w:color="auto" w:fill="FFFFFF"/>
          <w:lang w:val="ru-RU"/>
        </w:rPr>
        <w:t xml:space="preserve">; </w:t>
      </w:r>
      <w:r w:rsidRPr="001E2EA3">
        <w:rPr>
          <w:rFonts w:ascii="Times New Roman" w:hAnsi="Times New Roman" w:cs="Times New Roman"/>
          <w:color w:val="000000"/>
          <w:sz w:val="24"/>
          <w:szCs w:val="24"/>
          <w:shd w:val="clear" w:color="auto" w:fill="FFFFFF"/>
        </w:rPr>
        <w:fldChar w:fldCharType="begin"/>
      </w:r>
      <w:r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instrText>REF</w:instrText>
      </w:r>
      <w:r w:rsidRPr="001E2EA3">
        <w:rPr>
          <w:rFonts w:ascii="Times New Roman" w:hAnsi="Times New Roman" w:cs="Times New Roman"/>
          <w:color w:val="000000"/>
          <w:sz w:val="24"/>
          <w:szCs w:val="24"/>
          <w:shd w:val="clear" w:color="auto" w:fill="FFFFFF"/>
          <w:lang w:val="ru-RU"/>
        </w:rPr>
        <w:instrText xml:space="preserve"> _</w:instrText>
      </w:r>
      <w:r w:rsidRPr="001E2EA3">
        <w:rPr>
          <w:rFonts w:ascii="Times New Roman" w:hAnsi="Times New Roman" w:cs="Times New Roman"/>
          <w:color w:val="000000"/>
          <w:sz w:val="24"/>
          <w:szCs w:val="24"/>
          <w:shd w:val="clear" w:color="auto" w:fill="FFFFFF"/>
        </w:rPr>
        <w:instrText>Ref</w:instrText>
      </w:r>
      <w:r w:rsidRPr="001E2EA3">
        <w:rPr>
          <w:rFonts w:ascii="Times New Roman" w:hAnsi="Times New Roman" w:cs="Times New Roman"/>
          <w:color w:val="000000"/>
          <w:sz w:val="24"/>
          <w:szCs w:val="24"/>
          <w:shd w:val="clear" w:color="auto" w:fill="FFFFFF"/>
          <w:lang w:val="ru-RU"/>
        </w:rPr>
        <w:instrText>130564109 \</w:instrText>
      </w:r>
      <w:r w:rsidRPr="001E2EA3">
        <w:rPr>
          <w:rFonts w:ascii="Times New Roman" w:hAnsi="Times New Roman" w:cs="Times New Roman"/>
          <w:color w:val="000000"/>
          <w:sz w:val="24"/>
          <w:szCs w:val="24"/>
          <w:shd w:val="clear" w:color="auto" w:fill="FFFFFF"/>
        </w:rPr>
        <w:instrText>r</w:instrText>
      </w:r>
      <w:r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instrText>h</w:instrText>
      </w:r>
      <w:r w:rsidRPr="001E2EA3">
        <w:rPr>
          <w:rFonts w:ascii="Times New Roman" w:hAnsi="Times New Roman" w:cs="Times New Roman"/>
          <w:color w:val="000000"/>
          <w:sz w:val="24"/>
          <w:szCs w:val="24"/>
          <w:shd w:val="clear" w:color="auto" w:fill="FFFFFF"/>
          <w:lang w:val="ru-RU"/>
        </w:rPr>
        <w:instrText xml:space="preserve"> </w:instrText>
      </w:r>
      <w:r w:rsidR="008C1DE0" w:rsidRPr="001E2EA3">
        <w:rPr>
          <w:rFonts w:ascii="Times New Roman" w:hAnsi="Times New Roman" w:cs="Times New Roman"/>
          <w:color w:val="000000"/>
          <w:sz w:val="24"/>
          <w:szCs w:val="24"/>
          <w:shd w:val="clear" w:color="auto" w:fill="FFFFFF"/>
          <w:lang w:val="ru-RU"/>
        </w:rPr>
        <w:instrText xml:space="preserve"> \* </w:instrText>
      </w:r>
      <w:r w:rsidR="008C1DE0" w:rsidRPr="001E2EA3">
        <w:rPr>
          <w:rFonts w:ascii="Times New Roman" w:hAnsi="Times New Roman" w:cs="Times New Roman"/>
          <w:color w:val="000000"/>
          <w:sz w:val="24"/>
          <w:szCs w:val="24"/>
          <w:shd w:val="clear" w:color="auto" w:fill="FFFFFF"/>
        </w:rPr>
        <w:instrText>MERGEFORMAT</w:instrText>
      </w:r>
      <w:r w:rsidR="008C1DE0"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r>
      <w:r w:rsidRPr="001E2EA3">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233</w:t>
      </w:r>
      <w:r w:rsidRPr="001E2EA3">
        <w:rPr>
          <w:rFonts w:ascii="Times New Roman" w:hAnsi="Times New Roman" w:cs="Times New Roman"/>
          <w:color w:val="000000"/>
          <w:sz w:val="24"/>
          <w:szCs w:val="24"/>
          <w:shd w:val="clear" w:color="auto" w:fill="FFFFFF"/>
        </w:rPr>
        <w:fldChar w:fldCharType="end"/>
      </w:r>
      <w:r w:rsidRPr="001E2EA3">
        <w:rPr>
          <w:rFonts w:ascii="Times New Roman" w:hAnsi="Times New Roman" w:cs="Times New Roman"/>
          <w:color w:val="000000"/>
          <w:sz w:val="24"/>
          <w:szCs w:val="24"/>
          <w:shd w:val="clear" w:color="auto" w:fill="FFFFFF"/>
          <w:lang w:val="ru-RU"/>
        </w:rPr>
        <w:t>].</w:t>
      </w:r>
    </w:p>
    <w:p w14:paraId="7358A48C" w14:textId="5CE0CAC3" w:rsidR="008338D9" w:rsidRDefault="008338D9" w:rsidP="008338D9">
      <w:pPr>
        <w:spacing w:before="100" w:beforeAutospacing="1" w:after="100" w:line="360" w:lineRule="auto"/>
        <w:contextualSpacing/>
        <w:jc w:val="both"/>
        <w:rPr>
          <w:rFonts w:ascii="Times New Roman" w:hAnsi="Times New Roman" w:cs="Times New Roman"/>
          <w:color w:val="000000"/>
          <w:sz w:val="24"/>
          <w:szCs w:val="24"/>
          <w:shd w:val="clear" w:color="auto" w:fill="FFFFFF"/>
          <w:lang w:val="ru-RU"/>
        </w:rPr>
      </w:pPr>
    </w:p>
    <w:p w14:paraId="09DFD1AC" w14:textId="1DF1B606" w:rsidR="001E2EA3" w:rsidRDefault="001E2EA3" w:rsidP="001E2EA3">
      <w:pPr>
        <w:spacing w:before="100" w:beforeAutospacing="1" w:after="100" w:line="360" w:lineRule="auto"/>
        <w:contextualSpacing/>
        <w:jc w:val="center"/>
        <w:rPr>
          <w:rFonts w:ascii="Times New Roman" w:hAnsi="Times New Roman" w:cs="Times New Roman"/>
          <w:color w:val="000000"/>
          <w:sz w:val="24"/>
          <w:szCs w:val="24"/>
          <w:shd w:val="clear" w:color="auto" w:fill="FFFFFF"/>
          <w:lang w:val="ru-RU"/>
        </w:rPr>
      </w:pPr>
      <w:r>
        <w:rPr>
          <w:rFonts w:ascii="Times New Roman" w:hAnsi="Times New Roman" w:cs="Times New Roman"/>
          <w:noProof/>
          <w:color w:val="000000"/>
          <w:sz w:val="24"/>
          <w:szCs w:val="24"/>
          <w:shd w:val="clear" w:color="auto" w:fill="FFFFFF"/>
          <w:lang w:val="ru-RU"/>
        </w:rPr>
        <w:drawing>
          <wp:inline distT="0" distB="0" distL="0" distR="0" wp14:anchorId="1B2E635C" wp14:editId="0CCC4009">
            <wp:extent cx="5827594" cy="3602143"/>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1674" cy="3604665"/>
                    </a:xfrm>
                    <a:prstGeom prst="rect">
                      <a:avLst/>
                    </a:prstGeom>
                    <a:noFill/>
                    <a:ln>
                      <a:noFill/>
                    </a:ln>
                  </pic:spPr>
                </pic:pic>
              </a:graphicData>
            </a:graphic>
          </wp:inline>
        </w:drawing>
      </w:r>
    </w:p>
    <w:p w14:paraId="2AAD7271" w14:textId="6F1F5421"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1E2EA3">
        <w:rPr>
          <w:rStyle w:val="16"/>
        </w:rPr>
        <w:t xml:space="preserve">Рис. </w:t>
      </w:r>
      <w:r w:rsidR="008C1DE0" w:rsidRPr="001E2EA3">
        <w:rPr>
          <w:rStyle w:val="16"/>
        </w:rPr>
        <w:t>4</w:t>
      </w:r>
      <w:r w:rsidRPr="001E2EA3">
        <w:rPr>
          <w:rStyle w:val="16"/>
        </w:rPr>
        <w:t>.</w:t>
      </w:r>
      <w:r w:rsidRPr="001E2EA3">
        <w:rPr>
          <w:rFonts w:ascii="Times New Roman" w:hAnsi="Times New Roman" w:cs="Times New Roman"/>
          <w:color w:val="000000"/>
          <w:sz w:val="24"/>
          <w:szCs w:val="24"/>
          <w:shd w:val="clear" w:color="auto" w:fill="FFFFFF"/>
          <w:lang w:val="ru-RU"/>
        </w:rPr>
        <w:t xml:space="preserve"> Составлено автором на основе </w:t>
      </w:r>
      <w:r w:rsidR="001E2EA3">
        <w:rPr>
          <w:rFonts w:ascii="Times New Roman" w:hAnsi="Times New Roman" w:cs="Times New Roman"/>
          <w:color w:val="000000"/>
          <w:sz w:val="24"/>
          <w:szCs w:val="24"/>
          <w:shd w:val="clear" w:color="auto" w:fill="FFFFFF"/>
          <w:lang w:val="ru-RU"/>
        </w:rPr>
        <w:t xml:space="preserve">данных </w:t>
      </w:r>
      <w:r w:rsidRPr="001E2EA3">
        <w:rPr>
          <w:rFonts w:ascii="Times New Roman" w:hAnsi="Times New Roman" w:cs="Times New Roman"/>
          <w:color w:val="000000"/>
          <w:sz w:val="24"/>
          <w:szCs w:val="24"/>
          <w:shd w:val="clear" w:color="auto" w:fill="FFFFFF"/>
          <w:lang w:val="ru-RU"/>
        </w:rPr>
        <w:t>[</w:t>
      </w:r>
      <w:r w:rsidRPr="001E2EA3">
        <w:rPr>
          <w:rFonts w:ascii="Times New Roman" w:hAnsi="Times New Roman" w:cs="Times New Roman"/>
          <w:color w:val="000000"/>
          <w:sz w:val="24"/>
          <w:szCs w:val="24"/>
          <w:shd w:val="clear" w:color="auto" w:fill="FFFFFF"/>
        </w:rPr>
        <w:fldChar w:fldCharType="begin"/>
      </w:r>
      <w:r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instrText>REF</w:instrText>
      </w:r>
      <w:r w:rsidRPr="001E2EA3">
        <w:rPr>
          <w:rFonts w:ascii="Times New Roman" w:hAnsi="Times New Roman" w:cs="Times New Roman"/>
          <w:color w:val="000000"/>
          <w:sz w:val="24"/>
          <w:szCs w:val="24"/>
          <w:shd w:val="clear" w:color="auto" w:fill="FFFFFF"/>
          <w:lang w:val="ru-RU"/>
        </w:rPr>
        <w:instrText xml:space="preserve"> _</w:instrText>
      </w:r>
      <w:r w:rsidRPr="001E2EA3">
        <w:rPr>
          <w:rFonts w:ascii="Times New Roman" w:hAnsi="Times New Roman" w:cs="Times New Roman"/>
          <w:color w:val="000000"/>
          <w:sz w:val="24"/>
          <w:szCs w:val="24"/>
          <w:shd w:val="clear" w:color="auto" w:fill="FFFFFF"/>
        </w:rPr>
        <w:instrText>Ref</w:instrText>
      </w:r>
      <w:r w:rsidRPr="001E2EA3">
        <w:rPr>
          <w:rFonts w:ascii="Times New Roman" w:hAnsi="Times New Roman" w:cs="Times New Roman"/>
          <w:color w:val="000000"/>
          <w:sz w:val="24"/>
          <w:szCs w:val="24"/>
          <w:shd w:val="clear" w:color="auto" w:fill="FFFFFF"/>
          <w:lang w:val="ru-RU"/>
        </w:rPr>
        <w:instrText>135397695 \</w:instrText>
      </w:r>
      <w:r w:rsidRPr="001E2EA3">
        <w:rPr>
          <w:rFonts w:ascii="Times New Roman" w:hAnsi="Times New Roman" w:cs="Times New Roman"/>
          <w:color w:val="000000"/>
          <w:sz w:val="24"/>
          <w:szCs w:val="24"/>
          <w:shd w:val="clear" w:color="auto" w:fill="FFFFFF"/>
        </w:rPr>
        <w:instrText>r</w:instrText>
      </w:r>
      <w:r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instrText>h</w:instrText>
      </w:r>
      <w:r w:rsidRPr="001E2EA3">
        <w:rPr>
          <w:rFonts w:ascii="Times New Roman" w:hAnsi="Times New Roman" w:cs="Times New Roman"/>
          <w:color w:val="000000"/>
          <w:sz w:val="24"/>
          <w:szCs w:val="24"/>
          <w:shd w:val="clear" w:color="auto" w:fill="FFFFFF"/>
          <w:lang w:val="ru-RU"/>
        </w:rPr>
        <w:instrText xml:space="preserve"> </w:instrText>
      </w:r>
      <w:r w:rsidR="008C1DE0" w:rsidRPr="001E2EA3">
        <w:rPr>
          <w:rFonts w:ascii="Times New Roman" w:hAnsi="Times New Roman" w:cs="Times New Roman"/>
          <w:color w:val="000000"/>
          <w:sz w:val="24"/>
          <w:szCs w:val="24"/>
          <w:shd w:val="clear" w:color="auto" w:fill="FFFFFF"/>
          <w:lang w:val="ru-RU"/>
        </w:rPr>
        <w:instrText xml:space="preserve"> \* </w:instrText>
      </w:r>
      <w:r w:rsidR="008C1DE0" w:rsidRPr="001E2EA3">
        <w:rPr>
          <w:rFonts w:ascii="Times New Roman" w:hAnsi="Times New Roman" w:cs="Times New Roman"/>
          <w:color w:val="000000"/>
          <w:sz w:val="24"/>
          <w:szCs w:val="24"/>
          <w:shd w:val="clear" w:color="auto" w:fill="FFFFFF"/>
        </w:rPr>
        <w:instrText>MERGEFORMAT</w:instrText>
      </w:r>
      <w:r w:rsidR="008C1DE0"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r>
      <w:r w:rsidRPr="001E2EA3">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45</w:t>
      </w:r>
      <w:r w:rsidRPr="001E2EA3">
        <w:rPr>
          <w:rFonts w:ascii="Times New Roman" w:hAnsi="Times New Roman" w:cs="Times New Roman"/>
          <w:color w:val="000000"/>
          <w:sz w:val="24"/>
          <w:szCs w:val="24"/>
          <w:shd w:val="clear" w:color="auto" w:fill="FFFFFF"/>
        </w:rPr>
        <w:fldChar w:fldCharType="end"/>
      </w:r>
      <w:r w:rsidRPr="001E2EA3">
        <w:rPr>
          <w:rFonts w:ascii="Times New Roman" w:hAnsi="Times New Roman" w:cs="Times New Roman"/>
          <w:color w:val="000000"/>
          <w:sz w:val="24"/>
          <w:szCs w:val="24"/>
          <w:shd w:val="clear" w:color="auto" w:fill="FFFFFF"/>
          <w:lang w:val="ru-RU"/>
        </w:rPr>
        <w:t xml:space="preserve">; </w:t>
      </w:r>
      <w:r w:rsidRPr="001E2EA3">
        <w:rPr>
          <w:rFonts w:ascii="Times New Roman" w:hAnsi="Times New Roman" w:cs="Times New Roman"/>
          <w:color w:val="000000"/>
          <w:sz w:val="24"/>
          <w:szCs w:val="24"/>
          <w:shd w:val="clear" w:color="auto" w:fill="FFFFFF"/>
        </w:rPr>
        <w:fldChar w:fldCharType="begin"/>
      </w:r>
      <w:r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instrText>REF</w:instrText>
      </w:r>
      <w:r w:rsidRPr="001E2EA3">
        <w:rPr>
          <w:rFonts w:ascii="Times New Roman" w:hAnsi="Times New Roman" w:cs="Times New Roman"/>
          <w:color w:val="000000"/>
          <w:sz w:val="24"/>
          <w:szCs w:val="24"/>
          <w:shd w:val="clear" w:color="auto" w:fill="FFFFFF"/>
          <w:lang w:val="ru-RU"/>
        </w:rPr>
        <w:instrText xml:space="preserve"> _</w:instrText>
      </w:r>
      <w:r w:rsidRPr="001E2EA3">
        <w:rPr>
          <w:rFonts w:ascii="Times New Roman" w:hAnsi="Times New Roman" w:cs="Times New Roman"/>
          <w:color w:val="000000"/>
          <w:sz w:val="24"/>
          <w:szCs w:val="24"/>
          <w:shd w:val="clear" w:color="auto" w:fill="FFFFFF"/>
        </w:rPr>
        <w:instrText>Ref</w:instrText>
      </w:r>
      <w:r w:rsidRPr="001E2EA3">
        <w:rPr>
          <w:rFonts w:ascii="Times New Roman" w:hAnsi="Times New Roman" w:cs="Times New Roman"/>
          <w:color w:val="000000"/>
          <w:sz w:val="24"/>
          <w:szCs w:val="24"/>
          <w:shd w:val="clear" w:color="auto" w:fill="FFFFFF"/>
          <w:lang w:val="ru-RU"/>
        </w:rPr>
        <w:instrText>130564109 \</w:instrText>
      </w:r>
      <w:r w:rsidRPr="001E2EA3">
        <w:rPr>
          <w:rFonts w:ascii="Times New Roman" w:hAnsi="Times New Roman" w:cs="Times New Roman"/>
          <w:color w:val="000000"/>
          <w:sz w:val="24"/>
          <w:szCs w:val="24"/>
          <w:shd w:val="clear" w:color="auto" w:fill="FFFFFF"/>
        </w:rPr>
        <w:instrText>r</w:instrText>
      </w:r>
      <w:r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instrText>h</w:instrText>
      </w:r>
      <w:r w:rsidRPr="001E2EA3">
        <w:rPr>
          <w:rFonts w:ascii="Times New Roman" w:hAnsi="Times New Roman" w:cs="Times New Roman"/>
          <w:color w:val="000000"/>
          <w:sz w:val="24"/>
          <w:szCs w:val="24"/>
          <w:shd w:val="clear" w:color="auto" w:fill="FFFFFF"/>
          <w:lang w:val="ru-RU"/>
        </w:rPr>
        <w:instrText xml:space="preserve"> </w:instrText>
      </w:r>
      <w:r w:rsidR="008C1DE0" w:rsidRPr="001E2EA3">
        <w:rPr>
          <w:rFonts w:ascii="Times New Roman" w:hAnsi="Times New Roman" w:cs="Times New Roman"/>
          <w:color w:val="000000"/>
          <w:sz w:val="24"/>
          <w:szCs w:val="24"/>
          <w:shd w:val="clear" w:color="auto" w:fill="FFFFFF"/>
          <w:lang w:val="ru-RU"/>
        </w:rPr>
        <w:instrText xml:space="preserve"> \* </w:instrText>
      </w:r>
      <w:r w:rsidR="008C1DE0" w:rsidRPr="001E2EA3">
        <w:rPr>
          <w:rFonts w:ascii="Times New Roman" w:hAnsi="Times New Roman" w:cs="Times New Roman"/>
          <w:color w:val="000000"/>
          <w:sz w:val="24"/>
          <w:szCs w:val="24"/>
          <w:shd w:val="clear" w:color="auto" w:fill="FFFFFF"/>
        </w:rPr>
        <w:instrText>MERGEFORMAT</w:instrText>
      </w:r>
      <w:r w:rsidR="008C1DE0" w:rsidRPr="001E2EA3">
        <w:rPr>
          <w:rFonts w:ascii="Times New Roman" w:hAnsi="Times New Roman" w:cs="Times New Roman"/>
          <w:color w:val="000000"/>
          <w:sz w:val="24"/>
          <w:szCs w:val="24"/>
          <w:shd w:val="clear" w:color="auto" w:fill="FFFFFF"/>
          <w:lang w:val="ru-RU"/>
        </w:rPr>
        <w:instrText xml:space="preserve"> </w:instrText>
      </w:r>
      <w:r w:rsidRPr="001E2EA3">
        <w:rPr>
          <w:rFonts w:ascii="Times New Roman" w:hAnsi="Times New Roman" w:cs="Times New Roman"/>
          <w:color w:val="000000"/>
          <w:sz w:val="24"/>
          <w:szCs w:val="24"/>
          <w:shd w:val="clear" w:color="auto" w:fill="FFFFFF"/>
        </w:rPr>
      </w:r>
      <w:r w:rsidRPr="001E2EA3">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233</w:t>
      </w:r>
      <w:r w:rsidRPr="001E2EA3">
        <w:rPr>
          <w:rFonts w:ascii="Times New Roman" w:hAnsi="Times New Roman" w:cs="Times New Roman"/>
          <w:color w:val="000000"/>
          <w:sz w:val="24"/>
          <w:szCs w:val="24"/>
          <w:shd w:val="clear" w:color="auto" w:fill="FFFFFF"/>
        </w:rPr>
        <w:fldChar w:fldCharType="end"/>
      </w:r>
      <w:r w:rsidRPr="001E2EA3">
        <w:rPr>
          <w:rFonts w:ascii="Times New Roman" w:hAnsi="Times New Roman" w:cs="Times New Roman"/>
          <w:color w:val="000000"/>
          <w:sz w:val="24"/>
          <w:szCs w:val="24"/>
          <w:shd w:val="clear" w:color="auto" w:fill="FFFFFF"/>
          <w:lang w:val="ru-RU"/>
        </w:rPr>
        <w:t>].</w:t>
      </w:r>
    </w:p>
    <w:p w14:paraId="38682DD2" w14:textId="77777777" w:rsidR="00A916EF" w:rsidRDefault="00A916EF"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p>
    <w:p w14:paraId="519022DD" w14:textId="1DA12589" w:rsidR="00A916EF" w:rsidRDefault="00A916EF"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lastRenderedPageBreak/>
        <w:t xml:space="preserve">Интересно сравнить </w:t>
      </w:r>
      <w:r w:rsidR="00CB7247">
        <w:rPr>
          <w:rFonts w:ascii="Times New Roman" w:hAnsi="Times New Roman" w:cs="Times New Roman"/>
          <w:color w:val="000000"/>
          <w:sz w:val="24"/>
          <w:szCs w:val="24"/>
          <w:shd w:val="clear" w:color="auto" w:fill="FFFFFF"/>
          <w:lang w:val="ru-RU"/>
        </w:rPr>
        <w:t xml:space="preserve">получившиеся диаграммы с графиком, демонстрирующим </w:t>
      </w:r>
      <w:r w:rsidR="00CB7247">
        <w:rPr>
          <w:rFonts w:ascii="Times New Roman" w:hAnsi="Times New Roman" w:cs="Times New Roman"/>
          <w:sz w:val="24"/>
          <w:szCs w:val="24"/>
          <w:lang w:val="ru-RU"/>
        </w:rPr>
        <w:t>зависимость между глубиной финансового рынка и развитостью экономики</w:t>
      </w:r>
      <w:r w:rsidR="00CB7247">
        <w:rPr>
          <w:rFonts w:ascii="Times New Roman" w:hAnsi="Times New Roman" w:cs="Times New Roman"/>
          <w:color w:val="000000"/>
          <w:sz w:val="24"/>
          <w:szCs w:val="24"/>
          <w:shd w:val="clear" w:color="auto" w:fill="FFFFFF"/>
          <w:lang w:val="ru-RU"/>
        </w:rPr>
        <w:t xml:space="preserve"> зависимость стран, который можно найти рис. 16 в Приложении 7.</w:t>
      </w:r>
    </w:p>
    <w:p w14:paraId="5B0C1BF6" w14:textId="0FB29879" w:rsidR="008338D9" w:rsidRPr="0005059B"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На основе полученных данных можно сделать несколько предположений: </w:t>
      </w:r>
      <w:r w:rsidRPr="000B3030">
        <w:rPr>
          <w:rFonts w:ascii="Times New Roman" w:hAnsi="Times New Roman" w:cs="Times New Roman"/>
          <w:color w:val="000000"/>
          <w:sz w:val="24"/>
          <w:szCs w:val="24"/>
          <w:shd w:val="clear" w:color="auto" w:fill="FFFFFF"/>
          <w:lang w:val="ru-RU"/>
        </w:rPr>
        <w:t xml:space="preserve">1) </w:t>
      </w:r>
      <w:r>
        <w:rPr>
          <w:rFonts w:ascii="Times New Roman" w:hAnsi="Times New Roman" w:cs="Times New Roman"/>
          <w:color w:val="000000"/>
          <w:sz w:val="24"/>
          <w:szCs w:val="24"/>
          <w:shd w:val="clear" w:color="auto" w:fill="FFFFFF"/>
          <w:lang w:val="ru-RU"/>
        </w:rPr>
        <w:t xml:space="preserve">слабая корреляция между двумя рейтингами может подтверждать, что цели МФЦ, на оценку деятельности которых нацелен рейтинг </w:t>
      </w:r>
      <w:r>
        <w:rPr>
          <w:rFonts w:ascii="Times New Roman" w:hAnsi="Times New Roman" w:cs="Times New Roman"/>
          <w:color w:val="000000"/>
          <w:sz w:val="24"/>
          <w:szCs w:val="24"/>
          <w:shd w:val="clear" w:color="auto" w:fill="FFFFFF"/>
        </w:rPr>
        <w:t>GFCI</w:t>
      </w:r>
      <w:r w:rsidRPr="000B3030">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формируются представителями крупного международного бизнеса, сконцентрированного на решении иных задач, чем малый и средний бизнес, оценке деятельности которого в стране посвящен рейтинг </w:t>
      </w:r>
      <w:r>
        <w:rPr>
          <w:rFonts w:ascii="Times New Roman" w:hAnsi="Times New Roman" w:cs="Times New Roman"/>
          <w:color w:val="000000"/>
          <w:sz w:val="24"/>
          <w:szCs w:val="24"/>
          <w:shd w:val="clear" w:color="auto" w:fill="FFFFFF"/>
        </w:rPr>
        <w:t>Doing</w:t>
      </w:r>
      <w:r w:rsidRPr="0005059B">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Business</w:t>
      </w:r>
      <w:r w:rsidRPr="0005059B">
        <w:rPr>
          <w:rFonts w:ascii="Times New Roman" w:hAnsi="Times New Roman" w:cs="Times New Roman"/>
          <w:color w:val="000000"/>
          <w:sz w:val="24"/>
          <w:szCs w:val="24"/>
          <w:shd w:val="clear" w:color="auto" w:fill="FFFFFF"/>
          <w:lang w:val="ru-RU"/>
        </w:rPr>
        <w:t xml:space="preserve">; 2) </w:t>
      </w:r>
      <w:r>
        <w:rPr>
          <w:rFonts w:ascii="Times New Roman" w:hAnsi="Times New Roman" w:cs="Times New Roman"/>
          <w:color w:val="000000"/>
          <w:sz w:val="24"/>
          <w:szCs w:val="24"/>
          <w:shd w:val="clear" w:color="auto" w:fill="FFFFFF"/>
          <w:lang w:val="ru-RU"/>
        </w:rPr>
        <w:t xml:space="preserve">высокий уровень развития МФЦ не коррелирует с доступностью финансовых услуг для населения и малого и среднего бизнеса; 3) стратегия по созданию МФЦ в стране содействует развитию общей деловой активности в стране в долгосрочной перспективе, но не направлено на такие социально важные сферы, как доступность финансовых услуг для широких слоёв населения и малого и среднего бизнеса. </w:t>
      </w:r>
    </w:p>
    <w:p w14:paraId="7A998E12" w14:textId="213F2AE4" w:rsidR="008338D9" w:rsidRPr="00C953EF" w:rsidRDefault="00A916EF"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Другим популярных рейтингом является</w:t>
      </w:r>
      <w:r w:rsidR="008338D9" w:rsidRPr="00A916EF">
        <w:rPr>
          <w:rFonts w:ascii="Times New Roman" w:hAnsi="Times New Roman" w:cs="Times New Roman"/>
          <w:color w:val="000000"/>
          <w:sz w:val="24"/>
          <w:szCs w:val="24"/>
          <w:shd w:val="clear" w:color="auto" w:fill="FFFFFF"/>
          <w:lang w:val="ru-RU"/>
        </w:rPr>
        <w:t xml:space="preserve"> </w:t>
      </w:r>
      <w:r w:rsidR="008338D9" w:rsidRPr="004E7E3E">
        <w:rPr>
          <w:rFonts w:ascii="Times New Roman" w:hAnsi="Times New Roman" w:cs="Times New Roman"/>
          <w:b/>
          <w:color w:val="000000"/>
          <w:sz w:val="24"/>
          <w:szCs w:val="24"/>
          <w:shd w:val="clear" w:color="auto" w:fill="FFFFFF"/>
          <w:lang w:val="ru-RU"/>
        </w:rPr>
        <w:t>Индекс</w:t>
      </w:r>
      <w:r w:rsidR="008338D9" w:rsidRPr="00A916EF">
        <w:rPr>
          <w:rFonts w:ascii="Times New Roman" w:hAnsi="Times New Roman" w:cs="Times New Roman"/>
          <w:b/>
          <w:color w:val="000000"/>
          <w:sz w:val="24"/>
          <w:szCs w:val="24"/>
          <w:shd w:val="clear" w:color="auto" w:fill="FFFFFF"/>
          <w:lang w:val="ru-RU"/>
        </w:rPr>
        <w:t xml:space="preserve"> </w:t>
      </w:r>
      <w:r w:rsidR="008338D9" w:rsidRPr="004E7E3E">
        <w:rPr>
          <w:rFonts w:ascii="Times New Roman" w:hAnsi="Times New Roman" w:cs="Times New Roman"/>
          <w:b/>
          <w:color w:val="000000"/>
          <w:sz w:val="24"/>
          <w:szCs w:val="24"/>
          <w:shd w:val="clear" w:color="auto" w:fill="FFFFFF"/>
          <w:lang w:val="ru-RU"/>
        </w:rPr>
        <w:t>развития</w:t>
      </w:r>
      <w:r w:rsidR="008338D9" w:rsidRPr="00A916EF">
        <w:rPr>
          <w:rFonts w:ascii="Times New Roman" w:hAnsi="Times New Roman" w:cs="Times New Roman"/>
          <w:b/>
          <w:color w:val="000000"/>
          <w:sz w:val="24"/>
          <w:szCs w:val="24"/>
          <w:shd w:val="clear" w:color="auto" w:fill="FFFFFF"/>
          <w:lang w:val="ru-RU"/>
        </w:rPr>
        <w:t xml:space="preserve"> </w:t>
      </w:r>
      <w:r w:rsidR="008338D9" w:rsidRPr="004E7E3E">
        <w:rPr>
          <w:rFonts w:ascii="Times New Roman" w:hAnsi="Times New Roman" w:cs="Times New Roman"/>
          <w:b/>
          <w:color w:val="000000"/>
          <w:sz w:val="24"/>
          <w:szCs w:val="24"/>
          <w:shd w:val="clear" w:color="auto" w:fill="FFFFFF"/>
          <w:lang w:val="ru-RU"/>
        </w:rPr>
        <w:t>международных</w:t>
      </w:r>
      <w:r w:rsidR="008338D9" w:rsidRPr="00A916EF">
        <w:rPr>
          <w:rFonts w:ascii="Times New Roman" w:hAnsi="Times New Roman" w:cs="Times New Roman"/>
          <w:b/>
          <w:color w:val="000000"/>
          <w:sz w:val="24"/>
          <w:szCs w:val="24"/>
          <w:shd w:val="clear" w:color="auto" w:fill="FFFFFF"/>
          <w:lang w:val="ru-RU"/>
        </w:rPr>
        <w:t xml:space="preserve"> </w:t>
      </w:r>
      <w:r w:rsidR="008338D9" w:rsidRPr="004E7E3E">
        <w:rPr>
          <w:rFonts w:ascii="Times New Roman" w:hAnsi="Times New Roman" w:cs="Times New Roman"/>
          <w:b/>
          <w:color w:val="000000"/>
          <w:sz w:val="24"/>
          <w:szCs w:val="24"/>
          <w:shd w:val="clear" w:color="auto" w:fill="FFFFFF"/>
          <w:lang w:val="ru-RU"/>
        </w:rPr>
        <w:t>финансовых</w:t>
      </w:r>
      <w:r w:rsidR="008338D9" w:rsidRPr="00A916EF">
        <w:rPr>
          <w:rFonts w:ascii="Times New Roman" w:hAnsi="Times New Roman" w:cs="Times New Roman"/>
          <w:b/>
          <w:color w:val="000000"/>
          <w:sz w:val="24"/>
          <w:szCs w:val="24"/>
          <w:shd w:val="clear" w:color="auto" w:fill="FFFFFF"/>
          <w:lang w:val="ru-RU"/>
        </w:rPr>
        <w:t xml:space="preserve"> </w:t>
      </w:r>
      <w:r w:rsidR="008338D9" w:rsidRPr="004E7E3E">
        <w:rPr>
          <w:rFonts w:ascii="Times New Roman" w:hAnsi="Times New Roman" w:cs="Times New Roman"/>
          <w:b/>
          <w:color w:val="000000"/>
          <w:sz w:val="24"/>
          <w:szCs w:val="24"/>
          <w:shd w:val="clear" w:color="auto" w:fill="FFFFFF"/>
          <w:lang w:val="ru-RU"/>
        </w:rPr>
        <w:t>центров</w:t>
      </w:r>
      <w:r w:rsidR="008338D9" w:rsidRPr="00A916EF">
        <w:rPr>
          <w:rFonts w:ascii="Times New Roman" w:hAnsi="Times New Roman" w:cs="Times New Roman"/>
          <w:b/>
          <w:color w:val="000000"/>
          <w:sz w:val="24"/>
          <w:szCs w:val="24"/>
          <w:shd w:val="clear" w:color="auto" w:fill="FFFFFF"/>
          <w:lang w:val="ru-RU"/>
        </w:rPr>
        <w:t xml:space="preserve">: </w:t>
      </w:r>
      <w:r w:rsidR="008338D9" w:rsidRPr="00A916EF">
        <w:rPr>
          <w:rFonts w:ascii="Times New Roman" w:hAnsi="Times New Roman" w:cs="Times New Roman"/>
          <w:b/>
          <w:color w:val="000000"/>
          <w:sz w:val="24"/>
          <w:szCs w:val="24"/>
          <w:shd w:val="clear" w:color="auto" w:fill="FFFFFF"/>
        </w:rPr>
        <w:t>International</w:t>
      </w:r>
      <w:r w:rsidR="008338D9" w:rsidRPr="00A916EF">
        <w:rPr>
          <w:rFonts w:ascii="Times New Roman" w:hAnsi="Times New Roman" w:cs="Times New Roman"/>
          <w:b/>
          <w:color w:val="000000"/>
          <w:sz w:val="24"/>
          <w:szCs w:val="24"/>
          <w:shd w:val="clear" w:color="auto" w:fill="FFFFFF"/>
          <w:lang w:val="ru-RU"/>
        </w:rPr>
        <w:t xml:space="preserve"> </w:t>
      </w:r>
      <w:r w:rsidR="008338D9" w:rsidRPr="00A916EF">
        <w:rPr>
          <w:rFonts w:ascii="Times New Roman" w:hAnsi="Times New Roman" w:cs="Times New Roman"/>
          <w:b/>
          <w:color w:val="000000"/>
          <w:sz w:val="24"/>
          <w:szCs w:val="24"/>
          <w:shd w:val="clear" w:color="auto" w:fill="FFFFFF"/>
        </w:rPr>
        <w:t>Financial</w:t>
      </w:r>
      <w:r w:rsidR="008338D9" w:rsidRPr="00A916EF">
        <w:rPr>
          <w:rFonts w:ascii="Times New Roman" w:hAnsi="Times New Roman" w:cs="Times New Roman"/>
          <w:b/>
          <w:color w:val="000000"/>
          <w:sz w:val="24"/>
          <w:szCs w:val="24"/>
          <w:shd w:val="clear" w:color="auto" w:fill="FFFFFF"/>
          <w:lang w:val="ru-RU"/>
        </w:rPr>
        <w:t xml:space="preserve"> </w:t>
      </w:r>
      <w:r w:rsidR="008338D9" w:rsidRPr="00A916EF">
        <w:rPr>
          <w:rFonts w:ascii="Times New Roman" w:hAnsi="Times New Roman" w:cs="Times New Roman"/>
          <w:b/>
          <w:color w:val="000000"/>
          <w:sz w:val="24"/>
          <w:szCs w:val="24"/>
          <w:shd w:val="clear" w:color="auto" w:fill="FFFFFF"/>
        </w:rPr>
        <w:t>Centers</w:t>
      </w:r>
      <w:r w:rsidR="008338D9" w:rsidRPr="00A916EF">
        <w:rPr>
          <w:rFonts w:ascii="Times New Roman" w:hAnsi="Times New Roman" w:cs="Times New Roman"/>
          <w:b/>
          <w:color w:val="000000"/>
          <w:sz w:val="24"/>
          <w:szCs w:val="24"/>
          <w:shd w:val="clear" w:color="auto" w:fill="FFFFFF"/>
          <w:lang w:val="ru-RU"/>
        </w:rPr>
        <w:t xml:space="preserve"> </w:t>
      </w:r>
      <w:r w:rsidR="008338D9" w:rsidRPr="00A916EF">
        <w:rPr>
          <w:rFonts w:ascii="Times New Roman" w:hAnsi="Times New Roman" w:cs="Times New Roman"/>
          <w:b/>
          <w:color w:val="000000"/>
          <w:sz w:val="24"/>
          <w:szCs w:val="24"/>
          <w:shd w:val="clear" w:color="auto" w:fill="FFFFFF"/>
        </w:rPr>
        <w:t>Development</w:t>
      </w:r>
      <w:r w:rsidR="008338D9" w:rsidRPr="00A916EF">
        <w:rPr>
          <w:rFonts w:ascii="Times New Roman" w:hAnsi="Times New Roman" w:cs="Times New Roman"/>
          <w:b/>
          <w:color w:val="000000"/>
          <w:sz w:val="24"/>
          <w:szCs w:val="24"/>
          <w:shd w:val="clear" w:color="auto" w:fill="FFFFFF"/>
          <w:lang w:val="ru-RU"/>
        </w:rPr>
        <w:t xml:space="preserve"> </w:t>
      </w:r>
      <w:r w:rsidR="008338D9" w:rsidRPr="00A916EF">
        <w:rPr>
          <w:rFonts w:ascii="Times New Roman" w:hAnsi="Times New Roman" w:cs="Times New Roman"/>
          <w:b/>
          <w:color w:val="000000"/>
          <w:sz w:val="24"/>
          <w:szCs w:val="24"/>
          <w:shd w:val="clear" w:color="auto" w:fill="FFFFFF"/>
        </w:rPr>
        <w:t>Index</w:t>
      </w:r>
      <w:r w:rsidR="008338D9" w:rsidRPr="00A916EF">
        <w:rPr>
          <w:rFonts w:ascii="Times New Roman" w:hAnsi="Times New Roman" w:cs="Times New Roman"/>
          <w:b/>
          <w:color w:val="000000"/>
          <w:sz w:val="24"/>
          <w:szCs w:val="24"/>
          <w:shd w:val="clear" w:color="auto" w:fill="FFFFFF"/>
          <w:lang w:val="ru-RU"/>
        </w:rPr>
        <w:t xml:space="preserve"> (</w:t>
      </w:r>
      <w:r w:rsidR="008338D9" w:rsidRPr="00A916EF">
        <w:rPr>
          <w:rFonts w:ascii="Times New Roman" w:hAnsi="Times New Roman" w:cs="Times New Roman"/>
          <w:b/>
          <w:color w:val="000000"/>
          <w:sz w:val="24"/>
          <w:szCs w:val="24"/>
          <w:shd w:val="clear" w:color="auto" w:fill="FFFFFF"/>
        </w:rPr>
        <w:t>IFCD</w:t>
      </w:r>
      <w:r w:rsidR="008338D9" w:rsidRPr="00A916EF">
        <w:rPr>
          <w:rFonts w:ascii="Times New Roman" w:hAnsi="Times New Roman" w:cs="Times New Roman"/>
          <w:b/>
          <w:color w:val="000000"/>
          <w:sz w:val="24"/>
          <w:szCs w:val="24"/>
          <w:shd w:val="clear" w:color="auto" w:fill="FFFFFF"/>
          <w:lang w:val="ru-RU"/>
        </w:rPr>
        <w:t>)</w:t>
      </w:r>
      <w:r w:rsidR="008338D9" w:rsidRPr="00A916EF">
        <w:rPr>
          <w:rFonts w:ascii="Times New Roman" w:hAnsi="Times New Roman" w:cs="Times New Roman"/>
          <w:color w:val="000000"/>
          <w:sz w:val="24"/>
          <w:szCs w:val="24"/>
          <w:shd w:val="clear" w:color="auto" w:fill="FFFFFF"/>
          <w:lang w:val="ru-RU"/>
        </w:rPr>
        <w:t xml:space="preserve">. </w:t>
      </w:r>
      <w:r w:rsidR="008338D9" w:rsidRPr="004E7E3E">
        <w:rPr>
          <w:rFonts w:ascii="Times New Roman" w:hAnsi="Times New Roman" w:cs="Times New Roman"/>
          <w:color w:val="000000"/>
          <w:sz w:val="24"/>
          <w:szCs w:val="24"/>
          <w:shd w:val="clear" w:color="auto" w:fill="FFFFFF"/>
          <w:lang w:val="ru-RU"/>
        </w:rPr>
        <w:t>Он рассчитывался Чикагской товарной биржей (Chicago Mercantile Exchange) и компанией Доу Джонс (Dow Jones &amp; Company) совместно с китайским информационным агентством Синхуа (Xinhua News Agency) с 2010 по 2014 годы.</w:t>
      </w:r>
      <w:r w:rsidR="008338D9">
        <w:rPr>
          <w:rFonts w:ascii="Times New Roman" w:hAnsi="Times New Roman" w:cs="Times New Roman"/>
          <w:color w:val="000000"/>
          <w:sz w:val="24"/>
          <w:szCs w:val="24"/>
          <w:shd w:val="clear" w:color="auto" w:fill="FFFFFF"/>
          <w:lang w:val="ru-RU"/>
        </w:rPr>
        <w:t xml:space="preserve"> </w:t>
      </w:r>
      <w:r w:rsidR="008338D9" w:rsidRPr="004E7E3E">
        <w:rPr>
          <w:rFonts w:ascii="Times New Roman" w:hAnsi="Times New Roman" w:cs="Times New Roman"/>
          <w:color w:val="000000"/>
          <w:sz w:val="24"/>
          <w:szCs w:val="24"/>
          <w:shd w:val="clear" w:color="auto" w:fill="FFFFFF"/>
          <w:lang w:val="ru-RU"/>
        </w:rPr>
        <w:t xml:space="preserve">Некоторым исследователям он казался более убедительным, чем индекс </w:t>
      </w:r>
      <w:r w:rsidR="008338D9" w:rsidRPr="004E7E3E">
        <w:rPr>
          <w:rFonts w:ascii="Times New Roman" w:hAnsi="Times New Roman" w:cs="Times New Roman"/>
          <w:color w:val="000000"/>
          <w:sz w:val="24"/>
          <w:szCs w:val="24"/>
          <w:shd w:val="clear" w:color="auto" w:fill="FFFFFF"/>
        </w:rPr>
        <w:t>GFCI</w:t>
      </w:r>
      <w:r w:rsidR="008338D9" w:rsidRPr="004E7E3E">
        <w:rPr>
          <w:rFonts w:ascii="Times New Roman" w:hAnsi="Times New Roman" w:cs="Times New Roman"/>
          <w:color w:val="000000"/>
          <w:sz w:val="24"/>
          <w:szCs w:val="24"/>
          <w:shd w:val="clear" w:color="auto" w:fill="FFFFFF"/>
          <w:lang w:val="ru-RU"/>
        </w:rPr>
        <w:t>. [</w:t>
      </w:r>
      <w:r w:rsidR="008338D9" w:rsidRPr="004E7E3E">
        <w:rPr>
          <w:rFonts w:ascii="Times New Roman" w:hAnsi="Times New Roman" w:cs="Times New Roman"/>
          <w:color w:val="000000"/>
          <w:sz w:val="24"/>
          <w:szCs w:val="24"/>
          <w:shd w:val="clear" w:color="auto" w:fill="FFFFFF"/>
          <w:lang w:val="ru-RU"/>
        </w:rPr>
        <w:fldChar w:fldCharType="begin"/>
      </w:r>
      <w:r w:rsidR="008338D9" w:rsidRPr="004E7E3E">
        <w:rPr>
          <w:rFonts w:ascii="Times New Roman" w:hAnsi="Times New Roman" w:cs="Times New Roman"/>
          <w:color w:val="000000"/>
          <w:sz w:val="24"/>
          <w:szCs w:val="24"/>
          <w:shd w:val="clear" w:color="auto" w:fill="FFFFFF"/>
          <w:lang w:val="ru-RU"/>
        </w:rPr>
        <w:instrText xml:space="preserve"> REF _Ref501308421 \r \h  \* MERGEFORMAT </w:instrText>
      </w:r>
      <w:r w:rsidR="008338D9" w:rsidRPr="004E7E3E">
        <w:rPr>
          <w:rFonts w:ascii="Times New Roman" w:hAnsi="Times New Roman" w:cs="Times New Roman"/>
          <w:color w:val="000000"/>
          <w:sz w:val="24"/>
          <w:szCs w:val="24"/>
          <w:shd w:val="clear" w:color="auto" w:fill="FFFFFF"/>
          <w:lang w:val="ru-RU"/>
        </w:rPr>
      </w:r>
      <w:r w:rsidR="008338D9"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277</w:t>
      </w:r>
      <w:r w:rsidR="008338D9" w:rsidRPr="004E7E3E">
        <w:rPr>
          <w:rFonts w:ascii="Times New Roman" w:hAnsi="Times New Roman" w:cs="Times New Roman"/>
          <w:color w:val="000000"/>
          <w:sz w:val="24"/>
          <w:szCs w:val="24"/>
          <w:shd w:val="clear" w:color="auto" w:fill="FFFFFF"/>
          <w:lang w:val="ru-RU"/>
        </w:rPr>
        <w:fldChar w:fldCharType="end"/>
      </w:r>
      <w:r w:rsidR="008338D9" w:rsidRPr="004E7E3E">
        <w:rPr>
          <w:rFonts w:ascii="Times New Roman" w:hAnsi="Times New Roman" w:cs="Times New Roman"/>
          <w:color w:val="000000"/>
          <w:sz w:val="24"/>
          <w:szCs w:val="24"/>
          <w:shd w:val="clear" w:color="auto" w:fill="FFFFFF"/>
          <w:lang w:val="ru-RU"/>
        </w:rPr>
        <w:t xml:space="preserve">] Но </w:t>
      </w:r>
      <w:r w:rsidR="008338D9">
        <w:rPr>
          <w:rFonts w:ascii="Times New Roman" w:hAnsi="Times New Roman" w:cs="Times New Roman"/>
          <w:color w:val="000000"/>
          <w:sz w:val="24"/>
          <w:szCs w:val="24"/>
          <w:shd w:val="clear" w:color="auto" w:fill="FFFFFF"/>
          <w:lang w:val="ru-RU"/>
        </w:rPr>
        <w:t xml:space="preserve">ему не удалось избежать </w:t>
      </w:r>
      <w:r w:rsidR="008338D9" w:rsidRPr="004E7E3E">
        <w:rPr>
          <w:rFonts w:ascii="Times New Roman" w:hAnsi="Times New Roman" w:cs="Times New Roman"/>
          <w:color w:val="000000"/>
          <w:sz w:val="24"/>
          <w:szCs w:val="24"/>
          <w:shd w:val="clear" w:color="auto" w:fill="FFFFFF"/>
          <w:lang w:val="ru-RU"/>
        </w:rPr>
        <w:t>проблем роста: 1) методология рейтинга менялась почти ежегодно, 2)</w:t>
      </w:r>
      <w:r w:rsidR="008338D9">
        <w:rPr>
          <w:rFonts w:ascii="Times New Roman" w:hAnsi="Times New Roman" w:cs="Times New Roman"/>
          <w:color w:val="000000"/>
          <w:sz w:val="24"/>
          <w:szCs w:val="24"/>
          <w:shd w:val="clear" w:color="auto" w:fill="FFFFFF"/>
          <w:lang w:val="ru-RU"/>
        </w:rPr>
        <w:t> </w:t>
      </w:r>
      <w:r w:rsidR="008338D9" w:rsidRPr="004E7E3E">
        <w:rPr>
          <w:rFonts w:ascii="Times New Roman" w:hAnsi="Times New Roman" w:cs="Times New Roman"/>
          <w:color w:val="000000"/>
          <w:sz w:val="24"/>
          <w:szCs w:val="24"/>
          <w:shd w:val="clear" w:color="auto" w:fill="FFFFFF"/>
          <w:lang w:val="ru-RU"/>
        </w:rPr>
        <w:t>несмотря на наличие внутри текста здравых идей и логичных переходов, многие моменты вызывали вопросы и не были решены в последующих выпусках. В данном рейтинге Шанхай всегда занимал высокие строчки, соответствующие потенциально глобальному центру, как было обозначено в</w:t>
      </w:r>
      <w:r w:rsidR="008338D9">
        <w:rPr>
          <w:rFonts w:ascii="Times New Roman" w:hAnsi="Times New Roman" w:cs="Times New Roman"/>
          <w:color w:val="000000"/>
          <w:sz w:val="24"/>
          <w:szCs w:val="24"/>
          <w:shd w:val="clear" w:color="auto" w:fill="FFFFFF"/>
          <w:lang w:val="ru-RU"/>
        </w:rPr>
        <w:t> </w:t>
      </w:r>
      <w:r w:rsidR="008338D9" w:rsidRPr="004E7E3E">
        <w:rPr>
          <w:rFonts w:ascii="Times New Roman" w:hAnsi="Times New Roman" w:cs="Times New Roman"/>
          <w:color w:val="000000"/>
          <w:sz w:val="24"/>
          <w:szCs w:val="24"/>
          <w:shd w:val="clear" w:color="auto" w:fill="FFFFFF"/>
          <w:lang w:val="ru-RU"/>
        </w:rPr>
        <w:t xml:space="preserve">государственной программе КНР. </w:t>
      </w:r>
      <w:r w:rsidR="008338D9">
        <w:rPr>
          <w:rFonts w:ascii="Times New Roman" w:hAnsi="Times New Roman" w:cs="Times New Roman"/>
          <w:color w:val="000000"/>
          <w:sz w:val="24"/>
          <w:szCs w:val="24"/>
          <w:shd w:val="clear" w:color="auto" w:fill="FFFFFF"/>
          <w:lang w:val="ru-RU"/>
        </w:rPr>
        <w:t>В 2015 году агентство Синхуа выпустило рейтинг без участия американского партнёра. А с осени 201</w:t>
      </w:r>
      <w:r w:rsidR="008338D9" w:rsidRPr="00067AC7">
        <w:rPr>
          <w:rFonts w:ascii="Times New Roman" w:hAnsi="Times New Roman" w:cs="Times New Roman"/>
          <w:color w:val="000000"/>
          <w:sz w:val="24"/>
          <w:szCs w:val="24"/>
          <w:shd w:val="clear" w:color="auto" w:fill="FFFFFF"/>
          <w:lang w:val="ru-RU"/>
        </w:rPr>
        <w:t xml:space="preserve">6 </w:t>
      </w:r>
      <w:r w:rsidR="008338D9">
        <w:rPr>
          <w:rFonts w:ascii="Times New Roman" w:hAnsi="Times New Roman" w:cs="Times New Roman"/>
          <w:color w:val="000000"/>
          <w:sz w:val="24"/>
          <w:szCs w:val="24"/>
          <w:shd w:val="clear" w:color="auto" w:fill="FFFFFF"/>
          <w:lang w:val="ru-RU"/>
        </w:rPr>
        <w:t xml:space="preserve">года Китайский институт развития, участвовавший в подготовке </w:t>
      </w:r>
      <w:r w:rsidR="008338D9">
        <w:rPr>
          <w:rFonts w:ascii="Times New Roman" w:hAnsi="Times New Roman" w:cs="Times New Roman"/>
          <w:color w:val="000000"/>
          <w:sz w:val="24"/>
          <w:szCs w:val="24"/>
          <w:shd w:val="clear" w:color="auto" w:fill="FFFFFF"/>
        </w:rPr>
        <w:t>IFCD</w:t>
      </w:r>
      <w:r w:rsidR="008338D9">
        <w:rPr>
          <w:rFonts w:ascii="Times New Roman" w:hAnsi="Times New Roman" w:cs="Times New Roman"/>
          <w:color w:val="000000"/>
          <w:sz w:val="24"/>
          <w:szCs w:val="24"/>
          <w:shd w:val="clear" w:color="auto" w:fill="FFFFFF"/>
          <w:lang w:val="ru-RU"/>
        </w:rPr>
        <w:t>,</w:t>
      </w:r>
      <w:r w:rsidR="008338D9" w:rsidRPr="00067AC7">
        <w:rPr>
          <w:rFonts w:ascii="Times New Roman" w:hAnsi="Times New Roman" w:cs="Times New Roman"/>
          <w:color w:val="000000"/>
          <w:sz w:val="24"/>
          <w:szCs w:val="24"/>
          <w:shd w:val="clear" w:color="auto" w:fill="FFFFFF"/>
          <w:lang w:val="ru-RU"/>
        </w:rPr>
        <w:t xml:space="preserve"> </w:t>
      </w:r>
      <w:r w:rsidR="008338D9">
        <w:rPr>
          <w:rFonts w:ascii="Times New Roman" w:hAnsi="Times New Roman" w:cs="Times New Roman"/>
          <w:color w:val="000000"/>
          <w:sz w:val="24"/>
          <w:szCs w:val="24"/>
          <w:shd w:val="clear" w:color="auto" w:fill="FFFFFF"/>
          <w:lang w:val="ru-RU"/>
        </w:rPr>
        <w:t xml:space="preserve">выступил совыпускающей организацией для </w:t>
      </w:r>
      <w:r w:rsidR="008338D9" w:rsidRPr="004E7E3E">
        <w:rPr>
          <w:rFonts w:ascii="Times New Roman" w:hAnsi="Times New Roman" w:cs="Times New Roman"/>
          <w:color w:val="000000"/>
          <w:sz w:val="24"/>
          <w:szCs w:val="24"/>
          <w:shd w:val="clear" w:color="auto" w:fill="FFFFFF"/>
        </w:rPr>
        <w:t>GFCI</w:t>
      </w:r>
      <w:r w:rsidR="008338D9" w:rsidRPr="004E7E3E">
        <w:rPr>
          <w:rFonts w:ascii="Times New Roman" w:hAnsi="Times New Roman" w:cs="Times New Roman"/>
          <w:color w:val="000000"/>
          <w:sz w:val="24"/>
          <w:szCs w:val="24"/>
          <w:shd w:val="clear" w:color="auto" w:fill="FFFFFF"/>
          <w:lang w:val="ru-RU"/>
        </w:rPr>
        <w:t>.</w:t>
      </w:r>
      <w:r w:rsidR="008338D9">
        <w:rPr>
          <w:rFonts w:ascii="Times New Roman" w:hAnsi="Times New Roman" w:cs="Times New Roman"/>
          <w:color w:val="000000"/>
          <w:sz w:val="24"/>
          <w:szCs w:val="24"/>
          <w:shd w:val="clear" w:color="auto" w:fill="FFFFFF"/>
          <w:lang w:val="ru-RU"/>
        </w:rPr>
        <w:t xml:space="preserve"> С 2017 года </w:t>
      </w:r>
      <w:r w:rsidR="008338D9">
        <w:rPr>
          <w:rFonts w:ascii="Times New Roman" w:hAnsi="Times New Roman" w:cs="Times New Roman"/>
          <w:color w:val="000000"/>
          <w:sz w:val="24"/>
          <w:szCs w:val="24"/>
          <w:shd w:val="clear" w:color="auto" w:fill="FFFFFF"/>
        </w:rPr>
        <w:t>GFCI</w:t>
      </w:r>
      <w:r w:rsidR="008338D9" w:rsidRPr="00067AC7">
        <w:rPr>
          <w:rFonts w:ascii="Times New Roman" w:hAnsi="Times New Roman" w:cs="Times New Roman"/>
          <w:color w:val="000000"/>
          <w:sz w:val="24"/>
          <w:szCs w:val="24"/>
          <w:shd w:val="clear" w:color="auto" w:fill="FFFFFF"/>
          <w:lang w:val="ru-RU"/>
        </w:rPr>
        <w:t xml:space="preserve"> </w:t>
      </w:r>
      <w:r w:rsidR="008338D9">
        <w:rPr>
          <w:rFonts w:ascii="Times New Roman" w:hAnsi="Times New Roman" w:cs="Times New Roman"/>
          <w:color w:val="000000"/>
          <w:sz w:val="24"/>
          <w:szCs w:val="24"/>
          <w:shd w:val="clear" w:color="auto" w:fill="FFFFFF"/>
          <w:lang w:val="ru-RU"/>
        </w:rPr>
        <w:t>выходит и на английском, и на китайском языках.</w:t>
      </w:r>
      <w:r w:rsidR="008338D9" w:rsidRPr="004E7E3E">
        <w:rPr>
          <w:rFonts w:ascii="Times New Roman" w:hAnsi="Times New Roman" w:cs="Times New Roman"/>
          <w:color w:val="000000"/>
          <w:sz w:val="24"/>
          <w:szCs w:val="24"/>
          <w:shd w:val="clear" w:color="auto" w:fill="FFFFFF"/>
          <w:lang w:val="ru-RU"/>
        </w:rPr>
        <w:t xml:space="preserve"> Но агентство Синхуа продолжает свою работу</w:t>
      </w:r>
      <w:r w:rsidR="008338D9">
        <w:rPr>
          <w:rFonts w:ascii="Times New Roman" w:hAnsi="Times New Roman" w:cs="Times New Roman"/>
          <w:color w:val="000000"/>
          <w:sz w:val="24"/>
          <w:szCs w:val="24"/>
          <w:shd w:val="clear" w:color="auto" w:fill="FFFFFF"/>
          <w:lang w:val="ru-RU"/>
        </w:rPr>
        <w:t>:</w:t>
      </w:r>
      <w:r w:rsidR="008338D9" w:rsidRPr="00C953EF">
        <w:rPr>
          <w:rFonts w:ascii="Times New Roman" w:hAnsi="Times New Roman" w:cs="Times New Roman"/>
          <w:color w:val="000000"/>
          <w:sz w:val="24"/>
          <w:szCs w:val="24"/>
          <w:shd w:val="clear" w:color="auto" w:fill="FFFFFF"/>
          <w:lang w:val="ru-RU"/>
        </w:rPr>
        <w:t xml:space="preserve"> </w:t>
      </w:r>
      <w:r w:rsidR="008338D9">
        <w:rPr>
          <w:rFonts w:ascii="Times New Roman" w:hAnsi="Times New Roman" w:cs="Times New Roman"/>
          <w:color w:val="000000"/>
          <w:sz w:val="24"/>
          <w:szCs w:val="24"/>
          <w:shd w:val="clear" w:color="auto" w:fill="FFFFFF"/>
          <w:lang w:val="ru-RU"/>
        </w:rPr>
        <w:t xml:space="preserve">на сайте доступны выпуски до 2021 года </w:t>
      </w:r>
      <w:r w:rsidR="008338D9" w:rsidRPr="00C953EF">
        <w:rPr>
          <w:rFonts w:ascii="Times New Roman" w:hAnsi="Times New Roman" w:cs="Times New Roman"/>
          <w:color w:val="000000"/>
          <w:sz w:val="24"/>
          <w:szCs w:val="24"/>
          <w:shd w:val="clear" w:color="auto" w:fill="FFFFFF"/>
          <w:lang w:val="ru-RU"/>
        </w:rPr>
        <w:t>[</w:t>
      </w:r>
      <w:r w:rsidR="008338D9">
        <w:rPr>
          <w:rFonts w:ascii="Times New Roman" w:hAnsi="Times New Roman" w:cs="Times New Roman"/>
          <w:color w:val="000000"/>
          <w:sz w:val="24"/>
          <w:szCs w:val="24"/>
          <w:shd w:val="clear" w:color="auto" w:fill="FFFFFF"/>
          <w:lang w:val="ru-RU"/>
        </w:rPr>
        <w:fldChar w:fldCharType="begin"/>
      </w:r>
      <w:r w:rsidR="008338D9">
        <w:rPr>
          <w:rFonts w:ascii="Times New Roman" w:hAnsi="Times New Roman" w:cs="Times New Roman"/>
          <w:color w:val="000000"/>
          <w:sz w:val="24"/>
          <w:szCs w:val="24"/>
          <w:shd w:val="clear" w:color="auto" w:fill="FFFFFF"/>
          <w:lang w:val="ru-RU"/>
        </w:rPr>
        <w:instrText xml:space="preserve"> REF _Ref136263101 \r \h </w:instrText>
      </w:r>
      <w:r w:rsidR="008338D9">
        <w:rPr>
          <w:rFonts w:ascii="Times New Roman" w:hAnsi="Times New Roman" w:cs="Times New Roman"/>
          <w:color w:val="000000"/>
          <w:sz w:val="24"/>
          <w:szCs w:val="24"/>
          <w:shd w:val="clear" w:color="auto" w:fill="FFFFFF"/>
          <w:lang w:val="ru-RU"/>
        </w:rPr>
      </w:r>
      <w:r w:rsidR="008338D9">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241</w:t>
      </w:r>
      <w:r w:rsidR="008338D9">
        <w:rPr>
          <w:rFonts w:ascii="Times New Roman" w:hAnsi="Times New Roman" w:cs="Times New Roman"/>
          <w:color w:val="000000"/>
          <w:sz w:val="24"/>
          <w:szCs w:val="24"/>
          <w:shd w:val="clear" w:color="auto" w:fill="FFFFFF"/>
          <w:lang w:val="ru-RU"/>
        </w:rPr>
        <w:fldChar w:fldCharType="end"/>
      </w:r>
      <w:r w:rsidR="008338D9" w:rsidRPr="00C953EF">
        <w:rPr>
          <w:rFonts w:ascii="Times New Roman" w:hAnsi="Times New Roman" w:cs="Times New Roman"/>
          <w:color w:val="000000"/>
          <w:sz w:val="24"/>
          <w:szCs w:val="24"/>
          <w:shd w:val="clear" w:color="auto" w:fill="FFFFFF"/>
          <w:lang w:val="ru-RU"/>
        </w:rPr>
        <w:t>]</w:t>
      </w:r>
      <w:r w:rsidR="008338D9">
        <w:rPr>
          <w:rFonts w:ascii="Times New Roman" w:hAnsi="Times New Roman" w:cs="Times New Roman"/>
          <w:color w:val="000000"/>
          <w:sz w:val="24"/>
          <w:szCs w:val="24"/>
          <w:shd w:val="clear" w:color="auto" w:fill="FFFFFF"/>
          <w:lang w:val="ru-RU"/>
        </w:rPr>
        <w:t>. Там также представлены новые индексы по урбанистической тематике,</w:t>
      </w:r>
      <w:r w:rsidR="008338D9" w:rsidRPr="004E7E3E">
        <w:rPr>
          <w:rFonts w:ascii="Times New Roman" w:hAnsi="Times New Roman" w:cs="Times New Roman"/>
          <w:color w:val="000000"/>
          <w:sz w:val="24"/>
          <w:szCs w:val="24"/>
          <w:shd w:val="clear" w:color="auto" w:fill="FFFFFF"/>
          <w:lang w:val="ru-RU"/>
        </w:rPr>
        <w:t xml:space="preserve"> правда </w:t>
      </w:r>
      <w:r w:rsidR="008338D9">
        <w:rPr>
          <w:rFonts w:ascii="Times New Roman" w:hAnsi="Times New Roman" w:cs="Times New Roman"/>
          <w:color w:val="000000"/>
          <w:sz w:val="24"/>
          <w:szCs w:val="24"/>
          <w:shd w:val="clear" w:color="auto" w:fill="FFFFFF"/>
          <w:lang w:val="ru-RU"/>
        </w:rPr>
        <w:t xml:space="preserve">не </w:t>
      </w:r>
      <w:r w:rsidR="008338D9" w:rsidRPr="004E7E3E">
        <w:rPr>
          <w:rFonts w:ascii="Times New Roman" w:hAnsi="Times New Roman" w:cs="Times New Roman"/>
          <w:color w:val="000000"/>
          <w:sz w:val="24"/>
          <w:szCs w:val="24"/>
          <w:shd w:val="clear" w:color="auto" w:fill="FFFFFF"/>
          <w:lang w:val="ru-RU"/>
        </w:rPr>
        <w:t>перев</w:t>
      </w:r>
      <w:r w:rsidR="008338D9">
        <w:rPr>
          <w:rFonts w:ascii="Times New Roman" w:hAnsi="Times New Roman" w:cs="Times New Roman"/>
          <w:color w:val="000000"/>
          <w:sz w:val="24"/>
          <w:szCs w:val="24"/>
          <w:shd w:val="clear" w:color="auto" w:fill="FFFFFF"/>
          <w:lang w:val="ru-RU"/>
        </w:rPr>
        <w:t>е</w:t>
      </w:r>
      <w:r w:rsidR="008338D9" w:rsidRPr="004E7E3E">
        <w:rPr>
          <w:rFonts w:ascii="Times New Roman" w:hAnsi="Times New Roman" w:cs="Times New Roman"/>
          <w:color w:val="000000"/>
          <w:sz w:val="24"/>
          <w:szCs w:val="24"/>
          <w:shd w:val="clear" w:color="auto" w:fill="FFFFFF"/>
          <w:lang w:val="ru-RU"/>
        </w:rPr>
        <w:t>д</w:t>
      </w:r>
      <w:r w:rsidR="008338D9">
        <w:rPr>
          <w:rFonts w:ascii="Times New Roman" w:hAnsi="Times New Roman" w:cs="Times New Roman"/>
          <w:color w:val="000000"/>
          <w:sz w:val="24"/>
          <w:szCs w:val="24"/>
          <w:shd w:val="clear" w:color="auto" w:fill="FFFFFF"/>
          <w:lang w:val="ru-RU"/>
        </w:rPr>
        <w:t>ённые</w:t>
      </w:r>
      <w:r w:rsidR="008338D9" w:rsidRPr="004E7E3E">
        <w:rPr>
          <w:rFonts w:ascii="Times New Roman" w:hAnsi="Times New Roman" w:cs="Times New Roman"/>
          <w:color w:val="000000"/>
          <w:sz w:val="24"/>
          <w:szCs w:val="24"/>
          <w:shd w:val="clear" w:color="auto" w:fill="FFFFFF"/>
          <w:lang w:val="ru-RU"/>
        </w:rPr>
        <w:t xml:space="preserve"> на английский язык</w:t>
      </w:r>
      <w:r w:rsidR="008338D9">
        <w:rPr>
          <w:rFonts w:ascii="Times New Roman" w:hAnsi="Times New Roman" w:cs="Times New Roman"/>
          <w:color w:val="000000"/>
          <w:sz w:val="24"/>
          <w:szCs w:val="24"/>
          <w:shd w:val="clear" w:color="auto" w:fill="FFFFFF"/>
          <w:lang w:val="ru-RU"/>
        </w:rPr>
        <w:t xml:space="preserve"> </w:t>
      </w:r>
      <w:r w:rsidR="008338D9" w:rsidRPr="00C953EF">
        <w:rPr>
          <w:rFonts w:ascii="Times New Roman" w:hAnsi="Times New Roman" w:cs="Times New Roman"/>
          <w:color w:val="000000"/>
          <w:sz w:val="24"/>
          <w:szCs w:val="24"/>
          <w:shd w:val="clear" w:color="auto" w:fill="FFFFFF"/>
          <w:lang w:val="ru-RU"/>
        </w:rPr>
        <w:t>[</w:t>
      </w:r>
      <w:r w:rsidR="008338D9">
        <w:rPr>
          <w:rFonts w:ascii="Times New Roman" w:hAnsi="Times New Roman" w:cs="Times New Roman"/>
          <w:color w:val="000000"/>
          <w:sz w:val="24"/>
          <w:szCs w:val="24"/>
          <w:shd w:val="clear" w:color="auto" w:fill="FFFFFF"/>
          <w:lang w:val="ru-RU"/>
        </w:rPr>
        <w:fldChar w:fldCharType="begin"/>
      </w:r>
      <w:r w:rsidR="008338D9">
        <w:rPr>
          <w:rFonts w:ascii="Times New Roman" w:hAnsi="Times New Roman" w:cs="Times New Roman"/>
          <w:color w:val="000000"/>
          <w:sz w:val="24"/>
          <w:szCs w:val="24"/>
          <w:shd w:val="clear" w:color="auto" w:fill="FFFFFF"/>
          <w:lang w:val="ru-RU"/>
        </w:rPr>
        <w:instrText xml:space="preserve"> REF _Ref136263116 \r \h </w:instrText>
      </w:r>
      <w:r w:rsidR="008338D9">
        <w:rPr>
          <w:rFonts w:ascii="Times New Roman" w:hAnsi="Times New Roman" w:cs="Times New Roman"/>
          <w:color w:val="000000"/>
          <w:sz w:val="24"/>
          <w:szCs w:val="24"/>
          <w:shd w:val="clear" w:color="auto" w:fill="FFFFFF"/>
          <w:lang w:val="ru-RU"/>
        </w:rPr>
      </w:r>
      <w:r w:rsidR="008338D9">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242</w:t>
      </w:r>
      <w:r w:rsidR="008338D9">
        <w:rPr>
          <w:rFonts w:ascii="Times New Roman" w:hAnsi="Times New Roman" w:cs="Times New Roman"/>
          <w:color w:val="000000"/>
          <w:sz w:val="24"/>
          <w:szCs w:val="24"/>
          <w:shd w:val="clear" w:color="auto" w:fill="FFFFFF"/>
          <w:lang w:val="ru-RU"/>
        </w:rPr>
        <w:fldChar w:fldCharType="end"/>
      </w:r>
      <w:r w:rsidR="008338D9">
        <w:rPr>
          <w:rFonts w:ascii="Times New Roman" w:hAnsi="Times New Roman" w:cs="Times New Roman"/>
          <w:color w:val="000000"/>
          <w:sz w:val="24"/>
          <w:szCs w:val="24"/>
          <w:shd w:val="clear" w:color="auto" w:fill="FFFFFF"/>
          <w:lang w:val="ru-RU"/>
        </w:rPr>
        <w:t>;</w:t>
      </w:r>
      <w:r w:rsidR="008338D9" w:rsidRPr="00C953EF">
        <w:rPr>
          <w:rFonts w:ascii="Times New Roman" w:hAnsi="Times New Roman" w:cs="Times New Roman"/>
          <w:color w:val="000000"/>
          <w:sz w:val="24"/>
          <w:szCs w:val="24"/>
          <w:shd w:val="clear" w:color="auto" w:fill="FFFFFF"/>
          <w:lang w:val="ru-RU"/>
        </w:rPr>
        <w:t xml:space="preserve"> </w:t>
      </w:r>
      <w:r w:rsidR="008338D9">
        <w:rPr>
          <w:rFonts w:ascii="Times New Roman" w:hAnsi="Times New Roman" w:cs="Times New Roman"/>
          <w:color w:val="000000"/>
          <w:sz w:val="24"/>
          <w:szCs w:val="24"/>
          <w:shd w:val="clear" w:color="auto" w:fill="FFFFFF"/>
          <w:lang w:val="ru-RU"/>
        </w:rPr>
        <w:fldChar w:fldCharType="begin"/>
      </w:r>
      <w:r w:rsidR="008338D9">
        <w:rPr>
          <w:rFonts w:ascii="Times New Roman" w:hAnsi="Times New Roman" w:cs="Times New Roman"/>
          <w:color w:val="000000"/>
          <w:sz w:val="24"/>
          <w:szCs w:val="24"/>
          <w:shd w:val="clear" w:color="auto" w:fill="FFFFFF"/>
          <w:lang w:val="ru-RU"/>
        </w:rPr>
        <w:instrText xml:space="preserve"> REF _Ref136263125 \r \h </w:instrText>
      </w:r>
      <w:r w:rsidR="008338D9">
        <w:rPr>
          <w:rFonts w:ascii="Times New Roman" w:hAnsi="Times New Roman" w:cs="Times New Roman"/>
          <w:color w:val="000000"/>
          <w:sz w:val="24"/>
          <w:szCs w:val="24"/>
          <w:shd w:val="clear" w:color="auto" w:fill="FFFFFF"/>
          <w:lang w:val="ru-RU"/>
        </w:rPr>
      </w:r>
      <w:r w:rsidR="008338D9">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243</w:t>
      </w:r>
      <w:r w:rsidR="008338D9">
        <w:rPr>
          <w:rFonts w:ascii="Times New Roman" w:hAnsi="Times New Roman" w:cs="Times New Roman"/>
          <w:color w:val="000000"/>
          <w:sz w:val="24"/>
          <w:szCs w:val="24"/>
          <w:shd w:val="clear" w:color="auto" w:fill="FFFFFF"/>
          <w:lang w:val="ru-RU"/>
        </w:rPr>
        <w:fldChar w:fldCharType="end"/>
      </w:r>
      <w:r w:rsidR="008338D9" w:rsidRPr="00C953EF">
        <w:rPr>
          <w:rFonts w:ascii="Times New Roman" w:hAnsi="Times New Roman" w:cs="Times New Roman"/>
          <w:color w:val="000000"/>
          <w:sz w:val="24"/>
          <w:szCs w:val="24"/>
          <w:shd w:val="clear" w:color="auto" w:fill="FFFFFF"/>
          <w:lang w:val="ru-RU"/>
        </w:rPr>
        <w:t>]</w:t>
      </w:r>
    </w:p>
    <w:p w14:paraId="6FEC4358" w14:textId="50C4730C" w:rsidR="008338D9" w:rsidRPr="004E7E3E" w:rsidRDefault="008338D9" w:rsidP="008338D9">
      <w:pPr>
        <w:spacing w:before="100" w:beforeAutospacing="1" w:after="100" w:line="360" w:lineRule="auto"/>
        <w:ind w:firstLine="709"/>
        <w:contextualSpacing/>
        <w:jc w:val="both"/>
        <w:rPr>
          <w:rFonts w:ascii="Times New Roman" w:eastAsia="TimesNewRomanPSMT" w:hAnsi="Times New Roman" w:cs="Times New Roman"/>
          <w:sz w:val="24"/>
          <w:szCs w:val="24"/>
          <w:lang w:val="ru-RU" w:bidi="ar-SA"/>
        </w:rPr>
      </w:pPr>
      <w:r w:rsidRPr="004E7E3E">
        <w:rPr>
          <w:rFonts w:ascii="Times New Roman" w:hAnsi="Times New Roman" w:cs="Times New Roman"/>
          <w:color w:val="000000"/>
          <w:sz w:val="24"/>
          <w:szCs w:val="24"/>
          <w:shd w:val="clear" w:color="auto" w:fill="FFFFFF"/>
          <w:lang w:val="ru-RU"/>
        </w:rPr>
        <w:t>Для ранжирования сорока пяти финансовых центров в выпуске 2011</w:t>
      </w:r>
      <w:r>
        <w:rPr>
          <w:rFonts w:ascii="Times New Roman" w:hAnsi="Times New Roman" w:cs="Times New Roman"/>
          <w:color w:val="000000"/>
          <w:sz w:val="24"/>
          <w:szCs w:val="24"/>
          <w:shd w:val="clear" w:color="auto" w:fill="FFFFFF"/>
          <w:lang w:val="ru-RU"/>
        </w:rPr>
        <w:t xml:space="preserve"> года</w:t>
      </w:r>
      <w:r w:rsidRPr="004E7E3E">
        <w:rPr>
          <w:rFonts w:ascii="Times New Roman" w:hAnsi="Times New Roman" w:cs="Times New Roman"/>
          <w:color w:val="000000"/>
          <w:sz w:val="24"/>
          <w:szCs w:val="24"/>
          <w:shd w:val="clear" w:color="auto" w:fill="FFFFFF"/>
          <w:lang w:val="ru-RU"/>
        </w:rPr>
        <w:t xml:space="preserve"> использовались как объективные показатели, так и субъективные оценки. Примечательно, что для субъективных оценок применялся профессионально-дискриминационный отбор (70% участников были из финансового сектора, 60% занимали высокие позиции, </w:t>
      </w:r>
      <w:r>
        <w:rPr>
          <w:rFonts w:ascii="Times New Roman" w:hAnsi="Times New Roman" w:cs="Times New Roman"/>
          <w:color w:val="000000"/>
          <w:sz w:val="24"/>
          <w:szCs w:val="24"/>
          <w:shd w:val="clear" w:color="auto" w:fill="FFFFFF"/>
          <w:lang w:val="ru-RU"/>
        </w:rPr>
        <w:t xml:space="preserve">при этом </w:t>
      </w:r>
      <w:r w:rsidRPr="004E7E3E">
        <w:rPr>
          <w:rFonts w:ascii="Times New Roman" w:hAnsi="Times New Roman" w:cs="Times New Roman"/>
          <w:color w:val="000000"/>
          <w:sz w:val="24"/>
          <w:szCs w:val="24"/>
          <w:shd w:val="clear" w:color="auto" w:fill="FFFFFF"/>
          <w:lang w:val="ru-RU"/>
        </w:rPr>
        <w:t>они должны бы</w:t>
      </w:r>
      <w:r>
        <w:rPr>
          <w:rFonts w:ascii="Times New Roman" w:hAnsi="Times New Roman" w:cs="Times New Roman"/>
          <w:color w:val="000000"/>
          <w:sz w:val="24"/>
          <w:szCs w:val="24"/>
          <w:shd w:val="clear" w:color="auto" w:fill="FFFFFF"/>
          <w:lang w:val="ru-RU"/>
        </w:rPr>
        <w:t>ли бы</w:t>
      </w:r>
      <w:r w:rsidRPr="004E7E3E">
        <w:rPr>
          <w:rFonts w:ascii="Times New Roman" w:hAnsi="Times New Roman" w:cs="Times New Roman"/>
          <w:color w:val="000000"/>
          <w:sz w:val="24"/>
          <w:szCs w:val="24"/>
          <w:shd w:val="clear" w:color="auto" w:fill="FFFFFF"/>
          <w:lang w:val="ru-RU"/>
        </w:rPr>
        <w:t>ть пропорционально представлен</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xml:space="preserve"> по регионам </w:t>
      </w:r>
      <w:r w:rsidRPr="004E7E3E">
        <w:rPr>
          <w:rFonts w:ascii="Times New Roman" w:eastAsia="TimesNewRomanPSMT" w:hAnsi="Times New Roman" w:cs="Times New Roman"/>
          <w:sz w:val="24"/>
          <w:szCs w:val="24"/>
          <w:lang w:val="ru-RU" w:bidi="ar-SA"/>
        </w:rPr>
        <w:t>[</w:t>
      </w:r>
      <w:r w:rsidRPr="004E7E3E">
        <w:rPr>
          <w:rFonts w:ascii="Times New Roman" w:eastAsia="TimesNewRomanPSMT" w:hAnsi="Times New Roman" w:cs="Times New Roman"/>
          <w:sz w:val="24"/>
          <w:szCs w:val="24"/>
          <w:lang w:val="ru-RU" w:bidi="ar-SA"/>
        </w:rPr>
        <w:fldChar w:fldCharType="begin"/>
      </w:r>
      <w:r w:rsidRPr="004E7E3E">
        <w:rPr>
          <w:rFonts w:ascii="Times New Roman" w:eastAsia="TimesNewRomanPSMT" w:hAnsi="Times New Roman" w:cs="Times New Roman"/>
          <w:sz w:val="24"/>
          <w:szCs w:val="24"/>
          <w:lang w:val="ru-RU" w:bidi="ar-SA"/>
        </w:rPr>
        <w:instrText xml:space="preserve"> REF _Ref498670451 \r \h  \* MERGEFORMAT </w:instrText>
      </w:r>
      <w:r w:rsidRPr="004E7E3E">
        <w:rPr>
          <w:rFonts w:ascii="Times New Roman" w:eastAsia="TimesNewRomanPSMT" w:hAnsi="Times New Roman" w:cs="Times New Roman"/>
          <w:sz w:val="24"/>
          <w:szCs w:val="24"/>
          <w:lang w:val="ru-RU" w:bidi="ar-SA"/>
        </w:rPr>
      </w:r>
      <w:r w:rsidRPr="004E7E3E">
        <w:rPr>
          <w:rFonts w:ascii="Times New Roman" w:eastAsia="TimesNewRomanPSMT" w:hAnsi="Times New Roman" w:cs="Times New Roman"/>
          <w:sz w:val="24"/>
          <w:szCs w:val="24"/>
          <w:lang w:val="ru-RU" w:bidi="ar-SA"/>
        </w:rPr>
        <w:fldChar w:fldCharType="separate"/>
      </w:r>
      <w:r w:rsidR="00801D78">
        <w:rPr>
          <w:rFonts w:ascii="Times New Roman" w:eastAsia="TimesNewRomanPSMT" w:hAnsi="Times New Roman" w:cs="Times New Roman"/>
          <w:sz w:val="24"/>
          <w:szCs w:val="24"/>
          <w:lang w:val="ru-RU" w:bidi="ar-SA"/>
        </w:rPr>
        <w:t>240</w:t>
      </w:r>
      <w:r w:rsidRPr="004E7E3E">
        <w:rPr>
          <w:rFonts w:ascii="Times New Roman" w:eastAsia="TimesNewRomanPSMT" w:hAnsi="Times New Roman" w:cs="Times New Roman"/>
          <w:sz w:val="24"/>
          <w:szCs w:val="24"/>
          <w:lang w:val="ru-RU" w:bidi="ar-SA"/>
        </w:rPr>
        <w:fldChar w:fldCharType="end"/>
      </w:r>
      <w:r w:rsidRPr="004E7E3E">
        <w:rPr>
          <w:rFonts w:ascii="Times New Roman" w:eastAsia="TimesNewRomanPSMT" w:hAnsi="Times New Roman" w:cs="Times New Roman"/>
          <w:sz w:val="24"/>
          <w:szCs w:val="24"/>
          <w:lang w:val="ru-RU" w:bidi="ar-SA"/>
        </w:rPr>
        <w:t>, с. 3]</w:t>
      </w:r>
      <w:r w:rsidRPr="004E7E3E">
        <w:rPr>
          <w:rFonts w:ascii="Times New Roman" w:hAnsi="Times New Roman" w:cs="Times New Roman"/>
          <w:color w:val="000000"/>
          <w:sz w:val="24"/>
          <w:szCs w:val="24"/>
          <w:shd w:val="clear" w:color="auto" w:fill="FFFFFF"/>
          <w:lang w:val="ru-RU"/>
        </w:rPr>
        <w:t xml:space="preserve">). В опросах приняли участие около 2000 </w:t>
      </w:r>
      <w:r w:rsidRPr="004E7E3E">
        <w:rPr>
          <w:rFonts w:ascii="Times New Roman" w:hAnsi="Times New Roman" w:cs="Times New Roman"/>
          <w:color w:val="000000"/>
          <w:sz w:val="24"/>
          <w:szCs w:val="24"/>
          <w:shd w:val="clear" w:color="auto" w:fill="FFFFFF"/>
          <w:lang w:val="ru-RU"/>
        </w:rPr>
        <w:lastRenderedPageBreak/>
        <w:t xml:space="preserve">человек. Судя по таблице респондентов, всё-таки большинство представляли азиатские центры (китайцы </w:t>
      </w:r>
      <w:r>
        <w:rPr>
          <w:rFonts w:ascii="Times New Roman" w:hAnsi="Times New Roman" w:cs="Times New Roman"/>
          <w:color w:val="000000"/>
          <w:sz w:val="24"/>
          <w:szCs w:val="24"/>
          <w:shd w:val="clear" w:color="auto" w:fill="FFFFFF"/>
          <w:lang w:val="ru-RU"/>
        </w:rPr>
        <w:t xml:space="preserve">составляли </w:t>
      </w:r>
      <w:r w:rsidRPr="004E7E3E">
        <w:rPr>
          <w:rFonts w:ascii="Times New Roman" w:hAnsi="Times New Roman" w:cs="Times New Roman"/>
          <w:color w:val="000000"/>
          <w:sz w:val="24"/>
          <w:szCs w:val="24"/>
          <w:shd w:val="clear" w:color="auto" w:fill="FFFFFF"/>
          <w:lang w:val="ru-RU"/>
        </w:rPr>
        <w:t>около 15% от общего количества респондентов)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_Ref498670451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240</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с. 46</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47]</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Китайское участие в составлении индекса, вероятно, также определило акцент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исследовании на развивающиеся финансовые центры. В нём были представлены дополнительные три индекса: 1) индекс доверия (confidence index), 2) индекс привлекательности капитальных и человеческих ресурсов (capital and human resources attraction index), 3) индекс узнаваемости валюты (currency familiarity index) – для стран БРИКС (Бразилия, Индия, Россия, Китай, Южная Африка). Исследования </w:t>
      </w:r>
      <w:r>
        <w:rPr>
          <w:rFonts w:ascii="Times New Roman" w:hAnsi="Times New Roman" w:cs="Times New Roman"/>
          <w:color w:val="000000"/>
          <w:sz w:val="24"/>
          <w:szCs w:val="24"/>
          <w:shd w:val="clear" w:color="auto" w:fill="FFFFFF"/>
          <w:lang w:val="ru-RU"/>
        </w:rPr>
        <w:t>показали</w:t>
      </w:r>
      <w:r w:rsidRPr="004E7E3E">
        <w:rPr>
          <w:rFonts w:ascii="Times New Roman" w:hAnsi="Times New Roman" w:cs="Times New Roman"/>
          <w:color w:val="000000"/>
          <w:sz w:val="24"/>
          <w:szCs w:val="24"/>
          <w:shd w:val="clear" w:color="auto" w:fill="FFFFFF"/>
          <w:lang w:val="ru-RU"/>
        </w:rPr>
        <w:t>, что у Шанхая больше все</w:t>
      </w:r>
      <w:r>
        <w:rPr>
          <w:rFonts w:ascii="Times New Roman" w:hAnsi="Times New Roman" w:cs="Times New Roman"/>
          <w:color w:val="000000"/>
          <w:sz w:val="24"/>
          <w:szCs w:val="24"/>
          <w:shd w:val="clear" w:color="auto" w:fill="FFFFFF"/>
          <w:lang w:val="ru-RU"/>
        </w:rPr>
        <w:t>го</w:t>
      </w:r>
      <w:r w:rsidRPr="004E7E3E">
        <w:rPr>
          <w:rFonts w:ascii="Times New Roman" w:hAnsi="Times New Roman" w:cs="Times New Roman"/>
          <w:color w:val="000000"/>
          <w:sz w:val="24"/>
          <w:szCs w:val="24"/>
          <w:shd w:val="clear" w:color="auto" w:fill="FFFFFF"/>
          <w:lang w:val="ru-RU"/>
        </w:rPr>
        <w:t xml:space="preserve"> шансов в ближайшем будущем превратиться в международный финансовый центр по большинству показателей.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_Ref498670451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240</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29</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36]</w:t>
      </w:r>
    </w:p>
    <w:p w14:paraId="55E07C15" w14:textId="5E049A1E"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Общий индекс рассчитывался на основе 5 индексов, каждый из которых имел субиндексы, состав которых варьировался от года к году: 1) финансовые рынки (financial markets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FM); 2) общее окружение (general environment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GE); 3) рост и развитие (growth and development – G&amp;D); 4) услуги (service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S; 5) промышленная поддержка (industrial support – IS). Значимость пяти индексов устанавливалась на основе экспертных оценок. Результаты IFCD</w:t>
      </w:r>
      <w:r w:rsidRPr="004E7E3E">
        <w:rPr>
          <w:rFonts w:ascii="Times New Roman" w:hAnsi="Times New Roman" w:cs="Times New Roman"/>
          <w:color w:val="000000"/>
          <w:sz w:val="24"/>
          <w:szCs w:val="24"/>
          <w:shd w:val="clear" w:color="auto" w:fill="FFFFFF"/>
        </w:rPr>
        <w:t>I</w:t>
      </w:r>
      <w:r w:rsidRPr="004E7E3E">
        <w:rPr>
          <w:rFonts w:ascii="Times New Roman" w:hAnsi="Times New Roman" w:cs="Times New Roman"/>
          <w:color w:val="000000"/>
          <w:sz w:val="24"/>
          <w:szCs w:val="24"/>
          <w:shd w:val="clear" w:color="auto" w:fill="FFFFFF"/>
          <w:lang w:val="ru-RU"/>
        </w:rPr>
        <w:t xml:space="preserve"> были сопоставимы с индексом Лондонского Сити (</w:t>
      </w:r>
      <w:r w:rsidRPr="004E7E3E">
        <w:rPr>
          <w:rFonts w:ascii="Times New Roman" w:hAnsi="Times New Roman" w:cs="Times New Roman"/>
          <w:color w:val="000000"/>
          <w:sz w:val="24"/>
          <w:szCs w:val="24"/>
          <w:shd w:val="clear" w:color="auto" w:fill="FFFFFF"/>
        </w:rPr>
        <w:t>GFCI</w:t>
      </w:r>
      <w:r w:rsidRPr="004E7E3E">
        <w:rPr>
          <w:rFonts w:ascii="Times New Roman" w:hAnsi="Times New Roman" w:cs="Times New Roman"/>
          <w:color w:val="000000"/>
          <w:sz w:val="24"/>
          <w:szCs w:val="24"/>
          <w:shd w:val="clear" w:color="auto" w:fill="FFFFFF"/>
          <w:lang w:val="ru-RU"/>
        </w:rPr>
        <w:t>). Правда, Нью-Йорк выбивал пальму первенства у Лондона, Токио перемещался с 5-6 мест</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на 3-е. Париж и Франкфурт-на Майне также занимали более высокие позиции. Москва (35-е место) позиционировалась выше Сан-Паулу (41 место). На основе полученных данных строилась балльно-рейтинговая шкала по всем 5 субиндексам, а</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потом на основе вес</w:t>
      </w:r>
      <w:r>
        <w:rPr>
          <w:rFonts w:ascii="Times New Roman" w:hAnsi="Times New Roman" w:cs="Times New Roman"/>
          <w:color w:val="000000"/>
          <w:sz w:val="24"/>
          <w:szCs w:val="24"/>
          <w:shd w:val="clear" w:color="auto" w:fill="FFFFFF"/>
          <w:lang w:val="ru-RU"/>
        </w:rPr>
        <w:t>ов</w:t>
      </w:r>
      <w:r w:rsidRPr="004E7E3E">
        <w:rPr>
          <w:rFonts w:ascii="Times New Roman" w:hAnsi="Times New Roman" w:cs="Times New Roman"/>
          <w:color w:val="000000"/>
          <w:sz w:val="24"/>
          <w:szCs w:val="24"/>
          <w:shd w:val="clear" w:color="auto" w:fill="FFFFFF"/>
          <w:lang w:val="ru-RU"/>
        </w:rPr>
        <w:t xml:space="preserve"> каждого критерия по опроса</w:t>
      </w:r>
      <w:r>
        <w:rPr>
          <w:rFonts w:ascii="Times New Roman" w:hAnsi="Times New Roman" w:cs="Times New Roman"/>
          <w:color w:val="000000"/>
          <w:sz w:val="24"/>
          <w:szCs w:val="24"/>
          <w:shd w:val="clear" w:color="auto" w:fill="FFFFFF"/>
          <w:lang w:val="ru-RU"/>
        </w:rPr>
        <w:t>м</w:t>
      </w:r>
      <w:r w:rsidRPr="004E7E3E">
        <w:rPr>
          <w:rFonts w:ascii="Times New Roman" w:hAnsi="Times New Roman" w:cs="Times New Roman"/>
          <w:color w:val="000000"/>
          <w:sz w:val="24"/>
          <w:szCs w:val="24"/>
          <w:shd w:val="clear" w:color="auto" w:fill="FFFFFF"/>
          <w:lang w:val="ru-RU"/>
        </w:rPr>
        <w:t xml:space="preserve"> респондентов составлялся общий рейтинг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_Ref498670451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240</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с. 3</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6].</w:t>
      </w:r>
    </w:p>
    <w:p w14:paraId="200507E0" w14:textId="6E61FAD6" w:rsidR="008338D9" w:rsidRPr="004E7E3E"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На волне популярности всевозможных рейтингов американская корпорация MasterCard Worldwide выпустила в 2008 году рейтинг </w:t>
      </w:r>
      <w:r w:rsidRPr="004E7E3E">
        <w:rPr>
          <w:rFonts w:ascii="Times New Roman" w:hAnsi="Times New Roman" w:cs="Times New Roman"/>
          <w:color w:val="000000"/>
          <w:sz w:val="24"/>
          <w:szCs w:val="24"/>
          <w:shd w:val="clear" w:color="auto" w:fill="FFFFFF"/>
        </w:rPr>
        <w:t>World</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rPr>
        <w:t>s</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most</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economically</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powerful</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cities</w:t>
      </w:r>
      <w:r w:rsidRPr="004E7E3E">
        <w:rPr>
          <w:rFonts w:ascii="Times New Roman" w:hAnsi="Times New Roman" w:cs="Times New Roman"/>
          <w:color w:val="000000"/>
          <w:sz w:val="24"/>
          <w:szCs w:val="24"/>
          <w:shd w:val="clear" w:color="auto" w:fill="FFFFFF"/>
          <w:lang w:val="ru-RU"/>
        </w:rPr>
        <w:t xml:space="preserve"> – индекс самых экономически мощных городов. Анализ</w:t>
      </w:r>
      <w:r>
        <w:rPr>
          <w:rFonts w:ascii="Times New Roman" w:hAnsi="Times New Roman" w:cs="Times New Roman"/>
          <w:color w:val="000000"/>
          <w:sz w:val="24"/>
          <w:szCs w:val="24"/>
          <w:shd w:val="clear" w:color="auto" w:fill="FFFFFF"/>
          <w:lang w:val="ru-RU"/>
        </w:rPr>
        <w:t xml:space="preserve"> включает</w:t>
      </w:r>
      <w:r w:rsidRPr="004E7E3E">
        <w:rPr>
          <w:rFonts w:ascii="Times New Roman" w:hAnsi="Times New Roman" w:cs="Times New Roman"/>
          <w:color w:val="000000"/>
          <w:sz w:val="24"/>
          <w:szCs w:val="24"/>
          <w:shd w:val="clear" w:color="auto" w:fill="FFFFFF"/>
          <w:lang w:val="ru-RU"/>
        </w:rPr>
        <w:t xml:space="preserve"> 75 крупнейших центров мировой торговли. Этот индекс оценивает экономическое развитие городов в целом, однако он также имеет финансовую составляющую, которая коррелирует со многими экономическими составляющими. В силу этого результаты рейтинга вполне сопоставимы с данными индексов финансового развития. Согласно отчету 2007 года, </w:t>
      </w:r>
      <w:r>
        <w:rPr>
          <w:rFonts w:ascii="Times New Roman" w:hAnsi="Times New Roman" w:cs="Times New Roman"/>
          <w:color w:val="000000"/>
          <w:sz w:val="24"/>
          <w:szCs w:val="24"/>
          <w:shd w:val="clear" w:color="auto" w:fill="FFFFFF"/>
          <w:lang w:val="ru-RU"/>
        </w:rPr>
        <w:t>топ</w:t>
      </w:r>
      <w:r w:rsidRPr="004E7E3E">
        <w:rPr>
          <w:rFonts w:ascii="Times New Roman" w:hAnsi="Times New Roman" w:cs="Times New Roman"/>
          <w:color w:val="000000"/>
          <w:sz w:val="24"/>
          <w:szCs w:val="24"/>
          <w:shd w:val="clear" w:color="auto" w:fill="FFFFFF"/>
          <w:lang w:val="ru-RU"/>
        </w:rPr>
        <w:t>-10 выглядел следующим образом: 1. Лондон. 2. Нью-Йорк. 3. Токио. 4. Чикаго. 5. Сингапур. 6. Гонконг 7. Франкфурт. 8. Париж. 9. Сеул. 10. Лос-Анжелес.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_Ref498671535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239</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с. 6] В общем списке ранжировались 50 городов. В выпуске 2008 года </w:t>
      </w:r>
      <w:r>
        <w:rPr>
          <w:rFonts w:ascii="Times New Roman" w:hAnsi="Times New Roman" w:cs="Times New Roman"/>
          <w:color w:val="000000"/>
          <w:sz w:val="24"/>
          <w:szCs w:val="24"/>
          <w:shd w:val="clear" w:color="auto" w:fill="FFFFFF"/>
        </w:rPr>
        <w:t>Mastercard</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корпорация отдельно рассчитала индекс развивающихся центров (Emerging Markets Index). Лидерство среди них распределялось следующим образом: 1. Шанхай (Китай). 2. Пекин (Китай). 3. Будапешт (Венгрия). 4. Куала-Лумпур (Малайзи</w:t>
      </w:r>
      <w:r>
        <w:rPr>
          <w:rFonts w:ascii="Times New Roman" w:hAnsi="Times New Roman" w:cs="Times New Roman"/>
          <w:color w:val="000000"/>
          <w:sz w:val="24"/>
          <w:szCs w:val="24"/>
          <w:shd w:val="clear" w:color="auto" w:fill="FFFFFF"/>
          <w:lang w:val="ru-RU"/>
        </w:rPr>
        <w:t>я</w:t>
      </w:r>
      <w:r w:rsidRPr="004E7E3E">
        <w:rPr>
          <w:rFonts w:ascii="Times New Roman" w:hAnsi="Times New Roman" w:cs="Times New Roman"/>
          <w:color w:val="000000"/>
          <w:sz w:val="24"/>
          <w:szCs w:val="24"/>
          <w:shd w:val="clear" w:color="auto" w:fill="FFFFFF"/>
          <w:lang w:val="ru-RU"/>
        </w:rPr>
        <w:t xml:space="preserve">). 5. Сантьяго (Чили). 6. Гуанчжоу (Китай). 7. Мехико (Мексика). 8. Варшава (Польша). 9. Бангкок (Таиланд). 10. Шэньчжэнь (Китай). 11. Йоханнесбург (ЮАР). 12. Сан-Паулу (Бразилия). 13. Буэнос-Айрес </w:t>
      </w:r>
      <w:r w:rsidRPr="004E7E3E">
        <w:rPr>
          <w:rFonts w:ascii="Times New Roman" w:hAnsi="Times New Roman" w:cs="Times New Roman"/>
          <w:color w:val="000000"/>
          <w:sz w:val="24"/>
          <w:szCs w:val="24"/>
          <w:shd w:val="clear" w:color="auto" w:fill="FFFFFF"/>
          <w:lang w:val="ru-RU"/>
        </w:rPr>
        <w:lastRenderedPageBreak/>
        <w:t>(Аргентина). 14. Москва (Россия). 15. Стамбул (Турция).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_Ref498619482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100</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с. 35] Мы нашли только </w:t>
      </w:r>
      <w:r>
        <w:rPr>
          <w:rFonts w:ascii="Times New Roman" w:hAnsi="Times New Roman" w:cs="Times New Roman"/>
          <w:color w:val="000000"/>
          <w:sz w:val="24"/>
          <w:szCs w:val="24"/>
          <w:shd w:val="clear" w:color="auto" w:fill="FFFFFF"/>
          <w:lang w:val="ru-RU"/>
        </w:rPr>
        <w:t>два</w:t>
      </w:r>
      <w:r w:rsidRPr="004E7E3E">
        <w:rPr>
          <w:rFonts w:ascii="Times New Roman" w:hAnsi="Times New Roman" w:cs="Times New Roman"/>
          <w:color w:val="000000"/>
          <w:sz w:val="24"/>
          <w:szCs w:val="24"/>
          <w:shd w:val="clear" w:color="auto" w:fill="FFFFFF"/>
          <w:lang w:val="ru-RU"/>
        </w:rPr>
        <w:t xml:space="preserve"> рейтинга </w:t>
      </w:r>
      <w:r w:rsidRPr="004E7E3E">
        <w:rPr>
          <w:rFonts w:ascii="Times New Roman" w:hAnsi="Times New Roman" w:cs="Times New Roman"/>
          <w:color w:val="000000"/>
          <w:sz w:val="24"/>
          <w:szCs w:val="24"/>
          <w:shd w:val="clear" w:color="auto" w:fill="FFFFFF"/>
        </w:rPr>
        <w:t>Master</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Card</w:t>
      </w:r>
      <w:r w:rsidRPr="004E7E3E">
        <w:rPr>
          <w:rFonts w:ascii="Times New Roman" w:hAnsi="Times New Roman" w:cs="Times New Roman"/>
          <w:color w:val="000000"/>
          <w:sz w:val="24"/>
          <w:szCs w:val="24"/>
          <w:shd w:val="clear" w:color="auto" w:fill="FFFFFF"/>
          <w:lang w:val="ru-RU"/>
        </w:rPr>
        <w:t xml:space="preserve"> за 2007 и 2008 годы. Вероятно, корпорация прекратила выпуск данного доклада, посчитав нецелесообразным конкурировать на рынке, </w:t>
      </w:r>
      <w:r>
        <w:rPr>
          <w:rFonts w:ascii="Times New Roman" w:hAnsi="Times New Roman" w:cs="Times New Roman"/>
          <w:color w:val="000000"/>
          <w:sz w:val="24"/>
          <w:szCs w:val="24"/>
          <w:shd w:val="clear" w:color="auto" w:fill="FFFFFF"/>
          <w:lang w:val="ru-RU"/>
        </w:rPr>
        <w:t>на котором</w:t>
      </w:r>
      <w:r w:rsidRPr="004E7E3E">
        <w:rPr>
          <w:rFonts w:ascii="Times New Roman" w:hAnsi="Times New Roman" w:cs="Times New Roman"/>
          <w:color w:val="000000"/>
          <w:sz w:val="24"/>
          <w:szCs w:val="24"/>
          <w:shd w:val="clear" w:color="auto" w:fill="FFFFFF"/>
          <w:lang w:val="ru-RU"/>
        </w:rPr>
        <w:t xml:space="preserve"> присутствовали два таких влиятельных игрока, как </w:t>
      </w:r>
      <w:r w:rsidRPr="004E7E3E">
        <w:rPr>
          <w:rFonts w:ascii="Times New Roman" w:hAnsi="Times New Roman" w:cs="Times New Roman"/>
          <w:color w:val="000000"/>
          <w:sz w:val="24"/>
          <w:szCs w:val="24"/>
          <w:shd w:val="clear" w:color="auto" w:fill="FFFFFF"/>
        </w:rPr>
        <w:t>Z</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rPr>
        <w:t>Yen</w:t>
      </w:r>
      <w:r w:rsidRPr="004E7E3E">
        <w:rPr>
          <w:rFonts w:ascii="Times New Roman" w:hAnsi="Times New Roman" w:cs="Times New Roman"/>
          <w:color w:val="000000"/>
          <w:sz w:val="24"/>
          <w:szCs w:val="24"/>
          <w:shd w:val="clear" w:color="auto" w:fill="FFFFFF"/>
          <w:lang w:val="ru-RU"/>
        </w:rPr>
        <w:t xml:space="preserve">, поддерживаемый лондонским Сити, и индекс Синхуа-Доу Джонс. </w:t>
      </w:r>
    </w:p>
    <w:p w14:paraId="7C0BD278" w14:textId="07D6A7CB"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Рейтинг в любом случае подразумевает иерархию явлений по тому или иному признаку. Однако существуют также неи</w:t>
      </w:r>
      <w:r w:rsidR="00D45E96">
        <w:rPr>
          <w:rFonts w:ascii="Times New Roman" w:hAnsi="Times New Roman" w:cs="Times New Roman"/>
          <w:color w:val="000000"/>
          <w:sz w:val="24"/>
          <w:szCs w:val="24"/>
          <w:shd w:val="clear" w:color="auto" w:fill="FFFFFF"/>
          <w:lang w:val="ru-RU"/>
        </w:rPr>
        <w:t>е</w:t>
      </w:r>
      <w:r>
        <w:rPr>
          <w:rFonts w:ascii="Times New Roman" w:hAnsi="Times New Roman" w:cs="Times New Roman"/>
          <w:color w:val="000000"/>
          <w:sz w:val="24"/>
          <w:szCs w:val="24"/>
          <w:shd w:val="clear" w:color="auto" w:fill="FFFFFF"/>
          <w:lang w:val="ru-RU"/>
        </w:rPr>
        <w:t xml:space="preserve">рархические способы обзора однородных явлений, которые решают схожие с рейтингами цели. </w:t>
      </w:r>
    </w:p>
    <w:p w14:paraId="6C964B57" w14:textId="3305FD64" w:rsidR="008338D9"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К таким </w:t>
      </w:r>
      <w:r w:rsidR="00D45E96">
        <w:rPr>
          <w:rFonts w:ascii="Times New Roman" w:hAnsi="Times New Roman" w:cs="Times New Roman"/>
          <w:color w:val="000000"/>
          <w:sz w:val="24"/>
          <w:szCs w:val="24"/>
          <w:shd w:val="clear" w:color="auto" w:fill="FFFFFF"/>
          <w:lang w:val="ru-RU"/>
        </w:rPr>
        <w:t>неиерархичным</w:t>
      </w:r>
      <w:r>
        <w:rPr>
          <w:rFonts w:ascii="Times New Roman" w:hAnsi="Times New Roman" w:cs="Times New Roman"/>
          <w:color w:val="000000"/>
          <w:sz w:val="24"/>
          <w:szCs w:val="24"/>
          <w:shd w:val="clear" w:color="auto" w:fill="FFFFFF"/>
          <w:lang w:val="ru-RU"/>
        </w:rPr>
        <w:t xml:space="preserve"> отчётам относятся Добровольный местный обзор городов и регионов Программы ООН по населённым пунктам и </w:t>
      </w:r>
      <w:r>
        <w:rPr>
          <w:rFonts w:ascii="Times New Roman" w:hAnsi="Times New Roman" w:cs="Times New Roman"/>
          <w:color w:val="000000"/>
          <w:sz w:val="24"/>
          <w:szCs w:val="24"/>
          <w:shd w:val="clear" w:color="auto" w:fill="FFFFFF"/>
        </w:rPr>
        <w:t>ESG</w:t>
      </w:r>
      <w:r>
        <w:rPr>
          <w:rFonts w:ascii="Times New Roman" w:hAnsi="Times New Roman" w:cs="Times New Roman"/>
          <w:color w:val="000000"/>
          <w:sz w:val="24"/>
          <w:szCs w:val="24"/>
          <w:shd w:val="clear" w:color="auto" w:fill="FFFFFF"/>
          <w:lang w:val="ru-RU"/>
        </w:rPr>
        <w:t xml:space="preserve">-корпоративные отчёты, основанные на методике целей устойчивого развития ООН (далее – ЦУР). Такие отчёты имеют свои преимущества по сравнению с рейтингами: </w:t>
      </w:r>
    </w:p>
    <w:p w14:paraId="5CD52B49" w14:textId="77777777" w:rsidR="008338D9" w:rsidRDefault="008338D9" w:rsidP="008338D9">
      <w:pPr>
        <w:pStyle w:val="af3"/>
        <w:numPr>
          <w:ilvl w:val="0"/>
          <w:numId w:val="18"/>
        </w:numPr>
        <w:spacing w:after="0" w:line="360" w:lineRule="auto"/>
        <w:ind w:left="0" w:firstLine="709"/>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требования к базам данных менее жёсткие, чем требуется для составления рейтинга;</w:t>
      </w:r>
    </w:p>
    <w:p w14:paraId="78EA71E6" w14:textId="77777777" w:rsidR="008338D9" w:rsidRDefault="008338D9" w:rsidP="008338D9">
      <w:pPr>
        <w:pStyle w:val="af3"/>
        <w:numPr>
          <w:ilvl w:val="0"/>
          <w:numId w:val="18"/>
        </w:numPr>
        <w:spacing w:after="0" w:line="360" w:lineRule="auto"/>
        <w:ind w:left="0" w:firstLine="709"/>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более транспарентный способ оперирования с данным: если требуемые параметры не соответствуют методике расчёта, то об этом прямо указывается, и, как правило, не предпринимаются дальнейшие попытки</w:t>
      </w:r>
      <w:r w:rsidRPr="00C8275A">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позиционировать, например, данные по стране как данные по городу </w:t>
      </w:r>
      <w:r w:rsidRPr="00651B9B">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rPr>
        <w:t>GFCI</w:t>
      </w:r>
      <w:r w:rsidRPr="00651B9B">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прямо сообщает, что в случае отсутствия каких-либо данных по городу используются данные по стране, а в случае отсутствия данных по данной стране оставляется пустое место, что автоматически снижает уровень города в рейтинге);</w:t>
      </w:r>
    </w:p>
    <w:p w14:paraId="55207159" w14:textId="77777777" w:rsidR="008338D9" w:rsidRDefault="008338D9" w:rsidP="008338D9">
      <w:pPr>
        <w:pStyle w:val="af3"/>
        <w:numPr>
          <w:ilvl w:val="0"/>
          <w:numId w:val="18"/>
        </w:numPr>
        <w:spacing w:after="0" w:line="360" w:lineRule="auto"/>
        <w:ind w:left="0" w:firstLine="709"/>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как правило, составлением рейтинга занимается владелец проекта и доступность данных для рейтинга определяется квалификацией сотрудников, задействованных в проекте; в случае Добровольного местного обзора процедура более демократичная: регион может самостоятельно организовать инициативную группу авторов, методика подготовки распространяется свободно в интернете;</w:t>
      </w:r>
    </w:p>
    <w:p w14:paraId="58A959A5" w14:textId="77777777" w:rsidR="008338D9" w:rsidRDefault="008338D9" w:rsidP="008338D9">
      <w:pPr>
        <w:pStyle w:val="af3"/>
        <w:numPr>
          <w:ilvl w:val="0"/>
          <w:numId w:val="18"/>
        </w:numPr>
        <w:spacing w:after="0" w:line="360" w:lineRule="auto"/>
        <w:ind w:left="0" w:firstLine="709"/>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рейтинг представляет собой сферхконцентрированный источник рекомендательной информации: пользователь рейтинга без дополнительной подготовки может определить лишь несколько вещей: 1) входит или нет интересуемый центр в рейтинг, 2) как составители рейтинга оценивают его по отношению к другим центрам. В отношении доклада по ЦУР, в котором в обязательном порядке присутствует всесторонний (экономический, социально-политический, гуманитарный) анализ города или региона, потенциальный инвестор может получить большой блок информации по привычной методике и непосредственно из первых рук. </w:t>
      </w:r>
    </w:p>
    <w:p w14:paraId="73E0E182" w14:textId="26423FBB" w:rsidR="008338D9" w:rsidRPr="001B349D" w:rsidRDefault="008338D9" w:rsidP="008338D9">
      <w:pPr>
        <w:pStyle w:val="af3"/>
        <w:spacing w:after="0" w:line="360" w:lineRule="auto"/>
        <w:ind w:left="0" w:firstLine="709"/>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lastRenderedPageBreak/>
        <w:t>Лондон фигурирует в качестве лидера в нескольких рейтингах, но также его финансовый сектор выступает в качестве предмета исследования нескольких англоязычных монографий</w:t>
      </w:r>
      <w:r w:rsidRPr="0033172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проспектов</w:t>
      </w:r>
      <w:r w:rsidRPr="0033172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_Ref136175633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167</w:t>
      </w:r>
      <w:r>
        <w:rPr>
          <w:rFonts w:ascii="Times New Roman" w:hAnsi="Times New Roman" w:cs="Times New Roman"/>
          <w:color w:val="000000"/>
          <w:sz w:val="24"/>
          <w:szCs w:val="24"/>
          <w:shd w:val="clear" w:color="auto" w:fill="FFFFFF"/>
          <w:lang w:val="ru-RU"/>
        </w:rPr>
        <w:fldChar w:fldCharType="end"/>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_Ref136175891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186</w:t>
      </w:r>
      <w:r>
        <w:rPr>
          <w:rFonts w:ascii="Times New Roman" w:hAnsi="Times New Roman" w:cs="Times New Roman"/>
          <w:color w:val="000000"/>
          <w:sz w:val="24"/>
          <w:szCs w:val="24"/>
          <w:shd w:val="clear" w:color="auto" w:fill="FFFFFF"/>
          <w:lang w:val="ru-RU"/>
        </w:rPr>
        <w:fldChar w:fldCharType="end"/>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_Ref136175644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212</w:t>
      </w:r>
      <w:r>
        <w:rPr>
          <w:rFonts w:ascii="Times New Roman" w:hAnsi="Times New Roman" w:cs="Times New Roman"/>
          <w:color w:val="000000"/>
          <w:sz w:val="24"/>
          <w:szCs w:val="24"/>
          <w:shd w:val="clear" w:color="auto" w:fill="FFFFFF"/>
          <w:lang w:val="ru-RU"/>
        </w:rPr>
        <w:fldChar w:fldCharType="end"/>
      </w:r>
      <w:r w:rsidRPr="0033172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которые М. К. Беляев активно цитирует в своей русскоязычной монографии, посвященной МФЦ на примере Лондона. </w:t>
      </w:r>
    </w:p>
    <w:p w14:paraId="15383EE0" w14:textId="7AE97706" w:rsidR="008338D9" w:rsidRDefault="008338D9" w:rsidP="008338D9">
      <w:pPr>
        <w:pStyle w:val="af3"/>
        <w:spacing w:after="0" w:line="360" w:lineRule="auto"/>
        <w:ind w:left="0" w:firstLine="709"/>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Существует также альтернативный способ оценки городов, являющихся МФЦ, – заказать отчёт по ЦУР у организаций, разрабатывающих методики подобных отчётов: 1) Программа ООН по населённым пунктам (ООН-Хабитат); 2) Организация экономического развития и сотрудничества (ОЭСР). Москва, обладая большими финансовыми возможностями, разместила заказ у обеих организаций. В 2021 году был опубликован Доклад ОЭСР, посвящённый Москве. В Докладе активно использовалась статистическая база, полученная от Правительства Москвы. Подготовку курировал Департамент инвестиционной и промышленной политики Правительства Москвы, но непосредственно написанием доклада занимались эксперты ОЭСР. Москва осуществляет распределение бюджетных денег по программному принципу, и эксперты ОЭСР классифицировали все госпрограммы по ЦУР </w:t>
      </w:r>
      <w:r w:rsidRPr="00E6130D">
        <w:rPr>
          <w:rFonts w:ascii="Times New Roman" w:hAnsi="Times New Roman" w:cs="Times New Roman"/>
          <w:color w:val="000000"/>
          <w:sz w:val="24"/>
          <w:szCs w:val="24"/>
          <w:shd w:val="clear" w:color="auto" w:fill="FFFFFF"/>
          <w:lang w:val="ru-RU"/>
        </w:rPr>
        <w:t>[</w:t>
      </w:r>
      <w:r w:rsidRPr="00E6130D">
        <w:rPr>
          <w:rFonts w:ascii="Times New Roman" w:hAnsi="Times New Roman" w:cs="Times New Roman"/>
          <w:color w:val="000000"/>
          <w:sz w:val="24"/>
          <w:szCs w:val="24"/>
          <w:shd w:val="clear" w:color="auto" w:fill="FFFFFF"/>
          <w:lang w:val="ru-RU"/>
        </w:rPr>
        <w:fldChar w:fldCharType="begin"/>
      </w:r>
      <w:r w:rsidRPr="00E6130D">
        <w:rPr>
          <w:rFonts w:ascii="Times New Roman" w:hAnsi="Times New Roman" w:cs="Times New Roman"/>
          <w:color w:val="000000"/>
          <w:sz w:val="24"/>
          <w:szCs w:val="24"/>
          <w:shd w:val="clear" w:color="auto" w:fill="FFFFFF"/>
          <w:lang w:val="ru-RU"/>
        </w:rPr>
        <w:instrText xml:space="preserve"> REF _Ref136263597 \r \h </w:instrText>
      </w:r>
      <w:r>
        <w:rPr>
          <w:rFonts w:ascii="Times New Roman" w:hAnsi="Times New Roman" w:cs="Times New Roman"/>
          <w:color w:val="000000"/>
          <w:sz w:val="24"/>
          <w:szCs w:val="24"/>
          <w:shd w:val="clear" w:color="auto" w:fill="FFFFFF"/>
          <w:lang w:val="ru-RU"/>
        </w:rPr>
        <w:instrText xml:space="preserve"> \* MERGEFORMAT </w:instrText>
      </w:r>
      <w:r w:rsidRPr="00E6130D">
        <w:rPr>
          <w:rFonts w:ascii="Times New Roman" w:hAnsi="Times New Roman" w:cs="Times New Roman"/>
          <w:color w:val="000000"/>
          <w:sz w:val="24"/>
          <w:szCs w:val="24"/>
          <w:shd w:val="clear" w:color="auto" w:fill="FFFFFF"/>
          <w:lang w:val="ru-RU"/>
        </w:rPr>
      </w:r>
      <w:r w:rsidRPr="00E6130D">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152</w:t>
      </w:r>
      <w:r w:rsidRPr="00E6130D">
        <w:rPr>
          <w:rFonts w:ascii="Times New Roman" w:hAnsi="Times New Roman" w:cs="Times New Roman"/>
          <w:color w:val="000000"/>
          <w:sz w:val="24"/>
          <w:szCs w:val="24"/>
          <w:shd w:val="clear" w:color="auto" w:fill="FFFFFF"/>
          <w:lang w:val="ru-RU"/>
        </w:rPr>
        <w:fldChar w:fldCharType="end"/>
      </w:r>
      <w:r w:rsidRPr="00E6130D">
        <w:rPr>
          <w:rFonts w:ascii="Times New Roman" w:hAnsi="Times New Roman" w:cs="Times New Roman"/>
          <w:color w:val="000000"/>
          <w:sz w:val="24"/>
          <w:szCs w:val="24"/>
          <w:shd w:val="clear" w:color="auto" w:fill="FFFFFF"/>
          <w:lang w:val="ru-RU"/>
        </w:rPr>
        <w:t>, с.16–18].</w:t>
      </w:r>
      <w:r>
        <w:rPr>
          <w:rFonts w:ascii="Times New Roman" w:hAnsi="Times New Roman" w:cs="Times New Roman"/>
          <w:color w:val="000000"/>
          <w:sz w:val="24"/>
          <w:szCs w:val="24"/>
          <w:shd w:val="clear" w:color="auto" w:fill="FFFFFF"/>
          <w:lang w:val="ru-RU"/>
        </w:rPr>
        <w:t xml:space="preserve"> Планировалось, что на следующем этапе сотрудничества начнётся законотворческая фаза, когда положения ЦУР будут имплементированы в законы Москвы, но эта фаза была прервана из-за начавшихся геополитических изменений в начале 2022 года.</w:t>
      </w:r>
    </w:p>
    <w:p w14:paraId="407242F1" w14:textId="78BCB454" w:rsidR="001675AC" w:rsidRPr="00A917F9" w:rsidRDefault="003C50E4" w:rsidP="003C50E4">
      <w:pPr>
        <w:pStyle w:val="af3"/>
        <w:spacing w:after="0" w:line="360" w:lineRule="auto"/>
        <w:ind w:left="0" w:firstLine="709"/>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Подходы, использующие метод рейтинговая МФЦ, получили большую популярность не только в научной, но и социально-политической среде, однако особенности, обнаруживаемые в центрах, находящихся в странах с формирующимся рынк</w:t>
      </w:r>
      <w:r w:rsidR="00B05AAE">
        <w:rPr>
          <w:rFonts w:ascii="Times New Roman" w:hAnsi="Times New Roman" w:cs="Times New Roman"/>
          <w:color w:val="000000"/>
          <w:sz w:val="24"/>
          <w:szCs w:val="24"/>
          <w:shd w:val="clear" w:color="auto" w:fill="FFFFFF"/>
          <w:lang w:val="ru-RU"/>
        </w:rPr>
        <w:t>ом</w:t>
      </w:r>
      <w:r>
        <w:rPr>
          <w:rFonts w:ascii="Times New Roman" w:hAnsi="Times New Roman" w:cs="Times New Roman"/>
          <w:color w:val="000000"/>
          <w:sz w:val="24"/>
          <w:szCs w:val="24"/>
          <w:shd w:val="clear" w:color="auto" w:fill="FFFFFF"/>
          <w:lang w:val="ru-RU"/>
        </w:rPr>
        <w:t xml:space="preserve">, требуют менее однозначных оценок, чем балльно-рейтинговая система. </w:t>
      </w:r>
    </w:p>
    <w:p w14:paraId="29D0DA96" w14:textId="784E42E9" w:rsidR="008338D9" w:rsidRPr="005B253E" w:rsidRDefault="008338D9" w:rsidP="008338D9">
      <w:pPr>
        <w:pStyle w:val="2"/>
        <w:spacing w:before="100" w:beforeAutospacing="1" w:after="100" w:line="360" w:lineRule="auto"/>
        <w:ind w:firstLine="709"/>
        <w:contextualSpacing/>
        <w:rPr>
          <w:rFonts w:cs="Times New Roman"/>
          <w:sz w:val="24"/>
          <w:szCs w:val="24"/>
        </w:rPr>
      </w:pPr>
      <w:bookmarkStart w:id="16" w:name="_Toc136269015"/>
      <w:bookmarkStart w:id="17" w:name="_Toc136448478"/>
      <w:r w:rsidRPr="004E7E3E">
        <w:rPr>
          <w:rFonts w:cs="Times New Roman"/>
          <w:sz w:val="24"/>
          <w:szCs w:val="24"/>
        </w:rPr>
        <w:t xml:space="preserve">§2.2 Адаптация моделей </w:t>
      </w:r>
      <w:r>
        <w:rPr>
          <w:rFonts w:cs="Times New Roman"/>
          <w:sz w:val="24"/>
          <w:szCs w:val="24"/>
        </w:rPr>
        <w:t>оценки</w:t>
      </w:r>
      <w:r w:rsidRPr="004E7E3E">
        <w:rPr>
          <w:rFonts w:cs="Times New Roman"/>
          <w:sz w:val="24"/>
          <w:szCs w:val="24"/>
        </w:rPr>
        <w:t xml:space="preserve"> МФЦ с учетом специфики </w:t>
      </w:r>
      <w:r w:rsidR="00B05AAE">
        <w:rPr>
          <w:rFonts w:cs="Times New Roman"/>
          <w:sz w:val="24"/>
          <w:szCs w:val="24"/>
        </w:rPr>
        <w:t xml:space="preserve">стран с </w:t>
      </w:r>
      <w:r w:rsidRPr="004E7E3E">
        <w:rPr>
          <w:rFonts w:cs="Times New Roman"/>
          <w:sz w:val="24"/>
          <w:szCs w:val="24"/>
        </w:rPr>
        <w:t>формирующи</w:t>
      </w:r>
      <w:r w:rsidR="00B05AAE">
        <w:rPr>
          <w:rFonts w:cs="Times New Roman"/>
          <w:sz w:val="24"/>
          <w:szCs w:val="24"/>
        </w:rPr>
        <w:t>м</w:t>
      </w:r>
      <w:r w:rsidRPr="004E7E3E">
        <w:rPr>
          <w:rFonts w:cs="Times New Roman"/>
          <w:sz w:val="24"/>
          <w:szCs w:val="24"/>
        </w:rPr>
        <w:t>ся рынков</w:t>
      </w:r>
      <w:bookmarkEnd w:id="16"/>
      <w:bookmarkEnd w:id="17"/>
      <w:r w:rsidRPr="004E7E3E">
        <w:rPr>
          <w:rFonts w:cs="Times New Roman"/>
          <w:sz w:val="24"/>
          <w:szCs w:val="24"/>
        </w:rPr>
        <w:t xml:space="preserve"> </w:t>
      </w:r>
    </w:p>
    <w:p w14:paraId="4C5E83B5" w14:textId="77777777"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E31139">
        <w:rPr>
          <w:rFonts w:ascii="Times New Roman" w:hAnsi="Times New Roman" w:cs="Times New Roman"/>
          <w:color w:val="000000"/>
          <w:sz w:val="24"/>
          <w:szCs w:val="24"/>
          <w:shd w:val="clear" w:color="auto" w:fill="FFFFFF"/>
          <w:lang w:val="ru-RU"/>
        </w:rPr>
        <w:t>Изучив методики составления рейтинг</w:t>
      </w:r>
      <w:r>
        <w:rPr>
          <w:rFonts w:ascii="Times New Roman" w:hAnsi="Times New Roman" w:cs="Times New Roman"/>
          <w:color w:val="000000"/>
          <w:sz w:val="24"/>
          <w:szCs w:val="24"/>
          <w:shd w:val="clear" w:color="auto" w:fill="FFFFFF"/>
          <w:lang w:val="ru-RU"/>
        </w:rPr>
        <w:t>ов</w:t>
      </w:r>
      <w:r w:rsidRPr="00E31139">
        <w:rPr>
          <w:rFonts w:ascii="Times New Roman" w:hAnsi="Times New Roman" w:cs="Times New Roman"/>
          <w:color w:val="000000"/>
          <w:sz w:val="24"/>
          <w:szCs w:val="24"/>
          <w:shd w:val="clear" w:color="auto" w:fill="FFFFFF"/>
          <w:lang w:val="ru-RU"/>
        </w:rPr>
        <w:t xml:space="preserve"> </w:t>
      </w:r>
      <w:r w:rsidRPr="00E31139">
        <w:rPr>
          <w:rFonts w:ascii="Times New Roman" w:hAnsi="Times New Roman" w:cs="Times New Roman"/>
          <w:color w:val="000000"/>
          <w:sz w:val="24"/>
          <w:szCs w:val="24"/>
          <w:shd w:val="clear" w:color="auto" w:fill="FFFFFF"/>
        </w:rPr>
        <w:t>GFCI</w:t>
      </w:r>
      <w:r w:rsidRPr="00E31139">
        <w:rPr>
          <w:rFonts w:ascii="Times New Roman" w:hAnsi="Times New Roman" w:cs="Times New Roman"/>
          <w:color w:val="000000"/>
          <w:sz w:val="24"/>
          <w:szCs w:val="24"/>
          <w:shd w:val="clear" w:color="auto" w:fill="FFFFFF"/>
          <w:lang w:val="ru-RU"/>
        </w:rPr>
        <w:t xml:space="preserve"> и </w:t>
      </w:r>
      <w:r w:rsidRPr="0077317D">
        <w:rPr>
          <w:rFonts w:ascii="Times New Roman" w:hAnsi="Times New Roman" w:cs="Times New Roman"/>
          <w:bCs/>
          <w:color w:val="000000"/>
          <w:sz w:val="24"/>
          <w:szCs w:val="24"/>
          <w:shd w:val="clear" w:color="auto" w:fill="FFFFFF"/>
          <w:lang w:val="ru-RU"/>
        </w:rPr>
        <w:t>IFCD,</w:t>
      </w:r>
      <w:r w:rsidRPr="00E31139">
        <w:rPr>
          <w:rFonts w:ascii="Times New Roman" w:hAnsi="Times New Roman" w:cs="Times New Roman"/>
          <w:color w:val="000000"/>
          <w:sz w:val="24"/>
          <w:szCs w:val="24"/>
          <w:shd w:val="clear" w:color="auto" w:fill="FFFFFF"/>
          <w:lang w:val="ru-RU"/>
        </w:rPr>
        <w:t xml:space="preserve"> мы вынуждены отметить несколько критических моментов: </w:t>
      </w:r>
    </w:p>
    <w:p w14:paraId="60EFA113" w14:textId="77777777"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E31139">
        <w:rPr>
          <w:rFonts w:ascii="Times New Roman" w:hAnsi="Times New Roman" w:cs="Times New Roman"/>
          <w:color w:val="000000"/>
          <w:sz w:val="24"/>
          <w:szCs w:val="24"/>
          <w:shd w:val="clear" w:color="auto" w:fill="FFFFFF"/>
          <w:lang w:val="ru-RU"/>
        </w:rPr>
        <w:t>1) методика обоих рейтингов описывается лишь схематично</w:t>
      </w:r>
      <w:r>
        <w:rPr>
          <w:rFonts w:ascii="Times New Roman" w:hAnsi="Times New Roman" w:cs="Times New Roman"/>
          <w:color w:val="000000"/>
          <w:sz w:val="24"/>
          <w:szCs w:val="24"/>
          <w:shd w:val="clear" w:color="auto" w:fill="FFFFFF"/>
          <w:lang w:val="ru-RU"/>
        </w:rPr>
        <w:t>;</w:t>
      </w:r>
      <w:r w:rsidRPr="00E31139">
        <w:rPr>
          <w:rFonts w:ascii="Times New Roman" w:hAnsi="Times New Roman" w:cs="Times New Roman"/>
          <w:color w:val="000000"/>
          <w:sz w:val="24"/>
          <w:szCs w:val="24"/>
          <w:shd w:val="clear" w:color="auto" w:fill="FFFFFF"/>
          <w:lang w:val="ru-RU"/>
        </w:rPr>
        <w:t xml:space="preserve"> массивы данных, используемые в рейтингах, и способы их обработки являются непрозрачными</w:t>
      </w:r>
      <w:r>
        <w:rPr>
          <w:rFonts w:ascii="Times New Roman" w:hAnsi="Times New Roman" w:cs="Times New Roman"/>
          <w:color w:val="000000"/>
          <w:sz w:val="24"/>
          <w:szCs w:val="24"/>
          <w:shd w:val="clear" w:color="auto" w:fill="FFFFFF"/>
          <w:lang w:val="ru-RU"/>
        </w:rPr>
        <w:t>. В связи с этим</w:t>
      </w:r>
      <w:r w:rsidRPr="00E3113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мы </w:t>
      </w:r>
      <w:r w:rsidRPr="00E31139">
        <w:rPr>
          <w:rFonts w:ascii="Times New Roman" w:hAnsi="Times New Roman" w:cs="Times New Roman"/>
          <w:color w:val="000000"/>
          <w:sz w:val="24"/>
          <w:szCs w:val="24"/>
          <w:shd w:val="clear" w:color="auto" w:fill="FFFFFF"/>
          <w:lang w:val="ru-RU"/>
        </w:rPr>
        <w:t xml:space="preserve">вынуждены признать ненаучных характер этих рейтингов ввиду отсутствия критерия воспроизводимости полученных данных на основе открытых источников; </w:t>
      </w:r>
    </w:p>
    <w:p w14:paraId="64034C70" w14:textId="77777777"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E31139">
        <w:rPr>
          <w:rFonts w:ascii="Times New Roman" w:hAnsi="Times New Roman" w:cs="Times New Roman"/>
          <w:color w:val="000000"/>
          <w:sz w:val="24"/>
          <w:szCs w:val="24"/>
          <w:shd w:val="clear" w:color="auto" w:fill="FFFFFF"/>
          <w:lang w:val="ru-RU"/>
        </w:rPr>
        <w:t>2) западоцентричность источников массивов данных (по терминологии составителей – инструментальные факторы, формируют 50% вклада), используемых для расчёта (например, базы ОЭСР, в которы</w:t>
      </w:r>
      <w:r>
        <w:rPr>
          <w:rFonts w:ascii="Times New Roman" w:hAnsi="Times New Roman" w:cs="Times New Roman"/>
          <w:color w:val="000000"/>
          <w:sz w:val="24"/>
          <w:szCs w:val="24"/>
          <w:shd w:val="clear" w:color="auto" w:fill="FFFFFF"/>
          <w:lang w:val="ru-RU"/>
        </w:rPr>
        <w:t>е</w:t>
      </w:r>
      <w:r w:rsidRPr="00E31139">
        <w:rPr>
          <w:rFonts w:ascii="Times New Roman" w:hAnsi="Times New Roman" w:cs="Times New Roman"/>
          <w:color w:val="000000"/>
          <w:sz w:val="24"/>
          <w:szCs w:val="24"/>
          <w:shd w:val="clear" w:color="auto" w:fill="FFFFFF"/>
          <w:lang w:val="ru-RU"/>
        </w:rPr>
        <w:t xml:space="preserve"> входят преимущественно страны «золотого миллиарда»); </w:t>
      </w:r>
    </w:p>
    <w:p w14:paraId="6D984C29" w14:textId="77777777"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E31139">
        <w:rPr>
          <w:rFonts w:ascii="Times New Roman" w:hAnsi="Times New Roman" w:cs="Times New Roman"/>
          <w:color w:val="000000"/>
          <w:sz w:val="24"/>
          <w:szCs w:val="24"/>
          <w:shd w:val="clear" w:color="auto" w:fill="FFFFFF"/>
          <w:lang w:val="ru-RU"/>
        </w:rPr>
        <w:lastRenderedPageBreak/>
        <w:t xml:space="preserve">3) нерепрезентативность опроса респондентов в связи с особенностями сбора данных: </w:t>
      </w:r>
    </w:p>
    <w:p w14:paraId="06AEBB2E" w14:textId="77777777" w:rsidR="008338D9" w:rsidRDefault="008338D9" w:rsidP="008338D9">
      <w:pPr>
        <w:spacing w:before="100" w:beforeAutospacing="1" w:after="100" w:line="360" w:lineRule="auto"/>
        <w:ind w:firstLine="1418"/>
        <w:contextualSpacing/>
        <w:jc w:val="both"/>
        <w:rPr>
          <w:rFonts w:ascii="Times New Roman" w:hAnsi="Times New Roman" w:cs="Times New Roman"/>
          <w:color w:val="000000"/>
          <w:sz w:val="24"/>
          <w:szCs w:val="24"/>
          <w:shd w:val="clear" w:color="auto" w:fill="FFFFFF"/>
          <w:lang w:val="ru-RU"/>
        </w:rPr>
      </w:pPr>
      <w:r w:rsidRPr="00E31139">
        <w:rPr>
          <w:rFonts w:ascii="Times New Roman" w:hAnsi="Times New Roman" w:cs="Times New Roman"/>
          <w:color w:val="000000"/>
          <w:sz w:val="24"/>
          <w:szCs w:val="24"/>
          <w:shd w:val="clear" w:color="auto" w:fill="FFFFFF"/>
          <w:lang w:val="ru-RU"/>
        </w:rPr>
        <w:t xml:space="preserve">а) опрос проходит на англоязычном портале агентства </w:t>
      </w:r>
      <w:r w:rsidRPr="00E31139">
        <w:rPr>
          <w:rFonts w:ascii="Times New Roman" w:hAnsi="Times New Roman" w:cs="Times New Roman"/>
          <w:color w:val="000000"/>
          <w:sz w:val="24"/>
          <w:szCs w:val="24"/>
          <w:shd w:val="clear" w:color="auto" w:fill="FFFFFF"/>
        </w:rPr>
        <w:t>Z</w:t>
      </w:r>
      <w:r w:rsidRPr="00E31139">
        <w:rPr>
          <w:rFonts w:ascii="Times New Roman" w:hAnsi="Times New Roman" w:cs="Times New Roman"/>
          <w:color w:val="000000"/>
          <w:sz w:val="24"/>
          <w:szCs w:val="24"/>
          <w:shd w:val="clear" w:color="auto" w:fill="FFFFFF"/>
          <w:lang w:val="ru-RU"/>
        </w:rPr>
        <w:t>/</w:t>
      </w:r>
      <w:r w:rsidRPr="00E31139">
        <w:rPr>
          <w:rFonts w:ascii="Times New Roman" w:hAnsi="Times New Roman" w:cs="Times New Roman"/>
          <w:color w:val="000000"/>
          <w:sz w:val="24"/>
          <w:szCs w:val="24"/>
          <w:shd w:val="clear" w:color="auto" w:fill="FFFFFF"/>
        </w:rPr>
        <w:t>Yen</w:t>
      </w:r>
      <w:r w:rsidRPr="00E31139">
        <w:rPr>
          <w:rFonts w:ascii="Times New Roman" w:hAnsi="Times New Roman" w:cs="Times New Roman"/>
          <w:color w:val="000000"/>
          <w:sz w:val="24"/>
          <w:szCs w:val="24"/>
          <w:shd w:val="clear" w:color="auto" w:fill="FFFFFF"/>
          <w:lang w:val="ru-RU"/>
        </w:rPr>
        <w:t xml:space="preserve"> и по рассылке, </w:t>
      </w:r>
    </w:p>
    <w:p w14:paraId="784F97F8" w14:textId="26FC9859" w:rsidR="008338D9" w:rsidRDefault="008338D9" w:rsidP="008338D9">
      <w:pPr>
        <w:spacing w:before="100" w:beforeAutospacing="1" w:after="100" w:line="360" w:lineRule="auto"/>
        <w:ind w:firstLine="1418"/>
        <w:contextualSpacing/>
        <w:jc w:val="both"/>
        <w:rPr>
          <w:rFonts w:ascii="Times New Roman" w:hAnsi="Times New Roman" w:cs="Times New Roman"/>
          <w:color w:val="000000"/>
          <w:sz w:val="24"/>
          <w:szCs w:val="24"/>
          <w:shd w:val="clear" w:color="auto" w:fill="FFFFFF"/>
          <w:lang w:val="ru-RU"/>
        </w:rPr>
      </w:pPr>
      <w:r w:rsidRPr="00E31139">
        <w:rPr>
          <w:rFonts w:ascii="Times New Roman" w:hAnsi="Times New Roman" w:cs="Times New Roman"/>
          <w:color w:val="000000"/>
          <w:sz w:val="24"/>
          <w:szCs w:val="24"/>
          <w:shd w:val="clear" w:color="auto" w:fill="FFFFFF"/>
          <w:lang w:val="ru-RU"/>
        </w:rPr>
        <w:t>б) в опросе принимают участие не более 70 тыс. человек (для сравнения</w:t>
      </w:r>
      <w:r>
        <w:rPr>
          <w:rFonts w:ascii="Times New Roman" w:hAnsi="Times New Roman" w:cs="Times New Roman"/>
          <w:color w:val="000000"/>
          <w:sz w:val="24"/>
          <w:szCs w:val="24"/>
          <w:shd w:val="clear" w:color="auto" w:fill="FFFFFF"/>
          <w:lang w:val="ru-RU"/>
        </w:rPr>
        <w:t>,</w:t>
      </w:r>
      <w:r w:rsidRPr="00E31139">
        <w:rPr>
          <w:rFonts w:ascii="Times New Roman" w:hAnsi="Times New Roman" w:cs="Times New Roman"/>
          <w:color w:val="000000"/>
          <w:sz w:val="24"/>
          <w:szCs w:val="24"/>
          <w:shd w:val="clear" w:color="auto" w:fill="FFFFFF"/>
          <w:lang w:val="ru-RU"/>
        </w:rPr>
        <w:t xml:space="preserve"> только в</w:t>
      </w:r>
      <w:r>
        <w:rPr>
          <w:rFonts w:ascii="Times New Roman" w:hAnsi="Times New Roman" w:cs="Times New Roman"/>
          <w:color w:val="000000"/>
          <w:sz w:val="24"/>
          <w:szCs w:val="24"/>
          <w:shd w:val="clear" w:color="auto" w:fill="FFFFFF"/>
          <w:lang w:val="ru-RU"/>
        </w:rPr>
        <w:t> </w:t>
      </w:r>
      <w:r w:rsidRPr="00E31139">
        <w:rPr>
          <w:rFonts w:ascii="Times New Roman" w:hAnsi="Times New Roman" w:cs="Times New Roman"/>
          <w:color w:val="000000"/>
          <w:sz w:val="24"/>
          <w:szCs w:val="24"/>
          <w:shd w:val="clear" w:color="auto" w:fill="FFFFFF"/>
          <w:lang w:val="ru-RU"/>
        </w:rPr>
        <w:t>одной Москве, по данным Росстата, по ОКВЭД «Деятельность финансовая и страховая» в 2021 году работало 456 818 человек [</w:t>
      </w:r>
      <w:r w:rsidRPr="00E31139">
        <w:rPr>
          <w:rFonts w:ascii="Times New Roman" w:hAnsi="Times New Roman" w:cs="Times New Roman"/>
          <w:color w:val="000000"/>
          <w:sz w:val="24"/>
          <w:szCs w:val="24"/>
          <w:shd w:val="clear" w:color="auto" w:fill="FFFFFF"/>
          <w:lang w:val="ru-RU"/>
        </w:rPr>
        <w:fldChar w:fldCharType="begin"/>
      </w:r>
      <w:r w:rsidRPr="00E31139">
        <w:rPr>
          <w:rFonts w:ascii="Times New Roman" w:hAnsi="Times New Roman" w:cs="Times New Roman"/>
          <w:color w:val="000000"/>
          <w:sz w:val="24"/>
          <w:szCs w:val="24"/>
          <w:shd w:val="clear" w:color="auto" w:fill="FFFFFF"/>
          <w:lang w:val="ru-RU"/>
        </w:rPr>
        <w:instrText xml:space="preserve"> REF _Ref136029642 \r \h </w:instrText>
      </w:r>
      <w:r>
        <w:rPr>
          <w:rFonts w:ascii="Times New Roman" w:hAnsi="Times New Roman" w:cs="Times New Roman"/>
          <w:color w:val="000000"/>
          <w:sz w:val="24"/>
          <w:szCs w:val="24"/>
          <w:shd w:val="clear" w:color="auto" w:fill="FFFFFF"/>
          <w:lang w:val="ru-RU"/>
        </w:rPr>
        <w:instrText xml:space="preserve"> \* MERGEFORMAT </w:instrText>
      </w:r>
      <w:r w:rsidRPr="00E31139">
        <w:rPr>
          <w:rFonts w:ascii="Times New Roman" w:hAnsi="Times New Roman" w:cs="Times New Roman"/>
          <w:color w:val="000000"/>
          <w:sz w:val="24"/>
          <w:szCs w:val="24"/>
          <w:shd w:val="clear" w:color="auto" w:fill="FFFFFF"/>
          <w:lang w:val="ru-RU"/>
        </w:rPr>
      </w:r>
      <w:r w:rsidRPr="00E31139">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40</w:t>
      </w:r>
      <w:r w:rsidRPr="00E31139">
        <w:rPr>
          <w:rFonts w:ascii="Times New Roman" w:hAnsi="Times New Roman" w:cs="Times New Roman"/>
          <w:color w:val="000000"/>
          <w:sz w:val="24"/>
          <w:szCs w:val="24"/>
          <w:shd w:val="clear" w:color="auto" w:fill="FFFFFF"/>
          <w:lang w:val="ru-RU"/>
        </w:rPr>
        <w:fldChar w:fldCharType="end"/>
      </w:r>
      <w:r w:rsidRPr="00E31139">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В</w:t>
      </w:r>
      <w:r w:rsidRPr="00E31139">
        <w:rPr>
          <w:rFonts w:ascii="Times New Roman" w:hAnsi="Times New Roman" w:cs="Times New Roman"/>
          <w:color w:val="000000"/>
          <w:sz w:val="24"/>
          <w:szCs w:val="24"/>
          <w:shd w:val="clear" w:color="auto" w:fill="FFFFFF"/>
          <w:lang w:val="ru-RU"/>
        </w:rPr>
        <w:t xml:space="preserve"> методике не сообщается, что массив как-то </w:t>
      </w:r>
      <w:r w:rsidRPr="002768E0">
        <w:rPr>
          <w:rFonts w:ascii="Times New Roman" w:hAnsi="Times New Roman" w:cs="Times New Roman"/>
          <w:color w:val="000000"/>
          <w:sz w:val="24"/>
          <w:szCs w:val="24"/>
          <w:shd w:val="clear" w:color="auto" w:fill="FFFFFF"/>
          <w:lang w:val="ru-RU"/>
        </w:rPr>
        <w:t>обрабатывается, чтобы сделать его репрезентативным</w:t>
      </w:r>
      <w:r w:rsidRPr="00E31139">
        <w:rPr>
          <w:rFonts w:ascii="Times New Roman" w:hAnsi="Times New Roman" w:cs="Times New Roman"/>
          <w:color w:val="000000"/>
          <w:sz w:val="24"/>
          <w:szCs w:val="24"/>
          <w:shd w:val="clear" w:color="auto" w:fill="FFFFFF"/>
          <w:lang w:val="ru-RU"/>
        </w:rPr>
        <w:t xml:space="preserve"> по половому признаку, по возрасту, по регионам присутствия, по специализированным отраслям (банки, биржи, финтех и пр.)</w:t>
      </w:r>
      <w:r>
        <w:rPr>
          <w:rFonts w:ascii="Times New Roman" w:hAnsi="Times New Roman" w:cs="Times New Roman"/>
          <w:color w:val="000000"/>
          <w:sz w:val="24"/>
          <w:szCs w:val="24"/>
          <w:shd w:val="clear" w:color="auto" w:fill="FFFFFF"/>
          <w:lang w:val="ru-RU"/>
        </w:rPr>
        <w:t>,</w:t>
      </w:r>
      <w:r w:rsidRPr="00E31139">
        <w:rPr>
          <w:rFonts w:ascii="Times New Roman" w:hAnsi="Times New Roman" w:cs="Times New Roman"/>
          <w:color w:val="000000"/>
          <w:sz w:val="24"/>
          <w:szCs w:val="24"/>
          <w:shd w:val="clear" w:color="auto" w:fill="FFFFFF"/>
          <w:lang w:val="ru-RU"/>
        </w:rPr>
        <w:t xml:space="preserve"> при этом «качественные факторы», к которым относится опрос</w:t>
      </w:r>
      <w:r>
        <w:rPr>
          <w:rFonts w:ascii="Times New Roman" w:hAnsi="Times New Roman" w:cs="Times New Roman"/>
          <w:color w:val="000000"/>
          <w:sz w:val="24"/>
          <w:szCs w:val="24"/>
          <w:shd w:val="clear" w:color="auto" w:fill="FFFFFF"/>
          <w:lang w:val="ru-RU"/>
        </w:rPr>
        <w:t>,</w:t>
      </w:r>
      <w:r w:rsidRPr="00E31139">
        <w:rPr>
          <w:rFonts w:ascii="Times New Roman" w:hAnsi="Times New Roman" w:cs="Times New Roman"/>
          <w:color w:val="000000"/>
          <w:sz w:val="24"/>
          <w:szCs w:val="24"/>
          <w:shd w:val="clear" w:color="auto" w:fill="FFFFFF"/>
          <w:lang w:val="ru-RU"/>
        </w:rPr>
        <w:t xml:space="preserve"> формируют 50% вклада в результат индекса; </w:t>
      </w:r>
    </w:p>
    <w:p w14:paraId="2085F125" w14:textId="77777777"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E31139">
        <w:rPr>
          <w:rFonts w:ascii="Times New Roman" w:hAnsi="Times New Roman" w:cs="Times New Roman"/>
          <w:color w:val="000000"/>
          <w:sz w:val="24"/>
          <w:szCs w:val="24"/>
          <w:shd w:val="clear" w:color="auto" w:fill="FFFFFF"/>
          <w:lang w:val="ru-RU"/>
        </w:rPr>
        <w:t>4) вследствие того, что экспертному мнению придаётся так</w:t>
      </w:r>
      <w:r>
        <w:rPr>
          <w:rFonts w:ascii="Times New Roman" w:hAnsi="Times New Roman" w:cs="Times New Roman"/>
          <w:color w:val="000000"/>
          <w:sz w:val="24"/>
          <w:szCs w:val="24"/>
          <w:shd w:val="clear" w:color="auto" w:fill="FFFFFF"/>
          <w:lang w:val="ru-RU"/>
        </w:rPr>
        <w:t>ое большое значение</w:t>
      </w:r>
      <w:r w:rsidRPr="00E31139">
        <w:rPr>
          <w:rFonts w:ascii="Times New Roman" w:hAnsi="Times New Roman" w:cs="Times New Roman"/>
          <w:color w:val="000000"/>
          <w:sz w:val="24"/>
          <w:szCs w:val="24"/>
          <w:shd w:val="clear" w:color="auto" w:fill="FFFFFF"/>
          <w:lang w:val="ru-RU"/>
        </w:rPr>
        <w:t>, складывается впечатление, что</w:t>
      </w:r>
      <w:r>
        <w:rPr>
          <w:rFonts w:ascii="Times New Roman" w:hAnsi="Times New Roman" w:cs="Times New Roman"/>
          <w:color w:val="000000"/>
          <w:sz w:val="24"/>
          <w:szCs w:val="24"/>
          <w:shd w:val="clear" w:color="auto" w:fill="FFFFFF"/>
          <w:lang w:val="ru-RU"/>
        </w:rPr>
        <w:t xml:space="preserve"> при составлении рейтингов</w:t>
      </w:r>
      <w:r w:rsidRPr="00E31139">
        <w:rPr>
          <w:rFonts w:ascii="Times New Roman" w:hAnsi="Times New Roman" w:cs="Times New Roman"/>
          <w:color w:val="000000"/>
          <w:sz w:val="24"/>
          <w:szCs w:val="24"/>
          <w:shd w:val="clear" w:color="auto" w:fill="FFFFFF"/>
          <w:lang w:val="ru-RU"/>
        </w:rPr>
        <w:t xml:space="preserve"> учитывает</w:t>
      </w:r>
      <w:r>
        <w:rPr>
          <w:rFonts w:ascii="Times New Roman" w:hAnsi="Times New Roman" w:cs="Times New Roman"/>
          <w:color w:val="000000"/>
          <w:sz w:val="24"/>
          <w:szCs w:val="24"/>
          <w:shd w:val="clear" w:color="auto" w:fill="FFFFFF"/>
          <w:lang w:val="ru-RU"/>
        </w:rPr>
        <w:t>ся</w:t>
      </w:r>
      <w:r w:rsidRPr="00E31139">
        <w:rPr>
          <w:rFonts w:ascii="Times New Roman" w:hAnsi="Times New Roman" w:cs="Times New Roman"/>
          <w:color w:val="000000"/>
          <w:sz w:val="24"/>
          <w:szCs w:val="24"/>
          <w:shd w:val="clear" w:color="auto" w:fill="FFFFFF"/>
          <w:lang w:val="ru-RU"/>
        </w:rPr>
        <w:t xml:space="preserve"> внешнеполитическая обстановка, в которой действуют граждане Великобритании (высокие оценки территорий, входящих в Британское Содружество, высокие оценки территорий, где действует </w:t>
      </w:r>
      <w:r>
        <w:rPr>
          <w:rFonts w:ascii="Times New Roman" w:hAnsi="Times New Roman" w:cs="Times New Roman"/>
          <w:color w:val="000000"/>
          <w:sz w:val="24"/>
          <w:szCs w:val="24"/>
          <w:shd w:val="clear" w:color="auto" w:fill="FFFFFF"/>
          <w:lang w:val="ru-RU"/>
        </w:rPr>
        <w:t>прецедентное</w:t>
      </w:r>
      <w:r w:rsidRPr="00E31139">
        <w:rPr>
          <w:rFonts w:ascii="Times New Roman" w:hAnsi="Times New Roman" w:cs="Times New Roman"/>
          <w:color w:val="000000"/>
          <w:sz w:val="24"/>
          <w:szCs w:val="24"/>
          <w:shd w:val="clear" w:color="auto" w:fill="FFFFFF"/>
          <w:lang w:val="ru-RU"/>
        </w:rPr>
        <w:t xml:space="preserve"> право (например, Дубай, Гонконг, Астана), учёт военно-политических блоков (например, НАТО). </w:t>
      </w:r>
    </w:p>
    <w:p w14:paraId="4D80C938" w14:textId="533FFFD3" w:rsidR="008338D9" w:rsidRPr="0077317D"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E31139">
        <w:rPr>
          <w:rFonts w:ascii="Times New Roman" w:hAnsi="Times New Roman" w:cs="Times New Roman"/>
          <w:color w:val="000000"/>
          <w:sz w:val="24"/>
          <w:szCs w:val="24"/>
          <w:shd w:val="clear" w:color="auto" w:fill="FFFFFF"/>
          <w:lang w:val="ru-RU"/>
        </w:rPr>
        <w:t xml:space="preserve">Можно сказать, что вследствие особенностей применяемой методики составления рейтинга некоторые страны получают менее высокие баллы, чем могли бы рассчитывать. </w:t>
      </w:r>
      <w:r>
        <w:rPr>
          <w:rFonts w:ascii="Times New Roman" w:hAnsi="Times New Roman" w:cs="Times New Roman"/>
          <w:color w:val="000000"/>
          <w:sz w:val="24"/>
          <w:szCs w:val="24"/>
          <w:shd w:val="clear" w:color="auto" w:fill="FFFFFF"/>
          <w:lang w:val="ru-RU"/>
        </w:rPr>
        <w:t xml:space="preserve">По сути своей бизнес-модели </w:t>
      </w:r>
      <w:r>
        <w:rPr>
          <w:rFonts w:ascii="Times New Roman" w:hAnsi="Times New Roman" w:cs="Times New Roman"/>
          <w:color w:val="000000"/>
          <w:sz w:val="24"/>
          <w:szCs w:val="24"/>
          <w:shd w:val="clear" w:color="auto" w:fill="FFFFFF"/>
        </w:rPr>
        <w:t>GFCI</w:t>
      </w:r>
      <w:r w:rsidRPr="0073417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и </w:t>
      </w:r>
      <w:r>
        <w:rPr>
          <w:rFonts w:ascii="Times New Roman" w:hAnsi="Times New Roman" w:cs="Times New Roman"/>
          <w:color w:val="000000"/>
          <w:sz w:val="24"/>
          <w:szCs w:val="24"/>
          <w:shd w:val="clear" w:color="auto" w:fill="FFFFFF"/>
        </w:rPr>
        <w:t>IFDI</w:t>
      </w:r>
      <w:r w:rsidRPr="0073417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можно назвать рекомендательными сервисами, аналогичными тем, что используются на порталах Кинопоиск и </w:t>
      </w:r>
      <w:r>
        <w:rPr>
          <w:rFonts w:ascii="Times New Roman" w:hAnsi="Times New Roman" w:cs="Times New Roman"/>
          <w:color w:val="000000"/>
          <w:sz w:val="24"/>
          <w:szCs w:val="24"/>
          <w:shd w:val="clear" w:color="auto" w:fill="FFFFFF"/>
        </w:rPr>
        <w:t>Netflix</w:t>
      </w:r>
      <w:r>
        <w:rPr>
          <w:rFonts w:ascii="Times New Roman" w:hAnsi="Times New Roman" w:cs="Times New Roman"/>
          <w:color w:val="000000"/>
          <w:sz w:val="24"/>
          <w:szCs w:val="24"/>
          <w:shd w:val="clear" w:color="auto" w:fill="FFFFFF"/>
          <w:lang w:val="ru-RU"/>
        </w:rPr>
        <w:t xml:space="preserve">. Особенностью подобной бизнес-модели является то, что создатель сервиса получает основной доход благодаря рекомендациям на продукт второго и третьего эшелона </w:t>
      </w:r>
      <w:r w:rsidRPr="0095758A">
        <w:rPr>
          <w:rFonts w:ascii="Times New Roman" w:hAnsi="Times New Roman" w:cs="Times New Roman"/>
          <w:color w:val="000000"/>
          <w:sz w:val="24"/>
          <w:szCs w:val="24"/>
          <w:lang w:val="ru-RU"/>
        </w:rPr>
        <w:t>[</w:t>
      </w:r>
      <w:r w:rsidRPr="0095758A">
        <w:rPr>
          <w:rFonts w:ascii="Times New Roman" w:hAnsi="Times New Roman" w:cs="Times New Roman"/>
          <w:color w:val="000000"/>
          <w:sz w:val="24"/>
          <w:szCs w:val="24"/>
          <w:lang w:val="ru-RU"/>
        </w:rPr>
        <w:fldChar w:fldCharType="begin"/>
      </w:r>
      <w:r w:rsidRPr="0095758A">
        <w:rPr>
          <w:rFonts w:ascii="Times New Roman" w:hAnsi="Times New Roman" w:cs="Times New Roman"/>
          <w:color w:val="000000"/>
          <w:sz w:val="24"/>
          <w:szCs w:val="24"/>
          <w:lang w:val="ru-RU"/>
        </w:rPr>
        <w:instrText xml:space="preserve"> REF _Ref136263953 \r \h  \* MERGEFORMAT </w:instrText>
      </w:r>
      <w:r w:rsidRPr="0095758A">
        <w:rPr>
          <w:rFonts w:ascii="Times New Roman" w:hAnsi="Times New Roman" w:cs="Times New Roman"/>
          <w:color w:val="000000"/>
          <w:sz w:val="24"/>
          <w:szCs w:val="24"/>
          <w:lang w:val="ru-RU"/>
        </w:rPr>
      </w:r>
      <w:r w:rsidRPr="0095758A">
        <w:rPr>
          <w:rFonts w:ascii="Times New Roman" w:hAnsi="Times New Roman" w:cs="Times New Roman"/>
          <w:color w:val="000000"/>
          <w:sz w:val="24"/>
          <w:szCs w:val="24"/>
          <w:lang w:val="ru-RU"/>
        </w:rPr>
        <w:fldChar w:fldCharType="separate"/>
      </w:r>
      <w:r w:rsidR="00801D78">
        <w:rPr>
          <w:rFonts w:ascii="Times New Roman" w:hAnsi="Times New Roman" w:cs="Times New Roman"/>
          <w:color w:val="000000"/>
          <w:sz w:val="24"/>
          <w:szCs w:val="24"/>
          <w:lang w:val="ru-RU"/>
        </w:rPr>
        <w:t>260</w:t>
      </w:r>
      <w:r w:rsidRPr="0095758A">
        <w:rPr>
          <w:rFonts w:ascii="Times New Roman" w:hAnsi="Times New Roman" w:cs="Times New Roman"/>
          <w:color w:val="000000"/>
          <w:sz w:val="24"/>
          <w:szCs w:val="24"/>
          <w:lang w:val="ru-RU"/>
        </w:rPr>
        <w:fldChar w:fldCharType="end"/>
      </w:r>
      <w:r w:rsidRPr="0095758A">
        <w:rPr>
          <w:rFonts w:ascii="Times New Roman" w:hAnsi="Times New Roman" w:cs="Times New Roman"/>
          <w:color w:val="000000"/>
          <w:sz w:val="24"/>
          <w:szCs w:val="24"/>
          <w:lang w:val="ru-RU"/>
        </w:rPr>
        <w:t>]:</w:t>
      </w:r>
      <w:r>
        <w:rPr>
          <w:rFonts w:ascii="Times New Roman" w:hAnsi="Times New Roman" w:cs="Times New Roman"/>
          <w:color w:val="000000"/>
          <w:sz w:val="24"/>
          <w:szCs w:val="24"/>
          <w:shd w:val="clear" w:color="auto" w:fill="FFFFFF"/>
          <w:lang w:val="ru-RU"/>
        </w:rPr>
        <w:t xml:space="preserve"> лидеры и так всем известны. Например, топ-4 в </w:t>
      </w:r>
      <w:r>
        <w:rPr>
          <w:rFonts w:ascii="Times New Roman" w:hAnsi="Times New Roman" w:cs="Times New Roman"/>
          <w:color w:val="000000"/>
          <w:sz w:val="24"/>
          <w:szCs w:val="24"/>
          <w:shd w:val="clear" w:color="auto" w:fill="FFFFFF"/>
        </w:rPr>
        <w:t>GFCI</w:t>
      </w:r>
      <w:r>
        <w:rPr>
          <w:rFonts w:ascii="Times New Roman" w:hAnsi="Times New Roman" w:cs="Times New Roman"/>
          <w:color w:val="000000"/>
          <w:sz w:val="24"/>
          <w:szCs w:val="24"/>
          <w:shd w:val="clear" w:color="auto" w:fill="FFFFFF"/>
          <w:lang w:val="ru-RU"/>
        </w:rPr>
        <w:t xml:space="preserve"> не менялся на протяжении 10 лет. Вопрос же, кто лидирует в рейтинге (Лондон или Нью-Йорк) решался, вероятно, политически, а не вследствие скрупулёзных расчётов. </w:t>
      </w:r>
    </w:p>
    <w:p w14:paraId="60B44CB2" w14:textId="4CB7E5FB"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Если рейтинги МФЦ являются рекомендательными сервисами, то нужно учесть, что в коммерческих рекомендательных сервисах, помимо единого рейтинга топ-100, программа предлагает уникальные рекомендации с использованием искусственного интеллекта, прошедшего машинное обучение. Если пользователю ранее понравились продукты «А» и «Б», то он попадает в категорию пользователей, которые также высоко оценили продукт «В», и есть большая вероятность, что он также его высоко оценит. Самые популярные рейтинги в сфере МФЦ ещё не достигли такой степени проработки, и это является направлением для дальнейшего их совершенствования. Таким образом, среди экспертов из Москвы или иного центра </w:t>
      </w:r>
      <w:r w:rsidR="00B05AAE">
        <w:rPr>
          <w:rFonts w:ascii="Times New Roman" w:hAnsi="Times New Roman" w:cs="Times New Roman"/>
          <w:color w:val="000000"/>
          <w:sz w:val="24"/>
          <w:szCs w:val="24"/>
          <w:shd w:val="clear" w:color="auto" w:fill="FFFFFF"/>
          <w:lang w:val="ru-RU"/>
        </w:rPr>
        <w:t>в странах</w:t>
      </w:r>
      <w:r w:rsidR="00E54A81">
        <w:rPr>
          <w:rFonts w:ascii="Times New Roman" w:hAnsi="Times New Roman" w:cs="Times New Roman"/>
          <w:color w:val="000000"/>
          <w:sz w:val="24"/>
          <w:szCs w:val="24"/>
          <w:shd w:val="clear" w:color="auto" w:fill="FFFFFF"/>
          <w:lang w:val="ru-RU"/>
        </w:rPr>
        <w:t xml:space="preserve"> с</w:t>
      </w:r>
      <w:r>
        <w:rPr>
          <w:rFonts w:ascii="Times New Roman" w:hAnsi="Times New Roman" w:cs="Times New Roman"/>
          <w:color w:val="000000"/>
          <w:sz w:val="24"/>
          <w:szCs w:val="24"/>
          <w:shd w:val="clear" w:color="auto" w:fill="FFFFFF"/>
          <w:lang w:val="ru-RU"/>
        </w:rPr>
        <w:t xml:space="preserve"> формирующ</w:t>
      </w:r>
      <w:r w:rsidR="00B05AAE">
        <w:rPr>
          <w:rFonts w:ascii="Times New Roman" w:hAnsi="Times New Roman" w:cs="Times New Roman"/>
          <w:color w:val="000000"/>
          <w:sz w:val="24"/>
          <w:szCs w:val="24"/>
          <w:shd w:val="clear" w:color="auto" w:fill="FFFFFF"/>
          <w:lang w:val="ru-RU"/>
        </w:rPr>
        <w:t>им</w:t>
      </w:r>
      <w:r>
        <w:rPr>
          <w:rFonts w:ascii="Times New Roman" w:hAnsi="Times New Roman" w:cs="Times New Roman"/>
          <w:color w:val="000000"/>
          <w:sz w:val="24"/>
          <w:szCs w:val="24"/>
          <w:shd w:val="clear" w:color="auto" w:fill="FFFFFF"/>
          <w:lang w:val="ru-RU"/>
        </w:rPr>
        <w:t xml:space="preserve">ся </w:t>
      </w:r>
      <w:r w:rsidR="00B05AAE">
        <w:rPr>
          <w:rFonts w:ascii="Times New Roman" w:hAnsi="Times New Roman" w:cs="Times New Roman"/>
          <w:color w:val="000000"/>
          <w:sz w:val="24"/>
          <w:szCs w:val="24"/>
          <w:shd w:val="clear" w:color="auto" w:fill="FFFFFF"/>
          <w:lang w:val="ru-RU"/>
        </w:rPr>
        <w:t>рынком</w:t>
      </w:r>
      <w:r>
        <w:rPr>
          <w:rFonts w:ascii="Times New Roman" w:hAnsi="Times New Roman" w:cs="Times New Roman"/>
          <w:color w:val="000000"/>
          <w:sz w:val="24"/>
          <w:szCs w:val="24"/>
          <w:shd w:val="clear" w:color="auto" w:fill="FFFFFF"/>
          <w:lang w:val="ru-RU"/>
        </w:rPr>
        <w:t xml:space="preserve"> мог бы пользоваться популярностью рекомендательный сервис для ведения бизнеса в сфере финансов, который учитывал бы их особенности (например, распространённость русского языка, кодифицированное право, евроазиатский регион т. д.).</w:t>
      </w:r>
    </w:p>
    <w:p w14:paraId="7FEF4351" w14:textId="6DF8B577"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lastRenderedPageBreak/>
        <w:t xml:space="preserve">Одной из особенностей центров, </w:t>
      </w:r>
      <w:r w:rsidR="00225BFE">
        <w:rPr>
          <w:rFonts w:ascii="Times New Roman" w:hAnsi="Times New Roman" w:cs="Times New Roman"/>
          <w:color w:val="000000"/>
          <w:sz w:val="24"/>
          <w:szCs w:val="24"/>
          <w:shd w:val="clear" w:color="auto" w:fill="FFFFFF"/>
          <w:lang w:val="ru-RU"/>
        </w:rPr>
        <w:t>находящихся</w:t>
      </w:r>
      <w:r>
        <w:rPr>
          <w:rFonts w:ascii="Times New Roman" w:hAnsi="Times New Roman" w:cs="Times New Roman"/>
          <w:color w:val="000000"/>
          <w:sz w:val="24"/>
          <w:szCs w:val="24"/>
          <w:shd w:val="clear" w:color="auto" w:fill="FFFFFF"/>
          <w:lang w:val="ru-RU"/>
        </w:rPr>
        <w:t xml:space="preserve"> </w:t>
      </w:r>
      <w:r w:rsidR="00225BFE">
        <w:rPr>
          <w:rFonts w:ascii="Times New Roman" w:hAnsi="Times New Roman" w:cs="Times New Roman"/>
          <w:color w:val="000000"/>
          <w:sz w:val="24"/>
          <w:szCs w:val="24"/>
          <w:shd w:val="clear" w:color="auto" w:fill="FFFFFF"/>
          <w:lang w:val="ru-RU"/>
        </w:rPr>
        <w:t>в странах</w:t>
      </w:r>
      <w:r>
        <w:rPr>
          <w:rFonts w:ascii="Times New Roman" w:hAnsi="Times New Roman" w:cs="Times New Roman"/>
          <w:color w:val="000000"/>
          <w:sz w:val="24"/>
          <w:szCs w:val="24"/>
          <w:shd w:val="clear" w:color="auto" w:fill="FFFFFF"/>
          <w:lang w:val="ru-RU"/>
        </w:rPr>
        <w:t xml:space="preserve"> </w:t>
      </w:r>
      <w:r w:rsidR="00225BFE">
        <w:rPr>
          <w:rFonts w:ascii="Times New Roman" w:hAnsi="Times New Roman" w:cs="Times New Roman"/>
          <w:color w:val="000000"/>
          <w:sz w:val="24"/>
          <w:szCs w:val="24"/>
          <w:shd w:val="clear" w:color="auto" w:fill="FFFFFF"/>
          <w:lang w:val="ru-RU"/>
        </w:rPr>
        <w:t xml:space="preserve">с </w:t>
      </w:r>
      <w:r>
        <w:rPr>
          <w:rFonts w:ascii="Times New Roman" w:hAnsi="Times New Roman" w:cs="Times New Roman"/>
          <w:color w:val="000000"/>
          <w:sz w:val="24"/>
          <w:szCs w:val="24"/>
          <w:shd w:val="clear" w:color="auto" w:fill="FFFFFF"/>
          <w:lang w:val="ru-RU"/>
        </w:rPr>
        <w:t>формирующимся рынк</w:t>
      </w:r>
      <w:r w:rsidR="00225BFE">
        <w:rPr>
          <w:rFonts w:ascii="Times New Roman" w:hAnsi="Times New Roman" w:cs="Times New Roman"/>
          <w:color w:val="000000"/>
          <w:sz w:val="24"/>
          <w:szCs w:val="24"/>
          <w:shd w:val="clear" w:color="auto" w:fill="FFFFFF"/>
          <w:lang w:val="ru-RU"/>
        </w:rPr>
        <w:t>ом</w:t>
      </w:r>
      <w:r>
        <w:rPr>
          <w:rFonts w:ascii="Times New Roman" w:hAnsi="Times New Roman" w:cs="Times New Roman"/>
          <w:color w:val="000000"/>
          <w:sz w:val="24"/>
          <w:szCs w:val="24"/>
          <w:shd w:val="clear" w:color="auto" w:fill="FFFFFF"/>
          <w:lang w:val="ru-RU"/>
        </w:rPr>
        <w:t>, является большое влияние офшорных центров. Рассмотрим для примера диаграмму основных стран-инвесторов в Москву, Санкт-Петербург и Россию, составленную на основе данных Банка России по итогам 2021 года (после 01.01.2022 года данные по прямым иностранным инвестициям не</w:t>
      </w:r>
      <w:r>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lang w:val="ru-RU"/>
        </w:rPr>
        <w:t xml:space="preserve">публиковались Банком России по соображениям безопасности): </w:t>
      </w:r>
    </w:p>
    <w:p w14:paraId="18F687E5" w14:textId="77777777" w:rsidR="008338D9" w:rsidRDefault="008338D9" w:rsidP="008338D9">
      <w:pPr>
        <w:spacing w:before="100" w:beforeAutospacing="1" w:after="100" w:line="360" w:lineRule="auto"/>
        <w:contextualSpacing/>
        <w:jc w:val="center"/>
        <w:rPr>
          <w:rFonts w:ascii="Times New Roman" w:hAnsi="Times New Roman" w:cs="Times New Roman"/>
          <w:color w:val="000000"/>
          <w:sz w:val="24"/>
          <w:szCs w:val="24"/>
          <w:shd w:val="clear" w:color="auto" w:fill="FFFFFF"/>
          <w:lang w:val="ru-RU"/>
        </w:rPr>
      </w:pPr>
      <w:r>
        <w:rPr>
          <w:rFonts w:ascii="Times New Roman" w:hAnsi="Times New Roman" w:cs="Times New Roman"/>
          <w:noProof/>
          <w:color w:val="000000"/>
          <w:sz w:val="24"/>
          <w:szCs w:val="24"/>
          <w:shd w:val="clear" w:color="auto" w:fill="FFFFFF"/>
          <w:lang w:val="ru-RU" w:eastAsia="ru-RU" w:bidi="ar-SA"/>
        </w:rPr>
        <w:drawing>
          <wp:inline distT="0" distB="0" distL="0" distR="0" wp14:anchorId="6D2E3652" wp14:editId="20E6C6CD">
            <wp:extent cx="5404981" cy="2283810"/>
            <wp:effectExtent l="0" t="0" r="571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8919" cy="2293925"/>
                    </a:xfrm>
                    <a:prstGeom prst="rect">
                      <a:avLst/>
                    </a:prstGeom>
                    <a:noFill/>
                    <a:ln>
                      <a:noFill/>
                    </a:ln>
                  </pic:spPr>
                </pic:pic>
              </a:graphicData>
            </a:graphic>
          </wp:inline>
        </w:drawing>
      </w:r>
    </w:p>
    <w:p w14:paraId="44C80D45" w14:textId="69796956" w:rsidR="008338D9" w:rsidRPr="0095758A" w:rsidRDefault="008338D9" w:rsidP="008338D9">
      <w:pPr>
        <w:spacing w:after="0" w:line="360" w:lineRule="auto"/>
        <w:ind w:firstLine="709"/>
        <w:contextualSpacing/>
        <w:rPr>
          <w:rFonts w:ascii="Times New Roman" w:hAnsi="Times New Roman" w:cs="Times New Roman"/>
          <w:color w:val="000000"/>
          <w:sz w:val="24"/>
          <w:szCs w:val="24"/>
          <w:shd w:val="clear" w:color="auto" w:fill="FFFFFF"/>
          <w:lang w:val="ru-RU"/>
        </w:rPr>
      </w:pPr>
      <w:r w:rsidRPr="00BB196B">
        <w:rPr>
          <w:rStyle w:val="16"/>
        </w:rPr>
        <w:t>Рис</w:t>
      </w:r>
      <w:r>
        <w:rPr>
          <w:rStyle w:val="16"/>
        </w:rPr>
        <w:t>.</w:t>
      </w:r>
      <w:r w:rsidRPr="00BB196B">
        <w:rPr>
          <w:rStyle w:val="16"/>
        </w:rPr>
        <w:t xml:space="preserve"> </w:t>
      </w:r>
      <w:r w:rsidR="006978F8">
        <w:rPr>
          <w:rStyle w:val="16"/>
        </w:rPr>
        <w:t>5</w:t>
      </w:r>
      <w:r w:rsidRPr="00BB196B">
        <w:rPr>
          <w:rStyle w:val="16"/>
        </w:rPr>
        <w:t>.</w:t>
      </w:r>
      <w:r>
        <w:rPr>
          <w:rFonts w:ascii="Times New Roman" w:hAnsi="Times New Roman" w:cs="Times New Roman"/>
          <w:color w:val="000000"/>
          <w:sz w:val="24"/>
          <w:szCs w:val="24"/>
          <w:shd w:val="clear" w:color="auto" w:fill="FFFFFF"/>
          <w:lang w:val="ru-RU"/>
        </w:rPr>
        <w:t xml:space="preserve"> Составлено автором по данным Банка России</w:t>
      </w:r>
      <w:r w:rsidRPr="0095758A">
        <w:rPr>
          <w:rFonts w:ascii="Times New Roman" w:hAnsi="Times New Roman" w:cs="Times New Roman"/>
          <w:color w:val="000000"/>
          <w:sz w:val="24"/>
          <w:szCs w:val="24"/>
          <w:shd w:val="clear" w:color="auto" w:fill="FFFFFF"/>
          <w:lang w:val="ru-RU"/>
        </w:rPr>
        <w:t>.</w:t>
      </w:r>
    </w:p>
    <w:p w14:paraId="49B1E8EE" w14:textId="2572684B" w:rsidR="008338D9" w:rsidRPr="00FE08C4"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sidRPr="009C7C7B">
        <w:rPr>
          <w:rFonts w:ascii="Times New Roman" w:hAnsi="Times New Roman" w:cs="Times New Roman"/>
          <w:color w:val="000000"/>
          <w:sz w:val="24"/>
          <w:szCs w:val="24"/>
          <w:shd w:val="clear" w:color="auto" w:fill="FFFFFF"/>
          <w:lang w:val="ru-RU"/>
        </w:rPr>
        <w:t xml:space="preserve">Из представленных выше стран-партнеров с наибольшими накопленными </w:t>
      </w:r>
      <w:r>
        <w:rPr>
          <w:rFonts w:ascii="Times New Roman" w:hAnsi="Times New Roman" w:cs="Times New Roman"/>
          <w:color w:val="000000"/>
          <w:sz w:val="24"/>
          <w:szCs w:val="24"/>
          <w:shd w:val="clear" w:color="auto" w:fill="FFFFFF"/>
          <w:lang w:val="ru-RU"/>
        </w:rPr>
        <w:t>прямыми иностранными инвестициями</w:t>
      </w:r>
      <w:r w:rsidRPr="009C7C7B">
        <w:rPr>
          <w:rFonts w:ascii="Times New Roman" w:hAnsi="Times New Roman" w:cs="Times New Roman"/>
          <w:color w:val="000000"/>
          <w:sz w:val="24"/>
          <w:szCs w:val="24"/>
          <w:shd w:val="clear" w:color="auto" w:fill="FFFFFF"/>
          <w:lang w:val="ru-RU"/>
        </w:rPr>
        <w:t xml:space="preserve"> можно отдельно выделить офшорные страны (Кипр, Бермуды, Багамы, Британские Виргинские острова), а также страны с облегченным налоговым режимом (Люксембург, Нидерланды, Швейцария). Их доля колеблется в пределах</w:t>
      </w:r>
      <w:r w:rsidRPr="000B2CCC">
        <w:rPr>
          <w:rFonts w:ascii="Times New Roman" w:hAnsi="Times New Roman" w:cs="Times New Roman"/>
          <w:color w:val="000000"/>
          <w:sz w:val="24"/>
          <w:szCs w:val="24"/>
          <w:shd w:val="clear" w:color="auto" w:fill="FFFFFF"/>
          <w:lang w:val="ru-RU"/>
        </w:rPr>
        <w:t xml:space="preserve"> </w:t>
      </w:r>
      <w:r w:rsidRPr="009C7C7B">
        <w:rPr>
          <w:rFonts w:ascii="Times New Roman" w:hAnsi="Times New Roman" w:cs="Times New Roman"/>
          <w:color w:val="000000"/>
          <w:sz w:val="24"/>
          <w:szCs w:val="24"/>
          <w:shd w:val="clear" w:color="auto" w:fill="FFFFFF"/>
          <w:lang w:val="ru-RU"/>
        </w:rPr>
        <w:t>49–61%. Весьма вероятно, что инвесторы, использующие режимы этих стран, предпочли скрыть свое резидентство. Оно может быть в том числе и российским.</w:t>
      </w:r>
      <w:r>
        <w:rPr>
          <w:rFonts w:ascii="Times New Roman" w:hAnsi="Times New Roman" w:cs="Times New Roman"/>
          <w:color w:val="000000"/>
          <w:sz w:val="24"/>
          <w:szCs w:val="24"/>
          <w:shd w:val="clear" w:color="auto" w:fill="FFFFFF"/>
          <w:lang w:val="ru-RU"/>
        </w:rPr>
        <w:t xml:space="preserve"> А. Н. Михайлин подсчитал, что на конец 2014 года из 500 крупнейших компаний РФ «только 239 были чисто российскими юридическими лицами, в том числе 87 – госкомпаниями, которым запрещено иметь офшорных владельцев по статусу». Соответственно, у остальных 261 компаний материнскими компаниями были: 1) 183 компании – зарегистрированы в офшорных юрисдикциях, 2) 38 компаний – не предназначены для ведения хозяйственной деятельности в государстве национальной принадлежности, 3) 40 компаний – не раскрыли свою юрисдикцию </w:t>
      </w:r>
      <w:r w:rsidRPr="00A66B47">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rPr>
        <w:fldChar w:fldCharType="begin"/>
      </w:r>
      <w:r w:rsidRPr="00A66B47">
        <w:rPr>
          <w:rFonts w:ascii="Times New Roman" w:hAnsi="Times New Roman" w:cs="Times New Roman"/>
          <w:color w:val="000000"/>
          <w:sz w:val="24"/>
          <w:szCs w:val="24"/>
          <w:shd w:val="clear" w:color="auto" w:fill="FFFFFF"/>
          <w:lang w:val="ru-RU"/>
        </w:rPr>
        <w:instrText xml:space="preserve"> </w:instrText>
      </w:r>
      <w:r>
        <w:rPr>
          <w:rFonts w:ascii="Times New Roman" w:hAnsi="Times New Roman" w:cs="Times New Roman"/>
          <w:color w:val="000000"/>
          <w:sz w:val="24"/>
          <w:szCs w:val="24"/>
          <w:shd w:val="clear" w:color="auto" w:fill="FFFFFF"/>
        </w:rPr>
        <w:instrText>REF</w:instrText>
      </w:r>
      <w:r w:rsidRPr="00A66B47">
        <w:rPr>
          <w:rFonts w:ascii="Times New Roman" w:hAnsi="Times New Roman" w:cs="Times New Roman"/>
          <w:color w:val="000000"/>
          <w:sz w:val="24"/>
          <w:szCs w:val="24"/>
          <w:shd w:val="clear" w:color="auto" w:fill="FFFFFF"/>
          <w:lang w:val="ru-RU"/>
        </w:rPr>
        <w:instrText xml:space="preserve"> _</w:instrText>
      </w:r>
      <w:r>
        <w:rPr>
          <w:rFonts w:ascii="Times New Roman" w:hAnsi="Times New Roman" w:cs="Times New Roman"/>
          <w:color w:val="000000"/>
          <w:sz w:val="24"/>
          <w:szCs w:val="24"/>
          <w:shd w:val="clear" w:color="auto" w:fill="FFFFFF"/>
        </w:rPr>
        <w:instrText>Ref</w:instrText>
      </w:r>
      <w:r w:rsidRPr="00A66B47">
        <w:rPr>
          <w:rFonts w:ascii="Times New Roman" w:hAnsi="Times New Roman" w:cs="Times New Roman"/>
          <w:color w:val="000000"/>
          <w:sz w:val="24"/>
          <w:szCs w:val="24"/>
          <w:shd w:val="clear" w:color="auto" w:fill="FFFFFF"/>
          <w:lang w:val="ru-RU"/>
        </w:rPr>
        <w:instrText>136181583 \</w:instrText>
      </w:r>
      <w:r>
        <w:rPr>
          <w:rFonts w:ascii="Times New Roman" w:hAnsi="Times New Roman" w:cs="Times New Roman"/>
          <w:color w:val="000000"/>
          <w:sz w:val="24"/>
          <w:szCs w:val="24"/>
          <w:shd w:val="clear" w:color="auto" w:fill="FFFFFF"/>
        </w:rPr>
        <w:instrText>r</w:instrText>
      </w:r>
      <w:r w:rsidRPr="00A66B47">
        <w:rPr>
          <w:rFonts w:ascii="Times New Roman" w:hAnsi="Times New Roman" w:cs="Times New Roman"/>
          <w:color w:val="000000"/>
          <w:sz w:val="24"/>
          <w:szCs w:val="24"/>
          <w:shd w:val="clear" w:color="auto" w:fill="FFFFFF"/>
          <w:lang w:val="ru-RU"/>
        </w:rPr>
        <w:instrText xml:space="preserve"> \</w:instrText>
      </w:r>
      <w:r>
        <w:rPr>
          <w:rFonts w:ascii="Times New Roman" w:hAnsi="Times New Roman" w:cs="Times New Roman"/>
          <w:color w:val="000000"/>
          <w:sz w:val="24"/>
          <w:szCs w:val="24"/>
          <w:shd w:val="clear" w:color="auto" w:fill="FFFFFF"/>
        </w:rPr>
        <w:instrText>h</w:instrText>
      </w:r>
      <w:r w:rsidRPr="00A66B47">
        <w:rPr>
          <w:rFonts w:ascii="Times New Roman" w:hAnsi="Times New Roman" w:cs="Times New Roman"/>
          <w:color w:val="000000"/>
          <w:sz w:val="24"/>
          <w:szCs w:val="24"/>
          <w:shd w:val="clear" w:color="auto" w:fill="FFFFFF"/>
          <w:lang w:val="ru-RU"/>
        </w:rPr>
        <w:instrText xml:space="preserve"> </w:instrText>
      </w:r>
      <w:r>
        <w:rPr>
          <w:rFonts w:ascii="Times New Roman" w:hAnsi="Times New Roman" w:cs="Times New Roman"/>
          <w:color w:val="000000"/>
          <w:sz w:val="24"/>
          <w:szCs w:val="24"/>
          <w:shd w:val="clear" w:color="auto" w:fill="FFFFFF"/>
        </w:rPr>
      </w:r>
      <w:r>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106</w:t>
      </w:r>
      <w:r>
        <w:rPr>
          <w:rFonts w:ascii="Times New Roman" w:hAnsi="Times New Roman" w:cs="Times New Roman"/>
          <w:color w:val="000000"/>
          <w:sz w:val="24"/>
          <w:szCs w:val="24"/>
          <w:shd w:val="clear" w:color="auto" w:fill="FFFFFF"/>
        </w:rPr>
        <w:fldChar w:fldCharType="end"/>
      </w:r>
      <w:r w:rsidRPr="00A66B47">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c</w:t>
      </w:r>
      <w:r w:rsidRPr="00A66B47">
        <w:rPr>
          <w:rFonts w:ascii="Times New Roman" w:hAnsi="Times New Roman" w:cs="Times New Roman"/>
          <w:color w:val="000000"/>
          <w:sz w:val="24"/>
          <w:szCs w:val="24"/>
          <w:shd w:val="clear" w:color="auto" w:fill="FFFFFF"/>
          <w:lang w:val="ru-RU"/>
        </w:rPr>
        <w:t xml:space="preserve">. 27]. </w:t>
      </w:r>
      <w:r>
        <w:rPr>
          <w:rFonts w:ascii="Times New Roman" w:hAnsi="Times New Roman" w:cs="Times New Roman"/>
          <w:color w:val="000000"/>
          <w:sz w:val="24"/>
          <w:szCs w:val="24"/>
          <w:shd w:val="clear" w:color="auto" w:fill="FFFFFF"/>
          <w:lang w:val="ru-RU"/>
        </w:rPr>
        <w:t>То есть проблема заключается в том, что контроль над стратегическими (часто сырьевыми) активами России переходит под иностранную юрисдикцию. Владельцами часто остаются граждане России, которые при введении соответствующих требований стараются избавится от статуса российского налогового резидента, который обязывает заплатить российский НДФЛ с офшорных активов</w:t>
      </w:r>
      <w:r w:rsidRPr="00CC34F3">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fldChar w:fldCharType="begin"/>
      </w:r>
      <w:r w:rsidRPr="00A66B47">
        <w:rPr>
          <w:rFonts w:ascii="Times New Roman" w:hAnsi="Times New Roman" w:cs="Times New Roman"/>
          <w:color w:val="000000"/>
          <w:sz w:val="24"/>
          <w:szCs w:val="24"/>
          <w:shd w:val="clear" w:color="auto" w:fill="FFFFFF"/>
          <w:lang w:val="ru-RU"/>
        </w:rPr>
        <w:instrText xml:space="preserve"> </w:instrText>
      </w:r>
      <w:r>
        <w:rPr>
          <w:rFonts w:ascii="Times New Roman" w:hAnsi="Times New Roman" w:cs="Times New Roman"/>
          <w:color w:val="000000"/>
          <w:sz w:val="24"/>
          <w:szCs w:val="24"/>
          <w:shd w:val="clear" w:color="auto" w:fill="FFFFFF"/>
        </w:rPr>
        <w:instrText>REF</w:instrText>
      </w:r>
      <w:r w:rsidRPr="00A66B47">
        <w:rPr>
          <w:rFonts w:ascii="Times New Roman" w:hAnsi="Times New Roman" w:cs="Times New Roman"/>
          <w:color w:val="000000"/>
          <w:sz w:val="24"/>
          <w:szCs w:val="24"/>
          <w:shd w:val="clear" w:color="auto" w:fill="FFFFFF"/>
          <w:lang w:val="ru-RU"/>
        </w:rPr>
        <w:instrText xml:space="preserve"> _</w:instrText>
      </w:r>
      <w:r>
        <w:rPr>
          <w:rFonts w:ascii="Times New Roman" w:hAnsi="Times New Roman" w:cs="Times New Roman"/>
          <w:color w:val="000000"/>
          <w:sz w:val="24"/>
          <w:szCs w:val="24"/>
          <w:shd w:val="clear" w:color="auto" w:fill="FFFFFF"/>
        </w:rPr>
        <w:instrText>Ref</w:instrText>
      </w:r>
      <w:r w:rsidRPr="00A66B47">
        <w:rPr>
          <w:rFonts w:ascii="Times New Roman" w:hAnsi="Times New Roman" w:cs="Times New Roman"/>
          <w:color w:val="000000"/>
          <w:sz w:val="24"/>
          <w:szCs w:val="24"/>
          <w:shd w:val="clear" w:color="auto" w:fill="FFFFFF"/>
          <w:lang w:val="ru-RU"/>
        </w:rPr>
        <w:instrText>136181583 \</w:instrText>
      </w:r>
      <w:r>
        <w:rPr>
          <w:rFonts w:ascii="Times New Roman" w:hAnsi="Times New Roman" w:cs="Times New Roman"/>
          <w:color w:val="000000"/>
          <w:sz w:val="24"/>
          <w:szCs w:val="24"/>
          <w:shd w:val="clear" w:color="auto" w:fill="FFFFFF"/>
        </w:rPr>
        <w:instrText>r</w:instrText>
      </w:r>
      <w:r w:rsidRPr="00A66B47">
        <w:rPr>
          <w:rFonts w:ascii="Times New Roman" w:hAnsi="Times New Roman" w:cs="Times New Roman"/>
          <w:color w:val="000000"/>
          <w:sz w:val="24"/>
          <w:szCs w:val="24"/>
          <w:shd w:val="clear" w:color="auto" w:fill="FFFFFF"/>
          <w:lang w:val="ru-RU"/>
        </w:rPr>
        <w:instrText xml:space="preserve"> \</w:instrText>
      </w:r>
      <w:r>
        <w:rPr>
          <w:rFonts w:ascii="Times New Roman" w:hAnsi="Times New Roman" w:cs="Times New Roman"/>
          <w:color w:val="000000"/>
          <w:sz w:val="24"/>
          <w:szCs w:val="24"/>
          <w:shd w:val="clear" w:color="auto" w:fill="FFFFFF"/>
        </w:rPr>
        <w:instrText>h</w:instrText>
      </w:r>
      <w:r w:rsidRPr="00A66B47">
        <w:rPr>
          <w:rFonts w:ascii="Times New Roman" w:hAnsi="Times New Roman" w:cs="Times New Roman"/>
          <w:color w:val="000000"/>
          <w:sz w:val="24"/>
          <w:szCs w:val="24"/>
          <w:shd w:val="clear" w:color="auto" w:fill="FFFFFF"/>
          <w:lang w:val="ru-RU"/>
        </w:rPr>
        <w:instrText xml:space="preserve"> </w:instrText>
      </w:r>
      <w:r>
        <w:rPr>
          <w:rFonts w:ascii="Times New Roman" w:hAnsi="Times New Roman" w:cs="Times New Roman"/>
          <w:color w:val="000000"/>
          <w:sz w:val="24"/>
          <w:szCs w:val="24"/>
          <w:shd w:val="clear" w:color="auto" w:fill="FFFFFF"/>
        </w:rPr>
      </w:r>
      <w:r>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106</w:t>
      </w:r>
      <w:r>
        <w:rPr>
          <w:rFonts w:ascii="Times New Roman" w:hAnsi="Times New Roman" w:cs="Times New Roman"/>
          <w:color w:val="000000"/>
          <w:sz w:val="24"/>
          <w:szCs w:val="24"/>
          <w:shd w:val="clear" w:color="auto" w:fill="FFFFFF"/>
        </w:rPr>
        <w:fldChar w:fldCharType="end"/>
      </w:r>
      <w:r w:rsidRPr="00A66B47">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w:t>
      </w:r>
      <w:r>
        <w:rPr>
          <w:rFonts w:ascii="Times New Roman" w:hAnsi="Times New Roman" w:cs="Times New Roman"/>
          <w:color w:val="000000"/>
          <w:sz w:val="24"/>
          <w:szCs w:val="24"/>
          <w:shd w:val="clear" w:color="auto" w:fill="FFFFFF"/>
        </w:rPr>
        <w:t>c</w:t>
      </w:r>
      <w:r w:rsidRPr="00CC34F3">
        <w:rPr>
          <w:rFonts w:ascii="Times New Roman" w:hAnsi="Times New Roman" w:cs="Times New Roman"/>
          <w:color w:val="000000"/>
          <w:sz w:val="24"/>
          <w:szCs w:val="24"/>
          <w:shd w:val="clear" w:color="auto" w:fill="FFFFFF"/>
          <w:lang w:val="ru-RU"/>
        </w:rPr>
        <w:t>. 28–29]</w:t>
      </w:r>
      <w:r>
        <w:rPr>
          <w:rFonts w:ascii="Times New Roman" w:hAnsi="Times New Roman" w:cs="Times New Roman"/>
          <w:color w:val="000000"/>
          <w:sz w:val="24"/>
          <w:szCs w:val="24"/>
          <w:shd w:val="clear" w:color="auto" w:fill="FFFFFF"/>
          <w:lang w:val="ru-RU"/>
        </w:rPr>
        <w:t xml:space="preserve">. Почти весь российский список Форбс – это «офшорные миллиардеры»: В. О. Потанин (владелец «Норильского никеля» с помощью офшора </w:t>
      </w:r>
      <w:r>
        <w:rPr>
          <w:rFonts w:ascii="Times New Roman" w:hAnsi="Times New Roman" w:cs="Times New Roman"/>
          <w:color w:val="000000"/>
          <w:sz w:val="24"/>
          <w:szCs w:val="24"/>
          <w:shd w:val="clear" w:color="auto" w:fill="FFFFFF"/>
        </w:rPr>
        <w:t>Bonico</w:t>
      </w:r>
      <w:r w:rsidRPr="00B128E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Holding</w:t>
      </w:r>
      <w:r w:rsidRPr="0014798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ранее Кипр)</w:t>
      </w:r>
      <w:r w:rsidRPr="00B128E9">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О. В. Дерипаска (владелец </w:t>
      </w:r>
      <w:r>
        <w:rPr>
          <w:rFonts w:ascii="Times New Roman" w:hAnsi="Times New Roman" w:cs="Times New Roman"/>
          <w:color w:val="000000"/>
          <w:sz w:val="24"/>
          <w:szCs w:val="24"/>
          <w:shd w:val="clear" w:color="auto" w:fill="FFFFFF"/>
        </w:rPr>
        <w:t>Gershvin</w:t>
      </w:r>
      <w:r w:rsidRPr="0014798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Investments</w:t>
      </w:r>
      <w:r w:rsidRPr="0014798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Corp</w:t>
      </w:r>
      <w:r w:rsidRPr="0014798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Ltd</w:t>
      </w:r>
      <w:r w:rsidRPr="0014798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Кипр), М. Д. Прохоров </w:t>
      </w:r>
      <w:r>
        <w:rPr>
          <w:rFonts w:ascii="Times New Roman" w:hAnsi="Times New Roman" w:cs="Times New Roman"/>
          <w:color w:val="000000"/>
          <w:sz w:val="24"/>
          <w:szCs w:val="24"/>
          <w:shd w:val="clear" w:color="auto" w:fill="FFFFFF"/>
          <w:lang w:val="ru-RU"/>
        </w:rPr>
        <w:lastRenderedPageBreak/>
        <w:t>(</w:t>
      </w:r>
      <w:r>
        <w:rPr>
          <w:rFonts w:ascii="Times New Roman" w:hAnsi="Times New Roman" w:cs="Times New Roman"/>
          <w:color w:val="000000"/>
          <w:sz w:val="24"/>
          <w:szCs w:val="24"/>
          <w:shd w:val="clear" w:color="auto" w:fill="FFFFFF"/>
        </w:rPr>
        <w:t>Coverico</w:t>
      </w:r>
      <w:r>
        <w:rPr>
          <w:rFonts w:ascii="Times New Roman" w:hAnsi="Times New Roman" w:cs="Times New Roman"/>
          <w:color w:val="000000"/>
          <w:sz w:val="24"/>
          <w:szCs w:val="24"/>
          <w:shd w:val="clear" w:color="auto" w:fill="FFFFFF"/>
          <w:lang w:val="ru-RU"/>
        </w:rPr>
        <w:t> </w:t>
      </w:r>
      <w:r>
        <w:rPr>
          <w:rFonts w:ascii="Times New Roman" w:hAnsi="Times New Roman" w:cs="Times New Roman"/>
          <w:color w:val="000000"/>
          <w:sz w:val="24"/>
          <w:szCs w:val="24"/>
          <w:shd w:val="clear" w:color="auto" w:fill="FFFFFF"/>
        </w:rPr>
        <w:t>Holdings</w:t>
      </w:r>
      <w:r>
        <w:rPr>
          <w:rFonts w:ascii="Times New Roman" w:hAnsi="Times New Roman" w:cs="Times New Roman"/>
          <w:color w:val="000000"/>
          <w:sz w:val="24"/>
          <w:szCs w:val="24"/>
          <w:shd w:val="clear" w:color="auto" w:fill="FFFFFF"/>
          <w:lang w:val="ru-RU"/>
        </w:rPr>
        <w:t xml:space="preserve"> </w:t>
      </w:r>
      <w:r w:rsidRPr="00FE0291">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Кипр)</w:t>
      </w:r>
      <w:r w:rsidRPr="0014798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Р. А. Абрамович (британский офшор </w:t>
      </w:r>
      <w:r>
        <w:rPr>
          <w:rFonts w:ascii="Times New Roman" w:hAnsi="Times New Roman" w:cs="Times New Roman"/>
          <w:color w:val="000000"/>
          <w:sz w:val="24"/>
          <w:szCs w:val="24"/>
          <w:shd w:val="clear" w:color="auto" w:fill="FFFFFF"/>
        </w:rPr>
        <w:t>Millhouse</w:t>
      </w:r>
      <w:r w:rsidRPr="0014798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Capital</w:t>
      </w:r>
      <w:r>
        <w:rPr>
          <w:rFonts w:ascii="Times New Roman" w:hAnsi="Times New Roman" w:cs="Times New Roman"/>
          <w:color w:val="000000"/>
          <w:sz w:val="24"/>
          <w:szCs w:val="24"/>
          <w:shd w:val="clear" w:color="auto" w:fill="FFFFFF"/>
          <w:lang w:val="ru-RU"/>
        </w:rPr>
        <w:t xml:space="preserve">), А. Г. Абрамов (владелец корпорации «Евраз» через </w:t>
      </w:r>
      <w:r>
        <w:rPr>
          <w:rFonts w:ascii="Times New Roman" w:hAnsi="Times New Roman" w:cs="Times New Roman"/>
          <w:color w:val="000000"/>
          <w:sz w:val="24"/>
          <w:szCs w:val="24"/>
          <w:shd w:val="clear" w:color="auto" w:fill="FFFFFF"/>
        </w:rPr>
        <w:t>Evraz</w:t>
      </w:r>
      <w:r w:rsidRPr="00FE0291">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Securities</w:t>
      </w:r>
      <w:r w:rsidRPr="00FE0291">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SA</w:t>
      </w:r>
      <w:r w:rsidRPr="00FE0291">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Люксембург)), В. П. Евтушенков (владелец МТС через </w:t>
      </w:r>
      <w:r>
        <w:rPr>
          <w:rFonts w:ascii="Times New Roman" w:hAnsi="Times New Roman" w:cs="Times New Roman"/>
          <w:color w:val="000000"/>
          <w:sz w:val="24"/>
          <w:szCs w:val="24"/>
          <w:shd w:val="clear" w:color="auto" w:fill="FFFFFF"/>
        </w:rPr>
        <w:t>MobileTeleSystem</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Finance</w:t>
      </w:r>
      <w:r w:rsidRPr="00FE0291">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SA</w:t>
      </w:r>
      <w:r w:rsidRPr="00FE0291">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Люксембург)) и т. д.</w:t>
      </w:r>
    </w:p>
    <w:p w14:paraId="4941DCA2" w14:textId="77777777" w:rsidR="008338D9"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Кроме того, многие оптимизационные схемы происходят с участием офшорных компаний, суть которых заключает в переносе прибыли в офшорную юрисдикцию за счёт занижения продажных цен при покупке и завышении покупочных цен при закупке, лизинговых договоров или перевода аккумулированных средств из холдинговой компании, зарегистрированной в специальной юрисдикции в виде долгового обязательства юридическому лицу, зарегистрированному в стране основной хозяйственной деятельности. </w:t>
      </w:r>
    </w:p>
    <w:p w14:paraId="7EBA1B73" w14:textId="76BFFB3F" w:rsidR="008338D9"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Последняя схема налоговой оптимизации является стандартной при взаимодействии с Люксембургом. Она была описана ещё в книге Г. Г. Матюхина: «…В Люксембурге с 1929 года действует так называемый закон о холдинговых компаниях. В соответствии с законодательством, холдинговая компания освобождается от налогов, если она занимается чисто инвестиционными операциями и не участвует в торговой и промышленной деятельности… Узкая специализации холдинговых компаний привела к тому, что все они практически оказалась удобной ширмой для иностранных компаний в сокрытии доходов, с одной стороны, и механизмом почти неограниченной мобилизации средств на международном рынке – с другой… По размерам они весьма миниатюрны… Но по активам – это гиганты… Здесь, как и в случае с банками, свою роль сыграли благоприятные предпосылки, имевшие место в Люксембурге до нашествия туда холдинговых компаний. К ним относятся отсутствие налога на проценты и дивиденды по ценным бумагам, и закон, по которому люксембургским холдинговым компаниям разрешается заимствовать средства, превышающие их собственный оплаченный капитал в 10 раз, и финансировать за их счет другие дочерние компании той же материнской корпорации. Чтобы избежать налогообложения, холдинговые компании переводят средства своим родительским корпорациям не в форме перевода прибыли, в форме займа» </w:t>
      </w:r>
      <w:r w:rsidRPr="00A060E2">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_Ref135307314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101</w:t>
      </w:r>
      <w:r>
        <w:rPr>
          <w:rFonts w:ascii="Times New Roman" w:hAnsi="Times New Roman" w:cs="Times New Roman"/>
          <w:color w:val="000000"/>
          <w:sz w:val="24"/>
          <w:szCs w:val="24"/>
          <w:shd w:val="clear" w:color="auto" w:fill="FFFFFF"/>
          <w:lang w:val="ru-RU"/>
        </w:rPr>
        <w:fldChar w:fldCharType="end"/>
      </w:r>
      <w:r w:rsidRPr="00A060E2">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c</w:t>
      </w:r>
      <w:r w:rsidRPr="00A060E2">
        <w:rPr>
          <w:rFonts w:ascii="Times New Roman" w:hAnsi="Times New Roman" w:cs="Times New Roman"/>
          <w:color w:val="000000"/>
          <w:sz w:val="24"/>
          <w:szCs w:val="24"/>
          <w:shd w:val="clear" w:color="auto" w:fill="FFFFFF"/>
          <w:lang w:val="ru-RU"/>
        </w:rPr>
        <w:t>. 126–127]</w:t>
      </w:r>
      <w:r>
        <w:rPr>
          <w:rFonts w:ascii="Times New Roman" w:hAnsi="Times New Roman" w:cs="Times New Roman"/>
          <w:color w:val="000000"/>
          <w:sz w:val="24"/>
          <w:szCs w:val="24"/>
          <w:shd w:val="clear" w:color="auto" w:fill="FFFFFF"/>
          <w:lang w:val="ru-RU"/>
        </w:rPr>
        <w:t>. Ниже опишем пример из российской практики, выявленный нами по статистике прямых иностранных инвестиций Банка России за 2021 год по Санкт-Петербургу и имеющий признаки подобной схемы.</w:t>
      </w:r>
    </w:p>
    <w:p w14:paraId="44BBFA7F" w14:textId="77777777" w:rsidR="008338D9" w:rsidRPr="003D2423"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По данным </w:t>
      </w:r>
      <w:r>
        <w:rPr>
          <w:rFonts w:ascii="Times New Roman" w:hAnsi="Times New Roman" w:cs="Times New Roman"/>
          <w:color w:val="000000"/>
          <w:sz w:val="24"/>
          <w:szCs w:val="24"/>
          <w:shd w:val="clear" w:color="auto" w:fill="FFFFFF"/>
        </w:rPr>
        <w:t>GFCI</w:t>
      </w:r>
      <w:r>
        <w:rPr>
          <w:rFonts w:ascii="Times New Roman" w:hAnsi="Times New Roman" w:cs="Times New Roman"/>
          <w:color w:val="000000"/>
          <w:sz w:val="24"/>
          <w:szCs w:val="24"/>
          <w:shd w:val="clear" w:color="auto" w:fill="FFFFFF"/>
          <w:lang w:val="ru-RU"/>
        </w:rPr>
        <w:t xml:space="preserve">, Санкт-Петербург является одним из двух МФЦ, находящихся в России. </w:t>
      </w:r>
    </w:p>
    <w:p w14:paraId="7A85AD61" w14:textId="77777777" w:rsidR="008338D9" w:rsidRDefault="008338D9" w:rsidP="008338D9">
      <w:pPr>
        <w:spacing w:after="0" w:line="360" w:lineRule="auto"/>
        <w:contextualSpacing/>
        <w:jc w:val="center"/>
        <w:rPr>
          <w:rFonts w:ascii="Times New Roman" w:hAnsi="Times New Roman" w:cs="Times New Roman"/>
          <w:color w:val="000000"/>
          <w:sz w:val="24"/>
          <w:szCs w:val="24"/>
          <w:shd w:val="clear" w:color="auto" w:fill="FFFFFF"/>
          <w:lang w:val="ru-RU"/>
        </w:rPr>
      </w:pPr>
      <w:r>
        <w:rPr>
          <w:rFonts w:ascii="Times New Roman" w:hAnsi="Times New Roman" w:cs="Times New Roman"/>
          <w:noProof/>
          <w:color w:val="000000"/>
          <w:sz w:val="24"/>
          <w:szCs w:val="24"/>
          <w:shd w:val="clear" w:color="auto" w:fill="FFFFFF"/>
          <w:lang w:val="ru-RU" w:eastAsia="ru-RU" w:bidi="ar-SA"/>
        </w:rPr>
        <w:lastRenderedPageBreak/>
        <w:drawing>
          <wp:inline distT="0" distB="0" distL="0" distR="0" wp14:anchorId="50657D50" wp14:editId="608553E8">
            <wp:extent cx="5624187" cy="21916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1549" cy="2198390"/>
                    </a:xfrm>
                    <a:prstGeom prst="rect">
                      <a:avLst/>
                    </a:prstGeom>
                    <a:noFill/>
                    <a:ln>
                      <a:noFill/>
                    </a:ln>
                  </pic:spPr>
                </pic:pic>
              </a:graphicData>
            </a:graphic>
          </wp:inline>
        </w:drawing>
      </w:r>
    </w:p>
    <w:p w14:paraId="75595ADF" w14:textId="1204D223" w:rsidR="008338D9" w:rsidRPr="00FC1AEF" w:rsidRDefault="008338D9" w:rsidP="008338D9">
      <w:pPr>
        <w:spacing w:after="0" w:line="360" w:lineRule="auto"/>
        <w:ind w:firstLine="709"/>
        <w:contextualSpacing/>
        <w:rPr>
          <w:rFonts w:ascii="Times New Roman" w:hAnsi="Times New Roman" w:cs="Times New Roman"/>
          <w:color w:val="000000"/>
          <w:sz w:val="24"/>
          <w:szCs w:val="24"/>
          <w:shd w:val="clear" w:color="auto" w:fill="FFFFFF"/>
          <w:lang w:val="ru-RU"/>
        </w:rPr>
      </w:pPr>
      <w:r w:rsidRPr="00BB196B">
        <w:rPr>
          <w:rStyle w:val="16"/>
        </w:rPr>
        <w:t>Рис</w:t>
      </w:r>
      <w:r>
        <w:rPr>
          <w:rStyle w:val="16"/>
        </w:rPr>
        <w:t>.</w:t>
      </w:r>
      <w:r w:rsidRPr="00BB196B">
        <w:rPr>
          <w:rStyle w:val="16"/>
        </w:rPr>
        <w:t xml:space="preserve"> </w:t>
      </w:r>
      <w:r w:rsidR="006978F8">
        <w:rPr>
          <w:rStyle w:val="16"/>
        </w:rPr>
        <w:t>6</w:t>
      </w:r>
      <w:r w:rsidRPr="00BB196B">
        <w:rPr>
          <w:rStyle w:val="16"/>
        </w:rPr>
        <w:t>.</w:t>
      </w:r>
      <w:r>
        <w:rPr>
          <w:rFonts w:ascii="Times New Roman" w:hAnsi="Times New Roman" w:cs="Times New Roman"/>
          <w:color w:val="000000"/>
          <w:sz w:val="24"/>
          <w:szCs w:val="24"/>
          <w:shd w:val="clear" w:color="auto" w:fill="FFFFFF"/>
          <w:lang w:val="ru-RU"/>
        </w:rPr>
        <w:t xml:space="preserve"> Составлено автором по данным Банка России</w:t>
      </w:r>
      <w:r w:rsidRPr="0095758A">
        <w:rPr>
          <w:rFonts w:ascii="Times New Roman" w:hAnsi="Times New Roman" w:cs="Times New Roman"/>
          <w:color w:val="000000"/>
          <w:sz w:val="24"/>
          <w:szCs w:val="24"/>
          <w:shd w:val="clear" w:color="auto" w:fill="FFFFFF"/>
          <w:lang w:val="ru-RU"/>
        </w:rPr>
        <w:t>.</w:t>
      </w:r>
    </w:p>
    <w:p w14:paraId="000007F0" w14:textId="7DED6EBF" w:rsidR="008338D9"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Из диаграммы, представленной на рис. </w:t>
      </w:r>
      <w:r w:rsidR="006978F8">
        <w:rPr>
          <w:rFonts w:ascii="Times New Roman" w:hAnsi="Times New Roman" w:cs="Times New Roman"/>
          <w:color w:val="000000"/>
          <w:sz w:val="24"/>
          <w:szCs w:val="24"/>
          <w:shd w:val="clear" w:color="auto" w:fill="FFFFFF"/>
          <w:lang w:val="ru-RU"/>
        </w:rPr>
        <w:t>6</w:t>
      </w:r>
      <w:r>
        <w:rPr>
          <w:rFonts w:ascii="Times New Roman" w:hAnsi="Times New Roman" w:cs="Times New Roman"/>
          <w:color w:val="000000"/>
          <w:sz w:val="24"/>
          <w:szCs w:val="24"/>
          <w:shd w:val="clear" w:color="auto" w:fill="FFFFFF"/>
          <w:lang w:val="ru-RU"/>
        </w:rPr>
        <w:t xml:space="preserve">, видно, что 2021 году был привлечен необычно большой объём прямых иностранных инвестиций. </w:t>
      </w:r>
    </w:p>
    <w:p w14:paraId="1C3D3D75" w14:textId="77777777" w:rsidR="008338D9"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noProof/>
          <w:color w:val="000000"/>
          <w:sz w:val="24"/>
          <w:szCs w:val="24"/>
          <w:shd w:val="clear" w:color="auto" w:fill="FFFFFF"/>
          <w:lang w:val="ru-RU" w:eastAsia="ru-RU" w:bidi="ar-SA"/>
        </w:rPr>
        <w:drawing>
          <wp:inline distT="0" distB="0" distL="0" distR="0" wp14:anchorId="75F0D00F" wp14:editId="326AB50E">
            <wp:extent cx="5436235" cy="237998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6235" cy="2379980"/>
                    </a:xfrm>
                    <a:prstGeom prst="rect">
                      <a:avLst/>
                    </a:prstGeom>
                    <a:noFill/>
                    <a:ln>
                      <a:noFill/>
                    </a:ln>
                  </pic:spPr>
                </pic:pic>
              </a:graphicData>
            </a:graphic>
          </wp:inline>
        </w:drawing>
      </w:r>
    </w:p>
    <w:p w14:paraId="746B7EFA" w14:textId="5F0DFB2D" w:rsidR="008338D9" w:rsidRPr="00FC1AEF" w:rsidRDefault="008338D9" w:rsidP="008338D9">
      <w:pPr>
        <w:spacing w:after="0" w:line="360" w:lineRule="auto"/>
        <w:ind w:firstLine="709"/>
        <w:contextualSpacing/>
        <w:rPr>
          <w:rFonts w:ascii="Times New Roman" w:hAnsi="Times New Roman" w:cs="Times New Roman"/>
          <w:color w:val="000000"/>
          <w:sz w:val="24"/>
          <w:szCs w:val="24"/>
          <w:shd w:val="clear" w:color="auto" w:fill="FFFFFF"/>
          <w:lang w:val="ru-RU"/>
        </w:rPr>
      </w:pPr>
      <w:r w:rsidRPr="00BB196B">
        <w:rPr>
          <w:rStyle w:val="16"/>
        </w:rPr>
        <w:t>Рис</w:t>
      </w:r>
      <w:r>
        <w:rPr>
          <w:rStyle w:val="16"/>
        </w:rPr>
        <w:t>.</w:t>
      </w:r>
      <w:r w:rsidRPr="00BB196B">
        <w:rPr>
          <w:rStyle w:val="16"/>
        </w:rPr>
        <w:t xml:space="preserve"> </w:t>
      </w:r>
      <w:r w:rsidR="006978F8">
        <w:rPr>
          <w:rStyle w:val="16"/>
        </w:rPr>
        <w:t>7</w:t>
      </w:r>
      <w:r w:rsidRPr="00BB196B">
        <w:rPr>
          <w:rStyle w:val="16"/>
        </w:rPr>
        <w:t>.</w:t>
      </w:r>
      <w:r>
        <w:rPr>
          <w:rFonts w:ascii="Times New Roman" w:hAnsi="Times New Roman" w:cs="Times New Roman"/>
          <w:color w:val="000000"/>
          <w:sz w:val="24"/>
          <w:szCs w:val="24"/>
          <w:shd w:val="clear" w:color="auto" w:fill="FFFFFF"/>
          <w:lang w:val="ru-RU"/>
        </w:rPr>
        <w:t xml:space="preserve"> Составлено автором по данным Банка России</w:t>
      </w:r>
      <w:r w:rsidRPr="0095758A">
        <w:rPr>
          <w:rFonts w:ascii="Times New Roman" w:hAnsi="Times New Roman" w:cs="Times New Roman"/>
          <w:color w:val="000000"/>
          <w:sz w:val="24"/>
          <w:szCs w:val="24"/>
          <w:shd w:val="clear" w:color="auto" w:fill="FFFFFF"/>
          <w:lang w:val="ru-RU"/>
        </w:rPr>
        <w:t>.</w:t>
      </w:r>
    </w:p>
    <w:p w14:paraId="5AF343C4" w14:textId="77777777" w:rsidR="008338D9"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На следующей диаграмме видно, что основной объём инвестиций поступил в 3</w:t>
      </w:r>
      <w:r>
        <w:rPr>
          <w:rFonts w:ascii="Times New Roman" w:hAnsi="Times New Roman" w:cs="Times New Roman"/>
          <w:color w:val="000000"/>
          <w:sz w:val="24"/>
          <w:szCs w:val="24"/>
          <w:shd w:val="clear" w:color="auto" w:fill="FFFFFF"/>
          <w:lang w:val="ru-RU"/>
        </w:rPr>
        <w:noBreakHyphen/>
        <w:t xml:space="preserve">м квартале 2021 года. </w:t>
      </w:r>
    </w:p>
    <w:p w14:paraId="417B954A" w14:textId="77777777" w:rsidR="008338D9" w:rsidRDefault="008338D9" w:rsidP="008338D9">
      <w:pPr>
        <w:spacing w:after="0" w:line="360" w:lineRule="auto"/>
        <w:contextualSpacing/>
        <w:rPr>
          <w:rFonts w:ascii="Times New Roman" w:hAnsi="Times New Roman" w:cs="Times New Roman"/>
          <w:color w:val="000000"/>
          <w:sz w:val="24"/>
          <w:szCs w:val="24"/>
          <w:shd w:val="clear" w:color="auto" w:fill="FFFFFF"/>
          <w:lang w:val="ru-RU"/>
        </w:rPr>
      </w:pPr>
      <w:r>
        <w:rPr>
          <w:rFonts w:ascii="Times New Roman" w:hAnsi="Times New Roman" w:cs="Times New Roman"/>
          <w:noProof/>
          <w:color w:val="000000"/>
          <w:sz w:val="24"/>
          <w:szCs w:val="24"/>
          <w:shd w:val="clear" w:color="auto" w:fill="FFFFFF"/>
          <w:lang w:val="ru-RU" w:eastAsia="ru-RU" w:bidi="ar-SA"/>
        </w:rPr>
        <w:lastRenderedPageBreak/>
        <w:drawing>
          <wp:inline distT="0" distB="0" distL="0" distR="0" wp14:anchorId="42B09940" wp14:editId="0BF40AD0">
            <wp:extent cx="6294120" cy="3093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4120" cy="3093720"/>
                    </a:xfrm>
                    <a:prstGeom prst="rect">
                      <a:avLst/>
                    </a:prstGeom>
                    <a:noFill/>
                    <a:ln>
                      <a:noFill/>
                    </a:ln>
                  </pic:spPr>
                </pic:pic>
              </a:graphicData>
            </a:graphic>
          </wp:inline>
        </w:drawing>
      </w:r>
    </w:p>
    <w:p w14:paraId="3D1AFE9E" w14:textId="1347AB66" w:rsidR="008338D9" w:rsidRPr="00FC1AEF" w:rsidRDefault="008338D9" w:rsidP="008338D9">
      <w:pPr>
        <w:spacing w:after="0" w:line="360" w:lineRule="auto"/>
        <w:ind w:firstLine="709"/>
        <w:contextualSpacing/>
        <w:rPr>
          <w:rFonts w:ascii="Times New Roman" w:hAnsi="Times New Roman" w:cs="Times New Roman"/>
          <w:color w:val="000000"/>
          <w:sz w:val="24"/>
          <w:szCs w:val="24"/>
          <w:shd w:val="clear" w:color="auto" w:fill="FFFFFF"/>
          <w:lang w:val="ru-RU"/>
        </w:rPr>
      </w:pPr>
      <w:r w:rsidRPr="00BB196B">
        <w:rPr>
          <w:rStyle w:val="16"/>
        </w:rPr>
        <w:t>Рис</w:t>
      </w:r>
      <w:r>
        <w:rPr>
          <w:rStyle w:val="16"/>
        </w:rPr>
        <w:t>.</w:t>
      </w:r>
      <w:r w:rsidRPr="00BB196B">
        <w:rPr>
          <w:rStyle w:val="16"/>
        </w:rPr>
        <w:t xml:space="preserve"> </w:t>
      </w:r>
      <w:r w:rsidR="006978F8">
        <w:rPr>
          <w:rStyle w:val="16"/>
        </w:rPr>
        <w:t>8</w:t>
      </w:r>
      <w:r w:rsidRPr="00BB196B">
        <w:rPr>
          <w:rStyle w:val="16"/>
        </w:rPr>
        <w:t>.</w:t>
      </w:r>
      <w:r>
        <w:rPr>
          <w:rFonts w:ascii="Times New Roman" w:hAnsi="Times New Roman" w:cs="Times New Roman"/>
          <w:color w:val="000000"/>
          <w:sz w:val="24"/>
          <w:szCs w:val="24"/>
          <w:shd w:val="clear" w:color="auto" w:fill="FFFFFF"/>
          <w:lang w:val="ru-RU"/>
        </w:rPr>
        <w:t xml:space="preserve"> Составлено автором по данным Банка России</w:t>
      </w:r>
      <w:r w:rsidRPr="0095758A">
        <w:rPr>
          <w:rFonts w:ascii="Times New Roman" w:hAnsi="Times New Roman" w:cs="Times New Roman"/>
          <w:color w:val="000000"/>
          <w:sz w:val="24"/>
          <w:szCs w:val="24"/>
          <w:shd w:val="clear" w:color="auto" w:fill="FFFFFF"/>
          <w:lang w:val="ru-RU"/>
        </w:rPr>
        <w:t>.</w:t>
      </w:r>
    </w:p>
    <w:p w14:paraId="4FA6B8DB" w14:textId="77777777" w:rsidR="008338D9"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Данное вложение изменило соотношение типов инструментов инвестиций: ранее в Санкт</w:t>
      </w:r>
      <w:r>
        <w:rPr>
          <w:rFonts w:ascii="Times New Roman" w:hAnsi="Times New Roman" w:cs="Times New Roman"/>
          <w:color w:val="000000"/>
          <w:sz w:val="24"/>
          <w:szCs w:val="24"/>
          <w:shd w:val="clear" w:color="auto" w:fill="FFFFFF"/>
          <w:lang w:val="ru-RU"/>
        </w:rPr>
        <w:noBreakHyphen/>
        <w:t xml:space="preserve">Петербурге преобладали инвестиции за счёт «участия в капитале», а с 3 квартала 2021 года стали преобладать долговые инструменты, что является нетипичным как для Москвы, так и для России. </w:t>
      </w:r>
    </w:p>
    <w:p w14:paraId="4A0E9202" w14:textId="77777777" w:rsidR="008338D9" w:rsidRDefault="008338D9" w:rsidP="008338D9">
      <w:pPr>
        <w:spacing w:after="0" w:line="360" w:lineRule="auto"/>
        <w:ind w:firstLine="709"/>
        <w:contextualSpacing/>
        <w:jc w:val="center"/>
        <w:rPr>
          <w:rFonts w:ascii="Times New Roman" w:hAnsi="Times New Roman" w:cs="Times New Roman"/>
          <w:color w:val="000000"/>
          <w:sz w:val="24"/>
          <w:szCs w:val="24"/>
          <w:shd w:val="clear" w:color="auto" w:fill="FFFFFF"/>
          <w:lang w:val="ru-RU"/>
        </w:rPr>
      </w:pPr>
      <w:r>
        <w:rPr>
          <w:rFonts w:ascii="Times New Roman" w:hAnsi="Times New Roman" w:cs="Times New Roman"/>
          <w:noProof/>
          <w:color w:val="000000"/>
          <w:sz w:val="24"/>
          <w:szCs w:val="24"/>
          <w:shd w:val="clear" w:color="auto" w:fill="FFFFFF"/>
          <w:lang w:val="ru-RU" w:eastAsia="ru-RU" w:bidi="ar-SA"/>
        </w:rPr>
        <w:drawing>
          <wp:inline distT="0" distB="0" distL="0" distR="0" wp14:anchorId="2C4F89E2" wp14:editId="02695F0C">
            <wp:extent cx="2818356" cy="214067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4300" cy="2152785"/>
                    </a:xfrm>
                    <a:prstGeom prst="rect">
                      <a:avLst/>
                    </a:prstGeom>
                    <a:noFill/>
                    <a:ln>
                      <a:noFill/>
                    </a:ln>
                  </pic:spPr>
                </pic:pic>
              </a:graphicData>
            </a:graphic>
          </wp:inline>
        </w:drawing>
      </w:r>
    </w:p>
    <w:p w14:paraId="2C043882" w14:textId="42A23F2D" w:rsidR="008338D9" w:rsidRPr="000719A0" w:rsidRDefault="008338D9" w:rsidP="008338D9">
      <w:pPr>
        <w:spacing w:line="360" w:lineRule="auto"/>
        <w:ind w:firstLine="709"/>
        <w:contextualSpacing/>
        <w:rPr>
          <w:rFonts w:ascii="Times New Roman" w:hAnsi="Times New Roman" w:cs="Times New Roman"/>
          <w:color w:val="000000"/>
          <w:sz w:val="24"/>
          <w:szCs w:val="24"/>
          <w:shd w:val="clear" w:color="auto" w:fill="FFFFFF"/>
          <w:lang w:val="ru-RU"/>
        </w:rPr>
      </w:pPr>
      <w:r w:rsidRPr="0059458A">
        <w:rPr>
          <w:rStyle w:val="16"/>
        </w:rPr>
        <w:t xml:space="preserve">Рис. </w:t>
      </w:r>
      <w:r w:rsidR="006978F8">
        <w:rPr>
          <w:rStyle w:val="16"/>
        </w:rPr>
        <w:t>9</w:t>
      </w:r>
      <w:r w:rsidRPr="0059458A">
        <w:rPr>
          <w:rStyle w:val="16"/>
        </w:rPr>
        <w:t xml:space="preserve">. </w:t>
      </w:r>
      <w:r w:rsidRPr="0059458A">
        <w:rPr>
          <w:rFonts w:ascii="Times New Roman" w:hAnsi="Times New Roman" w:cs="Times New Roman"/>
          <w:color w:val="000000"/>
          <w:sz w:val="24"/>
          <w:szCs w:val="24"/>
          <w:lang w:val="ru-RU"/>
        </w:rPr>
        <w:t>Инвестиции из-за рубежа: накоплено по типу инструмента инвестирования</w:t>
      </w:r>
      <w:r>
        <w:rPr>
          <w:rFonts w:ascii="Times New Roman" w:hAnsi="Times New Roman" w:cs="Times New Roman"/>
          <w:color w:val="000000"/>
          <w:sz w:val="24"/>
          <w:szCs w:val="24"/>
          <w:lang w:val="ru-RU"/>
        </w:rPr>
        <w:t xml:space="preserve"> в</w:t>
      </w:r>
      <w:r w:rsidR="006978F8">
        <w:rPr>
          <w:rFonts w:ascii="Times New Roman" w:hAnsi="Times New Roman" w:cs="Times New Roman"/>
          <w:color w:val="000000"/>
          <w:sz w:val="24"/>
          <w:szCs w:val="24"/>
          <w:lang w:val="ru-RU"/>
        </w:rPr>
        <w:t> </w:t>
      </w:r>
      <w:r>
        <w:rPr>
          <w:rFonts w:ascii="Times New Roman" w:hAnsi="Times New Roman" w:cs="Times New Roman"/>
          <w:color w:val="000000"/>
          <w:sz w:val="24"/>
          <w:szCs w:val="24"/>
          <w:lang w:val="ru-RU"/>
        </w:rPr>
        <w:t>Санкт-Петербурге, Москве и России</w:t>
      </w:r>
      <w:r w:rsidRPr="0059458A">
        <w:rPr>
          <w:rFonts w:ascii="Times New Roman" w:hAnsi="Times New Roman" w:cs="Times New Roman"/>
          <w:color w:val="000000"/>
          <w:sz w:val="24"/>
          <w:szCs w:val="24"/>
          <w:lang w:val="ru-RU"/>
        </w:rPr>
        <w:t>.</w:t>
      </w:r>
      <w:r w:rsidRPr="0059458A">
        <w:rPr>
          <w:rFonts w:ascii="Times New Roman" w:hAnsi="Times New Roman" w:cs="Times New Roman"/>
          <w:color w:val="000000"/>
          <w:sz w:val="24"/>
          <w:szCs w:val="24"/>
          <w:shd w:val="clear" w:color="auto" w:fill="FFFFFF"/>
          <w:lang w:val="ru-RU"/>
        </w:rPr>
        <w:t xml:space="preserve"> Составлено автором по данным Банка России</w:t>
      </w:r>
      <w:r w:rsidRPr="000719A0">
        <w:rPr>
          <w:rFonts w:ascii="Times New Roman" w:hAnsi="Times New Roman" w:cs="Times New Roman"/>
          <w:color w:val="000000"/>
          <w:sz w:val="24"/>
          <w:szCs w:val="24"/>
          <w:shd w:val="clear" w:color="auto" w:fill="FFFFFF"/>
          <w:lang w:val="ru-RU"/>
        </w:rPr>
        <w:t>.</w:t>
      </w:r>
    </w:p>
    <w:p w14:paraId="38F8AEA4" w14:textId="77777777" w:rsidR="008338D9" w:rsidRPr="0059458A" w:rsidRDefault="008338D9" w:rsidP="008338D9">
      <w:pPr>
        <w:spacing w:line="360" w:lineRule="auto"/>
        <w:contextualSpacing/>
        <w:rPr>
          <w:rFonts w:ascii="Times New Roman" w:hAnsi="Times New Roman" w:cs="Times New Roman"/>
          <w:color w:val="000000"/>
          <w:sz w:val="24"/>
          <w:szCs w:val="24"/>
          <w:lang w:val="ru-RU"/>
        </w:rPr>
      </w:pPr>
      <w:r>
        <w:rPr>
          <w:rFonts w:ascii="Times New Roman" w:hAnsi="Times New Roman" w:cs="Times New Roman"/>
          <w:noProof/>
          <w:color w:val="000000"/>
          <w:sz w:val="24"/>
          <w:szCs w:val="24"/>
          <w:lang w:val="ru-RU" w:eastAsia="ru-RU" w:bidi="ar-SA"/>
        </w:rPr>
        <w:lastRenderedPageBreak/>
        <w:drawing>
          <wp:inline distT="0" distB="0" distL="0" distR="0" wp14:anchorId="1F700ED3" wp14:editId="28F588BA">
            <wp:extent cx="6294120" cy="3231515"/>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4120" cy="3231515"/>
                    </a:xfrm>
                    <a:prstGeom prst="rect">
                      <a:avLst/>
                    </a:prstGeom>
                    <a:noFill/>
                    <a:ln>
                      <a:noFill/>
                    </a:ln>
                  </pic:spPr>
                </pic:pic>
              </a:graphicData>
            </a:graphic>
          </wp:inline>
        </w:drawing>
      </w:r>
    </w:p>
    <w:p w14:paraId="37509422" w14:textId="77777777" w:rsidR="008338D9" w:rsidRPr="0095758A"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Таблица 2. </w:t>
      </w:r>
      <w:r w:rsidRPr="0059458A">
        <w:rPr>
          <w:rFonts w:ascii="Times New Roman" w:hAnsi="Times New Roman" w:cs="Times New Roman"/>
          <w:color w:val="000000"/>
          <w:sz w:val="24"/>
          <w:szCs w:val="24"/>
          <w:shd w:val="clear" w:color="auto" w:fill="FFFFFF"/>
          <w:lang w:val="ru-RU"/>
        </w:rPr>
        <w:t>Составлено автором по данным Банка России</w:t>
      </w:r>
      <w:r w:rsidRPr="0095758A">
        <w:rPr>
          <w:rFonts w:ascii="Times New Roman" w:hAnsi="Times New Roman" w:cs="Times New Roman"/>
          <w:color w:val="000000"/>
          <w:sz w:val="24"/>
          <w:szCs w:val="24"/>
          <w:shd w:val="clear" w:color="auto" w:fill="FFFFFF"/>
          <w:lang w:val="ru-RU"/>
        </w:rPr>
        <w:t>.</w:t>
      </w:r>
    </w:p>
    <w:p w14:paraId="294FABED" w14:textId="77777777" w:rsidR="008338D9"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Наконец, изучив данные в таблице 2, можно сделать вывод, что в 3-м квартале 2021 года в Санкт-Петербург поступил приход инвестиционных средств в виде долговых обязательств по виду деятельности </w:t>
      </w:r>
      <w:r w:rsidRPr="0059458A">
        <w:rPr>
          <w:rFonts w:ascii="Times New Roman" w:hAnsi="Times New Roman" w:cs="Times New Roman"/>
          <w:color w:val="000000"/>
          <w:sz w:val="24"/>
          <w:szCs w:val="24"/>
          <w:shd w:val="clear" w:color="auto" w:fill="FFFFFF"/>
          <w:lang w:val="ru-RU"/>
        </w:rPr>
        <w:t>«торговля оптовая</w:t>
      </w:r>
      <w:r>
        <w:rPr>
          <w:rFonts w:ascii="Times New Roman" w:hAnsi="Times New Roman" w:cs="Times New Roman"/>
          <w:color w:val="000000"/>
          <w:sz w:val="24"/>
          <w:szCs w:val="24"/>
          <w:shd w:val="clear" w:color="auto" w:fill="FFFFFF"/>
          <w:lang w:val="ru-RU"/>
        </w:rPr>
        <w:t xml:space="preserve"> </w:t>
      </w:r>
      <w:r w:rsidRPr="0059458A">
        <w:rPr>
          <w:rFonts w:ascii="Times New Roman" w:hAnsi="Times New Roman" w:cs="Times New Roman"/>
          <w:color w:val="000000"/>
          <w:sz w:val="24"/>
          <w:szCs w:val="24"/>
          <w:shd w:val="clear" w:color="auto" w:fill="FFFFFF"/>
          <w:lang w:val="ru-RU"/>
        </w:rPr>
        <w:t xml:space="preserve">и розничная; ремонт автотранспортных средств» </w:t>
      </w:r>
      <w:r>
        <w:rPr>
          <w:rFonts w:ascii="Times New Roman" w:hAnsi="Times New Roman" w:cs="Times New Roman"/>
          <w:color w:val="000000"/>
          <w:sz w:val="24"/>
          <w:szCs w:val="24"/>
          <w:shd w:val="clear" w:color="auto" w:fill="FFFFFF"/>
          <w:lang w:val="ru-RU"/>
        </w:rPr>
        <w:t>из Люксембурга</w:t>
      </w:r>
      <w:r w:rsidRPr="0059458A">
        <w:rPr>
          <w:rFonts w:ascii="Times New Roman" w:hAnsi="Times New Roman" w:cs="Times New Roman"/>
          <w:color w:val="000000"/>
          <w:sz w:val="24"/>
          <w:szCs w:val="24"/>
          <w:shd w:val="clear" w:color="auto" w:fill="FFFFFF"/>
          <w:lang w:val="ru-RU"/>
        </w:rPr>
        <w:t xml:space="preserve"> (изменение</w:t>
      </w:r>
      <w:r>
        <w:rPr>
          <w:rFonts w:ascii="Times New Roman" w:hAnsi="Times New Roman" w:cs="Times New Roman"/>
          <w:color w:val="000000"/>
          <w:sz w:val="24"/>
          <w:szCs w:val="24"/>
          <w:shd w:val="clear" w:color="auto" w:fill="FFFFFF"/>
          <w:lang w:val="ru-RU"/>
        </w:rPr>
        <w:t xml:space="preserve"> накопленных прямых иностранных инвестиций на дату</w:t>
      </w:r>
      <w:r w:rsidRPr="0059458A">
        <w:rPr>
          <w:rFonts w:ascii="Times New Roman" w:hAnsi="Times New Roman" w:cs="Times New Roman"/>
          <w:color w:val="000000"/>
          <w:sz w:val="24"/>
          <w:szCs w:val="24"/>
          <w:shd w:val="clear" w:color="auto" w:fill="FFFFFF"/>
          <w:lang w:val="ru-RU"/>
        </w:rPr>
        <w:t xml:space="preserve"> составило около 19 млрд долл.) и еще около 11,5 млрд долл. поступило из Северной Европы (точная страна</w:t>
      </w:r>
      <w:r>
        <w:rPr>
          <w:rFonts w:ascii="Times New Roman" w:hAnsi="Times New Roman" w:cs="Times New Roman"/>
          <w:color w:val="000000"/>
          <w:sz w:val="24"/>
          <w:szCs w:val="24"/>
          <w:shd w:val="clear" w:color="auto" w:fill="FFFFFF"/>
          <w:lang w:val="ru-RU"/>
        </w:rPr>
        <w:t xml:space="preserve"> в официальной статистике не </w:t>
      </w:r>
      <w:r w:rsidRPr="0059458A">
        <w:rPr>
          <w:rFonts w:ascii="Times New Roman" w:hAnsi="Times New Roman" w:cs="Times New Roman"/>
          <w:color w:val="000000"/>
          <w:sz w:val="24"/>
          <w:szCs w:val="24"/>
          <w:shd w:val="clear" w:color="auto" w:fill="FFFFFF"/>
          <w:lang w:val="ru-RU"/>
        </w:rPr>
        <w:t xml:space="preserve">разглашается по соображениям конфиденциальности). </w:t>
      </w:r>
      <w:r>
        <w:rPr>
          <w:rFonts w:ascii="Times New Roman" w:hAnsi="Times New Roman" w:cs="Times New Roman"/>
          <w:color w:val="000000"/>
          <w:sz w:val="24"/>
          <w:szCs w:val="24"/>
          <w:shd w:val="clear" w:color="auto" w:fill="FFFFFF"/>
          <w:lang w:val="ru-RU"/>
        </w:rPr>
        <w:t xml:space="preserve">Итого прирост по виду деятельности составил </w:t>
      </w:r>
      <w:r w:rsidRPr="0059458A">
        <w:rPr>
          <w:rFonts w:ascii="Times New Roman" w:hAnsi="Times New Roman" w:cs="Times New Roman"/>
          <w:color w:val="000000"/>
          <w:sz w:val="24"/>
          <w:szCs w:val="24"/>
          <w:shd w:val="clear" w:color="auto" w:fill="FFFFFF"/>
          <w:lang w:val="ru-RU"/>
        </w:rPr>
        <w:t>+33,5 млрд долл.</w:t>
      </w:r>
    </w:p>
    <w:p w14:paraId="70837930" w14:textId="77777777" w:rsidR="008338D9" w:rsidRPr="0099040A" w:rsidRDefault="008338D9" w:rsidP="008338D9">
      <w:pPr>
        <w:tabs>
          <w:tab w:val="num" w:pos="720"/>
        </w:tabs>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В силу последних геополитических изменений следует отметить, что на рис. 6</w:t>
      </w:r>
      <w:r w:rsidRPr="009C7C7B">
        <w:rPr>
          <w:rFonts w:ascii="Times New Roman" w:hAnsi="Times New Roman" w:cs="Times New Roman"/>
          <w:color w:val="000000"/>
          <w:sz w:val="24"/>
          <w:szCs w:val="24"/>
          <w:shd w:val="clear" w:color="auto" w:fill="FFFFFF"/>
          <w:lang w:val="ru-RU"/>
        </w:rPr>
        <w:t xml:space="preserve"> от 74,5% до 81,4%, относ</w:t>
      </w:r>
      <w:r>
        <w:rPr>
          <w:rFonts w:ascii="Times New Roman" w:hAnsi="Times New Roman" w:cs="Times New Roman"/>
          <w:color w:val="000000"/>
          <w:sz w:val="24"/>
          <w:szCs w:val="24"/>
          <w:shd w:val="clear" w:color="auto" w:fill="FFFFFF"/>
          <w:lang w:val="ru-RU"/>
        </w:rPr>
        <w:t>и</w:t>
      </w:r>
      <w:r w:rsidRPr="009C7C7B">
        <w:rPr>
          <w:rFonts w:ascii="Times New Roman" w:hAnsi="Times New Roman" w:cs="Times New Roman"/>
          <w:color w:val="000000"/>
          <w:sz w:val="24"/>
          <w:szCs w:val="24"/>
          <w:shd w:val="clear" w:color="auto" w:fill="FFFFFF"/>
          <w:lang w:val="ru-RU"/>
        </w:rPr>
        <w:t>тся к категории «недружественные страны»</w:t>
      </w:r>
      <w:r>
        <w:rPr>
          <w:rFonts w:ascii="Times New Roman" w:hAnsi="Times New Roman" w:cs="Times New Roman"/>
          <w:color w:val="000000"/>
          <w:sz w:val="24"/>
          <w:szCs w:val="24"/>
          <w:shd w:val="clear" w:color="auto" w:fill="FFFFFF"/>
          <w:lang w:val="ru-RU"/>
        </w:rPr>
        <w:t>, а именно: 1) в</w:t>
      </w:r>
      <w:r w:rsidRPr="001E07DB">
        <w:rPr>
          <w:rFonts w:ascii="Times New Roman" w:hAnsi="Times New Roman" w:cs="Times New Roman"/>
          <w:color w:val="000000"/>
          <w:sz w:val="24"/>
          <w:szCs w:val="24"/>
          <w:shd w:val="clear" w:color="auto" w:fill="FFFFFF"/>
          <w:lang w:val="ru-RU"/>
        </w:rPr>
        <w:t>се страны Европейского союза (27 стран-членов: Австрия, Бельгия, Болгария, Венгрия, Германия, Греция, Дания, Ирландия, Испания, Италия, Кипр, Латвия, Литва, Люксембург, Мальта, Нидерланды, Польша, Португалия, Румыния, Словакия, Словения, Финляндия, Франция, Хорватия, Чехия, Швеция, Эстония);</w:t>
      </w:r>
      <w:r>
        <w:rPr>
          <w:rFonts w:ascii="Times New Roman" w:hAnsi="Times New Roman" w:cs="Times New Roman"/>
          <w:color w:val="000000"/>
          <w:sz w:val="24"/>
          <w:szCs w:val="24"/>
          <w:shd w:val="clear" w:color="auto" w:fill="FFFFFF"/>
          <w:lang w:val="ru-RU"/>
        </w:rPr>
        <w:t xml:space="preserve"> 2) </w:t>
      </w:r>
      <w:r w:rsidRPr="001E07DB">
        <w:rPr>
          <w:rFonts w:ascii="Times New Roman" w:hAnsi="Times New Roman" w:cs="Times New Roman"/>
          <w:color w:val="000000"/>
          <w:sz w:val="24"/>
          <w:szCs w:val="24"/>
          <w:shd w:val="clear" w:color="auto" w:fill="FFFFFF"/>
          <w:lang w:val="ru-RU"/>
        </w:rPr>
        <w:t>США, Канада, Великобритания и ее заморские территории (включая Британские Виргинские острова, Бермудские острова, Гибралтар и т. д.), Австралия, Новая Зеландия;</w:t>
      </w:r>
      <w:r>
        <w:rPr>
          <w:rFonts w:ascii="Times New Roman" w:hAnsi="Times New Roman" w:cs="Times New Roman"/>
          <w:color w:val="000000"/>
          <w:sz w:val="24"/>
          <w:szCs w:val="24"/>
          <w:shd w:val="clear" w:color="auto" w:fill="FFFFFF"/>
          <w:lang w:val="ru-RU"/>
        </w:rPr>
        <w:t xml:space="preserve"> 3) </w:t>
      </w:r>
      <w:r w:rsidRPr="001E07DB">
        <w:rPr>
          <w:rFonts w:ascii="Times New Roman" w:hAnsi="Times New Roman" w:cs="Times New Roman"/>
          <w:color w:val="000000"/>
          <w:sz w:val="24"/>
          <w:szCs w:val="24"/>
          <w:shd w:val="clear" w:color="auto" w:fill="FFFFFF"/>
          <w:lang w:val="ru-RU"/>
        </w:rPr>
        <w:t>Швейцария;</w:t>
      </w:r>
      <w:r>
        <w:rPr>
          <w:rFonts w:ascii="Times New Roman" w:hAnsi="Times New Roman" w:cs="Times New Roman"/>
          <w:color w:val="000000"/>
          <w:sz w:val="24"/>
          <w:szCs w:val="24"/>
          <w:shd w:val="clear" w:color="auto" w:fill="FFFFFF"/>
          <w:lang w:val="ru-RU"/>
        </w:rPr>
        <w:t xml:space="preserve"> 4) </w:t>
      </w:r>
      <w:r w:rsidRPr="001E07DB">
        <w:rPr>
          <w:rFonts w:ascii="Times New Roman" w:hAnsi="Times New Roman" w:cs="Times New Roman"/>
          <w:color w:val="000000"/>
          <w:sz w:val="24"/>
          <w:szCs w:val="24"/>
          <w:shd w:val="clear" w:color="auto" w:fill="FFFFFF"/>
          <w:lang w:val="ru-RU"/>
        </w:rPr>
        <w:t>Япония, Республика Корея, Сингапур, Тайвань;</w:t>
      </w:r>
      <w:r>
        <w:rPr>
          <w:rFonts w:ascii="Times New Roman" w:hAnsi="Times New Roman" w:cs="Times New Roman"/>
          <w:color w:val="000000"/>
          <w:sz w:val="24"/>
          <w:szCs w:val="24"/>
          <w:shd w:val="clear" w:color="auto" w:fill="FFFFFF"/>
          <w:lang w:val="ru-RU"/>
        </w:rPr>
        <w:t xml:space="preserve"> 4) </w:t>
      </w:r>
      <w:r w:rsidRPr="001E07DB">
        <w:rPr>
          <w:rFonts w:ascii="Times New Roman" w:hAnsi="Times New Roman" w:cs="Times New Roman"/>
          <w:color w:val="000000"/>
          <w:sz w:val="24"/>
          <w:szCs w:val="24"/>
          <w:shd w:val="clear" w:color="auto" w:fill="FFFFFF"/>
          <w:lang w:val="ru-RU"/>
        </w:rPr>
        <w:t>Албания, Андорра, Норвегия, Исландия, Лихтенштейн, Монако, Сан-Марино, Северная Македония, Монако, Черногория;</w:t>
      </w:r>
      <w:r>
        <w:rPr>
          <w:rFonts w:ascii="Times New Roman" w:hAnsi="Times New Roman" w:cs="Times New Roman"/>
          <w:color w:val="000000"/>
          <w:sz w:val="24"/>
          <w:szCs w:val="24"/>
          <w:shd w:val="clear" w:color="auto" w:fill="FFFFFF"/>
          <w:lang w:val="ru-RU"/>
        </w:rPr>
        <w:t xml:space="preserve"> 5) </w:t>
      </w:r>
      <w:r w:rsidRPr="001E07DB">
        <w:rPr>
          <w:rFonts w:ascii="Times New Roman" w:hAnsi="Times New Roman" w:cs="Times New Roman"/>
          <w:color w:val="000000"/>
          <w:sz w:val="24"/>
          <w:szCs w:val="24"/>
          <w:shd w:val="clear" w:color="auto" w:fill="FFFFFF"/>
          <w:lang w:val="ru-RU"/>
        </w:rPr>
        <w:t>Микронезия, Багамские острова;</w:t>
      </w:r>
      <w:r>
        <w:rPr>
          <w:rFonts w:ascii="Times New Roman" w:hAnsi="Times New Roman" w:cs="Times New Roman"/>
          <w:color w:val="000000"/>
          <w:sz w:val="24"/>
          <w:szCs w:val="24"/>
          <w:shd w:val="clear" w:color="auto" w:fill="FFFFFF"/>
          <w:lang w:val="ru-RU"/>
        </w:rPr>
        <w:t xml:space="preserve"> 6) </w:t>
      </w:r>
      <w:r w:rsidRPr="001E07DB">
        <w:rPr>
          <w:rFonts w:ascii="Times New Roman" w:hAnsi="Times New Roman" w:cs="Times New Roman"/>
          <w:color w:val="000000"/>
          <w:sz w:val="24"/>
          <w:szCs w:val="24"/>
          <w:shd w:val="clear" w:color="auto" w:fill="FFFFFF"/>
          <w:lang w:val="ru-RU"/>
        </w:rPr>
        <w:t>Украина.</w:t>
      </w:r>
      <w:r>
        <w:rPr>
          <w:rFonts w:ascii="Times New Roman" w:hAnsi="Times New Roman" w:cs="Times New Roman"/>
          <w:color w:val="000000"/>
          <w:sz w:val="24"/>
          <w:szCs w:val="24"/>
          <w:shd w:val="clear" w:color="auto" w:fill="FFFFFF"/>
          <w:lang w:val="ru-RU"/>
        </w:rPr>
        <w:t xml:space="preserve"> Данная ситуация подразумевает, что российскому крупному бизнесу придётся менять схемы работы как для импорта, так и для экспорта капитала.</w:t>
      </w:r>
    </w:p>
    <w:p w14:paraId="7ECD1B52" w14:textId="72493FC1" w:rsidR="008338D9"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lastRenderedPageBreak/>
        <w:t xml:space="preserve">Проблема ошфоризации экономики касается не только России, но и Китая. По данным исследовательского агентства </w:t>
      </w:r>
      <w:r>
        <w:rPr>
          <w:rFonts w:ascii="Times New Roman" w:hAnsi="Times New Roman" w:cs="Times New Roman"/>
          <w:color w:val="000000"/>
          <w:sz w:val="24"/>
          <w:szCs w:val="24"/>
          <w:shd w:val="clear" w:color="auto" w:fill="FFFFFF"/>
        </w:rPr>
        <w:t>Tax</w:t>
      </w:r>
      <w:r w:rsidRPr="00CE466D">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Justice</w:t>
      </w:r>
      <w:r w:rsidRPr="00CE466D">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Network</w:t>
      </w:r>
      <w:r>
        <w:rPr>
          <w:rFonts w:ascii="Times New Roman" w:hAnsi="Times New Roman" w:cs="Times New Roman"/>
          <w:color w:val="000000"/>
          <w:sz w:val="24"/>
          <w:szCs w:val="24"/>
          <w:shd w:val="clear" w:color="auto" w:fill="FFFFFF"/>
          <w:lang w:val="ru-RU"/>
        </w:rPr>
        <w:t xml:space="preserve">, в 2012 году из России было выведено и спрятано в «налоговых гаванях» около 800 млрд долларов, в то же время из Китая было выведено 1 189 млрд долларов </w:t>
      </w:r>
      <w:r w:rsidRPr="00CE466D">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_Ref136241165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211</w:t>
      </w:r>
      <w:r>
        <w:rPr>
          <w:rFonts w:ascii="Times New Roman" w:hAnsi="Times New Roman" w:cs="Times New Roman"/>
          <w:color w:val="000000"/>
          <w:sz w:val="24"/>
          <w:szCs w:val="24"/>
          <w:shd w:val="clear" w:color="auto" w:fill="FFFFFF"/>
          <w:lang w:val="ru-RU"/>
        </w:rPr>
        <w:fldChar w:fldCharType="end"/>
      </w:r>
      <w:r w:rsidRPr="00CE466D">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rPr>
        <w:t>c</w:t>
      </w:r>
      <w:r w:rsidRPr="00CE466D">
        <w:rPr>
          <w:rFonts w:ascii="Times New Roman" w:hAnsi="Times New Roman" w:cs="Times New Roman"/>
          <w:color w:val="000000"/>
          <w:sz w:val="24"/>
          <w:szCs w:val="24"/>
          <w:shd w:val="clear" w:color="auto" w:fill="FFFFFF"/>
          <w:lang w:val="ru-RU"/>
        </w:rPr>
        <w:t>. 6]</w:t>
      </w:r>
      <w:r>
        <w:rPr>
          <w:rFonts w:ascii="Times New Roman" w:hAnsi="Times New Roman" w:cs="Times New Roman"/>
          <w:color w:val="000000"/>
          <w:sz w:val="24"/>
          <w:szCs w:val="24"/>
          <w:shd w:val="clear" w:color="auto" w:fill="FFFFFF"/>
          <w:lang w:val="ru-RU"/>
        </w:rPr>
        <w:t>.</w:t>
      </w:r>
      <w:r w:rsidRPr="008C67E9">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Для сравнения, общие накопленные иностранные инвестиции в Россию на 01.01.2023 составили около 610 млрд долларов, а европейские власти отчитываются о блокировке около 320 млрд долларов золотовалютных резервов Банка России в 2023 году в результате введённых санкций </w:t>
      </w:r>
      <w:r w:rsidRPr="00A40294">
        <w:rPr>
          <w:rFonts w:ascii="Times New Roman" w:hAnsi="Times New Roman" w:cs="Times New Roman"/>
          <w:color w:val="000000"/>
          <w:sz w:val="24"/>
          <w:szCs w:val="24"/>
          <w:shd w:val="clear" w:color="auto" w:fill="FFFFFF"/>
          <w:lang w:val="ru-RU"/>
        </w:rPr>
        <w:t>[</w:t>
      </w:r>
      <w:r w:rsidRPr="00A40294">
        <w:rPr>
          <w:rFonts w:ascii="Times New Roman" w:hAnsi="Times New Roman" w:cs="Times New Roman"/>
          <w:color w:val="000000"/>
          <w:sz w:val="24"/>
          <w:szCs w:val="24"/>
          <w:shd w:val="clear" w:color="auto" w:fill="FFFFFF"/>
          <w:lang w:val="ru-RU"/>
        </w:rPr>
        <w:fldChar w:fldCharType="begin"/>
      </w:r>
      <w:r w:rsidRPr="00A40294">
        <w:rPr>
          <w:rFonts w:ascii="Times New Roman" w:hAnsi="Times New Roman" w:cs="Times New Roman"/>
          <w:color w:val="000000"/>
          <w:sz w:val="24"/>
          <w:szCs w:val="24"/>
          <w:shd w:val="clear" w:color="auto" w:fill="FFFFFF"/>
          <w:lang w:val="ru-RU"/>
        </w:rPr>
        <w:instrText xml:space="preserve"> REF _Ref136261948 \r \h </w:instrText>
      </w:r>
      <w:r>
        <w:rPr>
          <w:rFonts w:ascii="Times New Roman" w:hAnsi="Times New Roman" w:cs="Times New Roman"/>
          <w:color w:val="000000"/>
          <w:sz w:val="24"/>
          <w:szCs w:val="24"/>
          <w:shd w:val="clear" w:color="auto" w:fill="FFFFFF"/>
          <w:lang w:val="ru-RU"/>
        </w:rPr>
        <w:instrText xml:space="preserve"> \* MERGEFORMAT </w:instrText>
      </w:r>
      <w:r w:rsidRPr="00A40294">
        <w:rPr>
          <w:rFonts w:ascii="Times New Roman" w:hAnsi="Times New Roman" w:cs="Times New Roman"/>
          <w:color w:val="000000"/>
          <w:sz w:val="24"/>
          <w:szCs w:val="24"/>
          <w:shd w:val="clear" w:color="auto" w:fill="FFFFFF"/>
          <w:lang w:val="ru-RU"/>
        </w:rPr>
      </w:r>
      <w:r w:rsidRPr="00A40294">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279</w:t>
      </w:r>
      <w:r w:rsidRPr="00A40294">
        <w:rPr>
          <w:rFonts w:ascii="Times New Roman" w:hAnsi="Times New Roman" w:cs="Times New Roman"/>
          <w:color w:val="000000"/>
          <w:sz w:val="24"/>
          <w:szCs w:val="24"/>
          <w:shd w:val="clear" w:color="auto" w:fill="FFFFFF"/>
          <w:lang w:val="ru-RU"/>
        </w:rPr>
        <w:fldChar w:fldCharType="end"/>
      </w:r>
      <w:r w:rsidRPr="00A40294">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w:t>
      </w:r>
    </w:p>
    <w:p w14:paraId="1D9E26C8" w14:textId="0072BE6C" w:rsidR="008338D9"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Так же, как в России, богатые китайцы «бегут» из страны: самый богатый китайский предприниматель Джек Ма, основным активом которого является корпорация </w:t>
      </w:r>
      <w:r>
        <w:rPr>
          <w:rFonts w:ascii="Times New Roman" w:hAnsi="Times New Roman" w:cs="Times New Roman"/>
          <w:color w:val="000000"/>
          <w:sz w:val="24"/>
          <w:szCs w:val="24"/>
          <w:shd w:val="clear" w:color="auto" w:fill="FFFFFF"/>
        </w:rPr>
        <w:t>Alibaba</w:t>
      </w:r>
      <w:r w:rsidRPr="00B64C35">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с 2021 года избрал своей основной страной пребывания Японию и не собирается возвращаться, несмотря на все уговоры Правительства Китая </w:t>
      </w:r>
      <w:r w:rsidRPr="008C67E9">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_Ref136241655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286</w:t>
      </w:r>
      <w:r>
        <w:rPr>
          <w:rFonts w:ascii="Times New Roman" w:hAnsi="Times New Roman" w:cs="Times New Roman"/>
          <w:color w:val="000000"/>
          <w:sz w:val="24"/>
          <w:szCs w:val="24"/>
          <w:shd w:val="clear" w:color="auto" w:fill="FFFFFF"/>
          <w:lang w:val="ru-RU"/>
        </w:rPr>
        <w:fldChar w:fldCharType="end"/>
      </w:r>
      <w:r w:rsidRPr="008C67E9">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w:t>
      </w:r>
    </w:p>
    <w:p w14:paraId="57428239" w14:textId="1BACAA61" w:rsidR="008338D9" w:rsidRPr="002D0D2B" w:rsidRDefault="008338D9" w:rsidP="008338D9">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На наш взгляд, если в исследовании про МФЦ в России и Китае будет опущен блок, посвящённый офшорным центрам (что некоторые предыдущие исследователи делали сознательно </w:t>
      </w:r>
      <w:r w:rsidRPr="0005381D">
        <w:rPr>
          <w:rFonts w:ascii="Times New Roman" w:hAnsi="Times New Roman" w:cs="Times New Roman"/>
          <w:color w:val="000000"/>
          <w:sz w:val="24"/>
          <w:szCs w:val="24"/>
          <w:shd w:val="clear" w:color="auto" w:fill="FFFFFF"/>
          <w:lang w:val="ru-RU"/>
        </w:rPr>
        <w:t>[</w:t>
      </w:r>
      <w:r w:rsidRPr="0005381D">
        <w:rPr>
          <w:rFonts w:ascii="Times New Roman" w:hAnsi="Times New Roman" w:cs="Times New Roman"/>
          <w:color w:val="000000"/>
          <w:sz w:val="24"/>
          <w:szCs w:val="24"/>
          <w:shd w:val="clear" w:color="auto" w:fill="FFFFFF"/>
          <w:lang w:val="ru-RU"/>
        </w:rPr>
        <w:fldChar w:fldCharType="begin"/>
      </w:r>
      <w:r w:rsidRPr="0005381D">
        <w:rPr>
          <w:rFonts w:ascii="Times New Roman" w:hAnsi="Times New Roman" w:cs="Times New Roman"/>
          <w:color w:val="000000"/>
          <w:sz w:val="24"/>
          <w:szCs w:val="24"/>
          <w:shd w:val="clear" w:color="auto" w:fill="FFFFFF"/>
          <w:lang w:val="ru-RU"/>
        </w:rPr>
        <w:instrText xml:space="preserve"> REF _Ref135578059 \r \h  \* MERGEFORMAT </w:instrText>
      </w:r>
      <w:r w:rsidRPr="0005381D">
        <w:rPr>
          <w:rFonts w:ascii="Times New Roman" w:hAnsi="Times New Roman" w:cs="Times New Roman"/>
          <w:color w:val="000000"/>
          <w:sz w:val="24"/>
          <w:szCs w:val="24"/>
          <w:shd w:val="clear" w:color="auto" w:fill="FFFFFF"/>
          <w:lang w:val="ru-RU"/>
        </w:rPr>
      </w:r>
      <w:r w:rsidRPr="0005381D">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78</w:t>
      </w:r>
      <w:r w:rsidRPr="0005381D">
        <w:rPr>
          <w:rFonts w:ascii="Times New Roman" w:hAnsi="Times New Roman" w:cs="Times New Roman"/>
          <w:color w:val="000000"/>
          <w:sz w:val="24"/>
          <w:szCs w:val="24"/>
          <w:shd w:val="clear" w:color="auto" w:fill="FFFFFF"/>
          <w:lang w:val="ru-RU"/>
        </w:rPr>
        <w:fldChar w:fldCharType="end"/>
      </w:r>
      <w:r w:rsidRPr="0005381D">
        <w:rPr>
          <w:rFonts w:ascii="Times New Roman" w:hAnsi="Times New Roman" w:cs="Times New Roman"/>
          <w:color w:val="000000"/>
          <w:sz w:val="24"/>
          <w:szCs w:val="24"/>
          <w:shd w:val="clear" w:color="auto" w:fill="FFFFFF"/>
          <w:lang w:val="ru-RU"/>
        </w:rPr>
        <w:t>, с. 6]</w:t>
      </w:r>
      <w:r>
        <w:rPr>
          <w:rFonts w:ascii="Times New Roman" w:hAnsi="Times New Roman" w:cs="Times New Roman"/>
          <w:color w:val="000000"/>
          <w:sz w:val="24"/>
          <w:szCs w:val="24"/>
          <w:shd w:val="clear" w:color="auto" w:fill="FFFFFF"/>
          <w:lang w:val="ru-RU"/>
        </w:rPr>
        <w:t xml:space="preserve">) объективная картина будет неполной. Без единой базы данных, посвящённых внешнеэкономическим операциям, обороту капитала, финансовым данным, которые можно было создавать в рамках ЕАЭС или БРИКС </w:t>
      </w:r>
      <w:r w:rsidRPr="0005381D">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_Ref136260358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44</w:t>
      </w:r>
      <w:r>
        <w:rPr>
          <w:rFonts w:ascii="Times New Roman" w:hAnsi="Times New Roman" w:cs="Times New Roman"/>
          <w:color w:val="000000"/>
          <w:sz w:val="24"/>
          <w:szCs w:val="24"/>
          <w:shd w:val="clear" w:color="auto" w:fill="FFFFFF"/>
          <w:lang w:val="ru-RU"/>
        </w:rPr>
        <w:fldChar w:fldCharType="end"/>
      </w:r>
      <w:r w:rsidRPr="0005381D">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объективная картина на основе рейтингов МФЦ в странах с формирующ</w:t>
      </w:r>
      <w:r w:rsidR="00225BFE">
        <w:rPr>
          <w:rFonts w:ascii="Times New Roman" w:hAnsi="Times New Roman" w:cs="Times New Roman"/>
          <w:color w:val="000000"/>
          <w:sz w:val="24"/>
          <w:szCs w:val="24"/>
          <w:shd w:val="clear" w:color="auto" w:fill="FFFFFF"/>
          <w:lang w:val="ru-RU"/>
        </w:rPr>
        <w:t>имся</w:t>
      </w:r>
      <w:r>
        <w:rPr>
          <w:rFonts w:ascii="Times New Roman" w:hAnsi="Times New Roman" w:cs="Times New Roman"/>
          <w:color w:val="000000"/>
          <w:sz w:val="24"/>
          <w:szCs w:val="24"/>
          <w:shd w:val="clear" w:color="auto" w:fill="FFFFFF"/>
          <w:lang w:val="ru-RU"/>
        </w:rPr>
        <w:t xml:space="preserve"> </w:t>
      </w:r>
      <w:r w:rsidR="00225BFE">
        <w:rPr>
          <w:rFonts w:ascii="Times New Roman" w:hAnsi="Times New Roman" w:cs="Times New Roman"/>
          <w:color w:val="000000"/>
          <w:sz w:val="24"/>
          <w:szCs w:val="24"/>
          <w:shd w:val="clear" w:color="auto" w:fill="FFFFFF"/>
          <w:lang w:val="ru-RU"/>
        </w:rPr>
        <w:t>рынком</w:t>
      </w:r>
      <w:r>
        <w:rPr>
          <w:rFonts w:ascii="Times New Roman" w:hAnsi="Times New Roman" w:cs="Times New Roman"/>
          <w:color w:val="000000"/>
          <w:sz w:val="24"/>
          <w:szCs w:val="24"/>
          <w:shd w:val="clear" w:color="auto" w:fill="FFFFFF"/>
          <w:lang w:val="ru-RU"/>
        </w:rPr>
        <w:t xml:space="preserve"> будет неполной. Поэтому на данном этапе целесообразно использовать обзоры МФЦ, составленные по единой методике на основе организаций, придерживающихся полицентрических подходов для описания мировой финансовой системы, например,</w:t>
      </w:r>
      <w:r w:rsidRPr="0005381D">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«Мировой альянс международный финансовых центров» </w:t>
      </w:r>
      <w:r w:rsidRPr="0005381D">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_Ref136260553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235</w:t>
      </w:r>
      <w:r>
        <w:rPr>
          <w:rFonts w:ascii="Times New Roman" w:hAnsi="Times New Roman" w:cs="Times New Roman"/>
          <w:color w:val="000000"/>
          <w:sz w:val="24"/>
          <w:szCs w:val="24"/>
          <w:shd w:val="clear" w:color="auto" w:fill="FFFFFF"/>
          <w:lang w:val="ru-RU"/>
        </w:rPr>
        <w:fldChar w:fldCharType="end"/>
      </w:r>
      <w:r w:rsidRPr="0005381D">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w:t>
      </w:r>
    </w:p>
    <w:p w14:paraId="201C042A" w14:textId="6D667912" w:rsidR="008338D9" w:rsidRDefault="008338D9" w:rsidP="008338D9">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Широко распространён в экспертной среде подход Всемирного банка к оценке финансовых систем стран по: 1) глубине (доле фондового рынка и объему выданных кредитов к ВВП страны), 2) доступности (например, количеству банкоматов или отделений банков на 1000 человек взрослого населения и объёмам торгов компаний, не входящих в топ-10), 3) эффективности (процентная маржа банков и коэффициент оборачиваемости рынка акций), 4) стабильности (банковский </w:t>
      </w:r>
      <w:r>
        <w:rPr>
          <w:rFonts w:ascii="Times New Roman" w:hAnsi="Times New Roman" w:cs="Times New Roman"/>
          <w:sz w:val="24"/>
          <w:szCs w:val="24"/>
        </w:rPr>
        <w:t>Z</w:t>
      </w:r>
      <w:r w:rsidRPr="008B4A25">
        <w:rPr>
          <w:rFonts w:ascii="Times New Roman" w:hAnsi="Times New Roman" w:cs="Times New Roman"/>
          <w:sz w:val="24"/>
          <w:szCs w:val="24"/>
          <w:lang w:val="ru-RU"/>
        </w:rPr>
        <w:t>-</w:t>
      </w:r>
      <w:r>
        <w:rPr>
          <w:rFonts w:ascii="Times New Roman" w:hAnsi="Times New Roman" w:cs="Times New Roman"/>
          <w:sz w:val="24"/>
          <w:szCs w:val="24"/>
          <w:lang w:val="ru-RU"/>
        </w:rPr>
        <w:t xml:space="preserve">счет и волатильность рынка акций) </w:t>
      </w:r>
      <w:r w:rsidRPr="0024348C">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_Ref135997911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135</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с. 22</w:t>
      </w:r>
      <w:r w:rsidRPr="0024348C">
        <w:rPr>
          <w:rFonts w:ascii="Times New Roman" w:hAnsi="Times New Roman" w:cs="Times New Roman"/>
          <w:sz w:val="24"/>
          <w:szCs w:val="24"/>
          <w:lang w:val="ru-RU"/>
        </w:rPr>
        <w:t>]</w:t>
      </w:r>
      <w:r>
        <w:rPr>
          <w:rFonts w:ascii="Times New Roman" w:hAnsi="Times New Roman" w:cs="Times New Roman"/>
          <w:sz w:val="24"/>
          <w:szCs w:val="24"/>
          <w:lang w:val="ru-RU"/>
        </w:rPr>
        <w:t xml:space="preserve">. Пример применения данного подхода к оценке финансовых систем России и Китая был осуществлён коллективом авторов из СПбГУ в исследовании «Финансовая система Китая» </w:t>
      </w:r>
      <w:r w:rsidRPr="0024348C">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_Ref135997911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135</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с. 18-29</w:t>
      </w:r>
      <w:r w:rsidRPr="0024348C">
        <w:rPr>
          <w:rFonts w:ascii="Times New Roman" w:hAnsi="Times New Roman" w:cs="Times New Roman"/>
          <w:sz w:val="24"/>
          <w:szCs w:val="24"/>
          <w:lang w:val="ru-RU"/>
        </w:rPr>
        <w:t>]</w:t>
      </w:r>
      <w:r>
        <w:rPr>
          <w:rFonts w:ascii="Times New Roman" w:hAnsi="Times New Roman" w:cs="Times New Roman"/>
          <w:sz w:val="24"/>
          <w:szCs w:val="24"/>
          <w:lang w:val="ru-RU"/>
        </w:rPr>
        <w:t xml:space="preserve">. Данный подход подразумевает оценку как финансовых институтов (прежде всего банков), так и финансовых рынков (фондовых бирж) страны. Однако применимость данного подхода к оценке МФЦ вызывает сомнения. Например, </w:t>
      </w:r>
      <w:r w:rsidRPr="003E53DA">
        <w:rPr>
          <w:rFonts w:ascii="Times New Roman" w:hAnsi="Times New Roman" w:cs="Times New Roman"/>
          <w:sz w:val="24"/>
          <w:szCs w:val="24"/>
          <w:lang w:val="ru-RU"/>
        </w:rPr>
        <w:t>в отношении</w:t>
      </w:r>
      <w:r>
        <w:rPr>
          <w:rFonts w:ascii="Times New Roman" w:hAnsi="Times New Roman" w:cs="Times New Roman"/>
          <w:sz w:val="24"/>
          <w:szCs w:val="24"/>
          <w:lang w:val="ru-RU"/>
        </w:rPr>
        <w:t xml:space="preserve"> показателя «глубина» и «стабильность» финансовых рынков. Московская биржа является основной фондовой площадкой России, и, если попробовать вычислить соотношение объема торгов на Московской бирже к ВРП Москвы, то этот показатель может оказаться выше, чем у Гонконга и Сингапура, тем более что ВРП, </w:t>
      </w:r>
      <w:r>
        <w:rPr>
          <w:rFonts w:ascii="Times New Roman" w:hAnsi="Times New Roman" w:cs="Times New Roman"/>
          <w:sz w:val="24"/>
          <w:szCs w:val="24"/>
          <w:lang w:val="ru-RU"/>
        </w:rPr>
        <w:lastRenderedPageBreak/>
        <w:t>в отличие от ВВП, не включает продукт, производимый оборонным ведомством. Показатель «доступность» финансовой системы, измеряемый как количество отделений банков на определённое количество взрослого населения уже является устаревшим, так как многие российские банки следуют стратегии увеличения объёмов операций, совершаемых удалённо через мобильные приложения, личный кабинет на сайте, по телефону, а не в ходе визита в отделение банка. Складывается впечатление, что лидер российского банкинга по количеству отделений затеял стратегию по созданию собственной экосреды, в том числе руководствуясь задачей по оптимизации управления принадлежащей ему коммерческой недвижимости. Измерение «эффективности» финансовой системы с помощью процентной маржи банков сталкивается с новой моделью банков проводить ипотечно-жилищное кредитование не за счёт разности привлечённых и отданных в кредит средств, а благодаря отчислениям застройщиков. Например, ниже приводится график, составленный по данным Банка России, отображающий значение средневзвешенной ставки ИЖК и средневзвешенной ставки депозита для населения в</w:t>
      </w:r>
      <w:r>
        <w:rPr>
          <w:rFonts w:ascii="Times New Roman" w:hAnsi="Times New Roman" w:cs="Times New Roman"/>
          <w:sz w:val="24"/>
          <w:szCs w:val="24"/>
        </w:rPr>
        <w:t> </w:t>
      </w:r>
      <w:r>
        <w:rPr>
          <w:rFonts w:ascii="Times New Roman" w:hAnsi="Times New Roman" w:cs="Times New Roman"/>
          <w:sz w:val="24"/>
          <w:szCs w:val="24"/>
          <w:lang w:val="ru-RU"/>
        </w:rPr>
        <w:t xml:space="preserve">Москве и Санкт-Петербурге. В декабре 2022 года две линии в Санкт-Петербурге пересекаются, то есть маржа стала отрицательной. </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8338D9" w:rsidRPr="009B55B4" w14:paraId="2CF7A666" w14:textId="77777777" w:rsidTr="00203C19">
        <w:tc>
          <w:tcPr>
            <w:tcW w:w="4955" w:type="dxa"/>
          </w:tcPr>
          <w:p w14:paraId="6DD88E4E" w14:textId="77777777" w:rsidR="008338D9" w:rsidRPr="009B55B4" w:rsidRDefault="008338D9" w:rsidP="00203C19">
            <w:pPr>
              <w:spacing w:before="100" w:beforeAutospacing="1" w:after="100" w:line="360" w:lineRule="auto"/>
              <w:contextualSpacing/>
              <w:jc w:val="both"/>
              <w:rPr>
                <w:rFonts w:ascii="Times New Roman" w:hAnsi="Times New Roman" w:cs="Times New Roman"/>
                <w:sz w:val="24"/>
                <w:szCs w:val="24"/>
                <w:lang w:val="ru-RU"/>
              </w:rPr>
            </w:pPr>
            <w:r>
              <w:object w:dxaOrig="7185" w:dyaOrig="4290" w14:anchorId="7FFD4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38.75pt" o:ole="">
                  <v:imagedata r:id="rId21" o:title=""/>
                </v:shape>
                <o:OLEObject Type="Embed" ProgID="PBrush" ShapeID="_x0000_i1025" DrawAspect="Content" ObjectID="_1747062874" r:id="rId22"/>
              </w:object>
            </w:r>
          </w:p>
        </w:tc>
        <w:tc>
          <w:tcPr>
            <w:tcW w:w="4956" w:type="dxa"/>
          </w:tcPr>
          <w:p w14:paraId="27D83861" w14:textId="77777777" w:rsidR="008338D9" w:rsidRDefault="008338D9" w:rsidP="00203C19">
            <w:pPr>
              <w:spacing w:before="100" w:beforeAutospacing="1" w:after="100" w:line="360" w:lineRule="auto"/>
              <w:contextualSpacing/>
              <w:jc w:val="both"/>
              <w:rPr>
                <w:rFonts w:ascii="Times New Roman" w:hAnsi="Times New Roman" w:cs="Times New Roman"/>
                <w:sz w:val="24"/>
                <w:szCs w:val="24"/>
                <w:lang w:val="ru-RU"/>
              </w:rPr>
            </w:pPr>
            <w:r>
              <w:object w:dxaOrig="7110" w:dyaOrig="4260" w14:anchorId="3250132B">
                <v:shape id="_x0000_i1026" type="#_x0000_t75" style="width:230.25pt;height:138pt" o:ole="">
                  <v:imagedata r:id="rId23" o:title=""/>
                </v:shape>
                <o:OLEObject Type="Embed" ProgID="PBrush" ShapeID="_x0000_i1026" DrawAspect="Content" ObjectID="_1747062875" r:id="rId24"/>
              </w:object>
            </w:r>
          </w:p>
        </w:tc>
      </w:tr>
    </w:tbl>
    <w:p w14:paraId="33B763A2" w14:textId="77777777" w:rsidR="008338D9" w:rsidRDefault="008338D9" w:rsidP="008338D9">
      <w:pPr>
        <w:pStyle w:val="15"/>
        <w:spacing w:before="0" w:beforeAutospacing="0" w:after="0"/>
      </w:pPr>
    </w:p>
    <w:p w14:paraId="1D7609C2" w14:textId="75F6231B" w:rsidR="008338D9" w:rsidRPr="0095758A" w:rsidRDefault="008338D9" w:rsidP="008338D9">
      <w:pPr>
        <w:pStyle w:val="15"/>
        <w:spacing w:before="0" w:beforeAutospacing="0" w:after="0"/>
      </w:pPr>
      <w:r>
        <w:t>Рис. 1</w:t>
      </w:r>
      <w:r w:rsidR="006978F8">
        <w:t>0</w:t>
      </w:r>
      <w:r>
        <w:t>. Составлено автором по данным Банка России</w:t>
      </w:r>
      <w:r w:rsidRPr="0095758A">
        <w:t>.</w:t>
      </w:r>
    </w:p>
    <w:p w14:paraId="54610B07" w14:textId="77777777" w:rsidR="008338D9" w:rsidRDefault="008338D9" w:rsidP="008338D9">
      <w:pPr>
        <w:spacing w:after="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Мы хотим предложить свои критерии оценки МФЦ, исходя из целей его создания. </w:t>
      </w:r>
      <w:bookmarkStart w:id="18" w:name="Главадватри"/>
      <w:bookmarkEnd w:id="18"/>
      <w:r>
        <w:rPr>
          <w:rFonts w:ascii="Times New Roman" w:hAnsi="Times New Roman" w:cs="Times New Roman"/>
          <w:sz w:val="24"/>
          <w:szCs w:val="24"/>
          <w:lang w:val="ru-RU"/>
        </w:rPr>
        <w:t xml:space="preserve">Нам представляется, что при создании МФЦ индикаторами успешности, исходя из интересов общества, бизнеса и государства могут быть следующие: 1) для населения (доступность финансовых услуг, количество занятых в финансовом секторе), 2) для бизнеса (рост прибыли при использовании финансовых услуг), 3) для государства (увеличение налоговой базы и собираемости налогов с финансового сектора). </w:t>
      </w:r>
    </w:p>
    <w:p w14:paraId="29F0E42F" w14:textId="189CEF91" w:rsidR="008338D9" w:rsidRDefault="008338D9" w:rsidP="008338D9">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Исследователь из Санкт-Петербурга Е.</w:t>
      </w:r>
      <w:r w:rsidRPr="00CB7F9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Ю. Смирнова предлагает интересную методику расчёта влияния финансовых инструментов на способность приобретения жилья за счёт ипотечно-жилищного кредитования </w:t>
      </w:r>
      <w:r w:rsidRPr="00CB7F9C">
        <w:rPr>
          <w:rFonts w:ascii="Times New Roman" w:hAnsi="Times New Roman" w:cs="Times New Roman"/>
          <w:sz w:val="24"/>
          <w:szCs w:val="24"/>
          <w:lang w:val="ru-RU"/>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_Ref136010380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278</w:t>
      </w:r>
      <w:r>
        <w:rPr>
          <w:rFonts w:ascii="Times New Roman" w:hAnsi="Times New Roman" w:cs="Times New Roman"/>
          <w:sz w:val="24"/>
          <w:szCs w:val="24"/>
          <w:lang w:val="ru-RU"/>
        </w:rPr>
        <w:fldChar w:fldCharType="end"/>
      </w:r>
      <w:r w:rsidRPr="00CB7F9C">
        <w:rPr>
          <w:rFonts w:ascii="Times New Roman" w:hAnsi="Times New Roman" w:cs="Times New Roman"/>
          <w:sz w:val="24"/>
          <w:szCs w:val="24"/>
          <w:lang w:val="ru-RU"/>
        </w:rPr>
        <w:t>]</w:t>
      </w:r>
      <w:r>
        <w:rPr>
          <w:rFonts w:ascii="Times New Roman" w:hAnsi="Times New Roman" w:cs="Times New Roman"/>
          <w:sz w:val="24"/>
          <w:szCs w:val="24"/>
          <w:lang w:val="ru-RU"/>
        </w:rPr>
        <w:t xml:space="preserve">. Мы рассчитали этот показатель на основе данных Банка России и Росстата для Москвы, Санкт-Петербурга, Севастополя, Магаданской области </w:t>
      </w:r>
      <w:r>
        <w:rPr>
          <w:rFonts w:ascii="Times New Roman" w:hAnsi="Times New Roman" w:cs="Times New Roman"/>
          <w:sz w:val="24"/>
          <w:szCs w:val="24"/>
          <w:lang w:val="ru-RU"/>
        </w:rPr>
        <w:lastRenderedPageBreak/>
        <w:t xml:space="preserve">(в этом регионе доля городского населения является самой высокой среди российских регионов) и для России. </w:t>
      </w:r>
    </w:p>
    <w:p w14:paraId="196EB458" w14:textId="77777777" w:rsidR="008338D9" w:rsidRDefault="008338D9" w:rsidP="008338D9">
      <w:pPr>
        <w:spacing w:before="100" w:beforeAutospacing="1" w:after="100" w:line="360" w:lineRule="auto"/>
        <w:ind w:firstLine="709"/>
        <w:contextualSpacing/>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drawing>
          <wp:inline distT="0" distB="0" distL="0" distR="0" wp14:anchorId="6E8B0A67" wp14:editId="671B1284">
            <wp:extent cx="3737113" cy="2189504"/>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4150" cy="2205344"/>
                    </a:xfrm>
                    <a:prstGeom prst="rect">
                      <a:avLst/>
                    </a:prstGeom>
                    <a:noFill/>
                    <a:ln>
                      <a:noFill/>
                    </a:ln>
                  </pic:spPr>
                </pic:pic>
              </a:graphicData>
            </a:graphic>
          </wp:inline>
        </w:drawing>
      </w:r>
    </w:p>
    <w:p w14:paraId="47096292" w14:textId="77777777" w:rsidR="008338D9" w:rsidRDefault="008338D9" w:rsidP="008338D9">
      <w:pPr>
        <w:spacing w:before="100" w:beforeAutospacing="1" w:after="100" w:line="360" w:lineRule="auto"/>
        <w:ind w:firstLine="709"/>
        <w:contextualSpacing/>
        <w:jc w:val="both"/>
        <w:rPr>
          <w:rFonts w:ascii="Times New Roman" w:hAnsi="Times New Roman" w:cs="Times New Roman"/>
          <w:sz w:val="24"/>
          <w:szCs w:val="24"/>
          <w:lang w:val="ru-RU"/>
        </w:rPr>
      </w:pPr>
    </w:p>
    <w:p w14:paraId="4E174345" w14:textId="68677B22" w:rsidR="008338D9" w:rsidRDefault="008338D9" w:rsidP="008338D9">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Рис. 1</w:t>
      </w:r>
      <w:r w:rsidR="006978F8">
        <w:rPr>
          <w:rFonts w:ascii="Times New Roman" w:hAnsi="Times New Roman" w:cs="Times New Roman"/>
          <w:sz w:val="24"/>
          <w:szCs w:val="24"/>
          <w:lang w:val="ru-RU"/>
        </w:rPr>
        <w:t>1</w:t>
      </w:r>
      <w:r>
        <w:rPr>
          <w:rFonts w:ascii="Times New Roman" w:hAnsi="Times New Roman" w:cs="Times New Roman"/>
          <w:sz w:val="24"/>
          <w:szCs w:val="24"/>
          <w:lang w:val="ru-RU"/>
        </w:rPr>
        <w:t xml:space="preserve">. Рассчитано и составлено автором по данным Банка России и ЕМИСС. </w:t>
      </w:r>
    </w:p>
    <w:p w14:paraId="6D7C8BCD" w14:textId="77777777" w:rsidR="008338D9" w:rsidRDefault="008338D9" w:rsidP="008338D9">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Оказалось, что во всех городах федерального подчинения общий тренд негативный, хотя в среднем по России доступность растёт. </w:t>
      </w:r>
    </w:p>
    <w:p w14:paraId="03E62E14" w14:textId="633544A2" w:rsidR="008338D9" w:rsidRDefault="008338D9" w:rsidP="00A916EF">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Далее, используя методику Е. Ю. Смирновой, мы рассчитали размер среднего ежемесячного платежа, который заёмщик должен отдать за покупку жилья с использованием ИЖК, и сравнили его со средней номинальной начисленной заработной платой и со средней номинальной начисленной заработной платой по общему классификатору экономической деятельности «деятельность в области финансов и страхования</w:t>
      </w:r>
      <w:r w:rsidRPr="00873533">
        <w:rPr>
          <w:rFonts w:ascii="Times New Roman" w:hAnsi="Times New Roman" w:cs="Times New Roman"/>
          <w:sz w:val="24"/>
          <w:szCs w:val="24"/>
          <w:lang w:val="ru-RU"/>
        </w:rPr>
        <w:t xml:space="preserve">». Результаты приведены </w:t>
      </w:r>
      <w:r w:rsidR="00A916EF">
        <w:rPr>
          <w:rFonts w:ascii="Times New Roman" w:hAnsi="Times New Roman" w:cs="Times New Roman"/>
          <w:sz w:val="24"/>
          <w:szCs w:val="24"/>
          <w:lang w:val="ru-RU"/>
        </w:rPr>
        <w:t>Приложении 9.</w:t>
      </w:r>
    </w:p>
    <w:p w14:paraId="30825E54" w14:textId="77777777" w:rsidR="008338D9" w:rsidRDefault="008338D9" w:rsidP="008338D9">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рассматривать только Москву и Санкт-Петербург, то доступность ипотеки для сотрудников оказывается выше. В основном, благодаря ускоренному росту зарплат в отрасли. Севастополь выпадает из общего тренда по доступности ипотеки, но это можно списать на то, что основные игроки не были представлены в регионе, хотя можно также наблюдать ускоренный рост зарплат именно в финансовой сфере по сравнению со средней зарплатой в регионе. В Магаданской области разрыв между зарплатами в среднем и в финансовой сфере оказался небольшим. Общероссийские показали нас несколько озадачили, они в целом повторяют показатели Москвы. </w:t>
      </w:r>
    </w:p>
    <w:p w14:paraId="146984AD" w14:textId="156B2AC9" w:rsidR="008338D9" w:rsidRPr="0000396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С</w:t>
      </w:r>
      <w:r w:rsidRPr="00003969">
        <w:rPr>
          <w:rFonts w:ascii="Times New Roman" w:hAnsi="Times New Roman" w:cs="Times New Roman"/>
          <w:color w:val="000000"/>
          <w:sz w:val="24"/>
          <w:szCs w:val="24"/>
          <w:shd w:val="clear" w:color="auto" w:fill="FFFFFF"/>
          <w:lang w:val="ru-RU"/>
        </w:rPr>
        <w:t>лабая связь между наличием МФЦ и доступностью жилья по ипотеке подтверждается и</w:t>
      </w:r>
      <w:r>
        <w:rPr>
          <w:rFonts w:ascii="Times New Roman" w:hAnsi="Times New Roman" w:cs="Times New Roman"/>
          <w:color w:val="000000"/>
          <w:sz w:val="24"/>
          <w:szCs w:val="24"/>
          <w:shd w:val="clear" w:color="auto" w:fill="FFFFFF"/>
          <w:lang w:val="ru-RU"/>
        </w:rPr>
        <w:t> </w:t>
      </w:r>
      <w:r w:rsidRPr="00003969">
        <w:rPr>
          <w:rFonts w:ascii="Times New Roman" w:hAnsi="Times New Roman" w:cs="Times New Roman"/>
          <w:color w:val="000000"/>
          <w:sz w:val="24"/>
          <w:szCs w:val="24"/>
          <w:shd w:val="clear" w:color="auto" w:fill="FFFFFF"/>
          <w:lang w:val="ru-RU"/>
        </w:rPr>
        <w:t>на основе иных источников. Согласно рейтингу РИА</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Рейтинга [</w:t>
      </w:r>
      <w:r w:rsidRPr="00003969">
        <w:rPr>
          <w:rFonts w:ascii="Times New Roman" w:hAnsi="Times New Roman" w:cs="Times New Roman"/>
          <w:color w:val="000000"/>
          <w:sz w:val="24"/>
          <w:szCs w:val="24"/>
          <w:shd w:val="clear" w:color="auto" w:fill="FFFFFF"/>
          <w:lang w:val="ru-RU"/>
        </w:rPr>
        <w:fldChar w:fldCharType="begin"/>
      </w:r>
      <w:r w:rsidRPr="00003969">
        <w:rPr>
          <w:rFonts w:ascii="Times New Roman" w:hAnsi="Times New Roman" w:cs="Times New Roman"/>
          <w:color w:val="000000"/>
          <w:sz w:val="24"/>
          <w:szCs w:val="24"/>
          <w:shd w:val="clear" w:color="auto" w:fill="FFFFFF"/>
          <w:lang w:val="ru-RU"/>
        </w:rPr>
        <w:instrText xml:space="preserve"> REF _Ref459294283 \r \h  \* MERGEFORMAT </w:instrText>
      </w:r>
      <w:r w:rsidRPr="00003969">
        <w:rPr>
          <w:rFonts w:ascii="Times New Roman" w:hAnsi="Times New Roman" w:cs="Times New Roman"/>
          <w:color w:val="000000"/>
          <w:sz w:val="24"/>
          <w:szCs w:val="24"/>
          <w:shd w:val="clear" w:color="auto" w:fill="FFFFFF"/>
          <w:lang w:val="ru-RU"/>
        </w:rPr>
      </w:r>
      <w:r w:rsidRPr="00003969">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26</w:t>
      </w:r>
      <w:r w:rsidRPr="00003969">
        <w:rPr>
          <w:rFonts w:ascii="Times New Roman" w:hAnsi="Times New Roman" w:cs="Times New Roman"/>
          <w:color w:val="000000"/>
          <w:sz w:val="24"/>
          <w:szCs w:val="24"/>
          <w:shd w:val="clear" w:color="auto" w:fill="FFFFFF"/>
          <w:lang w:val="ru-RU"/>
        </w:rPr>
        <w:fldChar w:fldCharType="end"/>
      </w:r>
      <w:r w:rsidRPr="00003969">
        <w:rPr>
          <w:rFonts w:ascii="Times New Roman" w:hAnsi="Times New Roman" w:cs="Times New Roman"/>
          <w:color w:val="000000"/>
          <w:sz w:val="24"/>
          <w:szCs w:val="24"/>
          <w:shd w:val="clear" w:color="auto" w:fill="FFFFFF"/>
          <w:lang w:val="ru-RU"/>
        </w:rPr>
        <w:t>], Москва находится на последнем 82-м месте, Санкт-Петербург на 72-м, а</w:t>
      </w:r>
      <w:r>
        <w:rPr>
          <w:rFonts w:ascii="Times New Roman" w:hAnsi="Times New Roman" w:cs="Times New Roman"/>
          <w:color w:val="000000"/>
          <w:sz w:val="24"/>
          <w:szCs w:val="24"/>
          <w:shd w:val="clear" w:color="auto" w:fill="FFFFFF"/>
          <w:lang w:val="ru-RU"/>
        </w:rPr>
        <w:t xml:space="preserve"> в</w:t>
      </w:r>
      <w:r w:rsidRPr="00003969">
        <w:rPr>
          <w:rFonts w:ascii="Times New Roman" w:hAnsi="Times New Roman" w:cs="Times New Roman"/>
          <w:color w:val="000000"/>
          <w:sz w:val="24"/>
          <w:szCs w:val="24"/>
          <w:shd w:val="clear" w:color="auto" w:fill="FFFFFF"/>
          <w:lang w:val="ru-RU"/>
        </w:rPr>
        <w:t xml:space="preserve"> лидер</w:t>
      </w:r>
      <w:r>
        <w:rPr>
          <w:rFonts w:ascii="Times New Roman" w:hAnsi="Times New Roman" w:cs="Times New Roman"/>
          <w:color w:val="000000"/>
          <w:sz w:val="24"/>
          <w:szCs w:val="24"/>
          <w:shd w:val="clear" w:color="auto" w:fill="FFFFFF"/>
          <w:lang w:val="ru-RU"/>
        </w:rPr>
        <w:t>ах</w:t>
      </w:r>
      <w:r w:rsidRPr="00003969">
        <w:rPr>
          <w:rFonts w:ascii="Times New Roman" w:hAnsi="Times New Roman" w:cs="Times New Roman"/>
          <w:color w:val="000000"/>
          <w:sz w:val="24"/>
          <w:szCs w:val="24"/>
          <w:shd w:val="clear" w:color="auto" w:fill="FFFFFF"/>
          <w:lang w:val="ru-RU"/>
        </w:rPr>
        <w:t xml:space="preserve"> – Ямало-Ненецкий автономный округ, Магаданская область, Мурманская область. По объёму выдаваемых кредитов и качеству </w:t>
      </w:r>
      <w:r w:rsidRPr="00003969">
        <w:rPr>
          <w:rFonts w:ascii="Times New Roman" w:hAnsi="Times New Roman" w:cs="Times New Roman"/>
          <w:color w:val="000000"/>
          <w:sz w:val="24"/>
          <w:szCs w:val="24"/>
          <w:shd w:val="clear" w:color="auto" w:fill="FFFFFF"/>
          <w:lang w:val="ru-RU"/>
        </w:rPr>
        <w:lastRenderedPageBreak/>
        <w:t xml:space="preserve">жизни Москва </w:t>
      </w:r>
      <w:r>
        <w:rPr>
          <w:rFonts w:ascii="Times New Roman" w:hAnsi="Times New Roman" w:cs="Times New Roman"/>
          <w:color w:val="000000"/>
          <w:sz w:val="24"/>
          <w:szCs w:val="24"/>
          <w:shd w:val="clear" w:color="auto" w:fill="FFFFFF"/>
          <w:lang w:val="ru-RU"/>
        </w:rPr>
        <w:t>находится на первом месте</w:t>
      </w:r>
      <w:r w:rsidRPr="00003969">
        <w:rPr>
          <w:rFonts w:ascii="Times New Roman" w:hAnsi="Times New Roman" w:cs="Times New Roman"/>
          <w:color w:val="000000"/>
          <w:sz w:val="24"/>
          <w:szCs w:val="24"/>
          <w:shd w:val="clear" w:color="auto" w:fill="FFFFFF"/>
          <w:lang w:val="ru-RU"/>
        </w:rPr>
        <w:t xml:space="preserve"> [</w:t>
      </w:r>
      <w:r w:rsidRPr="00003969">
        <w:rPr>
          <w:rFonts w:ascii="Times New Roman" w:hAnsi="Times New Roman" w:cs="Times New Roman"/>
          <w:color w:val="000000"/>
          <w:sz w:val="24"/>
          <w:szCs w:val="24"/>
          <w:shd w:val="clear" w:color="auto" w:fill="FFFFFF"/>
          <w:lang w:val="ru-RU"/>
        </w:rPr>
        <w:fldChar w:fldCharType="begin"/>
      </w:r>
      <w:r w:rsidRPr="00003969">
        <w:rPr>
          <w:rFonts w:ascii="Times New Roman" w:hAnsi="Times New Roman" w:cs="Times New Roman"/>
          <w:color w:val="000000"/>
          <w:sz w:val="24"/>
          <w:szCs w:val="24"/>
          <w:shd w:val="clear" w:color="auto" w:fill="FFFFFF"/>
          <w:lang w:val="ru-RU"/>
        </w:rPr>
        <w:instrText xml:space="preserve"> REF _Ref446787734 \r \h  \* MERGEFORMAT </w:instrText>
      </w:r>
      <w:r w:rsidRPr="00003969">
        <w:rPr>
          <w:rFonts w:ascii="Times New Roman" w:hAnsi="Times New Roman" w:cs="Times New Roman"/>
          <w:color w:val="000000"/>
          <w:sz w:val="24"/>
          <w:szCs w:val="24"/>
          <w:shd w:val="clear" w:color="auto" w:fill="FFFFFF"/>
          <w:lang w:val="ru-RU"/>
        </w:rPr>
      </w:r>
      <w:r w:rsidRPr="00003969">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38</w:t>
      </w:r>
      <w:r w:rsidRPr="00003969">
        <w:rPr>
          <w:rFonts w:ascii="Times New Roman" w:hAnsi="Times New Roman" w:cs="Times New Roman"/>
          <w:color w:val="000000"/>
          <w:sz w:val="24"/>
          <w:szCs w:val="24"/>
          <w:shd w:val="clear" w:color="auto" w:fill="FFFFFF"/>
          <w:lang w:val="ru-RU"/>
        </w:rPr>
        <w:fldChar w:fldCharType="end"/>
      </w:r>
      <w:r w:rsidRPr="00003969">
        <w:rPr>
          <w:rFonts w:ascii="Times New Roman" w:hAnsi="Times New Roman" w:cs="Times New Roman"/>
          <w:color w:val="000000"/>
          <w:sz w:val="24"/>
          <w:szCs w:val="24"/>
          <w:shd w:val="clear" w:color="auto" w:fill="FFFFFF"/>
          <w:lang w:val="ru-RU"/>
        </w:rPr>
        <w:t xml:space="preserve">, </w:t>
      </w:r>
      <w:r w:rsidRPr="00003969">
        <w:rPr>
          <w:rFonts w:ascii="Times New Roman" w:hAnsi="Times New Roman" w:cs="Times New Roman"/>
          <w:color w:val="000000"/>
          <w:sz w:val="24"/>
          <w:szCs w:val="24"/>
          <w:shd w:val="clear" w:color="auto" w:fill="FFFFFF"/>
        </w:rPr>
        <w:t>c</w:t>
      </w:r>
      <w:r w:rsidRPr="00003969">
        <w:rPr>
          <w:rFonts w:ascii="Times New Roman" w:hAnsi="Times New Roman" w:cs="Times New Roman"/>
          <w:color w:val="000000"/>
          <w:sz w:val="24"/>
          <w:szCs w:val="24"/>
          <w:shd w:val="clear" w:color="auto" w:fill="FFFFFF"/>
          <w:lang w:val="ru-RU"/>
        </w:rPr>
        <w:t>. 12], но наличие МФЦ значительно удорожает жизнь.</w:t>
      </w:r>
    </w:p>
    <w:p w14:paraId="2F139141" w14:textId="68728C14"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003969">
        <w:rPr>
          <w:rFonts w:ascii="Times New Roman" w:hAnsi="Times New Roman" w:cs="Times New Roman"/>
          <w:color w:val="000000"/>
          <w:sz w:val="24"/>
          <w:szCs w:val="24"/>
          <w:shd w:val="clear" w:color="auto" w:fill="FFFFFF"/>
          <w:lang w:val="ru-RU"/>
        </w:rPr>
        <w:t xml:space="preserve">Данная тенденция подтверждается и на европейских данных. В 2011 году российское ипотечное агентство </w:t>
      </w:r>
      <w:r w:rsidRPr="00003969">
        <w:rPr>
          <w:rFonts w:ascii="Times New Roman" w:hAnsi="Times New Roman" w:cs="Times New Roman"/>
          <w:color w:val="000000"/>
          <w:sz w:val="24"/>
          <w:szCs w:val="24"/>
          <w:shd w:val="clear" w:color="auto" w:fill="FFFFFF"/>
        </w:rPr>
        <w:t>Penny</w:t>
      </w:r>
      <w:r w:rsidRPr="00003969">
        <w:rPr>
          <w:rFonts w:ascii="Times New Roman" w:hAnsi="Times New Roman" w:cs="Times New Roman"/>
          <w:color w:val="000000"/>
          <w:sz w:val="24"/>
          <w:szCs w:val="24"/>
          <w:shd w:val="clear" w:color="auto" w:fill="FFFFFF"/>
          <w:lang w:val="ru-RU"/>
        </w:rPr>
        <w:t xml:space="preserve"> </w:t>
      </w:r>
      <w:r w:rsidRPr="00003969">
        <w:rPr>
          <w:rFonts w:ascii="Times New Roman" w:hAnsi="Times New Roman" w:cs="Times New Roman"/>
          <w:color w:val="000000"/>
          <w:sz w:val="24"/>
          <w:szCs w:val="24"/>
          <w:shd w:val="clear" w:color="auto" w:fill="FFFFFF"/>
        </w:rPr>
        <w:t>Lane</w:t>
      </w:r>
      <w:r w:rsidRPr="00003969">
        <w:rPr>
          <w:rFonts w:ascii="Times New Roman" w:hAnsi="Times New Roman" w:cs="Times New Roman"/>
          <w:color w:val="000000"/>
          <w:sz w:val="24"/>
          <w:szCs w:val="24"/>
          <w:shd w:val="clear" w:color="auto" w:fill="FFFFFF"/>
          <w:lang w:val="ru-RU"/>
        </w:rPr>
        <w:t xml:space="preserve"> </w:t>
      </w:r>
      <w:r w:rsidRPr="00003969">
        <w:rPr>
          <w:rFonts w:ascii="Times New Roman" w:hAnsi="Times New Roman" w:cs="Times New Roman"/>
          <w:color w:val="000000"/>
          <w:sz w:val="24"/>
          <w:szCs w:val="24"/>
          <w:shd w:val="clear" w:color="auto" w:fill="FFFFFF"/>
        </w:rPr>
        <w:t>Realty</w:t>
      </w:r>
      <w:r w:rsidRPr="00003969">
        <w:rPr>
          <w:rFonts w:ascii="Times New Roman" w:hAnsi="Times New Roman" w:cs="Times New Roman"/>
          <w:color w:val="000000"/>
          <w:sz w:val="24"/>
          <w:szCs w:val="24"/>
          <w:shd w:val="clear" w:color="auto" w:fill="FFFFFF"/>
          <w:lang w:val="ru-RU"/>
        </w:rPr>
        <w:t xml:space="preserve"> выпустил</w:t>
      </w:r>
      <w:r>
        <w:rPr>
          <w:rFonts w:ascii="Times New Roman" w:hAnsi="Times New Roman" w:cs="Times New Roman"/>
          <w:color w:val="000000"/>
          <w:sz w:val="24"/>
          <w:szCs w:val="24"/>
          <w:shd w:val="clear" w:color="auto" w:fill="FFFFFF"/>
          <w:lang w:val="ru-RU"/>
        </w:rPr>
        <w:t>о</w:t>
      </w:r>
      <w:r w:rsidRPr="00003969">
        <w:rPr>
          <w:rFonts w:ascii="Times New Roman" w:hAnsi="Times New Roman" w:cs="Times New Roman"/>
          <w:color w:val="000000"/>
          <w:sz w:val="24"/>
          <w:szCs w:val="24"/>
          <w:shd w:val="clear" w:color="auto" w:fill="FFFFFF"/>
          <w:lang w:val="ru-RU"/>
        </w:rPr>
        <w:t xml:space="preserve"> рейтинг стран по доступности ипотеки в мире [</w:t>
      </w:r>
      <w:r w:rsidRPr="00003969">
        <w:rPr>
          <w:rFonts w:ascii="Times New Roman" w:hAnsi="Times New Roman" w:cs="Times New Roman"/>
          <w:color w:val="000000"/>
          <w:sz w:val="24"/>
          <w:szCs w:val="24"/>
          <w:shd w:val="clear" w:color="auto" w:fill="FFFFFF"/>
          <w:lang w:val="ru-RU"/>
        </w:rPr>
        <w:fldChar w:fldCharType="begin"/>
      </w:r>
      <w:r w:rsidRPr="00003969">
        <w:rPr>
          <w:rFonts w:ascii="Times New Roman" w:hAnsi="Times New Roman" w:cs="Times New Roman"/>
          <w:color w:val="000000"/>
          <w:sz w:val="24"/>
          <w:szCs w:val="24"/>
          <w:shd w:val="clear" w:color="auto" w:fill="FFFFFF"/>
          <w:lang w:val="ru-RU"/>
        </w:rPr>
        <w:instrText xml:space="preserve"> REF _Ref459294142 \r \h  \* MERGEFORMAT </w:instrText>
      </w:r>
      <w:r w:rsidRPr="00003969">
        <w:rPr>
          <w:rFonts w:ascii="Times New Roman" w:hAnsi="Times New Roman" w:cs="Times New Roman"/>
          <w:color w:val="000000"/>
          <w:sz w:val="24"/>
          <w:szCs w:val="24"/>
          <w:shd w:val="clear" w:color="auto" w:fill="FFFFFF"/>
          <w:lang w:val="ru-RU"/>
        </w:rPr>
      </w:r>
      <w:r w:rsidRPr="00003969">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274</w:t>
      </w:r>
      <w:r w:rsidRPr="00003969">
        <w:rPr>
          <w:rFonts w:ascii="Times New Roman" w:hAnsi="Times New Roman" w:cs="Times New Roman"/>
          <w:color w:val="000000"/>
          <w:sz w:val="24"/>
          <w:szCs w:val="24"/>
          <w:shd w:val="clear" w:color="auto" w:fill="FFFFFF"/>
          <w:lang w:val="ru-RU"/>
        </w:rPr>
        <w:fldChar w:fldCharType="end"/>
      </w:r>
      <w:r w:rsidRPr="00003969">
        <w:rPr>
          <w:rFonts w:ascii="Times New Roman" w:hAnsi="Times New Roman" w:cs="Times New Roman"/>
          <w:color w:val="000000"/>
          <w:sz w:val="24"/>
          <w:szCs w:val="24"/>
          <w:shd w:val="clear" w:color="auto" w:fill="FFFFFF"/>
          <w:lang w:val="ru-RU"/>
        </w:rPr>
        <w:t xml:space="preserve">]. В основе рейтинга лежит расчёт ежемесячного платежа на сумму около 125 тыс. евро, исходя из процента на кредит. </w:t>
      </w:r>
      <w:bookmarkStart w:id="19" w:name="смприложение6"/>
      <w:r w:rsidRPr="00003969">
        <w:rPr>
          <w:rFonts w:ascii="Times New Roman" w:hAnsi="Times New Roman" w:cs="Times New Roman"/>
          <w:color w:val="000000"/>
          <w:sz w:val="24"/>
          <w:szCs w:val="24"/>
          <w:shd w:val="clear" w:color="auto" w:fill="FFFFFF"/>
          <w:lang w:val="ru-RU"/>
        </w:rPr>
        <w:t xml:space="preserve">В лидерах оказались: Дания, Швеция, Испания, Португалия, Норвегия, Ирландия, Греция, Германия, </w:t>
      </w:r>
      <w:r w:rsidRPr="00003969">
        <w:rPr>
          <w:rFonts w:ascii="Times New Roman" w:hAnsi="Times New Roman" w:cs="Times New Roman"/>
          <w:color w:val="000000" w:themeColor="text1"/>
          <w:sz w:val="24"/>
          <w:szCs w:val="24"/>
          <w:shd w:val="clear" w:color="auto" w:fill="FFFFFF"/>
          <w:lang w:val="ru-RU"/>
        </w:rPr>
        <w:t>Великобритания и Голландия</w:t>
      </w:r>
      <w:r>
        <w:rPr>
          <w:rFonts w:ascii="Times New Roman" w:hAnsi="Times New Roman" w:cs="Times New Roman"/>
          <w:color w:val="000000" w:themeColor="text1"/>
          <w:sz w:val="24"/>
          <w:szCs w:val="24"/>
          <w:shd w:val="clear" w:color="auto" w:fill="FFFFFF"/>
          <w:lang w:val="ru-RU"/>
        </w:rPr>
        <w:t>,</w:t>
      </w:r>
      <w:r w:rsidRPr="00003969">
        <w:rPr>
          <w:rFonts w:ascii="Times New Roman" w:hAnsi="Times New Roman" w:cs="Times New Roman"/>
          <w:color w:val="000000" w:themeColor="text1"/>
          <w:sz w:val="24"/>
          <w:szCs w:val="24"/>
          <w:shd w:val="clear" w:color="auto" w:fill="FFFFFF"/>
          <w:lang w:val="ru-RU"/>
        </w:rPr>
        <w:t xml:space="preserve"> США, Канада и Япония</w:t>
      </w:r>
      <w:r>
        <w:rPr>
          <w:rFonts w:ascii="Times New Roman" w:hAnsi="Times New Roman" w:cs="Times New Roman"/>
          <w:color w:val="000000" w:themeColor="text1"/>
          <w:sz w:val="24"/>
          <w:szCs w:val="24"/>
          <w:shd w:val="clear" w:color="auto" w:fill="FFFFFF"/>
          <w:lang w:val="ru-RU"/>
        </w:rPr>
        <w:t>. Они</w:t>
      </w:r>
      <w:r w:rsidRPr="00003969">
        <w:rPr>
          <w:rFonts w:ascii="Times New Roman" w:hAnsi="Times New Roman" w:cs="Times New Roman"/>
          <w:color w:val="000000" w:themeColor="text1"/>
          <w:sz w:val="24"/>
          <w:szCs w:val="24"/>
          <w:shd w:val="clear" w:color="auto" w:fill="FFFFFF"/>
          <w:lang w:val="ru-RU"/>
        </w:rPr>
        <w:t xml:space="preserve"> вошли в первую двадцатку</w:t>
      </w:r>
      <w:bookmarkEnd w:id="19"/>
      <w:r w:rsidRPr="00003969">
        <w:rPr>
          <w:rFonts w:ascii="Times New Roman" w:hAnsi="Times New Roman" w:cs="Times New Roman"/>
          <w:color w:val="000000" w:themeColor="text1"/>
          <w:sz w:val="24"/>
          <w:szCs w:val="24"/>
          <w:shd w:val="clear" w:color="auto" w:fill="FFFFFF"/>
          <w:lang w:val="ru-RU"/>
        </w:rPr>
        <w:t xml:space="preserve"> (см. </w:t>
      </w:r>
      <w:hyperlink w:anchor="Приложение6ипотека" w:tooltip="#Приложение6ипотека" w:history="1">
        <w:r w:rsidRPr="00003969">
          <w:rPr>
            <w:rStyle w:val="a9"/>
            <w:rFonts w:ascii="Times New Roman" w:hAnsi="Times New Roman" w:cs="Times New Roman"/>
            <w:color w:val="000000" w:themeColor="text1"/>
            <w:sz w:val="24"/>
            <w:szCs w:val="24"/>
            <w:shd w:val="clear" w:color="auto" w:fill="FFFFFF"/>
            <w:lang w:val="ru-RU"/>
          </w:rPr>
          <w:t>Приложение 5</w:t>
        </w:r>
      </w:hyperlink>
      <w:r w:rsidRPr="00003969">
        <w:rPr>
          <w:rFonts w:ascii="Times New Roman" w:hAnsi="Times New Roman" w:cs="Times New Roman"/>
          <w:color w:val="000000" w:themeColor="text1"/>
          <w:sz w:val="24"/>
          <w:szCs w:val="24"/>
          <w:shd w:val="clear" w:color="auto" w:fill="FFFFFF"/>
          <w:lang w:val="ru-RU"/>
        </w:rPr>
        <w:t xml:space="preserve">). Россия на 47-м месте </w:t>
      </w:r>
      <w:r w:rsidRPr="00003969">
        <w:rPr>
          <w:rFonts w:ascii="Times New Roman" w:hAnsi="Times New Roman" w:cs="Times New Roman"/>
          <w:color w:val="000000"/>
          <w:sz w:val="24"/>
          <w:szCs w:val="24"/>
          <w:shd w:val="clear" w:color="auto" w:fill="FFFFFF"/>
          <w:lang w:val="ru-RU"/>
        </w:rPr>
        <w:t>обогнала все страны СНГ. Мы не нашли полный список рейтинга. С 2010 года многое могло измениться, но даже</w:t>
      </w:r>
      <w:r>
        <w:rPr>
          <w:rFonts w:ascii="Times New Roman" w:hAnsi="Times New Roman" w:cs="Times New Roman"/>
          <w:color w:val="000000"/>
          <w:sz w:val="24"/>
          <w:szCs w:val="24"/>
          <w:shd w:val="clear" w:color="auto" w:fill="FFFFFF"/>
          <w:lang w:val="ru-RU"/>
        </w:rPr>
        <w:t>,</w:t>
      </w:r>
      <w:r w:rsidRPr="00003969">
        <w:rPr>
          <w:rFonts w:ascii="Times New Roman" w:hAnsi="Times New Roman" w:cs="Times New Roman"/>
          <w:color w:val="000000"/>
          <w:sz w:val="24"/>
          <w:szCs w:val="24"/>
          <w:shd w:val="clear" w:color="auto" w:fill="FFFFFF"/>
          <w:lang w:val="ru-RU"/>
        </w:rPr>
        <w:t xml:space="preserve"> исходя из имеющихся данных</w:t>
      </w:r>
      <w:r>
        <w:rPr>
          <w:rFonts w:ascii="Times New Roman" w:hAnsi="Times New Roman" w:cs="Times New Roman"/>
          <w:color w:val="000000"/>
          <w:sz w:val="24"/>
          <w:szCs w:val="24"/>
          <w:shd w:val="clear" w:color="auto" w:fill="FFFFFF"/>
          <w:lang w:val="ru-RU"/>
        </w:rPr>
        <w:t>,</w:t>
      </w:r>
      <w:r w:rsidRPr="00003969">
        <w:rPr>
          <w:rFonts w:ascii="Times New Roman" w:hAnsi="Times New Roman" w:cs="Times New Roman"/>
          <w:color w:val="000000"/>
          <w:sz w:val="24"/>
          <w:szCs w:val="24"/>
          <w:shd w:val="clear" w:color="auto" w:fill="FFFFFF"/>
          <w:lang w:val="ru-RU"/>
        </w:rPr>
        <w:t xml:space="preserve"> видна тенденция, что доступность кредита и позиции национального МФЦ в рейтинге – мало зависящие друг от друга явления. Напомним, что в </w:t>
      </w:r>
      <w:r w:rsidRPr="00003969">
        <w:rPr>
          <w:rFonts w:ascii="Times New Roman" w:hAnsi="Times New Roman" w:cs="Times New Roman"/>
          <w:color w:val="000000"/>
          <w:sz w:val="24"/>
          <w:szCs w:val="24"/>
          <w:shd w:val="clear" w:color="auto" w:fill="FFFFFF"/>
        </w:rPr>
        <w:t>GFCI</w:t>
      </w:r>
      <w:r w:rsidRPr="00003969">
        <w:rPr>
          <w:rFonts w:ascii="Times New Roman" w:hAnsi="Times New Roman" w:cs="Times New Roman"/>
          <w:color w:val="000000"/>
          <w:sz w:val="24"/>
          <w:szCs w:val="24"/>
          <w:shd w:val="clear" w:color="auto" w:fill="FFFFFF"/>
          <w:lang w:val="ru-RU"/>
        </w:rPr>
        <w:t xml:space="preserve"> Копенгаген занимает 61-е место, Осло – 65-е [</w:t>
      </w:r>
      <w:r w:rsidRPr="00003969">
        <w:rPr>
          <w:rFonts w:ascii="Times New Roman" w:hAnsi="Times New Roman" w:cs="Times New Roman"/>
          <w:color w:val="000000"/>
          <w:sz w:val="24"/>
          <w:szCs w:val="24"/>
          <w:shd w:val="clear" w:color="auto" w:fill="FFFFFF"/>
          <w:lang w:val="ru-RU"/>
        </w:rPr>
        <w:fldChar w:fldCharType="begin"/>
      </w:r>
      <w:r w:rsidRPr="00003969">
        <w:rPr>
          <w:rFonts w:ascii="Times New Roman" w:hAnsi="Times New Roman" w:cs="Times New Roman"/>
          <w:color w:val="000000"/>
          <w:sz w:val="24"/>
          <w:szCs w:val="24"/>
          <w:shd w:val="clear" w:color="auto" w:fill="FFFFFF"/>
          <w:lang w:val="ru-RU"/>
        </w:rPr>
        <w:instrText xml:space="preserve"> REF _Ref130564109 \r \h  \* MERGEFORMAT </w:instrText>
      </w:r>
      <w:r w:rsidRPr="00003969">
        <w:rPr>
          <w:rFonts w:ascii="Times New Roman" w:hAnsi="Times New Roman" w:cs="Times New Roman"/>
          <w:color w:val="000000"/>
          <w:sz w:val="24"/>
          <w:szCs w:val="24"/>
          <w:shd w:val="clear" w:color="auto" w:fill="FFFFFF"/>
          <w:lang w:val="ru-RU"/>
        </w:rPr>
      </w:r>
      <w:r w:rsidRPr="00003969">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003969">
        <w:rPr>
          <w:rFonts w:ascii="Times New Roman" w:hAnsi="Times New Roman" w:cs="Times New Roman"/>
          <w:color w:val="000000"/>
          <w:sz w:val="24"/>
          <w:szCs w:val="24"/>
          <w:shd w:val="clear" w:color="auto" w:fill="FFFFFF"/>
          <w:lang w:val="ru-RU"/>
        </w:rPr>
        <w:fldChar w:fldCharType="end"/>
      </w:r>
      <w:r w:rsidRPr="00003969">
        <w:rPr>
          <w:rFonts w:ascii="Times New Roman" w:hAnsi="Times New Roman" w:cs="Times New Roman"/>
          <w:color w:val="000000"/>
          <w:sz w:val="24"/>
          <w:szCs w:val="24"/>
          <w:shd w:val="clear" w:color="auto" w:fill="FFFFFF"/>
          <w:lang w:val="ru-RU"/>
        </w:rPr>
        <w:t xml:space="preserve">, </w:t>
      </w:r>
      <w:r w:rsidRPr="00003969">
        <w:rPr>
          <w:rFonts w:ascii="Times New Roman" w:hAnsi="Times New Roman" w:cs="Times New Roman"/>
          <w:color w:val="000000"/>
          <w:sz w:val="24"/>
          <w:szCs w:val="24"/>
          <w:shd w:val="clear" w:color="auto" w:fill="FFFFFF"/>
        </w:rPr>
        <w:t>c</w:t>
      </w:r>
      <w:r w:rsidRPr="00003969">
        <w:rPr>
          <w:rFonts w:ascii="Times New Roman" w:hAnsi="Times New Roman" w:cs="Times New Roman"/>
          <w:color w:val="000000"/>
          <w:sz w:val="24"/>
          <w:szCs w:val="24"/>
          <w:shd w:val="clear" w:color="auto" w:fill="FFFFFF"/>
          <w:lang w:val="ru-RU"/>
        </w:rPr>
        <w:t>. 7]. Чтобы не руководствоваться обрывочными данными не самого авторитетного рейтинга, который, насколько мы понимаем, вышел лишь однажды, мы обратимся к данным Европейской ипотечной федерации. Дело в том, что предыдущий рейтинг также использовал данные этой организации. Ассоциация была основана в 1967 и имеет цель создание благоприятных условий развития рынка жилой недвижимости для граждан ЕС. Индексы этой организации включают все страны ЕС, США и Россию, поэтому использовать его мы можем ограниченно. По объёму выданных ипотечных кредитов лидирует США (8</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173</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336 млн. евро), далее идут привычные лидеры</w:t>
      </w:r>
      <w:r>
        <w:rPr>
          <w:rFonts w:ascii="Times New Roman" w:hAnsi="Times New Roman" w:cs="Times New Roman"/>
          <w:color w:val="000000"/>
          <w:sz w:val="24"/>
          <w:szCs w:val="24"/>
          <w:shd w:val="clear" w:color="auto" w:fill="FFFFFF"/>
          <w:lang w:val="ru-RU"/>
        </w:rPr>
        <w:t>:</w:t>
      </w:r>
      <w:r w:rsidRPr="00003969">
        <w:rPr>
          <w:rFonts w:ascii="Times New Roman" w:hAnsi="Times New Roman" w:cs="Times New Roman"/>
          <w:color w:val="000000"/>
          <w:sz w:val="24"/>
          <w:szCs w:val="24"/>
          <w:shd w:val="clear" w:color="auto" w:fill="FFFFFF"/>
          <w:lang w:val="ru-RU"/>
        </w:rPr>
        <w:t xml:space="preserve"> Великобритания (1</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550</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903 млн. евро), Германия (1</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184</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853 млн. евро), Франция (874</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000 млн. евро)</w:t>
      </w:r>
      <w:r>
        <w:rPr>
          <w:rFonts w:ascii="Times New Roman" w:hAnsi="Times New Roman" w:cs="Times New Roman"/>
          <w:color w:val="000000"/>
          <w:sz w:val="24"/>
          <w:szCs w:val="24"/>
          <w:shd w:val="clear" w:color="auto" w:fill="FFFFFF"/>
          <w:lang w:val="ru-RU"/>
        </w:rPr>
        <w:t>. С</w:t>
      </w:r>
      <w:r w:rsidRPr="00003969">
        <w:rPr>
          <w:rFonts w:ascii="Times New Roman" w:hAnsi="Times New Roman" w:cs="Times New Roman"/>
          <w:color w:val="000000"/>
          <w:sz w:val="24"/>
          <w:szCs w:val="24"/>
          <w:shd w:val="clear" w:color="auto" w:fill="FFFFFF"/>
          <w:lang w:val="ru-RU"/>
        </w:rPr>
        <w:t>ледом идут Нидерланды (651 199 млн. евро), Испания (641</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510 млн. евро), Италия (365</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587 млн. евро), Швеция (334</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922 млн. евро), Норвегия (275</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753 млн. евро), Дания (246</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414 млн. евро) [</w:t>
      </w:r>
      <w:r w:rsidRPr="00003969">
        <w:rPr>
          <w:rFonts w:ascii="Times New Roman" w:hAnsi="Times New Roman" w:cs="Times New Roman"/>
          <w:color w:val="000000"/>
          <w:sz w:val="24"/>
          <w:szCs w:val="24"/>
          <w:shd w:val="clear" w:color="auto" w:fill="FFFFFF"/>
          <w:lang w:val="ru-RU"/>
        </w:rPr>
        <w:fldChar w:fldCharType="begin"/>
      </w:r>
      <w:r w:rsidRPr="00003969">
        <w:rPr>
          <w:rFonts w:ascii="Times New Roman" w:hAnsi="Times New Roman" w:cs="Times New Roman"/>
          <w:color w:val="000000"/>
          <w:sz w:val="24"/>
          <w:szCs w:val="24"/>
          <w:shd w:val="clear" w:color="auto" w:fill="FFFFFF"/>
          <w:lang w:val="ru-RU"/>
        </w:rPr>
        <w:instrText xml:space="preserve"> REF _Ref446787619 \r \h  \* MERGEFORMAT </w:instrText>
      </w:r>
      <w:r w:rsidRPr="00003969">
        <w:rPr>
          <w:rFonts w:ascii="Times New Roman" w:hAnsi="Times New Roman" w:cs="Times New Roman"/>
          <w:color w:val="000000"/>
          <w:sz w:val="24"/>
          <w:szCs w:val="24"/>
          <w:shd w:val="clear" w:color="auto" w:fill="FFFFFF"/>
          <w:lang w:val="ru-RU"/>
        </w:rPr>
      </w:r>
      <w:r w:rsidRPr="00003969">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192</w:t>
      </w:r>
      <w:r w:rsidRPr="00003969">
        <w:rPr>
          <w:rFonts w:ascii="Times New Roman" w:hAnsi="Times New Roman" w:cs="Times New Roman"/>
          <w:color w:val="000000"/>
          <w:sz w:val="24"/>
          <w:szCs w:val="24"/>
          <w:shd w:val="clear" w:color="auto" w:fill="FFFFFF"/>
          <w:lang w:val="ru-RU"/>
        </w:rPr>
        <w:fldChar w:fldCharType="end"/>
      </w:r>
      <w:r w:rsidRPr="00003969">
        <w:rPr>
          <w:rFonts w:ascii="Times New Roman" w:hAnsi="Times New Roman" w:cs="Times New Roman"/>
          <w:color w:val="000000"/>
          <w:sz w:val="24"/>
          <w:szCs w:val="24"/>
          <w:shd w:val="clear" w:color="auto" w:fill="FFFFFF"/>
          <w:lang w:val="ru-RU"/>
        </w:rPr>
        <w:t>]. Но по рейтингу соотношения дохода семей и ипотечного долга картина уже меняется</w:t>
      </w:r>
      <w:r>
        <w:rPr>
          <w:rFonts w:ascii="Times New Roman" w:hAnsi="Times New Roman" w:cs="Times New Roman"/>
          <w:color w:val="000000"/>
          <w:sz w:val="24"/>
          <w:szCs w:val="24"/>
          <w:shd w:val="clear" w:color="auto" w:fill="FFFFFF"/>
          <w:lang w:val="ru-RU"/>
        </w:rPr>
        <w:t>, здесь лидерами являются</w:t>
      </w:r>
      <w:r w:rsidRPr="00003969">
        <w:rPr>
          <w:rFonts w:ascii="Times New Roman" w:hAnsi="Times New Roman" w:cs="Times New Roman"/>
          <w:color w:val="000000"/>
          <w:sz w:val="24"/>
          <w:szCs w:val="24"/>
          <w:shd w:val="clear" w:color="auto" w:fill="FFFFFF"/>
          <w:lang w:val="ru-RU"/>
        </w:rPr>
        <w:t>: Нидерланды, Дания, Швеция, Норвегия, Ирландия, Великобритания [</w:t>
      </w:r>
      <w:r w:rsidRPr="00003969">
        <w:rPr>
          <w:rFonts w:ascii="Times New Roman" w:hAnsi="Times New Roman" w:cs="Times New Roman"/>
          <w:color w:val="000000"/>
          <w:sz w:val="24"/>
          <w:szCs w:val="24"/>
          <w:shd w:val="clear" w:color="auto" w:fill="FFFFFF"/>
          <w:lang w:val="ru-RU"/>
        </w:rPr>
        <w:fldChar w:fldCharType="begin"/>
      </w:r>
      <w:r w:rsidRPr="00003969">
        <w:rPr>
          <w:rFonts w:ascii="Times New Roman" w:hAnsi="Times New Roman" w:cs="Times New Roman"/>
          <w:color w:val="000000"/>
          <w:sz w:val="24"/>
          <w:szCs w:val="24"/>
          <w:shd w:val="clear" w:color="auto" w:fill="FFFFFF"/>
          <w:lang w:val="ru-RU"/>
        </w:rPr>
        <w:instrText xml:space="preserve"> REF _Ref130564109 \r \h  \* MERGEFORMAT </w:instrText>
      </w:r>
      <w:r w:rsidRPr="00003969">
        <w:rPr>
          <w:rFonts w:ascii="Times New Roman" w:hAnsi="Times New Roman" w:cs="Times New Roman"/>
          <w:color w:val="000000"/>
          <w:sz w:val="24"/>
          <w:szCs w:val="24"/>
          <w:shd w:val="clear" w:color="auto" w:fill="FFFFFF"/>
          <w:lang w:val="ru-RU"/>
        </w:rPr>
      </w:r>
      <w:r w:rsidRPr="00003969">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003969">
        <w:rPr>
          <w:rFonts w:ascii="Times New Roman" w:hAnsi="Times New Roman" w:cs="Times New Roman"/>
          <w:color w:val="000000"/>
          <w:sz w:val="24"/>
          <w:szCs w:val="24"/>
          <w:shd w:val="clear" w:color="auto" w:fill="FFFFFF"/>
          <w:lang w:val="ru-RU"/>
        </w:rPr>
        <w:fldChar w:fldCharType="end"/>
      </w:r>
      <w:r w:rsidRPr="00003969">
        <w:rPr>
          <w:rFonts w:ascii="Times New Roman" w:hAnsi="Times New Roman" w:cs="Times New Roman"/>
          <w:color w:val="000000"/>
          <w:sz w:val="24"/>
          <w:szCs w:val="24"/>
          <w:shd w:val="clear" w:color="auto" w:fill="FFFFFF"/>
          <w:lang w:val="ru-RU"/>
        </w:rPr>
        <w:t>]. С</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одной стороны, такая картина возможна, если доходы небольшие, а размер долга (цена жилья) огромн</w:t>
      </w:r>
      <w:r>
        <w:rPr>
          <w:rFonts w:ascii="Times New Roman" w:hAnsi="Times New Roman" w:cs="Times New Roman"/>
          <w:color w:val="000000"/>
          <w:sz w:val="24"/>
          <w:szCs w:val="24"/>
          <w:shd w:val="clear" w:color="auto" w:fill="FFFFFF"/>
          <w:lang w:val="ru-RU"/>
        </w:rPr>
        <w:t>ый</w:t>
      </w:r>
      <w:r w:rsidRPr="00003969">
        <w:rPr>
          <w:rFonts w:ascii="Times New Roman" w:hAnsi="Times New Roman" w:cs="Times New Roman"/>
          <w:color w:val="000000"/>
          <w:sz w:val="24"/>
          <w:szCs w:val="24"/>
          <w:shd w:val="clear" w:color="auto" w:fill="FFFFFF"/>
          <w:lang w:val="ru-RU"/>
        </w:rPr>
        <w:t xml:space="preserve">, а с другой </w:t>
      </w:r>
      <w:r>
        <w:rPr>
          <w:rFonts w:ascii="Times New Roman" w:hAnsi="Times New Roman" w:cs="Times New Roman"/>
          <w:color w:val="000000"/>
          <w:sz w:val="24"/>
          <w:szCs w:val="24"/>
          <w:shd w:val="clear" w:color="auto" w:fill="FFFFFF"/>
          <w:lang w:val="ru-RU"/>
        </w:rPr>
        <w:t xml:space="preserve">– </w:t>
      </w:r>
      <w:r w:rsidRPr="00003969">
        <w:rPr>
          <w:rFonts w:ascii="Times New Roman" w:hAnsi="Times New Roman" w:cs="Times New Roman"/>
          <w:color w:val="000000"/>
          <w:sz w:val="24"/>
          <w:szCs w:val="24"/>
          <w:shd w:val="clear" w:color="auto" w:fill="FFFFFF"/>
          <w:lang w:val="ru-RU"/>
        </w:rPr>
        <w:t>это наиболее яркий показатель распространённости (а значит и доступности) ипотеки. Этот рейтинг говорит ещё об одном примечательном факте: по соотношению доходы населения/размер ипотечного долга Германия стоит ниже США и</w:t>
      </w:r>
      <w:r w:rsidRPr="00003969">
        <w:rPr>
          <w:rFonts w:ascii="Times New Roman" w:hAnsi="Times New Roman" w:cs="Times New Roman"/>
          <w:color w:val="000000"/>
          <w:sz w:val="24"/>
          <w:szCs w:val="24"/>
          <w:shd w:val="clear" w:color="auto" w:fill="FFFFFF"/>
        </w:rPr>
        <w:t> </w:t>
      </w:r>
      <w:r w:rsidRPr="00003969">
        <w:rPr>
          <w:rFonts w:ascii="Times New Roman" w:hAnsi="Times New Roman" w:cs="Times New Roman"/>
          <w:color w:val="000000"/>
          <w:sz w:val="24"/>
          <w:szCs w:val="24"/>
          <w:shd w:val="clear" w:color="auto" w:fill="FFFFFF"/>
          <w:lang w:val="ru-RU"/>
        </w:rPr>
        <w:t>среднего уровня по ЕС. Очевидно, что это результат немецкой политики: поощрени</w:t>
      </w:r>
      <w:r>
        <w:rPr>
          <w:rFonts w:ascii="Times New Roman" w:hAnsi="Times New Roman" w:cs="Times New Roman"/>
          <w:color w:val="000000"/>
          <w:sz w:val="24"/>
          <w:szCs w:val="24"/>
          <w:shd w:val="clear" w:color="auto" w:fill="FFFFFF"/>
          <w:lang w:val="ru-RU"/>
        </w:rPr>
        <w:t>е</w:t>
      </w:r>
      <w:r w:rsidRPr="00003969">
        <w:rPr>
          <w:rFonts w:ascii="Times New Roman" w:hAnsi="Times New Roman" w:cs="Times New Roman"/>
          <w:color w:val="000000"/>
          <w:sz w:val="24"/>
          <w:szCs w:val="24"/>
          <w:shd w:val="clear" w:color="auto" w:fill="FFFFFF"/>
          <w:lang w:val="ru-RU"/>
        </w:rPr>
        <w:t xml:space="preserve"> аренды жилья (в Германии есть специальный закон, подробно регулирующий все стороны этой операции) и субсидирование нового строительства государством (эта политика идёт ещё с конца Второй Мировой войны, когда около 40% жилья было разрушено боевыми действиями). </w:t>
      </w:r>
    </w:p>
    <w:p w14:paraId="1CB82B21" w14:textId="2472486C" w:rsidR="008338D9" w:rsidRPr="0000396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В перечень критериев по оценке МФЦ в отношении российских центров логично было бы включить ряд статистических данных, уже собираемых официальными ведомствами: 1) доля </w:t>
      </w:r>
      <w:r>
        <w:rPr>
          <w:rFonts w:ascii="Times New Roman" w:hAnsi="Times New Roman" w:cs="Times New Roman"/>
          <w:color w:val="000000"/>
          <w:sz w:val="24"/>
          <w:szCs w:val="24"/>
          <w:shd w:val="clear" w:color="auto" w:fill="FFFFFF"/>
          <w:lang w:val="ru-RU"/>
        </w:rPr>
        <w:lastRenderedPageBreak/>
        <w:t>ОКВЭД «деятельность финансовая и страховая» в ВРП регионов, 2) доля работоспособного населения, занятого по ОКВЭД «деятельность финансовая страховая», 3) объём импорта и экспорта услуг по ОКВЭД «деятельность финансовая страховая», собираемый Банком России, 5)</w:t>
      </w:r>
      <w:r>
        <w:rPr>
          <w:lang w:val="ru-RU"/>
        </w:rPr>
        <w:t> </w:t>
      </w:r>
      <w:r>
        <w:rPr>
          <w:rFonts w:ascii="Times New Roman" w:hAnsi="Times New Roman" w:cs="Times New Roman"/>
          <w:color w:val="000000"/>
          <w:sz w:val="24"/>
          <w:szCs w:val="24"/>
          <w:shd w:val="clear" w:color="auto" w:fill="FFFFFF"/>
          <w:lang w:val="ru-RU"/>
        </w:rPr>
        <w:t>динамика налоговых поступлений от финансового сектора по МФЦ, 6) один из расчётных параметров, предложенных Е. Ю. Смирновой, 7) оценка распределения кредитных учреждений среди городов-миллионников России, 8) распределение бирж (фондовых и товарных) среди городов-миллионников, 9) описание структуры импорта и экспорта капитала по странам-партнёрам для Москвы, Санкт-Петербурга и в целом для России (для справки), 10) оценка рынка деловой недвижимости в Москве и Санкт</w:t>
      </w:r>
      <w:r>
        <w:rPr>
          <w:rFonts w:ascii="Times New Roman" w:hAnsi="Times New Roman" w:cs="Times New Roman"/>
          <w:color w:val="000000"/>
          <w:sz w:val="24"/>
          <w:szCs w:val="24"/>
          <w:shd w:val="clear" w:color="auto" w:fill="FFFFFF"/>
          <w:lang w:val="ru-RU"/>
        </w:rPr>
        <w:noBreakHyphen/>
        <w:t>Петербурге, сравнение с другими центрами.</w:t>
      </w:r>
    </w:p>
    <w:p w14:paraId="605B5386" w14:textId="19BFD3BE" w:rsidR="008338D9" w:rsidRDefault="008338D9" w:rsidP="008338D9">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69085E">
        <w:rPr>
          <w:rFonts w:ascii="Times New Roman" w:hAnsi="Times New Roman" w:cs="Times New Roman"/>
          <w:color w:val="000000"/>
          <w:sz w:val="24"/>
          <w:szCs w:val="24"/>
          <w:shd w:val="clear" w:color="auto" w:fill="FFFFFF"/>
          <w:lang w:val="ru-RU"/>
        </w:rPr>
        <w:t>МФЦ – это сложный инфраструктурный проект, «порт» в мире финансов. Он должен быть локомотивом, но его наличие не приводит автоматически к развитию всей национальной финансовой системы. МФЦ увеличивает объём финансовых операций, но это</w:t>
      </w:r>
      <w:r>
        <w:rPr>
          <w:rFonts w:ascii="Times New Roman" w:hAnsi="Times New Roman" w:cs="Times New Roman"/>
          <w:color w:val="000000"/>
          <w:sz w:val="24"/>
          <w:szCs w:val="24"/>
          <w:shd w:val="clear" w:color="auto" w:fill="FFFFFF"/>
          <w:lang w:val="ru-RU"/>
        </w:rPr>
        <w:t>,</w:t>
      </w:r>
      <w:r w:rsidRPr="0069085E">
        <w:rPr>
          <w:rFonts w:ascii="Times New Roman" w:hAnsi="Times New Roman" w:cs="Times New Roman"/>
          <w:color w:val="000000"/>
          <w:sz w:val="24"/>
          <w:szCs w:val="24"/>
          <w:shd w:val="clear" w:color="auto" w:fill="FFFFFF"/>
          <w:lang w:val="ru-RU"/>
        </w:rPr>
        <w:t xml:space="preserve"> в свою очередь</w:t>
      </w:r>
      <w:r>
        <w:rPr>
          <w:rFonts w:ascii="Times New Roman" w:hAnsi="Times New Roman" w:cs="Times New Roman"/>
          <w:color w:val="000000"/>
          <w:sz w:val="24"/>
          <w:szCs w:val="24"/>
          <w:shd w:val="clear" w:color="auto" w:fill="FFFFFF"/>
          <w:lang w:val="ru-RU"/>
        </w:rPr>
        <w:t>,</w:t>
      </w:r>
      <w:r w:rsidRPr="0069085E">
        <w:rPr>
          <w:rFonts w:ascii="Times New Roman" w:hAnsi="Times New Roman" w:cs="Times New Roman"/>
          <w:color w:val="000000"/>
          <w:sz w:val="24"/>
          <w:szCs w:val="24"/>
          <w:shd w:val="clear" w:color="auto" w:fill="FFFFFF"/>
          <w:lang w:val="ru-RU"/>
        </w:rPr>
        <w:t xml:space="preserve"> не всегда ведёт к доступности кредитов для малого/среднего бизнеса или граждан страны. Тем не менее, как Санкт-Петербург определил развитие страны на столетия вперёд, так и создание МФЦ может стать одним из полюсов роста России, надо только, чтобы создание «порта» в</w:t>
      </w:r>
      <w:r w:rsidR="00A14FF8">
        <w:rPr>
          <w:rFonts w:ascii="Times New Roman" w:hAnsi="Times New Roman" w:cs="Times New Roman"/>
          <w:color w:val="000000"/>
          <w:sz w:val="24"/>
          <w:szCs w:val="24"/>
          <w:shd w:val="clear" w:color="auto" w:fill="FFFFFF"/>
          <w:lang w:val="ru-RU"/>
        </w:rPr>
        <w:t> </w:t>
      </w:r>
      <w:r w:rsidRPr="0069085E">
        <w:rPr>
          <w:rFonts w:ascii="Times New Roman" w:hAnsi="Times New Roman" w:cs="Times New Roman"/>
          <w:color w:val="000000"/>
          <w:sz w:val="24"/>
          <w:szCs w:val="24"/>
          <w:shd w:val="clear" w:color="auto" w:fill="FFFFFF"/>
          <w:lang w:val="ru-RU"/>
        </w:rPr>
        <w:t>мировом океане финансов не свелось к строительству «потёмкинских деревень».</w:t>
      </w:r>
      <w:r w:rsidRPr="004E7E3E">
        <w:rPr>
          <w:rFonts w:ascii="Times New Roman" w:hAnsi="Times New Roman" w:cs="Times New Roman"/>
          <w:color w:val="000000"/>
          <w:sz w:val="24"/>
          <w:szCs w:val="24"/>
          <w:shd w:val="clear" w:color="auto" w:fill="FFFFFF"/>
          <w:lang w:val="ru-RU"/>
        </w:rPr>
        <w:t xml:space="preserve"> </w:t>
      </w:r>
    </w:p>
    <w:p w14:paraId="2AA020E9" w14:textId="1A358640" w:rsidR="008338D9" w:rsidRPr="004E7E3E" w:rsidRDefault="00A14FF8" w:rsidP="00BC3AF7">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Одной из основн</w:t>
      </w:r>
      <w:r w:rsidR="00342733">
        <w:rPr>
          <w:rFonts w:ascii="Times New Roman" w:hAnsi="Times New Roman" w:cs="Times New Roman"/>
          <w:color w:val="000000"/>
          <w:sz w:val="24"/>
          <w:szCs w:val="24"/>
          <w:shd w:val="clear" w:color="auto" w:fill="FFFFFF"/>
          <w:lang w:val="ru-RU"/>
        </w:rPr>
        <w:t>ых</w:t>
      </w:r>
      <w:r>
        <w:rPr>
          <w:rFonts w:ascii="Times New Roman" w:hAnsi="Times New Roman" w:cs="Times New Roman"/>
          <w:color w:val="000000"/>
          <w:sz w:val="24"/>
          <w:szCs w:val="24"/>
          <w:shd w:val="clear" w:color="auto" w:fill="FFFFFF"/>
          <w:lang w:val="ru-RU"/>
        </w:rPr>
        <w:t xml:space="preserve"> специфик МФЦ в странах с формирующимися </w:t>
      </w:r>
      <w:r w:rsidR="00225BFE">
        <w:rPr>
          <w:rFonts w:ascii="Times New Roman" w:hAnsi="Times New Roman" w:cs="Times New Roman"/>
          <w:color w:val="000000"/>
          <w:sz w:val="24"/>
          <w:szCs w:val="24"/>
          <w:shd w:val="clear" w:color="auto" w:fill="FFFFFF"/>
          <w:lang w:val="ru-RU"/>
        </w:rPr>
        <w:t>рынком</w:t>
      </w:r>
      <w:r>
        <w:rPr>
          <w:rFonts w:ascii="Times New Roman" w:hAnsi="Times New Roman" w:cs="Times New Roman"/>
          <w:color w:val="000000"/>
          <w:sz w:val="24"/>
          <w:szCs w:val="24"/>
          <w:shd w:val="clear" w:color="auto" w:fill="FFFFFF"/>
          <w:lang w:val="ru-RU"/>
        </w:rPr>
        <w:t xml:space="preserve"> является большая роль потоков капитала, связанных с офшорными центрам. В отношении России можно говорить о том, что её международный финансовый центр, где формируются большой объём финансовых услуг, поддерживающих внешнеэкономические связи, </w:t>
      </w:r>
      <w:r w:rsidR="00342733">
        <w:rPr>
          <w:rFonts w:ascii="Times New Roman" w:hAnsi="Times New Roman" w:cs="Times New Roman"/>
          <w:color w:val="000000"/>
          <w:sz w:val="24"/>
          <w:szCs w:val="24"/>
          <w:shd w:val="clear" w:color="auto" w:fill="FFFFFF"/>
          <w:lang w:val="ru-RU"/>
        </w:rPr>
        <w:t xml:space="preserve">находится вне её территории. Основными центрами являются Кипр, Дубай, европейские центры с специальным налогообложением: Люксембург, британские заморские территории. Это создаёт угрозу стабильности российской финансовой системы. Китай также был зависим от финансовых потоков, идущих через Гонконг, но его стратегия по созданию в Шанхае финансового центра мирового уровня, позволила снизить </w:t>
      </w:r>
      <w:r w:rsidR="00BC3AF7">
        <w:rPr>
          <w:rFonts w:ascii="Times New Roman" w:hAnsi="Times New Roman" w:cs="Times New Roman"/>
          <w:color w:val="000000"/>
          <w:sz w:val="24"/>
          <w:szCs w:val="24"/>
          <w:shd w:val="clear" w:color="auto" w:fill="FFFFFF"/>
          <w:lang w:val="ru-RU"/>
        </w:rPr>
        <w:t xml:space="preserve">зависимость от внешних центров. </w:t>
      </w:r>
    </w:p>
    <w:p w14:paraId="0DDC6D74" w14:textId="2D5687A3" w:rsidR="00AE4368" w:rsidRPr="004E7E3E" w:rsidRDefault="002023F4" w:rsidP="008338D9">
      <w:pPr>
        <w:spacing w:before="100" w:beforeAutospacing="1" w:after="100" w:line="360" w:lineRule="auto"/>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br w:type="page" w:clear="all"/>
      </w:r>
    </w:p>
    <w:p w14:paraId="2B9E46F4" w14:textId="77777777" w:rsidR="00DC5025" w:rsidRPr="004E7E3E" w:rsidRDefault="00DC5025" w:rsidP="00DC5025">
      <w:pPr>
        <w:pStyle w:val="1"/>
        <w:spacing w:before="100" w:beforeAutospacing="1" w:after="100" w:line="360" w:lineRule="auto"/>
        <w:ind w:firstLine="709"/>
        <w:jc w:val="center"/>
        <w:rPr>
          <w:rFonts w:cs="Times New Roman"/>
          <w:sz w:val="24"/>
          <w:szCs w:val="24"/>
        </w:rPr>
      </w:pPr>
      <w:bookmarkStart w:id="20" w:name="_Toc136269017"/>
      <w:bookmarkStart w:id="21" w:name="Главатри"/>
      <w:bookmarkStart w:id="22" w:name="Заключение"/>
      <w:bookmarkStart w:id="23" w:name="_Toc136448479"/>
      <w:r w:rsidRPr="004E7E3E">
        <w:rPr>
          <w:rFonts w:cs="Times New Roman"/>
          <w:sz w:val="24"/>
          <w:szCs w:val="24"/>
        </w:rPr>
        <w:lastRenderedPageBreak/>
        <w:t>ГЛАВА 3. СТРАТЕГИЯ РАЗВИТИЯ МФЦ В СТРАНАХ С ФОРМИРУЮЩИМСЯ РЫНКОМ НА ПРИМЕРЕ КИТАЯ И РОССИИ</w:t>
      </w:r>
      <w:bookmarkEnd w:id="20"/>
      <w:bookmarkEnd w:id="23"/>
    </w:p>
    <w:p w14:paraId="2354A8C8" w14:textId="000FF6B2" w:rsidR="00DC5025" w:rsidRPr="00CE7B57" w:rsidRDefault="00DC5025" w:rsidP="00DC5025">
      <w:pPr>
        <w:pStyle w:val="2"/>
        <w:spacing w:before="100" w:beforeAutospacing="1" w:after="100" w:line="360" w:lineRule="auto"/>
        <w:ind w:firstLine="709"/>
        <w:contextualSpacing/>
        <w:rPr>
          <w:rFonts w:cs="Times New Roman"/>
          <w:color w:val="000000" w:themeColor="text1"/>
          <w:sz w:val="24"/>
          <w:szCs w:val="24"/>
        </w:rPr>
      </w:pPr>
      <w:bookmarkStart w:id="24" w:name="_Toc136269018"/>
      <w:bookmarkStart w:id="25" w:name="_Toc136448480"/>
      <w:r w:rsidRPr="004E7E3E">
        <w:rPr>
          <w:rFonts w:cs="Times New Roman"/>
          <w:sz w:val="24"/>
          <w:szCs w:val="24"/>
        </w:rPr>
        <w:t>§ 3.1 Особенности развития МФЦ в Кита</w:t>
      </w:r>
      <w:r w:rsidR="00C372DB">
        <w:rPr>
          <w:rFonts w:cs="Times New Roman"/>
          <w:sz w:val="24"/>
          <w:szCs w:val="24"/>
        </w:rPr>
        <w:t>е</w:t>
      </w:r>
      <w:bookmarkEnd w:id="25"/>
      <w:r w:rsidRPr="004E7E3E">
        <w:rPr>
          <w:rFonts w:cs="Times New Roman"/>
          <w:sz w:val="24"/>
          <w:szCs w:val="24"/>
        </w:rPr>
        <w:t xml:space="preserve"> </w:t>
      </w:r>
      <w:bookmarkEnd w:id="21"/>
      <w:bookmarkEnd w:id="24"/>
    </w:p>
    <w:p w14:paraId="01DBCC6A"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Продолжим исследование МФЦ с помощью метода дедукции и перейдём от общемировых тенденций развития финансовых центров к частному примеру МФЦ Китая.</w:t>
      </w:r>
      <w:r>
        <w:rPr>
          <w:rFonts w:ascii="Times New Roman" w:hAnsi="Times New Roman" w:cs="Times New Roman"/>
          <w:sz w:val="24"/>
          <w:szCs w:val="24"/>
          <w:lang w:val="ru-RU"/>
        </w:rPr>
        <w:t xml:space="preserve"> Однако</w:t>
      </w:r>
      <w:r w:rsidRPr="004E7E3E">
        <w:rPr>
          <w:rFonts w:ascii="Times New Roman" w:hAnsi="Times New Roman" w:cs="Times New Roman"/>
          <w:sz w:val="24"/>
          <w:szCs w:val="24"/>
          <w:lang w:val="ru-RU"/>
        </w:rPr>
        <w:t xml:space="preserve"> до изучения финансовой системы необходимо сделать страноведческий экскурс. </w:t>
      </w:r>
    </w:p>
    <w:p w14:paraId="683DA41F" w14:textId="528B1083"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Говорят, что китайцы – это нация, под покровом которой притаилась целая цивилизаци</w:t>
      </w:r>
      <w:r>
        <w:rPr>
          <w:rFonts w:ascii="Times New Roman" w:hAnsi="Times New Roman" w:cs="Times New Roman"/>
          <w:sz w:val="24"/>
          <w:szCs w:val="24"/>
          <w:lang w:val="ru-RU"/>
        </w:rPr>
        <w:t>я</w:t>
      </w:r>
      <w:r w:rsidRPr="004E7E3E">
        <w:rPr>
          <w:rFonts w:ascii="Times New Roman" w:hAnsi="Times New Roman" w:cs="Times New Roman"/>
          <w:sz w:val="24"/>
          <w:szCs w:val="24"/>
          <w:lang w:val="ru-RU"/>
        </w:rPr>
        <w:t>. Титульная нация составляет 93% населения стран</w:t>
      </w:r>
      <w:r>
        <w:rPr>
          <w:rFonts w:ascii="Times New Roman" w:hAnsi="Times New Roman" w:cs="Times New Roman"/>
          <w:sz w:val="24"/>
          <w:szCs w:val="24"/>
          <w:lang w:val="ru-RU"/>
        </w:rPr>
        <w:t>ы</w:t>
      </w:r>
      <w:r w:rsidRPr="004E7E3E">
        <w:rPr>
          <w:rFonts w:ascii="Times New Roman" w:hAnsi="Times New Roman" w:cs="Times New Roman"/>
          <w:sz w:val="24"/>
          <w:szCs w:val="24"/>
          <w:lang w:val="ru-RU"/>
        </w:rPr>
        <w:t>, а национальные меньшинства насчитывают около 100 миллионов человек. Несмотря на то, что Кита</w:t>
      </w:r>
      <w:r>
        <w:rPr>
          <w:rFonts w:ascii="Times New Roman" w:hAnsi="Times New Roman" w:cs="Times New Roman"/>
          <w:sz w:val="24"/>
          <w:szCs w:val="24"/>
          <w:lang w:val="ru-RU"/>
        </w:rPr>
        <w:t>й</w:t>
      </w:r>
      <w:r w:rsidRPr="004E7E3E">
        <w:rPr>
          <w:rFonts w:ascii="Times New Roman" w:hAnsi="Times New Roman" w:cs="Times New Roman"/>
          <w:sz w:val="24"/>
          <w:szCs w:val="24"/>
          <w:lang w:val="ru-RU"/>
        </w:rPr>
        <w:t xml:space="preserve"> является самой населённой страной мира, далеко не весь китайский народ проживает в</w:t>
      </w:r>
      <w:r w:rsidRPr="004E7E3E">
        <w:rPr>
          <w:rFonts w:ascii="Times New Roman" w:hAnsi="Times New Roman" w:cs="Times New Roman"/>
          <w:sz w:val="24"/>
          <w:szCs w:val="24"/>
        </w:rPr>
        <w:t> </w:t>
      </w:r>
      <w:r w:rsidRPr="004E7E3E">
        <w:rPr>
          <w:rFonts w:ascii="Times New Roman" w:hAnsi="Times New Roman" w:cs="Times New Roman"/>
          <w:sz w:val="24"/>
          <w:szCs w:val="24"/>
          <w:lang w:val="ru-RU"/>
        </w:rPr>
        <w:t>КНР. Одной из причин такого расселения была колониальная политика Великобритании и Голландии: европейские колонисты неохотно селились в тропическом регионе Юго</w:t>
      </w:r>
      <w:r w:rsidRPr="004E7E3E">
        <w:rPr>
          <w:rFonts w:ascii="Times New Roman" w:hAnsi="Times New Roman" w:cs="Times New Roman"/>
          <w:sz w:val="24"/>
          <w:szCs w:val="24"/>
          <w:lang w:val="ru-RU"/>
        </w:rPr>
        <w:noBreakHyphen/>
        <w:t>Восточной Азии, и администрация приглашала китайских предпринимателей, которые стали буфером между европейцами и местным населением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_Ref459294333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78</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w:t>
      </w:r>
    </w:p>
    <w:p w14:paraId="1FCE1A26"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Феномен Большого Китая в экономической сфере появился в конце 70-х годов </w:t>
      </w:r>
      <w:r w:rsidRPr="004E7E3E">
        <w:rPr>
          <w:rFonts w:ascii="Times New Roman" w:hAnsi="Times New Roman" w:cs="Times New Roman"/>
          <w:sz w:val="24"/>
          <w:szCs w:val="24"/>
        </w:rPr>
        <w:t>XX</w:t>
      </w:r>
      <w:r w:rsidRPr="004E7E3E">
        <w:rPr>
          <w:rFonts w:ascii="Times New Roman" w:hAnsi="Times New Roman" w:cs="Times New Roman"/>
          <w:sz w:val="24"/>
          <w:szCs w:val="24"/>
          <w:lang w:val="ru-RU"/>
        </w:rPr>
        <w:t xml:space="preserve"> века и включал КНР, Гонконг и Тайвань. Эти три страны населены этническими китайцами, но вследствие колониальной политики </w:t>
      </w:r>
      <w:r w:rsidRPr="004E7E3E">
        <w:rPr>
          <w:rFonts w:ascii="Times New Roman" w:hAnsi="Times New Roman" w:cs="Times New Roman"/>
          <w:sz w:val="24"/>
          <w:szCs w:val="24"/>
        </w:rPr>
        <w:t>XIX</w:t>
      </w:r>
      <w:r w:rsidRPr="004E7E3E">
        <w:rPr>
          <w:rFonts w:ascii="Times New Roman" w:hAnsi="Times New Roman" w:cs="Times New Roman"/>
          <w:sz w:val="24"/>
          <w:szCs w:val="24"/>
          <w:lang w:val="ru-RU"/>
        </w:rPr>
        <w:t xml:space="preserve"> века и гражданской войны в Китае в середине </w:t>
      </w:r>
      <w:r w:rsidRPr="004E7E3E">
        <w:rPr>
          <w:rFonts w:ascii="Times New Roman" w:hAnsi="Times New Roman" w:cs="Times New Roman"/>
          <w:sz w:val="24"/>
          <w:szCs w:val="24"/>
        </w:rPr>
        <w:t>XX</w:t>
      </w:r>
      <w:r w:rsidRPr="004E7E3E">
        <w:rPr>
          <w:rFonts w:ascii="Times New Roman" w:hAnsi="Times New Roman" w:cs="Times New Roman"/>
          <w:sz w:val="24"/>
          <w:szCs w:val="24"/>
          <w:lang w:val="ru-RU"/>
        </w:rPr>
        <w:t xml:space="preserve"> века были разделены политически. Существует также более широкое географически понятие – Бамбуковая сеть, которая включает крупные диаспоры китайцев в странах Юго-Восточной Азии (прежде всего Малайзии, Таиланда, Индонезии, а также Мьянмы, Вьетнама и Филиппин), финансово независимый Гонконг, политически непризнанный Тайвань, экваториальный Сингапур. Другое название этого феномена – Китайское Содружество (по аналогии с Британским Содружеством). Существует также лингвистический вариант данного понятия – «мир синофонов» (от «</w:t>
      </w:r>
      <w:r w:rsidRPr="004E7E3E">
        <w:rPr>
          <w:rFonts w:ascii="Times New Roman" w:hAnsi="Times New Roman" w:cs="Times New Roman"/>
          <w:sz w:val="24"/>
          <w:szCs w:val="24"/>
        </w:rPr>
        <w:t>sin</w:t>
      </w:r>
      <w:r w:rsidRPr="004E7E3E">
        <w:rPr>
          <w:rFonts w:ascii="Times New Roman" w:hAnsi="Times New Roman" w:cs="Times New Roman"/>
          <w:sz w:val="24"/>
          <w:szCs w:val="24"/>
          <w:lang w:val="ru-RU"/>
        </w:rPr>
        <w:t>» – китайский, «</w:t>
      </w:r>
      <w:r w:rsidRPr="004E7E3E">
        <w:rPr>
          <w:rFonts w:ascii="Times New Roman" w:hAnsi="Times New Roman" w:cs="Times New Roman"/>
          <w:sz w:val="24"/>
          <w:szCs w:val="24"/>
        </w:rPr>
        <w:t>phone</w:t>
      </w:r>
      <w:r w:rsidRPr="004E7E3E">
        <w:rPr>
          <w:rFonts w:ascii="Times New Roman" w:hAnsi="Times New Roman" w:cs="Times New Roman"/>
          <w:sz w:val="24"/>
          <w:szCs w:val="24"/>
          <w:lang w:val="ru-RU"/>
        </w:rPr>
        <w:t>» – говорящий). Слово «синофоны» создано по аналоги с франкофонами (франкоговорящее сообщество канадского Квебека и т. д.) К «синофонам» можно отнести китайские диаспоры всего мира.</w:t>
      </w:r>
    </w:p>
    <w:p w14:paraId="40CDE8F7"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Связи между китайскими диаспор</w:t>
      </w:r>
      <w:r>
        <w:rPr>
          <w:rFonts w:ascii="Times New Roman" w:hAnsi="Times New Roman" w:cs="Times New Roman"/>
          <w:sz w:val="24"/>
          <w:szCs w:val="24"/>
          <w:lang w:val="ru-RU"/>
        </w:rPr>
        <w:t>ами</w:t>
      </w:r>
      <w:r w:rsidRPr="004E7E3E">
        <w:rPr>
          <w:rFonts w:ascii="Times New Roman" w:hAnsi="Times New Roman" w:cs="Times New Roman"/>
          <w:sz w:val="24"/>
          <w:szCs w:val="24"/>
          <w:lang w:val="ru-RU"/>
        </w:rPr>
        <w:t xml:space="preserve"> границ не замечают. </w:t>
      </w:r>
      <w:r w:rsidRPr="004E7E3E">
        <w:rPr>
          <w:rFonts w:ascii="Times New Roman" w:hAnsi="Times New Roman" w:cs="Times New Roman"/>
          <w:color w:val="000000"/>
          <w:sz w:val="24"/>
          <w:szCs w:val="24"/>
          <w:shd w:val="clear" w:color="auto" w:fill="FFFFFF"/>
          <w:lang w:val="ru-RU"/>
        </w:rPr>
        <w:t xml:space="preserve">Особенностью системы «бамбуковой сети» является её уклон в экономическую сферу. Китайцы очень умелые торговцы и бизнесмены. Их ещё называют «евреями Азии». </w:t>
      </w:r>
      <w:r w:rsidRPr="004E7E3E">
        <w:rPr>
          <w:rFonts w:ascii="Times New Roman" w:hAnsi="Times New Roman" w:cs="Times New Roman"/>
          <w:sz w:val="24"/>
          <w:szCs w:val="24"/>
          <w:lang w:val="ru-RU"/>
        </w:rPr>
        <w:t>Несмотря на то, что в странах Юго-Восточной Азии численность китайских меньшинств составляет небольшой процент от населения стран, китайцы играют значительную роль в деловой среде. По неформальной оценке, в Таиланде и Малайзии их доля составляет около 80%, на Филиппинах – около 60%, в Индонезии – около 40-50% среди предпринимателей. Как правило</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китайский бизнес в Юго-Восточной Азии на </w:t>
      </w:r>
      <w:r w:rsidRPr="004E7E3E">
        <w:rPr>
          <w:rFonts w:ascii="Times New Roman" w:hAnsi="Times New Roman" w:cs="Times New Roman"/>
          <w:sz w:val="24"/>
          <w:szCs w:val="24"/>
          <w:lang w:val="ru-RU"/>
        </w:rPr>
        <w:lastRenderedPageBreak/>
        <w:t xml:space="preserve">протяжении всей истории был представлен семейными фирмами, которые вели его на основе конфуцианской философии, ставящей приоритет коллективного над личным, и системой контактов </w:t>
      </w:r>
      <w:r w:rsidRPr="004E7E3E">
        <w:rPr>
          <w:rFonts w:ascii="Times New Roman" w:hAnsi="Times New Roman" w:cs="Times New Roman"/>
          <w:sz w:val="24"/>
          <w:szCs w:val="24"/>
        </w:rPr>
        <w:t>quanxi</w:t>
      </w:r>
      <w:r w:rsidRPr="004E7E3E">
        <w:rPr>
          <w:rFonts w:ascii="Times New Roman" w:hAnsi="Times New Roman" w:cs="Times New Roman"/>
          <w:sz w:val="24"/>
          <w:szCs w:val="24"/>
          <w:lang w:val="ru-RU"/>
        </w:rPr>
        <w:t xml:space="preserve"> (</w:t>
      </w:r>
      <w:r w:rsidRPr="004E7E3E">
        <w:rPr>
          <w:rFonts w:ascii="Times New Roman" w:eastAsia="MS Gothic" w:hAnsi="Times New Roman" w:cs="Times New Roman"/>
          <w:sz w:val="24"/>
          <w:szCs w:val="24"/>
          <w:lang w:eastAsia="zh-Hans"/>
        </w:rPr>
        <w:t>关系</w:t>
      </w:r>
      <w:r w:rsidRPr="004E7E3E">
        <w:rPr>
          <w:rFonts w:ascii="Times New Roman" w:hAnsi="Times New Roman" w:cs="Times New Roman"/>
          <w:sz w:val="24"/>
          <w:szCs w:val="24"/>
          <w:lang w:val="ru-RU" w:eastAsia="zh-Hans"/>
        </w:rPr>
        <w:t>) – читается «гуанси» (русский аналог – «отношения», «блат»), –</w:t>
      </w:r>
      <w:r>
        <w:rPr>
          <w:rFonts w:ascii="Times New Roman" w:hAnsi="Times New Roman" w:cs="Times New Roman"/>
          <w:sz w:val="24"/>
          <w:szCs w:val="24"/>
          <w:lang w:val="ru-RU" w:eastAsia="zh-Hans"/>
        </w:rPr>
        <w:t xml:space="preserve"> </w:t>
      </w:r>
      <w:r w:rsidRPr="004E7E3E">
        <w:rPr>
          <w:rFonts w:ascii="Times New Roman" w:hAnsi="Times New Roman" w:cs="Times New Roman"/>
          <w:sz w:val="24"/>
          <w:szCs w:val="24"/>
          <w:lang w:val="ru-RU" w:eastAsia="zh-Hans"/>
        </w:rPr>
        <w:t>включающих обмен инсайдерской информацией на взаимовыгодных условиях, хотя и подразумевающий неравные отношения между сторонами. Такая модель хорошо прижилась в среде, где отсутствовали сильные формальные институты. Считается, что введение законодательства, направленного против использования инсайдерской информации, в разных странах ЮВА после азиатского кризиса 1997 года ослабило систему этих контактов. Однако д</w:t>
      </w:r>
      <w:r w:rsidRPr="004E7E3E">
        <w:rPr>
          <w:rFonts w:ascii="Times New Roman" w:hAnsi="Times New Roman" w:cs="Times New Roman"/>
          <w:sz w:val="24"/>
          <w:szCs w:val="24"/>
          <w:lang w:val="ru-RU"/>
        </w:rPr>
        <w:t>иаспоры продолжают помогать континентальному Китаю, в то время как крупные китайские компании с государственным участием размещают свои акции на фондовых площадках Гонконга и</w:t>
      </w:r>
      <w:r w:rsidRPr="004E7E3E">
        <w:rPr>
          <w:rFonts w:ascii="Times New Roman" w:hAnsi="Times New Roman" w:cs="Times New Roman"/>
          <w:sz w:val="24"/>
          <w:szCs w:val="24"/>
        </w:rPr>
        <w:t> </w:t>
      </w:r>
      <w:r w:rsidRPr="004E7E3E">
        <w:rPr>
          <w:rFonts w:ascii="Times New Roman" w:hAnsi="Times New Roman" w:cs="Times New Roman"/>
          <w:sz w:val="24"/>
          <w:szCs w:val="24"/>
          <w:lang w:val="ru-RU"/>
        </w:rPr>
        <w:t>Сингапура.</w:t>
      </w:r>
    </w:p>
    <w:p w14:paraId="366F184F" w14:textId="3464B30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eastAsia="zh-CN"/>
        </w:rPr>
      </w:pPr>
      <w:r w:rsidRPr="004E7E3E">
        <w:rPr>
          <w:rFonts w:ascii="Times New Roman" w:hAnsi="Times New Roman" w:cs="Times New Roman"/>
          <w:color w:val="000000"/>
          <w:sz w:val="24"/>
          <w:szCs w:val="24"/>
          <w:shd w:val="clear" w:color="auto" w:fill="FFFFFF"/>
          <w:lang w:val="ru-RU"/>
        </w:rPr>
        <w:t>Политический аспект в этой системе не так развит. Даже наоборот, есть противостояние между её участниками. Самый яркий пример</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sz w:val="24"/>
          <w:szCs w:val="24"/>
          <w:lang w:val="ru-RU" w:eastAsia="zh-Hans"/>
        </w:rPr>
        <w:t>–</w:t>
      </w:r>
      <w:r w:rsidRPr="004E7E3E">
        <w:rPr>
          <w:rFonts w:ascii="Times New Roman" w:hAnsi="Times New Roman" w:cs="Times New Roman"/>
          <w:color w:val="000000"/>
          <w:sz w:val="24"/>
          <w:szCs w:val="24"/>
          <w:shd w:val="clear" w:color="auto" w:fill="FFFFFF"/>
          <w:lang w:val="ru-RU"/>
        </w:rPr>
        <w:t xml:space="preserve"> Тайвань и КНР. Хотя «жемчужин в ожерелье» Китая довольно много, численность населения этих территорий по сравнению со среднестатистической страной в азиатском регионе относительно невелика, чтобы играть заметную роль во внешней политике или военной сфере: Тайвань – 23 млн., Сингапур – 5 млн., Гонконг – 7 млн. КНР не согласовывает свои шаги с остальными участниками системы. В 2014 году правительство санкционировало разработку нефти на спорных территориях близ шельфовой зоны Вьетнама. Это вызвало народные бунты против китайцев. Две фабрики были разграблены бунтовщиками при попустительстве властей, но, как выяснилось позже, эти фабрики принадлежали тайванцам </w:t>
      </w:r>
      <w:r w:rsidRPr="004E7E3E">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_Ref459294390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264</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rPr>
        <w:t>.</w:t>
      </w:r>
    </w:p>
    <w:p w14:paraId="5F045A9A"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eastAsia="zh-CN"/>
        </w:rPr>
      </w:pPr>
      <w:r w:rsidRPr="004E7E3E">
        <w:rPr>
          <w:rFonts w:ascii="Times New Roman" w:hAnsi="Times New Roman" w:cs="Times New Roman"/>
          <w:sz w:val="24"/>
          <w:szCs w:val="24"/>
          <w:lang w:val="ru-RU"/>
        </w:rPr>
        <w:t xml:space="preserve">Итак, мы пришли к выводу о полицентричности системы Большого Китая. Пройдёмся по основным «синофонским» МФЦ. Мы формируем список, исходя из того списка МФЦ, который выделяется в рейтинге </w:t>
      </w:r>
      <w:r w:rsidRPr="004E7E3E">
        <w:rPr>
          <w:rFonts w:ascii="Times New Roman" w:hAnsi="Times New Roman" w:cs="Times New Roman"/>
          <w:sz w:val="24"/>
          <w:szCs w:val="24"/>
        </w:rPr>
        <w:t>GFCI</w:t>
      </w:r>
      <w:r w:rsidRPr="004E7E3E">
        <w:rPr>
          <w:rFonts w:ascii="Times New Roman" w:hAnsi="Times New Roman" w:cs="Times New Roman"/>
          <w:sz w:val="24"/>
          <w:szCs w:val="24"/>
          <w:lang w:val="ru-RU"/>
        </w:rPr>
        <w:t>.</w:t>
      </w:r>
    </w:p>
    <w:p w14:paraId="45149FDC"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Экономическим двигателем КНР являются прибрежные зоны. В них можно выделить три основные зоны: </w:t>
      </w:r>
      <w:r>
        <w:rPr>
          <w:rFonts w:ascii="Times New Roman" w:hAnsi="Times New Roman" w:cs="Times New Roman"/>
          <w:sz w:val="24"/>
          <w:szCs w:val="24"/>
          <w:lang w:val="ru-RU"/>
        </w:rPr>
        <w:t xml:space="preserve">1) </w:t>
      </w:r>
      <w:r w:rsidRPr="004E7E3E">
        <w:rPr>
          <w:rFonts w:ascii="Times New Roman" w:hAnsi="Times New Roman" w:cs="Times New Roman"/>
          <w:sz w:val="24"/>
          <w:szCs w:val="24"/>
          <w:lang w:val="ru-RU"/>
        </w:rPr>
        <w:t>регион Шанхая, самого крупного города Китая,</w:t>
      </w:r>
      <w:r>
        <w:rPr>
          <w:rFonts w:ascii="Times New Roman" w:hAnsi="Times New Roman" w:cs="Times New Roman"/>
          <w:sz w:val="24"/>
          <w:szCs w:val="24"/>
          <w:lang w:val="ru-RU"/>
        </w:rPr>
        <w:t xml:space="preserve"> где</w:t>
      </w:r>
      <w:r w:rsidRPr="004E7E3E">
        <w:rPr>
          <w:rFonts w:ascii="Times New Roman" w:hAnsi="Times New Roman" w:cs="Times New Roman"/>
          <w:sz w:val="24"/>
          <w:szCs w:val="24"/>
          <w:lang w:val="ru-RU"/>
        </w:rPr>
        <w:t xml:space="preserve"> расположен</w:t>
      </w:r>
      <w:r>
        <w:rPr>
          <w:rFonts w:ascii="Times New Roman" w:hAnsi="Times New Roman" w:cs="Times New Roman"/>
          <w:sz w:val="24"/>
          <w:szCs w:val="24"/>
          <w:lang w:val="ru-RU"/>
        </w:rPr>
        <w:t>ы</w:t>
      </w:r>
      <w:r w:rsidRPr="004E7E3E">
        <w:rPr>
          <w:rFonts w:ascii="Times New Roman" w:hAnsi="Times New Roman" w:cs="Times New Roman"/>
          <w:sz w:val="24"/>
          <w:szCs w:val="24"/>
          <w:lang w:val="ru-RU"/>
        </w:rPr>
        <w:t xml:space="preserve"> стары</w:t>
      </w:r>
      <w:r>
        <w:rPr>
          <w:rFonts w:ascii="Times New Roman" w:hAnsi="Times New Roman" w:cs="Times New Roman"/>
          <w:sz w:val="24"/>
          <w:szCs w:val="24"/>
          <w:lang w:val="ru-RU"/>
        </w:rPr>
        <w:t>е</w:t>
      </w:r>
      <w:r w:rsidRPr="004E7E3E">
        <w:rPr>
          <w:rFonts w:ascii="Times New Roman" w:hAnsi="Times New Roman" w:cs="Times New Roman"/>
          <w:sz w:val="24"/>
          <w:szCs w:val="24"/>
          <w:lang w:val="ru-RU"/>
        </w:rPr>
        <w:t xml:space="preserve"> отрасл</w:t>
      </w:r>
      <w:r>
        <w:rPr>
          <w:rFonts w:ascii="Times New Roman" w:hAnsi="Times New Roman" w:cs="Times New Roman"/>
          <w:sz w:val="24"/>
          <w:szCs w:val="24"/>
          <w:lang w:val="ru-RU"/>
        </w:rPr>
        <w:t>и</w:t>
      </w:r>
      <w:r w:rsidRPr="004E7E3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2) </w:t>
      </w:r>
      <w:r w:rsidRPr="004E7E3E">
        <w:rPr>
          <w:rFonts w:ascii="Times New Roman" w:hAnsi="Times New Roman" w:cs="Times New Roman"/>
          <w:sz w:val="24"/>
          <w:szCs w:val="24"/>
          <w:lang w:val="ru-RU"/>
        </w:rPr>
        <w:t>регион Гуандон</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eastAsia="zh-Hans"/>
        </w:rPr>
        <w:t>–</w:t>
      </w:r>
      <w:r w:rsidRPr="004E7E3E">
        <w:rPr>
          <w:rFonts w:ascii="Times New Roman" w:hAnsi="Times New Roman" w:cs="Times New Roman"/>
          <w:sz w:val="24"/>
          <w:szCs w:val="24"/>
          <w:lang w:val="ru-RU"/>
        </w:rPr>
        <w:t xml:space="preserve"> южной провинции, примыкающей к Гонконгу и получившей наибольшие преференции от вступления страны в ВТО,</w:t>
      </w:r>
      <w:r>
        <w:rPr>
          <w:rFonts w:ascii="Times New Roman" w:hAnsi="Times New Roman" w:cs="Times New Roman"/>
          <w:sz w:val="24"/>
          <w:szCs w:val="24"/>
          <w:lang w:val="ru-RU"/>
        </w:rPr>
        <w:t xml:space="preserve"> 3)</w:t>
      </w:r>
      <w:r w:rsidRPr="004E7E3E">
        <w:rPr>
          <w:rFonts w:ascii="Times New Roman" w:hAnsi="Times New Roman" w:cs="Times New Roman"/>
          <w:sz w:val="24"/>
          <w:szCs w:val="24"/>
          <w:lang w:val="ru-RU"/>
        </w:rPr>
        <w:t xml:space="preserve"> северные прибрежные провинции, где находится столица Пекин и ряд крупных городов</w:t>
      </w:r>
      <w:r>
        <w:rPr>
          <w:rFonts w:ascii="Times New Roman" w:hAnsi="Times New Roman" w:cs="Times New Roman"/>
          <w:sz w:val="24"/>
          <w:szCs w:val="24"/>
          <w:lang w:val="ru-RU"/>
        </w:rPr>
        <w:t>, таких</w:t>
      </w:r>
      <w:r w:rsidRPr="004E7E3E">
        <w:rPr>
          <w:rFonts w:ascii="Times New Roman" w:hAnsi="Times New Roman" w:cs="Times New Roman"/>
          <w:sz w:val="24"/>
          <w:szCs w:val="24"/>
          <w:lang w:val="ru-RU"/>
        </w:rPr>
        <w:t xml:space="preserve"> как Тяньзинь, Шэньян, Далянь и т. д. </w:t>
      </w:r>
    </w:p>
    <w:p w14:paraId="43459390" w14:textId="05E5ACE6"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w:t>
      </w:r>
      <w:r w:rsidRPr="004E7E3E">
        <w:rPr>
          <w:rFonts w:ascii="Times New Roman" w:hAnsi="Times New Roman" w:cs="Times New Roman"/>
          <w:b/>
          <w:color w:val="000000"/>
          <w:sz w:val="24"/>
          <w:szCs w:val="24"/>
          <w:shd w:val="clear" w:color="auto" w:fill="FFFFFF"/>
          <w:lang w:val="ru-RU"/>
        </w:rPr>
        <w:t>Шанхае</w:t>
      </w:r>
      <w:r w:rsidRPr="004E7E3E">
        <w:rPr>
          <w:rFonts w:ascii="Times New Roman" w:hAnsi="Times New Roman" w:cs="Times New Roman"/>
          <w:color w:val="000000"/>
          <w:sz w:val="24"/>
          <w:szCs w:val="24"/>
          <w:shd w:val="clear" w:color="auto" w:fill="FFFFFF"/>
          <w:lang w:val="ru-RU"/>
        </w:rPr>
        <w:t xml:space="preserve"> располагается одна из двух фондовых бирж КНР. Она является основной для размещения крупных компаний с государственным участием</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_Ref446788128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226</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rPr>
        <w:t xml:space="preserve">. До начала экономических преобразований Дэн Сяопина на этот город приходилось около 20% бюджетных поступлений. В начале 20-го века Шанхай, а не Гонконг был основным центром экономической активности в </w:t>
      </w:r>
      <w:r w:rsidRPr="004E7E3E">
        <w:rPr>
          <w:rFonts w:ascii="Times New Roman" w:hAnsi="Times New Roman" w:cs="Times New Roman"/>
          <w:color w:val="000000"/>
          <w:sz w:val="24"/>
          <w:szCs w:val="24"/>
          <w:shd w:val="clear" w:color="auto" w:fill="FFFFFF"/>
          <w:lang w:val="ru-RU"/>
        </w:rPr>
        <w:lastRenderedPageBreak/>
        <w:t xml:space="preserve">регионе. С приходом коммунистов к власти в 1949 году экономическая элита переводит капиталы и сама перебирается в Гонконг. Сейчас идёт обратный процесс. </w:t>
      </w:r>
      <w:r w:rsidRPr="004E7E3E">
        <w:rPr>
          <w:rFonts w:ascii="Times New Roman" w:hAnsi="Times New Roman" w:cs="Times New Roman"/>
          <w:sz w:val="24"/>
          <w:szCs w:val="24"/>
          <w:lang w:val="ru-RU"/>
        </w:rPr>
        <w:t xml:space="preserve">В марте 2009 года </w:t>
      </w:r>
      <w:r w:rsidRPr="004E7E3E">
        <w:rPr>
          <w:rFonts w:ascii="Times New Roman" w:hAnsi="Times New Roman" w:cs="Times New Roman"/>
          <w:color w:val="000000"/>
          <w:sz w:val="24"/>
          <w:szCs w:val="24"/>
          <w:shd w:val="clear" w:color="auto" w:fill="FFFFFF"/>
          <w:lang w:val="ru-RU"/>
        </w:rPr>
        <w:t xml:space="preserve">Госсовет КНР принял решение ускорить программу превращения Шанхая в международный финансовый центр. Эталоном МФЦ, на который ориентируются реформаторы, стал Гонконг. Более подробно ход и суть этой программы мы опишем в следующем параграфе. </w:t>
      </w:r>
    </w:p>
    <w:p w14:paraId="5F3AD094" w14:textId="03835152"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Вторая по значимости фондовая площадка находится в </w:t>
      </w:r>
      <w:r w:rsidRPr="004E7E3E">
        <w:rPr>
          <w:rFonts w:ascii="Times New Roman" w:hAnsi="Times New Roman" w:cs="Times New Roman"/>
          <w:b/>
          <w:color w:val="000000"/>
          <w:sz w:val="24"/>
          <w:szCs w:val="24"/>
          <w:shd w:val="clear" w:color="auto" w:fill="FFFFFF"/>
          <w:lang w:val="ru-RU"/>
        </w:rPr>
        <w:t>Шэньчжэне</w:t>
      </w:r>
      <w:r w:rsidRPr="004E7E3E">
        <w:rPr>
          <w:rFonts w:ascii="Times New Roman" w:hAnsi="Times New Roman" w:cs="Times New Roman"/>
          <w:color w:val="000000"/>
          <w:sz w:val="24"/>
          <w:szCs w:val="24"/>
          <w:shd w:val="clear" w:color="auto" w:fill="FFFFFF"/>
          <w:lang w:val="ru-RU"/>
        </w:rPr>
        <w:t>. Шэньчжэньская фондов</w:t>
      </w:r>
      <w:r>
        <w:rPr>
          <w:rFonts w:ascii="Times New Roman" w:hAnsi="Times New Roman" w:cs="Times New Roman"/>
          <w:color w:val="000000"/>
          <w:sz w:val="24"/>
          <w:szCs w:val="24"/>
          <w:shd w:val="clear" w:color="auto" w:fill="FFFFFF"/>
          <w:lang w:val="ru-RU"/>
        </w:rPr>
        <w:t>ая</w:t>
      </w:r>
      <w:r w:rsidRPr="004E7E3E">
        <w:rPr>
          <w:rFonts w:ascii="Times New Roman" w:hAnsi="Times New Roman" w:cs="Times New Roman"/>
          <w:color w:val="000000"/>
          <w:sz w:val="24"/>
          <w:szCs w:val="24"/>
          <w:shd w:val="clear" w:color="auto" w:fill="FFFFFF"/>
          <w:lang w:val="ru-RU"/>
        </w:rPr>
        <w:t xml:space="preserve"> бирж</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является площадкой для первого размещения новых частных, часто инновационных компаний с большим потенциалом роста, но сохранивших риски первоначального роста</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_Ref446788066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153</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rPr>
        <w:t>. Шэньчжэнь являлся центром одной из первых экономических зон (всего их было создано изначально пять). Фактически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это город</w:t>
      </w:r>
      <w:r w:rsidRPr="004E7E3E">
        <w:rPr>
          <w:rFonts w:ascii="Times New Roman" w:hAnsi="Times New Roman" w:cs="Times New Roman"/>
          <w:color w:val="000000"/>
          <w:sz w:val="24"/>
          <w:szCs w:val="24"/>
          <w:shd w:val="clear" w:color="auto" w:fill="FFFFFF"/>
          <w:lang w:val="ru-RU"/>
        </w:rPr>
        <w:noBreakHyphen/>
        <w:t xml:space="preserve">спутник Гонконга в континентальной части Китая. Например, район Лантоу Шэньджэня построен вокруг пограничного перехода с Гонконгом. Шэньчжэнь остаётся китайским мегаполисом с самой динамично развивающейся экономикой, при этом рост идёт в высокотехнологичных отраслях. </w:t>
      </w:r>
    </w:p>
    <w:p w14:paraId="6E60B2BA"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eastAsia="zh-CN"/>
        </w:rPr>
      </w:pPr>
      <w:r w:rsidRPr="004E7E3E">
        <w:rPr>
          <w:rFonts w:ascii="Times New Roman" w:hAnsi="Times New Roman" w:cs="Times New Roman"/>
          <w:b/>
          <w:color w:val="000000"/>
          <w:sz w:val="24"/>
          <w:szCs w:val="24"/>
          <w:shd w:val="clear" w:color="auto" w:fill="FFFFFF"/>
          <w:lang w:val="ru-RU"/>
        </w:rPr>
        <w:t>Пекин</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или «Бейдзин», как называют его сами китайцы, что переводится как «Северная столица». В древние врем</w:t>
      </w:r>
      <w:r>
        <w:rPr>
          <w:rFonts w:ascii="Times New Roman" w:hAnsi="Times New Roman" w:cs="Times New Roman"/>
          <w:color w:val="000000"/>
          <w:sz w:val="24"/>
          <w:szCs w:val="24"/>
          <w:shd w:val="clear" w:color="auto" w:fill="FFFFFF"/>
          <w:lang w:val="ru-RU"/>
        </w:rPr>
        <w:t>ена</w:t>
      </w:r>
      <w:r w:rsidRPr="004E7E3E">
        <w:rPr>
          <w:rFonts w:ascii="Times New Roman" w:hAnsi="Times New Roman" w:cs="Times New Roman"/>
          <w:color w:val="000000"/>
          <w:sz w:val="24"/>
          <w:szCs w:val="24"/>
          <w:shd w:val="clear" w:color="auto" w:fill="FFFFFF"/>
          <w:lang w:val="ru-RU"/>
        </w:rPr>
        <w:t xml:space="preserve"> Поднебесн</w:t>
      </w:r>
      <w:r>
        <w:rPr>
          <w:rFonts w:ascii="Times New Roman" w:hAnsi="Times New Roman" w:cs="Times New Roman"/>
          <w:color w:val="000000"/>
          <w:sz w:val="24"/>
          <w:szCs w:val="24"/>
          <w:shd w:val="clear" w:color="auto" w:fill="FFFFFF"/>
          <w:lang w:val="ru-RU"/>
        </w:rPr>
        <w:t>ых</w:t>
      </w:r>
      <w:r w:rsidRPr="004E7E3E">
        <w:rPr>
          <w:rFonts w:ascii="Times New Roman" w:hAnsi="Times New Roman" w:cs="Times New Roman"/>
          <w:color w:val="000000"/>
          <w:sz w:val="24"/>
          <w:szCs w:val="24"/>
          <w:shd w:val="clear" w:color="auto" w:fill="FFFFFF"/>
          <w:lang w:val="ru-RU"/>
        </w:rPr>
        <w:t xml:space="preserve"> столиц на Востоке было четыре: северная – Пекин, южная – Нанкин, западная – Сиань и восточная – Токио. Вообще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Пекин очень «советский» город, в спальных районах он почти не отличается от Харькова</w:t>
      </w:r>
      <w:r>
        <w:rPr>
          <w:rFonts w:ascii="Times New Roman" w:hAnsi="Times New Roman" w:cs="Times New Roman"/>
          <w:color w:val="000000"/>
          <w:sz w:val="24"/>
          <w:szCs w:val="24"/>
          <w:shd w:val="clear" w:color="auto" w:fill="FFFFFF"/>
          <w:lang w:val="ru-RU"/>
        </w:rPr>
        <w:t xml:space="preserve"> или</w:t>
      </w:r>
      <w:r w:rsidRPr="004E7E3E">
        <w:rPr>
          <w:rFonts w:ascii="Times New Roman" w:hAnsi="Times New Roman" w:cs="Times New Roman"/>
          <w:color w:val="000000"/>
          <w:sz w:val="24"/>
          <w:szCs w:val="24"/>
          <w:shd w:val="clear" w:color="auto" w:fill="FFFFFF"/>
          <w:lang w:val="ru-RU"/>
        </w:rPr>
        <w:t xml:space="preserve"> Новосибирска. Только кое-где виднеются памятники тысячелетней истории и гигантские архитектурные творения коммунистической империи. Ясно, что здесь концентрируются государственные деньги, штаб-квартиры государственные корпораций (банков, нефтяных, сырьевых, зерновых компаний и т. д.). В</w:t>
      </w:r>
      <w:r w:rsidRPr="004E7E3E">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Пекине располагаются офис</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xml:space="preserve"> 5 крупнейших китайских государственных банков (</w:t>
      </w:r>
      <w:r w:rsidRPr="004E7E3E">
        <w:rPr>
          <w:rFonts w:ascii="Times New Roman" w:hAnsi="Times New Roman" w:cs="Times New Roman"/>
          <w:color w:val="000000"/>
          <w:sz w:val="24"/>
          <w:szCs w:val="24"/>
          <w:shd w:val="clear" w:color="auto" w:fill="FFFFFF"/>
        </w:rPr>
        <w:t>ICBC</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CCB</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BoC</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ABC</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BoCom</w:t>
      </w:r>
      <w:r w:rsidRPr="004E7E3E">
        <w:rPr>
          <w:rFonts w:ascii="Times New Roman" w:hAnsi="Times New Roman" w:cs="Times New Roman"/>
          <w:color w:val="000000"/>
          <w:sz w:val="24"/>
          <w:szCs w:val="24"/>
          <w:shd w:val="clear" w:color="auto" w:fill="FFFFFF"/>
          <w:lang w:val="ru-RU"/>
        </w:rPr>
        <w:t xml:space="preserve">), входящих в Топ-10 </w:t>
      </w:r>
      <w:r w:rsidRPr="004E7E3E">
        <w:rPr>
          <w:rFonts w:ascii="Times New Roman" w:hAnsi="Times New Roman" w:cs="Times New Roman"/>
          <w:color w:val="000000"/>
          <w:sz w:val="24"/>
          <w:szCs w:val="24"/>
          <w:shd w:val="clear" w:color="auto" w:fill="FFFFFF"/>
        </w:rPr>
        <w:t>Global</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Fortune</w:t>
      </w:r>
      <w:r w:rsidRPr="004E7E3E">
        <w:rPr>
          <w:rFonts w:ascii="Times New Roman" w:hAnsi="Times New Roman" w:cs="Times New Roman"/>
          <w:color w:val="000000"/>
          <w:sz w:val="24"/>
          <w:szCs w:val="24"/>
          <w:shd w:val="clear" w:color="auto" w:fill="FFFFFF"/>
          <w:lang w:val="ru-RU"/>
        </w:rPr>
        <w:t xml:space="preserve"> 500, а также центральный регулятор финансовых рынков. Кроме того, Пекин – это крупный центр венчурных инвестиций.</w:t>
      </w:r>
    </w:p>
    <w:p w14:paraId="0EB5782B" w14:textId="6B0C7076"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С 2015 года агентство </w:t>
      </w:r>
      <w:r w:rsidRPr="004E7E3E">
        <w:rPr>
          <w:rFonts w:ascii="Times New Roman" w:hAnsi="Times New Roman" w:cs="Times New Roman"/>
          <w:color w:val="000000"/>
          <w:sz w:val="24"/>
          <w:szCs w:val="24"/>
          <w:shd w:val="clear" w:color="auto" w:fill="FFFFFF"/>
        </w:rPr>
        <w:t>Z</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rPr>
        <w:t>Yen</w:t>
      </w:r>
      <w:r w:rsidRPr="004E7E3E">
        <w:rPr>
          <w:rFonts w:ascii="Times New Roman" w:hAnsi="Times New Roman" w:cs="Times New Roman"/>
          <w:color w:val="000000"/>
          <w:sz w:val="24"/>
          <w:szCs w:val="24"/>
          <w:shd w:val="clear" w:color="auto" w:fill="FFFFFF"/>
          <w:lang w:val="ru-RU"/>
        </w:rPr>
        <w:t xml:space="preserve"> котирует город </w:t>
      </w:r>
      <w:r w:rsidRPr="004E7E3E">
        <w:rPr>
          <w:rFonts w:ascii="Times New Roman" w:hAnsi="Times New Roman" w:cs="Times New Roman"/>
          <w:b/>
          <w:color w:val="000000"/>
          <w:sz w:val="24"/>
          <w:szCs w:val="24"/>
          <w:shd w:val="clear" w:color="auto" w:fill="FFFFFF"/>
          <w:lang w:val="ru-RU"/>
        </w:rPr>
        <w:t>Далянь</w:t>
      </w:r>
      <w:r w:rsidRPr="004E7E3E">
        <w:rPr>
          <w:rFonts w:ascii="Times New Roman" w:hAnsi="Times New Roman" w:cs="Times New Roman"/>
          <w:color w:val="000000"/>
          <w:sz w:val="24"/>
          <w:szCs w:val="24"/>
          <w:shd w:val="clear" w:color="auto" w:fill="FFFFFF"/>
          <w:lang w:val="ru-RU"/>
        </w:rPr>
        <w:t xml:space="preserve"> в качестве одного из лидирующих МФЦ. Занятно, что Далянь – это тот самый город Дальний, известный в истории как Порт Артур, единственн</w:t>
      </w:r>
      <w:r>
        <w:rPr>
          <w:rFonts w:ascii="Times New Roman" w:hAnsi="Times New Roman" w:cs="Times New Roman"/>
          <w:color w:val="000000"/>
          <w:sz w:val="24"/>
          <w:szCs w:val="24"/>
          <w:shd w:val="clear" w:color="auto" w:fill="FFFFFF"/>
          <w:lang w:val="ru-RU"/>
        </w:rPr>
        <w:t>ая</w:t>
      </w:r>
      <w:r w:rsidRPr="004E7E3E">
        <w:rPr>
          <w:rFonts w:ascii="Times New Roman" w:hAnsi="Times New Roman" w:cs="Times New Roman"/>
          <w:color w:val="000000"/>
          <w:sz w:val="24"/>
          <w:szCs w:val="24"/>
          <w:shd w:val="clear" w:color="auto" w:fill="FFFFFF"/>
          <w:lang w:val="ru-RU"/>
        </w:rPr>
        <w:t xml:space="preserve"> внешн</w:t>
      </w:r>
      <w:r>
        <w:rPr>
          <w:rFonts w:ascii="Times New Roman" w:hAnsi="Times New Roman" w:cs="Times New Roman"/>
          <w:color w:val="000000"/>
          <w:sz w:val="24"/>
          <w:szCs w:val="24"/>
          <w:shd w:val="clear" w:color="auto" w:fill="FFFFFF"/>
          <w:lang w:val="ru-RU"/>
        </w:rPr>
        <w:t>яя</w:t>
      </w:r>
      <w:r w:rsidRPr="004E7E3E">
        <w:rPr>
          <w:rFonts w:ascii="Times New Roman" w:hAnsi="Times New Roman" w:cs="Times New Roman"/>
          <w:color w:val="000000"/>
          <w:sz w:val="24"/>
          <w:szCs w:val="24"/>
          <w:shd w:val="clear" w:color="auto" w:fill="FFFFFF"/>
          <w:lang w:val="ru-RU"/>
        </w:rPr>
        <w:t xml:space="preserve"> колони</w:t>
      </w:r>
      <w:r>
        <w:rPr>
          <w:rFonts w:ascii="Times New Roman" w:hAnsi="Times New Roman" w:cs="Times New Roman"/>
          <w:color w:val="000000"/>
          <w:sz w:val="24"/>
          <w:szCs w:val="24"/>
          <w:shd w:val="clear" w:color="auto" w:fill="FFFFFF"/>
          <w:lang w:val="ru-RU"/>
        </w:rPr>
        <w:t>я</w:t>
      </w:r>
      <w:r w:rsidRPr="004E7E3E">
        <w:rPr>
          <w:rFonts w:ascii="Times New Roman" w:hAnsi="Times New Roman" w:cs="Times New Roman"/>
          <w:color w:val="000000"/>
          <w:sz w:val="24"/>
          <w:szCs w:val="24"/>
          <w:shd w:val="clear" w:color="auto" w:fill="FFFFFF"/>
          <w:lang w:val="ru-RU"/>
        </w:rPr>
        <w:t xml:space="preserve"> Российской империи. В городе сохранилось много </w:t>
      </w:r>
      <w:r w:rsidR="00267F2A" w:rsidRPr="004E7E3E">
        <w:rPr>
          <w:rFonts w:ascii="Times New Roman" w:hAnsi="Times New Roman" w:cs="Times New Roman"/>
          <w:color w:val="000000"/>
          <w:sz w:val="24"/>
          <w:szCs w:val="24"/>
          <w:shd w:val="clear" w:color="auto" w:fill="FFFFFF"/>
          <w:lang w:val="ru-RU"/>
        </w:rPr>
        <w:t>строений</w:t>
      </w:r>
      <w:r w:rsidR="00267F2A">
        <w:rPr>
          <w:rFonts w:ascii="Times New Roman" w:hAnsi="Times New Roman" w:cs="Times New Roman"/>
          <w:color w:val="000000"/>
          <w:sz w:val="24"/>
          <w:szCs w:val="24"/>
          <w:shd w:val="clear" w:color="auto" w:fill="FFFFFF"/>
          <w:lang w:val="ru-RU"/>
        </w:rPr>
        <w:t xml:space="preserve"> </w:t>
      </w:r>
      <w:r w:rsidR="00267F2A" w:rsidRPr="004E7E3E">
        <w:rPr>
          <w:rFonts w:ascii="Times New Roman" w:hAnsi="Times New Roman" w:cs="Times New Roman"/>
          <w:color w:val="000000"/>
          <w:sz w:val="24"/>
          <w:szCs w:val="24"/>
          <w:shd w:val="clear" w:color="auto" w:fill="FFFFFF"/>
          <w:lang w:val="ru-RU"/>
        </w:rPr>
        <w:t>эпохи</w:t>
      </w:r>
      <w:r>
        <w:rPr>
          <w:rFonts w:ascii="Times New Roman" w:hAnsi="Times New Roman" w:cs="Times New Roman"/>
          <w:color w:val="000000"/>
          <w:sz w:val="24"/>
          <w:szCs w:val="24"/>
          <w:shd w:val="clear" w:color="auto" w:fill="FFFFFF"/>
          <w:lang w:val="ru-RU"/>
        </w:rPr>
        <w:t xml:space="preserve"> </w:t>
      </w:r>
      <w:r w:rsidR="00267F2A">
        <w:rPr>
          <w:rFonts w:ascii="Times New Roman" w:hAnsi="Times New Roman" w:cs="Times New Roman"/>
          <w:color w:val="000000"/>
          <w:sz w:val="24"/>
          <w:szCs w:val="24"/>
          <w:shd w:val="clear" w:color="auto" w:fill="FFFFFF"/>
          <w:lang w:val="ru-RU"/>
        </w:rPr>
        <w:t>колониализма</w:t>
      </w:r>
      <w:r w:rsidRPr="004E7E3E">
        <w:rPr>
          <w:rFonts w:ascii="Times New Roman" w:hAnsi="Times New Roman" w:cs="Times New Roman"/>
          <w:color w:val="000000"/>
          <w:sz w:val="24"/>
          <w:szCs w:val="24"/>
          <w:shd w:val="clear" w:color="auto" w:fill="FFFFFF"/>
          <w:lang w:val="ru-RU"/>
        </w:rPr>
        <w:t xml:space="preserve">, расположенных вблизи Русской улицы. </w:t>
      </w:r>
      <w:r>
        <w:rPr>
          <w:rFonts w:ascii="Times New Roman" w:hAnsi="Times New Roman" w:cs="Times New Roman"/>
          <w:color w:val="000000"/>
          <w:sz w:val="24"/>
          <w:szCs w:val="24"/>
          <w:shd w:val="clear" w:color="auto" w:fill="FFFFFF"/>
          <w:lang w:val="ru-RU"/>
        </w:rPr>
        <w:t xml:space="preserve">Составители </w:t>
      </w:r>
      <w:r>
        <w:rPr>
          <w:rFonts w:ascii="Times New Roman" w:hAnsi="Times New Roman" w:cs="Times New Roman"/>
          <w:color w:val="000000"/>
          <w:sz w:val="24"/>
          <w:szCs w:val="24"/>
          <w:shd w:val="clear" w:color="auto" w:fill="FFFFFF"/>
        </w:rPr>
        <w:t>GFCI</w:t>
      </w:r>
      <w:r w:rsidRPr="004E7E3E">
        <w:rPr>
          <w:rFonts w:ascii="Times New Roman" w:hAnsi="Times New Roman" w:cs="Times New Roman"/>
          <w:color w:val="000000"/>
          <w:sz w:val="24"/>
          <w:szCs w:val="24"/>
          <w:shd w:val="clear" w:color="auto" w:fill="FFFFFF"/>
          <w:lang w:val="ru-RU"/>
        </w:rPr>
        <w:t xml:space="preserve"> выделили Далянь в качестве одного из главных МФЦ Китая и </w:t>
      </w:r>
      <w:r w:rsidR="00267F2A" w:rsidRPr="004E7E3E">
        <w:rPr>
          <w:rFonts w:ascii="Times New Roman" w:hAnsi="Times New Roman" w:cs="Times New Roman"/>
          <w:color w:val="000000"/>
          <w:sz w:val="24"/>
          <w:szCs w:val="24"/>
          <w:shd w:val="clear" w:color="auto" w:fill="FFFFFF"/>
          <w:lang w:val="ru-RU"/>
        </w:rPr>
        <w:t>мира несмотря на то, что</w:t>
      </w:r>
      <w:r w:rsidRPr="004E7E3E">
        <w:rPr>
          <w:rFonts w:ascii="Times New Roman" w:hAnsi="Times New Roman" w:cs="Times New Roman"/>
          <w:color w:val="000000"/>
          <w:sz w:val="24"/>
          <w:szCs w:val="24"/>
          <w:shd w:val="clear" w:color="auto" w:fill="FFFFFF"/>
          <w:lang w:val="ru-RU"/>
        </w:rPr>
        <w:t xml:space="preserve"> в этот рейтинг не вошл</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столица провинции – Шэньян</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 из-за находящейся здесь фьючерсной сырьевой биржи, а также свободного статуса порта этого города. В Китае есть три сырьевые биржи: в Шанхае (</w:t>
      </w:r>
      <w:r w:rsidRPr="004E7E3E">
        <w:rPr>
          <w:rFonts w:ascii="Times New Roman" w:hAnsi="Times New Roman" w:cs="Times New Roman"/>
          <w:color w:val="000000"/>
          <w:sz w:val="24"/>
          <w:szCs w:val="24"/>
          <w:shd w:val="clear" w:color="auto" w:fill="FFFFFF"/>
        </w:rPr>
        <w:t>Shanghai</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Metal</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Stock</w:t>
      </w:r>
      <w:r w:rsidRPr="004E7E3E">
        <w:rPr>
          <w:rFonts w:ascii="Times New Roman" w:hAnsi="Times New Roman" w:cs="Times New Roman"/>
          <w:color w:val="000000"/>
          <w:sz w:val="24"/>
          <w:szCs w:val="24"/>
          <w:shd w:val="clear" w:color="auto" w:fill="FFFFFF"/>
          <w:lang w:val="ru-RU"/>
        </w:rPr>
        <w:t>), в городе Дженджоу (столиц</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провинции Хэнан) и в Даляне. На 2017 год половина организованной торговли лотами проходила на Даляньской сырьевой бирже (ДСБ). Она является второй по объёму в мире биржей сельскохозяйственных товаров. Комплекс фьючерсов на сою, торгуемых на ДСБ, является крупнейшим в мире монофьючерсом (кроме </w:t>
      </w:r>
      <w:r w:rsidRPr="004E7E3E">
        <w:rPr>
          <w:rFonts w:ascii="Times New Roman" w:hAnsi="Times New Roman" w:cs="Times New Roman"/>
          <w:color w:val="000000"/>
          <w:sz w:val="24"/>
          <w:szCs w:val="24"/>
          <w:shd w:val="clear" w:color="auto" w:fill="FFFFFF"/>
          <w:lang w:val="ru-RU"/>
        </w:rPr>
        <w:lastRenderedPageBreak/>
        <w:t>самой сои, торги также идут на соевую муку и соевое масло). Даляньская площадка входит в десятку крупнейших фьючерсных бирж</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_Ref459294547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153</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rPr>
        <w:t>.</w:t>
      </w:r>
    </w:p>
    <w:p w14:paraId="62CFC0FE" w14:textId="316B8AD4"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eastAsia="zh-CN"/>
        </w:rPr>
      </w:pPr>
      <w:r w:rsidRPr="004E7E3E">
        <w:rPr>
          <w:rFonts w:ascii="Times New Roman" w:hAnsi="Times New Roman" w:cs="Times New Roman"/>
          <w:color w:val="000000"/>
          <w:sz w:val="24"/>
          <w:szCs w:val="24"/>
          <w:shd w:val="clear" w:color="auto" w:fill="FFFFFF"/>
          <w:lang w:val="ru-RU"/>
        </w:rPr>
        <w:t xml:space="preserve">Ещё одна столица северной провинции Китая – </w:t>
      </w:r>
      <w:r w:rsidRPr="004E7E3E">
        <w:rPr>
          <w:rFonts w:ascii="Times New Roman" w:hAnsi="Times New Roman" w:cs="Times New Roman"/>
          <w:b/>
          <w:color w:val="000000" w:themeColor="text1"/>
          <w:sz w:val="24"/>
          <w:szCs w:val="24"/>
          <w:shd w:val="clear" w:color="auto" w:fill="FFFFFF"/>
          <w:lang w:val="ru-RU" w:eastAsia="zh-CN"/>
        </w:rPr>
        <w:t>Циндао</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eastAsia="zh-CN"/>
        </w:rPr>
        <w:t xml:space="preserve">появилась лишь в 19-м выпуске рейтинга </w:t>
      </w:r>
      <w:r w:rsidRPr="004E7E3E">
        <w:rPr>
          <w:rFonts w:ascii="Times New Roman" w:hAnsi="Times New Roman" w:cs="Times New Roman"/>
          <w:color w:val="000000"/>
          <w:sz w:val="24"/>
          <w:szCs w:val="24"/>
          <w:shd w:val="clear" w:color="auto" w:fill="FFFFFF"/>
          <w:lang w:eastAsia="zh-CN"/>
        </w:rPr>
        <w:t>GFCI</w:t>
      </w:r>
      <w:r w:rsidRPr="004E7E3E">
        <w:rPr>
          <w:rFonts w:ascii="Times New Roman" w:hAnsi="Times New Roman" w:cs="Times New Roman"/>
          <w:color w:val="000000"/>
          <w:sz w:val="24"/>
          <w:szCs w:val="24"/>
          <w:shd w:val="clear" w:color="auto" w:fill="FFFFFF"/>
          <w:lang w:val="ru-RU" w:eastAsia="zh-CN"/>
        </w:rPr>
        <w:t>, заняв 79 место с 596 баллами (у лидера 800 баллов) [</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_Ref130564109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233</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 Показатели данного центра нестабильные. За два года он успел побывать на 30-й строчке и вновь скатиться к 80-му месту, хотя его показатели по баллам проявляли либо положительную, либо стабильную динамику. Этот город является региональный центром региона Шандон. Типичный крупный китайский город-провинциальный центр, с доминированием в экономик</w:t>
      </w:r>
      <w:r>
        <w:rPr>
          <w:rFonts w:ascii="Times New Roman" w:hAnsi="Times New Roman" w:cs="Times New Roman"/>
          <w:color w:val="000000"/>
          <w:sz w:val="24"/>
          <w:szCs w:val="24"/>
          <w:shd w:val="clear" w:color="auto" w:fill="FFFFFF"/>
          <w:lang w:val="ru-RU" w:eastAsia="zh-CN"/>
        </w:rPr>
        <w:t>е</w:t>
      </w:r>
      <w:r w:rsidRPr="004E7E3E">
        <w:rPr>
          <w:rFonts w:ascii="Times New Roman" w:hAnsi="Times New Roman" w:cs="Times New Roman"/>
          <w:color w:val="000000"/>
          <w:sz w:val="24"/>
          <w:szCs w:val="24"/>
          <w:shd w:val="clear" w:color="auto" w:fill="FFFFFF"/>
          <w:lang w:val="ru-RU" w:eastAsia="zh-CN"/>
        </w:rPr>
        <w:t xml:space="preserve"> крупных государственных предприятий тяжёлого машиностроения и химической промышленности. Здесь же со времён немецкого колониализма находится крупный пивоваренный центр. В 22 выпуске рейтинга </w:t>
      </w:r>
      <w:r w:rsidRPr="004E7E3E">
        <w:rPr>
          <w:rFonts w:ascii="Times New Roman" w:hAnsi="Times New Roman" w:cs="Times New Roman"/>
          <w:color w:val="000000"/>
          <w:sz w:val="24"/>
          <w:szCs w:val="24"/>
          <w:shd w:val="clear" w:color="auto" w:fill="FFFFFF"/>
          <w:lang w:eastAsia="zh-CN"/>
        </w:rPr>
        <w:t>GFCI</w:t>
      </w:r>
      <w:r w:rsidRPr="004E7E3E">
        <w:rPr>
          <w:rFonts w:ascii="Times New Roman" w:hAnsi="Times New Roman" w:cs="Times New Roman"/>
          <w:color w:val="000000"/>
          <w:sz w:val="24"/>
          <w:szCs w:val="24"/>
          <w:shd w:val="clear" w:color="auto" w:fill="FFFFFF"/>
          <w:lang w:val="ru-RU" w:eastAsia="zh-CN"/>
        </w:rPr>
        <w:t xml:space="preserve"> город отметился тем, что занял верхнюю строчку по репутации (то есть реальные экономические показатели значительно уступают оценке респондентов) [</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_Ref130564109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233</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 с. 32]</w:t>
      </w:r>
      <w:r>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eastAsia="zh-CN"/>
        </w:rPr>
        <w:t xml:space="preserve"> По этому показателю он обогнал такие «бренды» как «Нью-Йорк», «Сингапур» и «Гонконг». Появление этого центра в рейтинге, вероятно, связано </w:t>
      </w:r>
      <w:r>
        <w:rPr>
          <w:rFonts w:ascii="Times New Roman" w:hAnsi="Times New Roman" w:cs="Times New Roman"/>
          <w:color w:val="000000"/>
          <w:sz w:val="24"/>
          <w:szCs w:val="24"/>
          <w:shd w:val="clear" w:color="auto" w:fill="FFFFFF"/>
          <w:lang w:val="ru-RU" w:eastAsia="zh-CN"/>
        </w:rPr>
        <w:t xml:space="preserve">с </w:t>
      </w:r>
      <w:r w:rsidRPr="004E7E3E">
        <w:rPr>
          <w:rFonts w:ascii="Times New Roman" w:hAnsi="Times New Roman" w:cs="Times New Roman"/>
          <w:color w:val="000000"/>
          <w:sz w:val="24"/>
          <w:szCs w:val="24"/>
          <w:shd w:val="clear" w:color="auto" w:fill="FFFFFF"/>
          <w:lang w:val="ru-RU" w:eastAsia="zh-CN"/>
        </w:rPr>
        <w:t>получением разрешения от центральных властей в феврале 2014 года открыть первую зону, ставящ</w:t>
      </w:r>
      <w:r>
        <w:rPr>
          <w:rFonts w:ascii="Times New Roman" w:hAnsi="Times New Roman" w:cs="Times New Roman"/>
          <w:color w:val="000000"/>
          <w:sz w:val="24"/>
          <w:szCs w:val="24"/>
          <w:shd w:val="clear" w:color="auto" w:fill="FFFFFF"/>
          <w:lang w:val="ru-RU" w:eastAsia="zh-CN"/>
        </w:rPr>
        <w:t>ую</w:t>
      </w:r>
      <w:r w:rsidRPr="004E7E3E">
        <w:rPr>
          <w:rFonts w:ascii="Times New Roman" w:hAnsi="Times New Roman" w:cs="Times New Roman"/>
          <w:color w:val="000000"/>
          <w:sz w:val="24"/>
          <w:szCs w:val="24"/>
          <w:shd w:val="clear" w:color="auto" w:fill="FFFFFF"/>
          <w:lang w:val="ru-RU" w:eastAsia="zh-CN"/>
        </w:rPr>
        <w:t xml:space="preserve"> цель</w:t>
      </w:r>
      <w:r>
        <w:rPr>
          <w:rFonts w:ascii="Times New Roman" w:hAnsi="Times New Roman" w:cs="Times New Roman"/>
          <w:color w:val="000000"/>
          <w:sz w:val="24"/>
          <w:szCs w:val="24"/>
          <w:shd w:val="clear" w:color="auto" w:fill="FFFFFF"/>
          <w:lang w:val="ru-RU" w:eastAsia="zh-CN"/>
        </w:rPr>
        <w:t>ю</w:t>
      </w:r>
      <w:r w:rsidRPr="004E7E3E">
        <w:rPr>
          <w:rFonts w:ascii="Times New Roman" w:hAnsi="Times New Roman" w:cs="Times New Roman"/>
          <w:color w:val="000000"/>
          <w:sz w:val="24"/>
          <w:szCs w:val="24"/>
          <w:shd w:val="clear" w:color="auto" w:fill="FFFFFF"/>
          <w:lang w:val="ru-RU" w:eastAsia="zh-CN"/>
        </w:rPr>
        <w:t xml:space="preserve"> развитие финансовых услуг для частных лиц. В рамках зоны должны получить развитие 35 политик, включая управление ресурсами транснациональных корпораций, номинированных в юанях, и управление частным капиталом. В 2015 году на территории зоны был введён механизм Квалифицированного внутреннего ограниченного товарищества – </w:t>
      </w:r>
      <w:r w:rsidRPr="004E7E3E">
        <w:rPr>
          <w:rFonts w:ascii="Times New Roman" w:hAnsi="Times New Roman" w:cs="Times New Roman"/>
          <w:color w:val="000000"/>
          <w:sz w:val="24"/>
          <w:szCs w:val="24"/>
          <w:shd w:val="clear" w:color="auto" w:fill="FFFFFF"/>
          <w:lang w:eastAsia="zh-CN"/>
        </w:rPr>
        <w:t>Qualified</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Domestic</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Limited</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Partnership</w:t>
      </w:r>
      <w:r w:rsidRPr="004E7E3E">
        <w:rPr>
          <w:rFonts w:ascii="Times New Roman" w:hAnsi="Times New Roman" w:cs="Times New Roman"/>
          <w:color w:val="000000"/>
          <w:sz w:val="24"/>
          <w:szCs w:val="24"/>
          <w:shd w:val="clear" w:color="auto" w:fill="FFFFFF"/>
          <w:lang w:val="ru-RU" w:eastAsia="zh-CN"/>
        </w:rPr>
        <w:t xml:space="preserve"> – </w:t>
      </w:r>
      <w:r w:rsidRPr="004E7E3E">
        <w:rPr>
          <w:rFonts w:ascii="Times New Roman" w:hAnsi="Times New Roman" w:cs="Times New Roman"/>
          <w:color w:val="000000"/>
          <w:sz w:val="24"/>
          <w:szCs w:val="24"/>
          <w:shd w:val="clear" w:color="auto" w:fill="FFFFFF"/>
          <w:lang w:eastAsia="zh-CN"/>
        </w:rPr>
        <w:t>QDLP</w:t>
      </w:r>
      <w:r w:rsidRPr="004E7E3E">
        <w:rPr>
          <w:rFonts w:ascii="Times New Roman" w:hAnsi="Times New Roman" w:cs="Times New Roman"/>
          <w:color w:val="000000"/>
          <w:sz w:val="24"/>
          <w:szCs w:val="24"/>
          <w:shd w:val="clear" w:color="auto" w:fill="FFFFFF"/>
          <w:lang w:val="ru-RU" w:eastAsia="zh-CN"/>
        </w:rPr>
        <w:t>. В рамках данного финансового инструмента китайским частным инвесторам можно осуществлять портфельные инвестици</w:t>
      </w:r>
      <w:r>
        <w:rPr>
          <w:rFonts w:ascii="Times New Roman" w:hAnsi="Times New Roman" w:cs="Times New Roman"/>
          <w:color w:val="000000"/>
          <w:sz w:val="24"/>
          <w:szCs w:val="24"/>
          <w:shd w:val="clear" w:color="auto" w:fill="FFFFFF"/>
          <w:lang w:val="ru-RU" w:eastAsia="zh-CN"/>
        </w:rPr>
        <w:t>и</w:t>
      </w:r>
      <w:r w:rsidRPr="004E7E3E">
        <w:rPr>
          <w:rFonts w:ascii="Times New Roman" w:hAnsi="Times New Roman" w:cs="Times New Roman"/>
          <w:color w:val="000000"/>
          <w:sz w:val="24"/>
          <w:szCs w:val="24"/>
          <w:shd w:val="clear" w:color="auto" w:fill="FFFFFF"/>
          <w:lang w:val="ru-RU" w:eastAsia="zh-CN"/>
        </w:rPr>
        <w:t xml:space="preserve"> за рубеж, включая биржевые рынки ценных бумаг, операции слияний и поглощений и в товарно-сырьевые рынки [</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_Ref499229954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230</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c</w:t>
      </w:r>
      <w:r w:rsidRPr="004E7E3E">
        <w:rPr>
          <w:rFonts w:ascii="Times New Roman" w:hAnsi="Times New Roman" w:cs="Times New Roman"/>
          <w:color w:val="000000"/>
          <w:sz w:val="24"/>
          <w:szCs w:val="24"/>
          <w:shd w:val="clear" w:color="auto" w:fill="FFFFFF"/>
          <w:lang w:val="ru-RU" w:eastAsia="zh-CN"/>
        </w:rPr>
        <w:t>. 2]</w:t>
      </w:r>
      <w:r>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eastAsia="zh-CN"/>
        </w:rPr>
        <w:t xml:space="preserve"> Это вторая подобная пилотная программа после Шанхая. Кроме того, Циндао является местом расположения крупных китайских концернов, таких как </w:t>
      </w:r>
      <w:r w:rsidRPr="004E7E3E">
        <w:rPr>
          <w:rFonts w:ascii="Times New Roman" w:hAnsi="Times New Roman" w:cs="Times New Roman"/>
          <w:color w:val="000000"/>
          <w:sz w:val="24"/>
          <w:szCs w:val="24"/>
          <w:shd w:val="clear" w:color="auto" w:fill="FFFFFF"/>
          <w:lang w:eastAsia="zh-CN"/>
        </w:rPr>
        <w:t>Hair</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Hisens</w:t>
      </w:r>
      <w:r w:rsidRPr="004E7E3E">
        <w:rPr>
          <w:rFonts w:ascii="Times New Roman" w:hAnsi="Times New Roman" w:cs="Times New Roman"/>
          <w:color w:val="000000"/>
          <w:sz w:val="24"/>
          <w:szCs w:val="24"/>
          <w:shd w:val="clear" w:color="auto" w:fill="FFFFFF"/>
          <w:lang w:val="ru-RU" w:eastAsia="zh-CN"/>
        </w:rPr>
        <w:t xml:space="preserve"> (бытовое оборудование), </w:t>
      </w:r>
      <w:r w:rsidRPr="004E7E3E">
        <w:rPr>
          <w:rFonts w:ascii="Times New Roman" w:hAnsi="Times New Roman" w:cs="Times New Roman"/>
          <w:color w:val="000000"/>
          <w:sz w:val="24"/>
          <w:szCs w:val="24"/>
          <w:shd w:val="clear" w:color="auto" w:fill="FFFFFF"/>
          <w:lang w:eastAsia="zh-CN"/>
        </w:rPr>
        <w:t>FAW</w:t>
      </w:r>
      <w:r w:rsidRPr="004E7E3E">
        <w:rPr>
          <w:rFonts w:ascii="Times New Roman" w:hAnsi="Times New Roman" w:cs="Times New Roman"/>
          <w:color w:val="000000"/>
          <w:sz w:val="24"/>
          <w:szCs w:val="24"/>
          <w:shd w:val="clear" w:color="auto" w:fill="FFFFFF"/>
          <w:lang w:val="ru-RU" w:eastAsia="zh-CN"/>
        </w:rPr>
        <w:t xml:space="preserve"> (грузовики), </w:t>
      </w:r>
      <w:r w:rsidRPr="004E7E3E">
        <w:rPr>
          <w:rFonts w:ascii="Times New Roman" w:hAnsi="Times New Roman" w:cs="Times New Roman"/>
          <w:color w:val="000000"/>
          <w:sz w:val="24"/>
          <w:szCs w:val="24"/>
          <w:shd w:val="clear" w:color="auto" w:fill="FFFFFF"/>
          <w:lang w:eastAsia="zh-CN"/>
        </w:rPr>
        <w:t>Qingdao</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Hyundai</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Shipbuilding</w:t>
      </w:r>
      <w:r w:rsidRPr="004E7E3E">
        <w:rPr>
          <w:rFonts w:ascii="Times New Roman" w:hAnsi="Times New Roman" w:cs="Times New Roman"/>
          <w:color w:val="000000"/>
          <w:sz w:val="24"/>
          <w:szCs w:val="24"/>
          <w:shd w:val="clear" w:color="auto" w:fill="FFFFFF"/>
          <w:lang w:val="ru-RU" w:eastAsia="zh-CN"/>
        </w:rPr>
        <w:t xml:space="preserve"> (судостроение) и других. </w:t>
      </w:r>
    </w:p>
    <w:p w14:paraId="572BB307" w14:textId="744E4FB0"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Вернёмся к самым богатым южны</w:t>
      </w:r>
      <w:r>
        <w:rPr>
          <w:rFonts w:ascii="Times New Roman" w:hAnsi="Times New Roman" w:cs="Times New Roman"/>
          <w:color w:val="000000"/>
          <w:sz w:val="24"/>
          <w:szCs w:val="24"/>
          <w:shd w:val="clear" w:color="auto" w:fill="FFFFFF"/>
          <w:lang w:val="ru-RU"/>
        </w:rPr>
        <w:t>м</w:t>
      </w:r>
      <w:r w:rsidRPr="004E7E3E">
        <w:rPr>
          <w:rFonts w:ascii="Times New Roman" w:hAnsi="Times New Roman" w:cs="Times New Roman"/>
          <w:color w:val="000000"/>
          <w:sz w:val="24"/>
          <w:szCs w:val="24"/>
          <w:shd w:val="clear" w:color="auto" w:fill="FFFFFF"/>
          <w:lang w:val="ru-RU"/>
        </w:rPr>
        <w:t xml:space="preserve"> провинциям Китая. Экономика провинции </w:t>
      </w:r>
      <w:r w:rsidR="00267F2A" w:rsidRPr="004E7E3E">
        <w:rPr>
          <w:rFonts w:ascii="Times New Roman" w:hAnsi="Times New Roman" w:cs="Times New Roman"/>
          <w:color w:val="000000"/>
          <w:sz w:val="24"/>
          <w:szCs w:val="24"/>
          <w:shd w:val="clear" w:color="auto" w:fill="FFFFFF"/>
          <w:lang w:val="ru-RU"/>
        </w:rPr>
        <w:t>Гуандун</w:t>
      </w:r>
      <w:r w:rsidRPr="004E7E3E">
        <w:rPr>
          <w:rFonts w:ascii="Times New Roman" w:hAnsi="Times New Roman" w:cs="Times New Roman"/>
          <w:color w:val="000000"/>
          <w:sz w:val="24"/>
          <w:szCs w:val="24"/>
          <w:shd w:val="clear" w:color="auto" w:fill="FFFFFF"/>
          <w:lang w:val="ru-RU"/>
        </w:rPr>
        <w:t xml:space="preserve"> по объёму ВВП уже обогнала Гонконг. Это вполне логично, учитывая, что население Гонконга </w:t>
      </w:r>
      <w:r>
        <w:rPr>
          <w:rFonts w:ascii="Times New Roman" w:hAnsi="Times New Roman" w:cs="Times New Roman"/>
          <w:color w:val="000000"/>
          <w:sz w:val="24"/>
          <w:szCs w:val="24"/>
          <w:shd w:val="clear" w:color="auto" w:fill="FFFFFF"/>
          <w:lang w:val="ru-RU"/>
        </w:rPr>
        <w:t xml:space="preserve">составляет </w:t>
      </w:r>
      <w:r w:rsidRPr="004E7E3E">
        <w:rPr>
          <w:rFonts w:ascii="Times New Roman" w:hAnsi="Times New Roman" w:cs="Times New Roman"/>
          <w:color w:val="000000"/>
          <w:sz w:val="24"/>
          <w:szCs w:val="24"/>
          <w:shd w:val="clear" w:color="auto" w:fill="FFFFFF"/>
          <w:lang w:val="ru-RU"/>
        </w:rPr>
        <w:t>4,5 мл</w:t>
      </w:r>
      <w:r>
        <w:rPr>
          <w:rFonts w:ascii="Times New Roman" w:hAnsi="Times New Roman" w:cs="Times New Roman"/>
          <w:color w:val="000000"/>
          <w:sz w:val="24"/>
          <w:szCs w:val="24"/>
          <w:shd w:val="clear" w:color="auto" w:fill="FFFFFF"/>
          <w:lang w:val="ru-RU"/>
        </w:rPr>
        <w:t>н.</w:t>
      </w:r>
      <w:r w:rsidRPr="004E7E3E">
        <w:rPr>
          <w:rFonts w:ascii="Times New Roman" w:hAnsi="Times New Roman" w:cs="Times New Roman"/>
          <w:color w:val="000000"/>
          <w:sz w:val="24"/>
          <w:szCs w:val="24"/>
          <w:shd w:val="clear" w:color="auto" w:fill="FFFFFF"/>
          <w:lang w:val="ru-RU"/>
        </w:rPr>
        <w:t xml:space="preserve"> человек, а провинции </w:t>
      </w:r>
      <w:r w:rsidR="00267F2A" w:rsidRPr="004E7E3E">
        <w:rPr>
          <w:rFonts w:ascii="Times New Roman" w:hAnsi="Times New Roman" w:cs="Times New Roman"/>
          <w:color w:val="000000"/>
          <w:sz w:val="24"/>
          <w:szCs w:val="24"/>
          <w:shd w:val="clear" w:color="auto" w:fill="FFFFFF"/>
          <w:lang w:val="ru-RU"/>
        </w:rPr>
        <w:t>Гуандун</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 xml:space="preserve">около 90 млн. человек. Столицей провинции является город </w:t>
      </w:r>
      <w:r w:rsidRPr="004E7E3E">
        <w:rPr>
          <w:rFonts w:ascii="Times New Roman" w:hAnsi="Times New Roman" w:cs="Times New Roman"/>
          <w:b/>
          <w:color w:val="000000"/>
          <w:sz w:val="24"/>
          <w:szCs w:val="24"/>
          <w:shd w:val="clear" w:color="auto" w:fill="FFFFFF"/>
          <w:lang w:val="ru-RU"/>
        </w:rPr>
        <w:t>Гуанчжоу</w:t>
      </w:r>
      <w:r w:rsidRPr="004E7E3E">
        <w:rPr>
          <w:rFonts w:ascii="Times New Roman" w:hAnsi="Times New Roman" w:cs="Times New Roman"/>
          <w:color w:val="000000"/>
          <w:sz w:val="24"/>
          <w:szCs w:val="24"/>
          <w:shd w:val="clear" w:color="auto" w:fill="FFFFFF"/>
          <w:lang w:val="ru-RU"/>
        </w:rPr>
        <w:t xml:space="preserve">. В основной рейтинг </w:t>
      </w:r>
      <w:r w:rsidRPr="004E7E3E">
        <w:rPr>
          <w:rFonts w:ascii="Times New Roman" w:hAnsi="Times New Roman" w:cs="Times New Roman"/>
          <w:color w:val="000000"/>
          <w:sz w:val="24"/>
          <w:szCs w:val="24"/>
          <w:shd w:val="clear" w:color="auto" w:fill="FFFFFF"/>
        </w:rPr>
        <w:t>GFCI</w:t>
      </w:r>
      <w:r w:rsidRPr="004E7E3E">
        <w:rPr>
          <w:rFonts w:ascii="Times New Roman" w:hAnsi="Times New Roman" w:cs="Times New Roman"/>
          <w:color w:val="000000"/>
          <w:sz w:val="24"/>
          <w:szCs w:val="24"/>
          <w:shd w:val="clear" w:color="auto" w:fill="FFFFFF"/>
          <w:lang w:val="ru-RU"/>
        </w:rPr>
        <w:t xml:space="preserve"> центр входит только с этого года, набрав достаточное количество оценок респондентов, чтобы перебраться из субиндекса ассоциированных членов. Стоит заметить, что именно этот город с древнейших времён является «окном» Китая в мир и, наоборот, мира в Китай. Здесь в древнейшие времена находился порт отправления морского шёлкового пути, потом располагался единственный открытый для иностранцев город для торговли с Китаем, сейчас – это место проведения крупнейшей в Китае, </w:t>
      </w:r>
      <w:r w:rsidRPr="004E7E3E">
        <w:rPr>
          <w:rFonts w:ascii="Times New Roman" w:hAnsi="Times New Roman" w:cs="Times New Roman"/>
          <w:color w:val="000000"/>
          <w:sz w:val="24"/>
          <w:szCs w:val="24"/>
          <w:shd w:val="clear" w:color="auto" w:fill="FFFFFF"/>
          <w:lang w:val="ru-RU"/>
        </w:rPr>
        <w:lastRenderedPageBreak/>
        <w:t>а, вероятно, и в мире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Кантонской ярмарки. Новый деловой центр Гуанчжоу располагает вдоль оси длинной аллеи, по краям которой высятся небоскрёбы, а в самом конце аллеи перед большой площадью устремилась ввысь западная башня Международного финансового центра. Позже рядом была воздвигнута другая башня – Восточная. </w:t>
      </w:r>
    </w:p>
    <w:p w14:paraId="427FFCD1"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На юге Китая идёт строительство супермегаполиса, который должен стать сопоставим по размерам с Токио. В итоге в единый конгломерат должны слиться Чжухай (около 2 млн. чел.), Чжуншань (3 млн. чел.), Гуанчжоу (15 млн. чел.), Фошань (3,5 млн. чел.), Дунгуань (6,5 млн. чел.), Шэньчжэнь (3 млн. чел.). С одной стороны, это позволит сократить госрасходы на управление, с другой, сделает управление ещё более сложным. Но китайское руководство, как, вероятно, никакое другое в мире, имеет большой опыт управления колоссальными массами людей. На наш взгляд, если предположить возможность существования мирового правительства, то точно шестую часть постов в нём должны занимать китайцы. </w:t>
      </w:r>
    </w:p>
    <w:p w14:paraId="4312BFA2"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Ранее Шэньчжэнь был китайским городом № 1 по экспорту. Сейчас эту позицию занял соседний город Дунгуань. Вероятно, это связано с тем, что Шэньчжэнь переходит к постиндустриальному этапу развитию, когда основу экономики составляет реализация услуг, в том числе финансовых. </w:t>
      </w:r>
    </w:p>
    <w:p w14:paraId="414E7E4C" w14:textId="421CE3BF"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Рейтинг </w:t>
      </w:r>
      <w:r w:rsidRPr="004E7E3E">
        <w:rPr>
          <w:rFonts w:ascii="Times New Roman" w:hAnsi="Times New Roman" w:cs="Times New Roman"/>
          <w:color w:val="000000"/>
          <w:sz w:val="24"/>
          <w:szCs w:val="24"/>
          <w:shd w:val="clear" w:color="auto" w:fill="FFFFFF"/>
        </w:rPr>
        <w:t>GFCI</w:t>
      </w:r>
      <w:r w:rsidRPr="004E7E3E">
        <w:rPr>
          <w:rFonts w:ascii="Times New Roman" w:hAnsi="Times New Roman" w:cs="Times New Roman"/>
          <w:color w:val="000000"/>
          <w:sz w:val="24"/>
          <w:szCs w:val="24"/>
          <w:shd w:val="clear" w:color="auto" w:fill="FFFFFF"/>
          <w:lang w:val="ru-RU"/>
        </w:rPr>
        <w:t xml:space="preserve"> в 2017-м году продолжил включать крупнейшие промышленные финансовые центры Китае. В 22-м выпуске столица четвёртой по численности населения провинции Сычуань – город Чэнду – занял</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86 место (566 баллов). Населени</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провинции Сычуань сопоставимо по численности с такими странами, как Германия, Турция, Иран. Город является центром технологического кластера микроэлектроники (здесь находится штаб-квартира </w:t>
      </w:r>
      <w:r w:rsidRPr="004E7E3E">
        <w:rPr>
          <w:rFonts w:ascii="Times New Roman" w:hAnsi="Times New Roman" w:cs="Times New Roman"/>
          <w:color w:val="000000"/>
          <w:sz w:val="24"/>
          <w:szCs w:val="24"/>
          <w:shd w:val="clear" w:color="auto" w:fill="FFFFFF"/>
        </w:rPr>
        <w:t>Lenovo</w:t>
      </w:r>
      <w:r w:rsidRPr="004E7E3E">
        <w:rPr>
          <w:rFonts w:ascii="Times New Roman" w:hAnsi="Times New Roman" w:cs="Times New Roman"/>
          <w:color w:val="000000"/>
          <w:sz w:val="24"/>
          <w:szCs w:val="24"/>
          <w:shd w:val="clear" w:color="auto" w:fill="FFFFFF"/>
          <w:lang w:val="ru-RU"/>
        </w:rPr>
        <w:t xml:space="preserve">, третий по размерам фаундри-производитель микросхем, самая большая фабрика </w:t>
      </w:r>
      <w:r w:rsidRPr="004E7E3E">
        <w:rPr>
          <w:rFonts w:ascii="Times New Roman" w:hAnsi="Times New Roman" w:cs="Times New Roman"/>
          <w:color w:val="000000"/>
          <w:sz w:val="24"/>
          <w:szCs w:val="24"/>
          <w:shd w:val="clear" w:color="auto" w:fill="FFFFFF"/>
        </w:rPr>
        <w:t>Foxconn</w:t>
      </w:r>
      <w:r w:rsidRPr="004E7E3E">
        <w:rPr>
          <w:rFonts w:ascii="Times New Roman" w:hAnsi="Times New Roman" w:cs="Times New Roman"/>
          <w:color w:val="000000"/>
          <w:sz w:val="24"/>
          <w:szCs w:val="24"/>
          <w:shd w:val="clear" w:color="auto" w:fill="FFFFFF"/>
          <w:lang w:val="ru-RU"/>
        </w:rPr>
        <w:t xml:space="preserve">, которая производит контрактую сборку продукции </w:t>
      </w:r>
      <w:r w:rsidRPr="004E7E3E">
        <w:rPr>
          <w:rFonts w:ascii="Times New Roman" w:hAnsi="Times New Roman" w:cs="Times New Roman"/>
          <w:color w:val="000000"/>
          <w:sz w:val="24"/>
          <w:szCs w:val="24"/>
          <w:shd w:val="clear" w:color="auto" w:fill="FFFFFF"/>
        </w:rPr>
        <w:t>Apple</w:t>
      </w:r>
      <w:r w:rsidRPr="004E7E3E">
        <w:rPr>
          <w:rFonts w:ascii="Times New Roman" w:hAnsi="Times New Roman" w:cs="Times New Roman"/>
          <w:color w:val="000000"/>
          <w:sz w:val="24"/>
          <w:szCs w:val="24"/>
          <w:shd w:val="clear" w:color="auto" w:fill="FFFFFF"/>
          <w:lang w:val="ru-RU"/>
        </w:rPr>
        <w:t xml:space="preserve">, сервисные центры </w:t>
      </w:r>
      <w:r w:rsidRPr="004E7E3E">
        <w:rPr>
          <w:rFonts w:ascii="Times New Roman" w:hAnsi="Times New Roman" w:cs="Times New Roman"/>
          <w:color w:val="000000"/>
          <w:sz w:val="24"/>
          <w:szCs w:val="24"/>
          <w:shd w:val="clear" w:color="auto" w:fill="FFFFFF"/>
        </w:rPr>
        <w:t>IBM</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GE</w:t>
      </w:r>
      <w:r w:rsidRPr="004E7E3E">
        <w:rPr>
          <w:rFonts w:ascii="Times New Roman" w:hAnsi="Times New Roman" w:cs="Times New Roman"/>
          <w:color w:val="000000"/>
          <w:sz w:val="24"/>
          <w:szCs w:val="24"/>
          <w:shd w:val="clear" w:color="auto" w:fill="FFFFFF"/>
          <w:lang w:val="ru-RU"/>
        </w:rPr>
        <w:t xml:space="preserve"> и других технологических корпораций). Он является центром аэрокосмической индустрии Китая (производство истребителя 5-го поколения </w:t>
      </w:r>
      <w:r w:rsidRPr="004E7E3E">
        <w:rPr>
          <w:rFonts w:ascii="Times New Roman" w:hAnsi="Times New Roman" w:cs="Times New Roman"/>
          <w:color w:val="000000"/>
          <w:sz w:val="24"/>
          <w:szCs w:val="24"/>
          <w:shd w:val="clear" w:color="auto" w:fill="FFFFFF"/>
        </w:rPr>
        <w:t>Chengdu</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J</w:t>
      </w:r>
      <w:r w:rsidRPr="004E7E3E">
        <w:rPr>
          <w:rFonts w:ascii="Times New Roman" w:hAnsi="Times New Roman" w:cs="Times New Roman"/>
          <w:color w:val="000000"/>
          <w:sz w:val="24"/>
          <w:szCs w:val="24"/>
          <w:shd w:val="clear" w:color="auto" w:fill="FFFFFF"/>
          <w:lang w:val="ru-RU"/>
        </w:rPr>
        <w:noBreakHyphen/>
        <w:t>20). В 2010 году Чэнду был признан международным лидером по привлечению иностранных инвестиций и образцовым центром по этому показателю в Китае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_Ref499124094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151</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На данный момент Чэнду признан также лидером Западного и Центрального Китая по венчурному инвестированию. В Чэнду располагается один из первых в Китае кластер</w:t>
      </w:r>
      <w:r>
        <w:rPr>
          <w:rFonts w:ascii="Times New Roman" w:hAnsi="Times New Roman" w:cs="Times New Roman"/>
          <w:color w:val="000000"/>
          <w:sz w:val="24"/>
          <w:szCs w:val="24"/>
          <w:shd w:val="clear" w:color="auto" w:fill="FFFFFF"/>
          <w:lang w:val="ru-RU"/>
        </w:rPr>
        <w:t>ов</w:t>
      </w:r>
      <w:r w:rsidRPr="004E7E3E">
        <w:rPr>
          <w:rFonts w:ascii="Times New Roman" w:hAnsi="Times New Roman" w:cs="Times New Roman"/>
          <w:color w:val="000000"/>
          <w:sz w:val="24"/>
          <w:szCs w:val="24"/>
          <w:shd w:val="clear" w:color="auto" w:fill="FFFFFF"/>
          <w:lang w:val="ru-RU"/>
        </w:rPr>
        <w:t xml:space="preserve"> по экспорту фармацевтической продукции, в 2016 году была создана новая зона по биотехнологиям – Западный парк Зоны развития высоких промышленных технологий Чэнду.</w:t>
      </w:r>
    </w:p>
    <w:p w14:paraId="7B4FF848"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Если мы посмотрим на диаграммы расположения китайских финансовых центров в рейтинге </w:t>
      </w:r>
      <w:r w:rsidRPr="004E7E3E">
        <w:rPr>
          <w:rFonts w:ascii="Times New Roman" w:hAnsi="Times New Roman" w:cs="Times New Roman"/>
          <w:color w:val="000000"/>
          <w:sz w:val="24"/>
          <w:szCs w:val="24"/>
          <w:shd w:val="clear" w:color="auto" w:fill="FFFFFF"/>
        </w:rPr>
        <w:t>GFCI</w:t>
      </w:r>
      <w:r w:rsidRPr="004E7E3E">
        <w:rPr>
          <w:rFonts w:ascii="Times New Roman" w:hAnsi="Times New Roman" w:cs="Times New Roman"/>
          <w:color w:val="000000"/>
          <w:sz w:val="24"/>
          <w:szCs w:val="24"/>
          <w:shd w:val="clear" w:color="auto" w:fill="FFFFFF"/>
          <w:lang w:val="ru-RU"/>
        </w:rPr>
        <w:t xml:space="preserve"> из </w:t>
      </w:r>
      <w:bookmarkStart w:id="26" w:name="возвратизглавыодин"/>
      <w:r w:rsidRPr="004E7E3E">
        <w:rPr>
          <w:rFonts w:ascii="Times New Roman" w:hAnsi="Times New Roman" w:cs="Times New Roman"/>
          <w:color w:val="000000"/>
          <w:sz w:val="24"/>
          <w:szCs w:val="24"/>
          <w:shd w:val="clear" w:color="auto" w:fill="FFFFFF"/>
          <w:lang w:val="ru-RU"/>
        </w:rPr>
        <w:t xml:space="preserve">главы 1 </w:t>
      </w:r>
      <w:bookmarkEnd w:id="26"/>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sz w:val="24"/>
          <w:szCs w:val="24"/>
          <w:shd w:val="clear" w:color="auto" w:fill="FFFFFF"/>
          <w:lang w:val="ru-RU"/>
        </w:rPr>
        <w:t>Рис. 2</w:t>
      </w:r>
      <w:r w:rsidRPr="004E7E3E">
        <w:rPr>
          <w:rFonts w:ascii="Times New Roman" w:hAnsi="Times New Roman" w:cs="Times New Roman"/>
          <w:color w:val="000000"/>
          <w:sz w:val="24"/>
          <w:szCs w:val="24"/>
          <w:shd w:val="clear" w:color="auto" w:fill="FFFFFF"/>
          <w:lang w:val="ru-RU"/>
        </w:rPr>
        <w:t xml:space="preserve"> и 3), то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сравнивая показател</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топа рейтинга и показател</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российских МФЦ, находящи</w:t>
      </w:r>
      <w:r>
        <w:rPr>
          <w:rFonts w:ascii="Times New Roman" w:hAnsi="Times New Roman" w:cs="Times New Roman"/>
          <w:color w:val="000000"/>
          <w:sz w:val="24"/>
          <w:szCs w:val="24"/>
          <w:shd w:val="clear" w:color="auto" w:fill="FFFFFF"/>
          <w:lang w:val="ru-RU"/>
        </w:rPr>
        <w:t>еся</w:t>
      </w:r>
      <w:r w:rsidRPr="004E7E3E">
        <w:rPr>
          <w:rFonts w:ascii="Times New Roman" w:hAnsi="Times New Roman" w:cs="Times New Roman"/>
          <w:color w:val="000000"/>
          <w:sz w:val="24"/>
          <w:szCs w:val="24"/>
          <w:shd w:val="clear" w:color="auto" w:fill="FFFFFF"/>
          <w:lang w:val="ru-RU"/>
        </w:rPr>
        <w:t xml:space="preserve"> в сегменте аутсайдеров, можем сделать вывод, что китайские континентальные центры равномерно распределены по рейтингу. Там есть и Гонконг из </w:t>
      </w:r>
      <w:r w:rsidRPr="004E7E3E">
        <w:rPr>
          <w:rFonts w:ascii="Times New Roman" w:hAnsi="Times New Roman" w:cs="Times New Roman"/>
          <w:color w:val="000000"/>
          <w:sz w:val="24"/>
          <w:szCs w:val="24"/>
          <w:shd w:val="clear" w:color="auto" w:fill="FFFFFF"/>
          <w:lang w:val="ru-RU"/>
        </w:rPr>
        <w:lastRenderedPageBreak/>
        <w:t>лидирующей 4-ки, и Шэньчжэнь с Шанхаем, входящи</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в первую 20-ку, и Гуанчжоу, ворвавшийся в 4-ю десятку, нестабильный Циндао, а также только появивши</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ся в нижней части рейтинга Чэнду и Далянь, положени</w:t>
      </w:r>
      <w:r>
        <w:rPr>
          <w:rFonts w:ascii="Times New Roman" w:hAnsi="Times New Roman" w:cs="Times New Roman"/>
          <w:color w:val="000000"/>
          <w:sz w:val="24"/>
          <w:szCs w:val="24"/>
          <w:shd w:val="clear" w:color="auto" w:fill="FFFFFF"/>
          <w:lang w:val="ru-RU"/>
        </w:rPr>
        <w:t>е которых</w:t>
      </w:r>
      <w:r w:rsidRPr="004E7E3E">
        <w:rPr>
          <w:rFonts w:ascii="Times New Roman" w:hAnsi="Times New Roman" w:cs="Times New Roman"/>
          <w:color w:val="000000"/>
          <w:sz w:val="24"/>
          <w:szCs w:val="24"/>
          <w:shd w:val="clear" w:color="auto" w:fill="FFFFFF"/>
          <w:lang w:val="ru-RU"/>
        </w:rPr>
        <w:t xml:space="preserve"> условно можно назвать зоной Москвы и Петербурга. Количество центров в рейтинге, как мы уже отмечали в 1-й главе, говорит об экономической мощи страны, но разброс центров по рейтингу отображает неравномерность её развития.</w:t>
      </w:r>
    </w:p>
    <w:p w14:paraId="45F4D7B8" w14:textId="3CC8D711"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Гонконг</w:t>
      </w:r>
      <w:r w:rsidRPr="004E7E3E">
        <w:rPr>
          <w:rFonts w:ascii="Times New Roman" w:hAnsi="Times New Roman" w:cs="Times New Roman"/>
          <w:color w:val="000000"/>
          <w:sz w:val="24"/>
          <w:szCs w:val="24"/>
          <w:shd w:val="clear" w:color="auto" w:fill="FFFFFF"/>
          <w:lang w:val="ru-RU"/>
        </w:rPr>
        <w:t xml:space="preserve"> формально является частью КНР с 1997 года в формате особого административного района, но фактически сохраняет свою административную и финансовую систему в рамках формулы «одна страна – две системы». Это глобальный МФЦ, входящий в топ-5 всех рейтингов, в том числе по </w:t>
      </w:r>
      <w:r w:rsidRPr="004E7E3E">
        <w:rPr>
          <w:rFonts w:ascii="Times New Roman" w:hAnsi="Times New Roman" w:cs="Times New Roman"/>
          <w:sz w:val="24"/>
          <w:szCs w:val="24"/>
          <w:lang w:val="ru-RU"/>
        </w:rPr>
        <w:t xml:space="preserve">Индексу экономической свободы, индексу коррупции среди государственных служащих </w:t>
      </w:r>
      <w:r w:rsidRPr="004E7E3E">
        <w:rPr>
          <w:rFonts w:ascii="Times New Roman" w:hAnsi="Times New Roman" w:cs="Times New Roman"/>
          <w:sz w:val="24"/>
          <w:szCs w:val="24"/>
        </w:rPr>
        <w:t>Transparency</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International</w:t>
      </w:r>
      <w:r w:rsidRPr="004E7E3E">
        <w:rPr>
          <w:rFonts w:ascii="Times New Roman" w:hAnsi="Times New Roman" w:cs="Times New Roman"/>
          <w:sz w:val="24"/>
          <w:szCs w:val="24"/>
          <w:lang w:val="ru-RU"/>
        </w:rPr>
        <w:t xml:space="preserve"> и индексу Всемирного Банка по самым низки</w:t>
      </w:r>
      <w:r>
        <w:rPr>
          <w:rFonts w:ascii="Times New Roman" w:hAnsi="Times New Roman" w:cs="Times New Roman"/>
          <w:sz w:val="24"/>
          <w:szCs w:val="24"/>
          <w:lang w:val="ru-RU"/>
        </w:rPr>
        <w:t>м</w:t>
      </w:r>
      <w:r w:rsidRPr="004E7E3E">
        <w:rPr>
          <w:rFonts w:ascii="Times New Roman" w:hAnsi="Times New Roman" w:cs="Times New Roman"/>
          <w:sz w:val="24"/>
          <w:szCs w:val="24"/>
          <w:lang w:val="ru-RU"/>
        </w:rPr>
        <w:t xml:space="preserve"> политически</w:t>
      </w:r>
      <w:r>
        <w:rPr>
          <w:rFonts w:ascii="Times New Roman" w:hAnsi="Times New Roman" w:cs="Times New Roman"/>
          <w:sz w:val="24"/>
          <w:szCs w:val="24"/>
          <w:lang w:val="ru-RU"/>
        </w:rPr>
        <w:t>м</w:t>
      </w:r>
      <w:r w:rsidRPr="004E7E3E">
        <w:rPr>
          <w:rFonts w:ascii="Times New Roman" w:hAnsi="Times New Roman" w:cs="Times New Roman"/>
          <w:sz w:val="24"/>
          <w:szCs w:val="24"/>
          <w:lang w:val="ru-RU"/>
        </w:rPr>
        <w:t xml:space="preserve"> рискам. Значение Гонконга для экономики Китая сложно переоценить. </w:t>
      </w:r>
      <w:r w:rsidRPr="004E7E3E">
        <w:rPr>
          <w:rFonts w:ascii="Times New Roman" w:hAnsi="Times New Roman" w:cs="Times New Roman"/>
          <w:color w:val="000000"/>
          <w:sz w:val="24"/>
          <w:szCs w:val="24"/>
          <w:shd w:val="clear" w:color="auto" w:fill="FFFFFF"/>
          <w:lang w:val="ru-RU"/>
        </w:rPr>
        <w:t xml:space="preserve">Все госбанки и многие госкомпании КНР считают размещение на Гонконгской бирже обязательным пунктом глобальной стратегии развития. </w:t>
      </w:r>
      <w:r w:rsidRPr="004E7E3E">
        <w:rPr>
          <w:rFonts w:ascii="Times New Roman" w:hAnsi="Times New Roman" w:cs="Times New Roman"/>
          <w:color w:val="000000"/>
          <w:sz w:val="24"/>
          <w:szCs w:val="24"/>
          <w:shd w:val="clear" w:color="auto" w:fill="FFFFFF"/>
        </w:rPr>
        <w:t xml:space="preserve">Bank of China, Chinese Construction and Telecommunication Bank, Agricultural Bank of China, China Petroleum – вот неполный перечень госкорпораций, чьи акции котируются на Гонконгской бирже. </w:t>
      </w:r>
      <w:r w:rsidRPr="004E7E3E">
        <w:rPr>
          <w:rFonts w:ascii="Times New Roman" w:hAnsi="Times New Roman" w:cs="Times New Roman"/>
          <w:color w:val="000000"/>
          <w:sz w:val="24"/>
          <w:szCs w:val="24"/>
          <w:shd w:val="clear" w:color="auto" w:fill="FFFFFF"/>
          <w:lang w:val="ru-RU"/>
        </w:rPr>
        <w:t>Более половины капитализации Гонконгской биржи создают именно акции компаний из континентального Китая. Но за последние 30 лет характер взаимоотношения КНР и Гонконга изменился: е</w:t>
      </w:r>
      <w:r w:rsidRPr="004E7E3E">
        <w:rPr>
          <w:rFonts w:ascii="Times New Roman" w:hAnsi="Times New Roman" w:cs="Times New Roman"/>
          <w:color w:val="000000"/>
          <w:sz w:val="24"/>
          <w:szCs w:val="24"/>
          <w:lang w:val="ru-RU" w:bidi="ar-SA"/>
        </w:rPr>
        <w:t>сли до 1978 г. Гонконг являлся для КНР главным «окном в мир», а для Гонконга Китай был лишь одним из партнеров, то в настоящее время Китай стал для Гонконга мощнейшим стабилизирующим фактором и важнейшим контрагентом во многих отношениях, в то время как Гонконг перестал быть для КНР ключевым партнером [</w:t>
      </w:r>
      <w:r w:rsidRPr="004E7E3E">
        <w:rPr>
          <w:rFonts w:ascii="Times New Roman" w:hAnsi="Times New Roman" w:cs="Times New Roman"/>
          <w:color w:val="000000"/>
          <w:sz w:val="24"/>
          <w:szCs w:val="24"/>
          <w:lang w:bidi="ar-SA"/>
        </w:rPr>
        <w:fldChar w:fldCharType="begin"/>
      </w:r>
      <w:r w:rsidRPr="004E7E3E">
        <w:rPr>
          <w:rFonts w:ascii="Times New Roman" w:hAnsi="Times New Roman" w:cs="Times New Roman"/>
          <w:color w:val="000000"/>
          <w:sz w:val="24"/>
          <w:szCs w:val="24"/>
          <w:lang w:val="ru-RU" w:bidi="ar-SA"/>
        </w:rPr>
        <w:instrText xml:space="preserve"> </w:instrText>
      </w:r>
      <w:r w:rsidRPr="004E7E3E">
        <w:rPr>
          <w:rFonts w:ascii="Times New Roman" w:hAnsi="Times New Roman" w:cs="Times New Roman"/>
          <w:color w:val="000000"/>
          <w:sz w:val="24"/>
          <w:szCs w:val="24"/>
          <w:lang w:bidi="ar-SA"/>
        </w:rPr>
        <w:instrText>REF</w:instrText>
      </w:r>
      <w:r w:rsidRPr="004E7E3E">
        <w:rPr>
          <w:rFonts w:ascii="Times New Roman" w:hAnsi="Times New Roman" w:cs="Times New Roman"/>
          <w:color w:val="000000"/>
          <w:sz w:val="24"/>
          <w:szCs w:val="24"/>
          <w:lang w:val="ru-RU" w:bidi="ar-SA"/>
        </w:rPr>
        <w:instrText xml:space="preserve"> _</w:instrText>
      </w:r>
      <w:r w:rsidRPr="004E7E3E">
        <w:rPr>
          <w:rFonts w:ascii="Times New Roman" w:hAnsi="Times New Roman" w:cs="Times New Roman"/>
          <w:color w:val="000000"/>
          <w:sz w:val="24"/>
          <w:szCs w:val="24"/>
          <w:lang w:bidi="ar-SA"/>
        </w:rPr>
        <w:instrText>Ref</w:instrText>
      </w:r>
      <w:r w:rsidRPr="004E7E3E">
        <w:rPr>
          <w:rFonts w:ascii="Times New Roman" w:hAnsi="Times New Roman" w:cs="Times New Roman"/>
          <w:color w:val="000000"/>
          <w:sz w:val="24"/>
          <w:szCs w:val="24"/>
          <w:lang w:val="ru-RU" w:bidi="ar-SA"/>
        </w:rPr>
        <w:instrText>499131173 \</w:instrText>
      </w:r>
      <w:r w:rsidRPr="004E7E3E">
        <w:rPr>
          <w:rFonts w:ascii="Times New Roman" w:hAnsi="Times New Roman" w:cs="Times New Roman"/>
          <w:color w:val="000000"/>
          <w:sz w:val="24"/>
          <w:szCs w:val="24"/>
          <w:lang w:bidi="ar-SA"/>
        </w:rPr>
        <w:instrText>r</w:instrText>
      </w:r>
      <w:r w:rsidRPr="004E7E3E">
        <w:rPr>
          <w:rFonts w:ascii="Times New Roman" w:hAnsi="Times New Roman" w:cs="Times New Roman"/>
          <w:color w:val="000000"/>
          <w:sz w:val="24"/>
          <w:szCs w:val="24"/>
          <w:lang w:val="ru-RU" w:bidi="ar-SA"/>
        </w:rPr>
        <w:instrText xml:space="preserve"> \</w:instrText>
      </w:r>
      <w:r w:rsidRPr="004E7E3E">
        <w:rPr>
          <w:rFonts w:ascii="Times New Roman" w:hAnsi="Times New Roman" w:cs="Times New Roman"/>
          <w:color w:val="000000"/>
          <w:sz w:val="24"/>
          <w:szCs w:val="24"/>
          <w:lang w:bidi="ar-SA"/>
        </w:rPr>
        <w:instrText>h</w:instrText>
      </w:r>
      <w:r w:rsidRPr="004E7E3E">
        <w:rPr>
          <w:rFonts w:ascii="Times New Roman" w:hAnsi="Times New Roman" w:cs="Times New Roman"/>
          <w:color w:val="000000"/>
          <w:sz w:val="24"/>
          <w:szCs w:val="24"/>
          <w:lang w:val="ru-RU" w:bidi="ar-SA"/>
        </w:rPr>
        <w:instrText xml:space="preserve">  \* </w:instrText>
      </w:r>
      <w:r w:rsidRPr="004E7E3E">
        <w:rPr>
          <w:rFonts w:ascii="Times New Roman" w:hAnsi="Times New Roman" w:cs="Times New Roman"/>
          <w:color w:val="000000"/>
          <w:sz w:val="24"/>
          <w:szCs w:val="24"/>
          <w:lang w:bidi="ar-SA"/>
        </w:rPr>
        <w:instrText>MERGEFORMAT</w:instrText>
      </w:r>
      <w:r w:rsidRPr="004E7E3E">
        <w:rPr>
          <w:rFonts w:ascii="Times New Roman" w:hAnsi="Times New Roman" w:cs="Times New Roman"/>
          <w:color w:val="000000"/>
          <w:sz w:val="24"/>
          <w:szCs w:val="24"/>
          <w:lang w:val="ru-RU" w:bidi="ar-SA"/>
        </w:rPr>
        <w:instrText xml:space="preserve"> </w:instrText>
      </w:r>
      <w:r w:rsidRPr="004E7E3E">
        <w:rPr>
          <w:rFonts w:ascii="Times New Roman" w:hAnsi="Times New Roman" w:cs="Times New Roman"/>
          <w:color w:val="000000"/>
          <w:sz w:val="24"/>
          <w:szCs w:val="24"/>
          <w:lang w:bidi="ar-SA"/>
        </w:rPr>
      </w:r>
      <w:r w:rsidRPr="004E7E3E">
        <w:rPr>
          <w:rFonts w:ascii="Times New Roman" w:hAnsi="Times New Roman" w:cs="Times New Roman"/>
          <w:color w:val="000000"/>
          <w:sz w:val="24"/>
          <w:szCs w:val="24"/>
          <w:lang w:bidi="ar-SA"/>
        </w:rPr>
        <w:fldChar w:fldCharType="separate"/>
      </w:r>
      <w:r w:rsidR="00801D78" w:rsidRPr="00801D78">
        <w:rPr>
          <w:rFonts w:ascii="Times New Roman" w:hAnsi="Times New Roman" w:cs="Times New Roman"/>
          <w:color w:val="000000"/>
          <w:sz w:val="24"/>
          <w:szCs w:val="24"/>
          <w:lang w:val="ru-RU" w:bidi="ar-SA"/>
        </w:rPr>
        <w:t>91</w:t>
      </w:r>
      <w:r w:rsidRPr="004E7E3E">
        <w:rPr>
          <w:rFonts w:ascii="Times New Roman" w:hAnsi="Times New Roman" w:cs="Times New Roman"/>
          <w:color w:val="000000"/>
          <w:sz w:val="24"/>
          <w:szCs w:val="24"/>
          <w:lang w:bidi="ar-SA"/>
        </w:rPr>
        <w:fldChar w:fldCharType="end"/>
      </w:r>
      <w:r w:rsidRPr="004E7E3E">
        <w:rPr>
          <w:rFonts w:ascii="Times New Roman" w:hAnsi="Times New Roman" w:cs="Times New Roman"/>
          <w:color w:val="000000"/>
          <w:sz w:val="24"/>
          <w:szCs w:val="24"/>
          <w:lang w:val="ru-RU" w:bidi="ar-SA"/>
        </w:rPr>
        <w:t xml:space="preserve">, </w:t>
      </w:r>
      <w:r w:rsidRPr="004E7E3E">
        <w:rPr>
          <w:rFonts w:ascii="Times New Roman" w:hAnsi="Times New Roman" w:cs="Times New Roman"/>
          <w:color w:val="000000"/>
          <w:sz w:val="24"/>
          <w:szCs w:val="24"/>
          <w:lang w:bidi="ar-SA"/>
        </w:rPr>
        <w:t>c</w:t>
      </w:r>
      <w:r w:rsidRPr="004E7E3E">
        <w:rPr>
          <w:rFonts w:ascii="Times New Roman" w:hAnsi="Times New Roman" w:cs="Times New Roman"/>
          <w:color w:val="000000"/>
          <w:sz w:val="24"/>
          <w:szCs w:val="24"/>
          <w:lang w:val="ru-RU" w:bidi="ar-SA"/>
        </w:rPr>
        <w:t>. 16]</w:t>
      </w:r>
      <w:r>
        <w:rPr>
          <w:rFonts w:ascii="Times New Roman" w:hAnsi="Times New Roman" w:cs="Times New Roman"/>
          <w:color w:val="000000"/>
          <w:sz w:val="24"/>
          <w:szCs w:val="24"/>
          <w:lang w:val="ru-RU" w:bidi="ar-SA"/>
        </w:rPr>
        <w:t>.</w:t>
      </w:r>
    </w:p>
    <w:p w14:paraId="5D048788"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Гонконг – это город с ограниченной демократией, но сильной судебной системой. 2013 год отметился так называемой «революцией зонтиков»</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 xml:space="preserve">– народными бунтами против усиления влияния Китая на внутренние дела Гонконга. Но местные власти смогли успокоить волнения. </w:t>
      </w:r>
    </w:p>
    <w:p w14:paraId="11D05682"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sz w:val="24"/>
          <w:szCs w:val="24"/>
          <w:lang w:val="ru-RU"/>
        </w:rPr>
        <w:t>Тайбэй</w:t>
      </w:r>
      <w:r w:rsidRPr="004E7E3E">
        <w:rPr>
          <w:rFonts w:ascii="Times New Roman" w:hAnsi="Times New Roman" w:cs="Times New Roman"/>
          <w:sz w:val="24"/>
          <w:szCs w:val="24"/>
          <w:lang w:val="ru-RU"/>
        </w:rPr>
        <w:t xml:space="preserve"> – столица непризнанного государства Республика Китай (Тайвань). Несмотря на то, что уровень жизни в Тайбэе сопоставим с уровнем жизни жителей Токио, глобальным центром, </w:t>
      </w:r>
      <w:r>
        <w:rPr>
          <w:rFonts w:ascii="Times New Roman" w:hAnsi="Times New Roman" w:cs="Times New Roman"/>
          <w:sz w:val="24"/>
          <w:szCs w:val="24"/>
          <w:lang w:val="ru-RU"/>
        </w:rPr>
        <w:t xml:space="preserve">таким </w:t>
      </w:r>
      <w:r w:rsidRPr="004E7E3E">
        <w:rPr>
          <w:rFonts w:ascii="Times New Roman" w:hAnsi="Times New Roman" w:cs="Times New Roman"/>
          <w:sz w:val="24"/>
          <w:szCs w:val="24"/>
          <w:lang w:val="ru-RU"/>
        </w:rPr>
        <w:t xml:space="preserve">как Гонконг или Шанхай, Тайбэй не является. В то же время китайским центром он </w:t>
      </w:r>
      <w:r>
        <w:rPr>
          <w:rFonts w:ascii="Times New Roman" w:hAnsi="Times New Roman" w:cs="Times New Roman"/>
          <w:sz w:val="24"/>
          <w:szCs w:val="24"/>
          <w:lang w:val="ru-RU"/>
        </w:rPr>
        <w:t xml:space="preserve">безусловно </w:t>
      </w:r>
      <w:r w:rsidRPr="004E7E3E">
        <w:rPr>
          <w:rFonts w:ascii="Times New Roman" w:hAnsi="Times New Roman" w:cs="Times New Roman"/>
          <w:sz w:val="24"/>
          <w:szCs w:val="24"/>
          <w:lang w:val="ru-RU"/>
        </w:rPr>
        <w:t>является. Жители островного Тайваня считаю</w:t>
      </w:r>
      <w:r>
        <w:rPr>
          <w:rFonts w:ascii="Times New Roman" w:hAnsi="Times New Roman" w:cs="Times New Roman"/>
          <w:sz w:val="24"/>
          <w:szCs w:val="24"/>
          <w:lang w:val="ru-RU"/>
        </w:rPr>
        <w:t>т</w:t>
      </w:r>
      <w:r w:rsidRPr="004E7E3E">
        <w:rPr>
          <w:rFonts w:ascii="Times New Roman" w:hAnsi="Times New Roman" w:cs="Times New Roman"/>
          <w:sz w:val="24"/>
          <w:szCs w:val="24"/>
          <w:lang w:val="ru-RU"/>
        </w:rPr>
        <w:t>, что они больше китайцы, чем жители континентальной части, так как их культура и уклад жизни не были подвергнуты испытаниям коммунистического режима (политикой Большого скачка, Культурной революцией и т. д.)</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w:t>
      </w:r>
      <w:r w:rsidRPr="004E7E3E">
        <w:rPr>
          <w:rFonts w:ascii="Times New Roman" w:hAnsi="Times New Roman" w:cs="Times New Roman"/>
          <w:color w:val="000000"/>
          <w:sz w:val="24"/>
          <w:szCs w:val="24"/>
          <w:shd w:val="clear" w:color="auto" w:fill="FFFFFF"/>
          <w:lang w:val="ru-RU"/>
        </w:rPr>
        <w:t>Правительство КНР считает остров своей территорией, впрочем, как и правительство Тайваня изначально считал</w:t>
      </w:r>
      <w:r>
        <w:rPr>
          <w:rFonts w:ascii="Times New Roman" w:hAnsi="Times New Roman" w:cs="Times New Roman"/>
          <w:color w:val="000000"/>
          <w:sz w:val="24"/>
          <w:szCs w:val="24"/>
          <w:shd w:val="clear" w:color="auto" w:fill="FFFFFF"/>
          <w:lang w:val="ru-RU"/>
        </w:rPr>
        <w:t>о</w:t>
      </w:r>
      <w:r w:rsidRPr="004E7E3E">
        <w:rPr>
          <w:rFonts w:ascii="Times New Roman" w:hAnsi="Times New Roman" w:cs="Times New Roman"/>
          <w:color w:val="000000"/>
          <w:sz w:val="24"/>
          <w:szCs w:val="24"/>
          <w:shd w:val="clear" w:color="auto" w:fill="FFFFFF"/>
          <w:lang w:val="ru-RU"/>
        </w:rPr>
        <w:t xml:space="preserve"> всю территорию Китая своей, но оккупированной коммунистами. В текущий момент неразрешённый на официально</w:t>
      </w:r>
      <w:r>
        <w:rPr>
          <w:rFonts w:ascii="Times New Roman" w:hAnsi="Times New Roman" w:cs="Times New Roman"/>
          <w:color w:val="000000"/>
          <w:sz w:val="24"/>
          <w:szCs w:val="24"/>
          <w:shd w:val="clear" w:color="auto" w:fill="FFFFFF"/>
          <w:lang w:val="ru-RU"/>
        </w:rPr>
        <w:t>м</w:t>
      </w:r>
      <w:r w:rsidRPr="004E7E3E">
        <w:rPr>
          <w:rFonts w:ascii="Times New Roman" w:hAnsi="Times New Roman" w:cs="Times New Roman"/>
          <w:color w:val="000000"/>
          <w:sz w:val="24"/>
          <w:szCs w:val="24"/>
          <w:shd w:val="clear" w:color="auto" w:fill="FFFFFF"/>
          <w:lang w:val="ru-RU"/>
        </w:rPr>
        <w:t xml:space="preserve"> уровне политический конфликт не мешает выполнению регулярных рейсов из континентального Китая в Тайбэй, а также прямым </w:t>
      </w:r>
      <w:r w:rsidRPr="004E7E3E">
        <w:rPr>
          <w:rFonts w:ascii="Times New Roman" w:hAnsi="Times New Roman" w:cs="Times New Roman"/>
          <w:color w:val="000000"/>
          <w:sz w:val="24"/>
          <w:szCs w:val="24"/>
          <w:shd w:val="clear" w:color="auto" w:fill="FFFFFF"/>
          <w:lang w:val="ru-RU"/>
        </w:rPr>
        <w:lastRenderedPageBreak/>
        <w:t xml:space="preserve">иностранным инвестициям с острова на континент (для примера можно привести десятки фабрик тайваньского контрактного производителя продукции </w:t>
      </w:r>
      <w:r w:rsidRPr="004E7E3E">
        <w:rPr>
          <w:rFonts w:ascii="Times New Roman" w:hAnsi="Times New Roman" w:cs="Times New Roman"/>
          <w:color w:val="000000"/>
          <w:sz w:val="24"/>
          <w:szCs w:val="24"/>
          <w:shd w:val="clear" w:color="auto" w:fill="FFFFFF"/>
        </w:rPr>
        <w:t>Apple</w:t>
      </w:r>
      <w:r w:rsidRPr="004E7E3E">
        <w:rPr>
          <w:rFonts w:ascii="Times New Roman" w:hAnsi="Times New Roman" w:cs="Times New Roman"/>
          <w:color w:val="000000"/>
          <w:sz w:val="24"/>
          <w:szCs w:val="24"/>
          <w:shd w:val="clear" w:color="auto" w:fill="FFFFFF"/>
          <w:lang w:val="ru-RU"/>
        </w:rPr>
        <w:t xml:space="preserve"> – </w:t>
      </w:r>
      <w:r w:rsidRPr="004E7E3E">
        <w:rPr>
          <w:rFonts w:ascii="Times New Roman" w:hAnsi="Times New Roman" w:cs="Times New Roman"/>
          <w:color w:val="000000"/>
          <w:sz w:val="24"/>
          <w:szCs w:val="24"/>
          <w:shd w:val="clear" w:color="auto" w:fill="FFFFFF"/>
        </w:rPr>
        <w:t>Foxconn</w:t>
      </w:r>
      <w:r w:rsidRPr="004E7E3E">
        <w:rPr>
          <w:rFonts w:ascii="Times New Roman" w:hAnsi="Times New Roman" w:cs="Times New Roman"/>
          <w:color w:val="000000"/>
          <w:sz w:val="24"/>
          <w:szCs w:val="24"/>
          <w:shd w:val="clear" w:color="auto" w:fill="FFFFFF"/>
          <w:lang w:val="ru-RU"/>
        </w:rPr>
        <w:t>). Но не всё так гладко в межличностном общении населения этих территорий. Тогда как мир не разделяет китайцев из КНР и Тайваня, сами жители друг друга не очень жалуют. Со вступлением КНР в ВТО поток в страну прямых иностранных инвестиций возрос. Часть из них поступила из Тайваня. Тайванцы включились в процесс эксплуатации дешёвой китайской рабочей силы, что не вызвало большой народной любви. Часто работа на новых предприятиях шла в партнёрстве с местными бизнесменами, но не всегда инвестиции оказывались успешными. Тогда тайваньские бизнесмены просто оставляли местного партнёра наедине со всеми долгами предприятия, а сами уезжали. Преследовать их на острове с континента не представлялось возможным из-за отсутствия официальных контактов между территориями. Вследствие этого состав</w:t>
      </w:r>
      <w:r>
        <w:rPr>
          <w:rFonts w:ascii="Times New Roman" w:hAnsi="Times New Roman" w:cs="Times New Roman"/>
          <w:color w:val="000000"/>
          <w:sz w:val="24"/>
          <w:szCs w:val="24"/>
          <w:shd w:val="clear" w:color="auto" w:fill="FFFFFF"/>
          <w:lang w:val="ru-RU"/>
        </w:rPr>
        <w:t>ляя</w:t>
      </w:r>
      <w:r w:rsidRPr="004E7E3E">
        <w:rPr>
          <w:rFonts w:ascii="Times New Roman" w:hAnsi="Times New Roman" w:cs="Times New Roman"/>
          <w:color w:val="000000"/>
          <w:sz w:val="24"/>
          <w:szCs w:val="24"/>
          <w:shd w:val="clear" w:color="auto" w:fill="FFFFFF"/>
          <w:lang w:val="ru-RU"/>
        </w:rPr>
        <w:t xml:space="preserve"> рейтинг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народной китайской нелюбви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на первом месте стоят японцы, оккупировавшие большие территории Китая во время Второй мировой войны и творившие бесчинства, как немцы в Советском Союзе, на втором месте окажутся тайванцы. Вероятно, нахождение тайванцев на втором месте также связано с риторикой официальных СМИ. </w:t>
      </w:r>
    </w:p>
    <w:p w14:paraId="00937480" w14:textId="62B1665C"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lang w:val="ru-RU"/>
        </w:rPr>
      </w:pPr>
      <w:r w:rsidRPr="004E7E3E">
        <w:rPr>
          <w:rFonts w:ascii="Times New Roman" w:hAnsi="Times New Roman" w:cs="Times New Roman"/>
          <w:color w:val="000000"/>
          <w:sz w:val="24"/>
          <w:szCs w:val="24"/>
          <w:shd w:val="clear" w:color="auto" w:fill="FFFFFF"/>
          <w:lang w:val="ru-RU"/>
        </w:rPr>
        <w:t xml:space="preserve">После того, как мы рассказали о финансовых центрах КНР, Гонконге и Тайване, нужно подробнее остановиться на концепции Большого Китая, которая их всех объединяет. Первоначально (в 30-40-е годы </w:t>
      </w:r>
      <w:r w:rsidRPr="004E7E3E">
        <w:rPr>
          <w:rFonts w:ascii="Times New Roman" w:hAnsi="Times New Roman" w:cs="Times New Roman"/>
          <w:color w:val="000000"/>
          <w:sz w:val="24"/>
          <w:szCs w:val="24"/>
          <w:shd w:val="clear" w:color="auto" w:fill="FFFFFF"/>
        </w:rPr>
        <w:t>XX</w:t>
      </w:r>
      <w:r w:rsidRPr="004E7E3E">
        <w:rPr>
          <w:rFonts w:ascii="Times New Roman" w:hAnsi="Times New Roman" w:cs="Times New Roman"/>
          <w:color w:val="000000"/>
          <w:sz w:val="24"/>
          <w:szCs w:val="24"/>
          <w:shd w:val="clear" w:color="auto" w:fill="FFFFFF"/>
          <w:lang w:val="ru-RU"/>
        </w:rPr>
        <w:t xml:space="preserve"> века) её использовали американские исследовали для обозначения территорий, входивших в Империю Цин. В конце 70-х годов </w:t>
      </w:r>
      <w:r w:rsidRPr="004E7E3E">
        <w:rPr>
          <w:rFonts w:ascii="Times New Roman" w:hAnsi="Times New Roman" w:cs="Times New Roman"/>
          <w:color w:val="000000"/>
          <w:sz w:val="24"/>
          <w:szCs w:val="24"/>
          <w:shd w:val="clear" w:color="auto" w:fill="FFFFFF"/>
        </w:rPr>
        <w:t>XX</w:t>
      </w:r>
      <w:r w:rsidRPr="004E7E3E">
        <w:rPr>
          <w:rFonts w:ascii="Times New Roman" w:hAnsi="Times New Roman" w:cs="Times New Roman"/>
          <w:color w:val="000000"/>
          <w:sz w:val="24"/>
          <w:szCs w:val="24"/>
          <w:shd w:val="clear" w:color="auto" w:fill="FFFFFF"/>
          <w:lang w:val="ru-RU"/>
        </w:rPr>
        <w:t xml:space="preserve"> века этот термин вновь появился, чтобы подчеркнуть особые экономические связи между Гонконгом и</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континентальным Китаем с возможностью расширения подобных контактов на Тайвань. Петербургский исследователь Коваленко В. Н. говорит о создании за последние 20 лет особого инвестиционного треугольника КНР-Гонконг-Тайвань</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_Ref499131173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91</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с. 18]</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lang w:val="ru-RU"/>
        </w:rPr>
        <w:t>В рамках «Большого Китая» движение капитала является многосторонним, однако основные инвестиционные потоки</w:t>
      </w:r>
      <w:r>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lang w:val="ru-RU"/>
        </w:rPr>
        <w:t xml:space="preserve"> это инвестиции из Гонконга, Тайваня и офшоров (Британских Виргинских и Каймановых островов) в КНР, а также из КНР в Гонконг. Инвестиционные потоки из Гонконга на Тайвань и наоборот, а также из Китая на Тайвань являются небольшими, имеют тенденцию к понижению [</w:t>
      </w:r>
      <w:r w:rsidRPr="004E7E3E">
        <w:rPr>
          <w:rFonts w:ascii="Times New Roman" w:hAnsi="Times New Roman" w:cs="Times New Roman"/>
          <w:color w:val="000000"/>
          <w:sz w:val="24"/>
          <w:szCs w:val="24"/>
        </w:rPr>
        <w:fldChar w:fldCharType="begin"/>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 xml:space="preserve"> _</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499131173 \</w:instrText>
      </w:r>
      <w:r w:rsidRPr="004E7E3E">
        <w:rPr>
          <w:rFonts w:ascii="Times New Roman" w:hAnsi="Times New Roman" w:cs="Times New Roman"/>
          <w:color w:val="000000"/>
          <w:sz w:val="24"/>
          <w:szCs w:val="24"/>
        </w:rPr>
        <w:instrText>r</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h</w:instrText>
      </w:r>
      <w:r w:rsidRPr="004E7E3E">
        <w:rPr>
          <w:rFonts w:ascii="Times New Roman" w:hAnsi="Times New Roman" w:cs="Times New Roman"/>
          <w:color w:val="000000"/>
          <w:sz w:val="24"/>
          <w:szCs w:val="24"/>
          <w:lang w:val="ru-RU"/>
        </w:rPr>
        <w:instrText xml:space="preserve">  \* </w:instrText>
      </w:r>
      <w:r w:rsidRPr="004E7E3E">
        <w:rPr>
          <w:rFonts w:ascii="Times New Roman" w:hAnsi="Times New Roman" w:cs="Times New Roman"/>
          <w:color w:val="000000"/>
          <w:sz w:val="24"/>
          <w:szCs w:val="24"/>
        </w:rPr>
        <w:instrText>MERGEFORMAT</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r>
      <w:r w:rsidRPr="004E7E3E">
        <w:rPr>
          <w:rFonts w:ascii="Times New Roman" w:hAnsi="Times New Roman" w:cs="Times New Roman"/>
          <w:color w:val="000000"/>
          <w:sz w:val="24"/>
          <w:szCs w:val="24"/>
        </w:rPr>
        <w:fldChar w:fldCharType="separate"/>
      </w:r>
      <w:r w:rsidR="00801D78" w:rsidRPr="00801D78">
        <w:rPr>
          <w:rFonts w:ascii="Times New Roman" w:hAnsi="Times New Roman" w:cs="Times New Roman"/>
          <w:color w:val="000000"/>
          <w:sz w:val="24"/>
          <w:szCs w:val="24"/>
          <w:lang w:val="ru-RU"/>
        </w:rPr>
        <w:t>91</w:t>
      </w:r>
      <w:r w:rsidRPr="004E7E3E">
        <w:rPr>
          <w:rFonts w:ascii="Times New Roman" w:hAnsi="Times New Roman" w:cs="Times New Roman"/>
          <w:color w:val="000000"/>
          <w:sz w:val="24"/>
          <w:szCs w:val="24"/>
        </w:rPr>
        <w:fldChar w:fldCharType="end"/>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c</w:t>
      </w:r>
      <w:r w:rsidRPr="004E7E3E">
        <w:rPr>
          <w:rFonts w:ascii="Times New Roman" w:hAnsi="Times New Roman" w:cs="Times New Roman"/>
          <w:color w:val="000000"/>
          <w:sz w:val="24"/>
          <w:szCs w:val="24"/>
          <w:lang w:val="ru-RU"/>
        </w:rPr>
        <w:t>. 22]</w:t>
      </w:r>
      <w:r>
        <w:rPr>
          <w:rFonts w:ascii="Times New Roman" w:hAnsi="Times New Roman" w:cs="Times New Roman"/>
          <w:color w:val="000000"/>
          <w:sz w:val="24"/>
          <w:szCs w:val="24"/>
          <w:lang w:val="ru-RU"/>
        </w:rPr>
        <w:t>.</w:t>
      </w:r>
      <w:r w:rsidRPr="004E7E3E">
        <w:rPr>
          <w:rFonts w:ascii="Times New Roman" w:hAnsi="Times New Roman" w:cs="Times New Roman"/>
          <w:color w:val="000000"/>
          <w:sz w:val="24"/>
          <w:szCs w:val="24"/>
          <w:lang w:val="ru-RU"/>
        </w:rPr>
        <w:t xml:space="preserve"> Общепризнан стабилизирующий фактор китайской экономики на развитие Гонконга и Тайваня. В качестве иллюстрации этой тенденции обычно приводят последствия Азиатского финансового кризиса 1997-1998 годов, от которого сильнее пострадали экономики Республики Корея и Сингапура, чем экономики Большого Китая. Заметны и структурные изменения. Доля обрабатывающей промышленности в ВВП Гонконга снизилась с 22,8% в 1980 г. до 3,1% в 2008 г. (для сравнения</w:t>
      </w:r>
      <w:r>
        <w:rPr>
          <w:rFonts w:ascii="Times New Roman" w:hAnsi="Times New Roman" w:cs="Times New Roman"/>
          <w:color w:val="000000"/>
          <w:sz w:val="24"/>
          <w:szCs w:val="24"/>
          <w:lang w:val="ru-RU"/>
        </w:rPr>
        <w:t>,</w:t>
      </w:r>
      <w:r w:rsidRPr="004E7E3E">
        <w:rPr>
          <w:rFonts w:ascii="Times New Roman" w:hAnsi="Times New Roman" w:cs="Times New Roman"/>
          <w:color w:val="000000"/>
          <w:sz w:val="24"/>
          <w:szCs w:val="24"/>
          <w:lang w:val="ru-RU"/>
        </w:rPr>
        <w:t xml:space="preserve"> у Сингапура в 2008 г. – 19,4%), что стало следствием перевода большинства производств в континентальный Китай [</w:t>
      </w:r>
      <w:r w:rsidRPr="004E7E3E">
        <w:rPr>
          <w:rFonts w:ascii="Times New Roman" w:hAnsi="Times New Roman" w:cs="Times New Roman"/>
          <w:color w:val="000000"/>
          <w:sz w:val="24"/>
          <w:szCs w:val="24"/>
        </w:rPr>
        <w:fldChar w:fldCharType="begin"/>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 xml:space="preserve"> _</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499131173 \</w:instrText>
      </w:r>
      <w:r w:rsidRPr="004E7E3E">
        <w:rPr>
          <w:rFonts w:ascii="Times New Roman" w:hAnsi="Times New Roman" w:cs="Times New Roman"/>
          <w:color w:val="000000"/>
          <w:sz w:val="24"/>
          <w:szCs w:val="24"/>
        </w:rPr>
        <w:instrText>r</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h</w:instrText>
      </w:r>
      <w:r w:rsidRPr="004E7E3E">
        <w:rPr>
          <w:rFonts w:ascii="Times New Roman" w:hAnsi="Times New Roman" w:cs="Times New Roman"/>
          <w:color w:val="000000"/>
          <w:sz w:val="24"/>
          <w:szCs w:val="24"/>
          <w:lang w:val="ru-RU"/>
        </w:rPr>
        <w:instrText xml:space="preserve">  \* </w:instrText>
      </w:r>
      <w:r w:rsidRPr="004E7E3E">
        <w:rPr>
          <w:rFonts w:ascii="Times New Roman" w:hAnsi="Times New Roman" w:cs="Times New Roman"/>
          <w:color w:val="000000"/>
          <w:sz w:val="24"/>
          <w:szCs w:val="24"/>
        </w:rPr>
        <w:instrText>MERGEFORMAT</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r>
      <w:r w:rsidRPr="004E7E3E">
        <w:rPr>
          <w:rFonts w:ascii="Times New Roman" w:hAnsi="Times New Roman" w:cs="Times New Roman"/>
          <w:color w:val="000000"/>
          <w:sz w:val="24"/>
          <w:szCs w:val="24"/>
        </w:rPr>
        <w:fldChar w:fldCharType="separate"/>
      </w:r>
      <w:r w:rsidR="00801D78" w:rsidRPr="00801D78">
        <w:rPr>
          <w:rFonts w:ascii="Times New Roman" w:hAnsi="Times New Roman" w:cs="Times New Roman"/>
          <w:color w:val="000000"/>
          <w:sz w:val="24"/>
          <w:szCs w:val="24"/>
          <w:lang w:val="ru-RU"/>
        </w:rPr>
        <w:t>91</w:t>
      </w:r>
      <w:r w:rsidRPr="004E7E3E">
        <w:rPr>
          <w:rFonts w:ascii="Times New Roman" w:hAnsi="Times New Roman" w:cs="Times New Roman"/>
          <w:color w:val="000000"/>
          <w:sz w:val="24"/>
          <w:szCs w:val="24"/>
        </w:rPr>
        <w:fldChar w:fldCharType="end"/>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c</w:t>
      </w:r>
      <w:r w:rsidRPr="004E7E3E">
        <w:rPr>
          <w:rFonts w:ascii="Times New Roman" w:hAnsi="Times New Roman" w:cs="Times New Roman"/>
          <w:color w:val="000000"/>
          <w:sz w:val="24"/>
          <w:szCs w:val="24"/>
          <w:lang w:val="ru-RU"/>
        </w:rPr>
        <w:t>. 25]</w:t>
      </w:r>
      <w:r>
        <w:rPr>
          <w:rFonts w:ascii="Times New Roman" w:hAnsi="Times New Roman" w:cs="Times New Roman"/>
          <w:color w:val="000000"/>
          <w:sz w:val="24"/>
          <w:szCs w:val="24"/>
          <w:lang w:val="ru-RU"/>
        </w:rPr>
        <w:t>.</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sz w:val="24"/>
          <w:szCs w:val="24"/>
          <w:lang w:val="ru-RU"/>
        </w:rPr>
        <w:t xml:space="preserve">Наиболее ярко это ощущалось в приграничных </w:t>
      </w:r>
      <w:r w:rsidRPr="004E7E3E">
        <w:rPr>
          <w:rFonts w:ascii="Times New Roman" w:hAnsi="Times New Roman" w:cs="Times New Roman"/>
          <w:sz w:val="24"/>
          <w:szCs w:val="24"/>
          <w:lang w:val="ru-RU"/>
        </w:rPr>
        <w:lastRenderedPageBreak/>
        <w:t xml:space="preserve">провинциях: гонконгские компании являются основными иностранными инвесторами в приграничной провинции </w:t>
      </w:r>
      <w:r w:rsidR="00267F2A" w:rsidRPr="004E7E3E">
        <w:rPr>
          <w:rFonts w:ascii="Times New Roman" w:hAnsi="Times New Roman" w:cs="Times New Roman"/>
          <w:sz w:val="24"/>
          <w:szCs w:val="24"/>
          <w:lang w:val="ru-RU"/>
        </w:rPr>
        <w:t>Гуандун</w:t>
      </w:r>
      <w:r w:rsidRPr="004E7E3E">
        <w:rPr>
          <w:rFonts w:ascii="Times New Roman" w:hAnsi="Times New Roman" w:cs="Times New Roman"/>
          <w:sz w:val="24"/>
          <w:szCs w:val="24"/>
          <w:lang w:val="ru-RU"/>
        </w:rPr>
        <w:t xml:space="preserve">, а тайваньские компании – главный инвестор в провинции Фуцзянь, находящейся через пролив от Тайваня. </w:t>
      </w:r>
      <w:r w:rsidRPr="004E7E3E">
        <w:rPr>
          <w:rFonts w:ascii="Times New Roman" w:hAnsi="Times New Roman" w:cs="Times New Roman"/>
          <w:color w:val="000000"/>
          <w:sz w:val="24"/>
          <w:szCs w:val="24"/>
          <w:lang w:val="ru-RU" w:bidi="ar-SA"/>
        </w:rPr>
        <w:t>Последующие успехи Гонконга в сфере экспорта</w:t>
      </w:r>
      <w:r>
        <w:rPr>
          <w:rFonts w:ascii="Times New Roman" w:hAnsi="Times New Roman" w:cs="Times New Roman"/>
          <w:color w:val="000000"/>
          <w:sz w:val="24"/>
          <w:szCs w:val="24"/>
          <w:lang w:val="ru-RU" w:bidi="ar-SA"/>
        </w:rPr>
        <w:t xml:space="preserve"> </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lang w:val="ru-RU" w:bidi="ar-SA"/>
        </w:rPr>
        <w:t xml:space="preserve"> это</w:t>
      </w:r>
      <w:r>
        <w:rPr>
          <w:rFonts w:ascii="Times New Roman" w:hAnsi="Times New Roman" w:cs="Times New Roman"/>
          <w:color w:val="000000"/>
          <w:sz w:val="24"/>
          <w:szCs w:val="24"/>
          <w:lang w:val="ru-RU" w:bidi="ar-SA"/>
        </w:rPr>
        <w:t>,</w:t>
      </w:r>
      <w:r w:rsidRPr="004E7E3E">
        <w:rPr>
          <w:rFonts w:ascii="Times New Roman" w:hAnsi="Times New Roman" w:cs="Times New Roman"/>
          <w:color w:val="000000"/>
          <w:sz w:val="24"/>
          <w:szCs w:val="24"/>
          <w:lang w:val="ru-RU" w:bidi="ar-SA"/>
        </w:rPr>
        <w:t xml:space="preserve"> главным образом</w:t>
      </w:r>
      <w:r>
        <w:rPr>
          <w:rFonts w:ascii="Times New Roman" w:hAnsi="Times New Roman" w:cs="Times New Roman"/>
          <w:color w:val="000000"/>
          <w:sz w:val="24"/>
          <w:szCs w:val="24"/>
          <w:lang w:val="ru-RU" w:bidi="ar-SA"/>
        </w:rPr>
        <w:t>,</w:t>
      </w:r>
      <w:r w:rsidRPr="004E7E3E">
        <w:rPr>
          <w:rFonts w:ascii="Times New Roman" w:hAnsi="Times New Roman" w:cs="Times New Roman"/>
          <w:color w:val="000000"/>
          <w:sz w:val="24"/>
          <w:szCs w:val="24"/>
          <w:lang w:val="ru-RU" w:bidi="ar-SA"/>
        </w:rPr>
        <w:t xml:space="preserve"> реэкспорт товаров. В 2008 г. доля реэкспорта составила 96,8% от общего объема экспорта. В тоже время доля экспорта товаров, произведенных в Гонконге, сократилась с 70% в 1980 г. до 3,2% в 2008 г. [</w:t>
      </w:r>
      <w:r w:rsidRPr="004E7E3E">
        <w:rPr>
          <w:rFonts w:ascii="Times New Roman" w:hAnsi="Times New Roman" w:cs="Times New Roman"/>
          <w:color w:val="000000"/>
          <w:sz w:val="24"/>
          <w:szCs w:val="24"/>
        </w:rPr>
        <w:fldChar w:fldCharType="begin"/>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 xml:space="preserve"> _</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499131173 \</w:instrText>
      </w:r>
      <w:r w:rsidRPr="004E7E3E">
        <w:rPr>
          <w:rFonts w:ascii="Times New Roman" w:hAnsi="Times New Roman" w:cs="Times New Roman"/>
          <w:color w:val="000000"/>
          <w:sz w:val="24"/>
          <w:szCs w:val="24"/>
        </w:rPr>
        <w:instrText>r</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h</w:instrText>
      </w:r>
      <w:r w:rsidRPr="004E7E3E">
        <w:rPr>
          <w:rFonts w:ascii="Times New Roman" w:hAnsi="Times New Roman" w:cs="Times New Roman"/>
          <w:color w:val="000000"/>
          <w:sz w:val="24"/>
          <w:szCs w:val="24"/>
          <w:lang w:val="ru-RU"/>
        </w:rPr>
        <w:instrText xml:space="preserve">  \* </w:instrText>
      </w:r>
      <w:r w:rsidRPr="004E7E3E">
        <w:rPr>
          <w:rFonts w:ascii="Times New Roman" w:hAnsi="Times New Roman" w:cs="Times New Roman"/>
          <w:color w:val="000000"/>
          <w:sz w:val="24"/>
          <w:szCs w:val="24"/>
        </w:rPr>
        <w:instrText>MERGEFORMAT</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r>
      <w:r w:rsidRPr="004E7E3E">
        <w:rPr>
          <w:rFonts w:ascii="Times New Roman" w:hAnsi="Times New Roman" w:cs="Times New Roman"/>
          <w:color w:val="000000"/>
          <w:sz w:val="24"/>
          <w:szCs w:val="24"/>
        </w:rPr>
        <w:fldChar w:fldCharType="separate"/>
      </w:r>
      <w:r w:rsidR="00801D78" w:rsidRPr="00801D78">
        <w:rPr>
          <w:rFonts w:ascii="Times New Roman" w:hAnsi="Times New Roman" w:cs="Times New Roman"/>
          <w:color w:val="000000"/>
          <w:sz w:val="24"/>
          <w:szCs w:val="24"/>
          <w:lang w:val="ru-RU"/>
        </w:rPr>
        <w:t>91</w:t>
      </w:r>
      <w:r w:rsidRPr="004E7E3E">
        <w:rPr>
          <w:rFonts w:ascii="Times New Roman" w:hAnsi="Times New Roman" w:cs="Times New Roman"/>
          <w:color w:val="000000"/>
          <w:sz w:val="24"/>
          <w:szCs w:val="24"/>
        </w:rPr>
        <w:fldChar w:fldCharType="end"/>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c</w:t>
      </w:r>
      <w:r w:rsidRPr="004E7E3E">
        <w:rPr>
          <w:rFonts w:ascii="Times New Roman" w:hAnsi="Times New Roman" w:cs="Times New Roman"/>
          <w:color w:val="000000"/>
          <w:sz w:val="24"/>
          <w:szCs w:val="24"/>
          <w:lang w:val="ru-RU"/>
        </w:rPr>
        <w:t>. 27]</w:t>
      </w:r>
      <w:r w:rsidRPr="004E7E3E">
        <w:rPr>
          <w:rFonts w:ascii="Times New Roman" w:hAnsi="Times New Roman" w:cs="Times New Roman"/>
          <w:color w:val="000000"/>
          <w:sz w:val="24"/>
          <w:szCs w:val="24"/>
          <w:lang w:val="ru-RU" w:bidi="ar-SA"/>
        </w:rPr>
        <w:t xml:space="preserve"> Таким образом, можно </w:t>
      </w:r>
      <w:r>
        <w:rPr>
          <w:rFonts w:ascii="Times New Roman" w:hAnsi="Times New Roman" w:cs="Times New Roman"/>
          <w:color w:val="000000"/>
          <w:sz w:val="24"/>
          <w:szCs w:val="24"/>
          <w:lang w:val="ru-RU" w:bidi="ar-SA"/>
        </w:rPr>
        <w:t>говорить</w:t>
      </w:r>
      <w:r w:rsidRPr="004E7E3E">
        <w:rPr>
          <w:rFonts w:ascii="Times New Roman" w:hAnsi="Times New Roman" w:cs="Times New Roman"/>
          <w:color w:val="000000"/>
          <w:sz w:val="24"/>
          <w:szCs w:val="24"/>
          <w:lang w:val="ru-RU" w:bidi="ar-SA"/>
        </w:rPr>
        <w:t xml:space="preserve"> о переходе экономики Гонконга к сервисному типу. </w:t>
      </w:r>
      <w:r w:rsidRPr="004E7E3E">
        <w:rPr>
          <w:rFonts w:ascii="Times New Roman" w:hAnsi="Times New Roman" w:cs="Times New Roman"/>
          <w:color w:val="000000"/>
          <w:sz w:val="24"/>
          <w:szCs w:val="24"/>
          <w:lang w:val="ru-RU"/>
        </w:rPr>
        <w:t xml:space="preserve">Тайвань, в отличие от Гонконга, сохранил долю обрабатывающей промышленности (около 22,4% в ВВП), </w:t>
      </w:r>
      <w:r>
        <w:rPr>
          <w:rFonts w:ascii="Times New Roman" w:hAnsi="Times New Roman" w:cs="Times New Roman"/>
          <w:color w:val="000000"/>
          <w:sz w:val="24"/>
          <w:szCs w:val="24"/>
          <w:lang w:val="ru-RU"/>
        </w:rPr>
        <w:t xml:space="preserve">при этом здесь </w:t>
      </w:r>
      <w:r w:rsidRPr="004E7E3E">
        <w:rPr>
          <w:rFonts w:ascii="Times New Roman" w:hAnsi="Times New Roman" w:cs="Times New Roman"/>
          <w:color w:val="000000"/>
          <w:sz w:val="24"/>
          <w:szCs w:val="24"/>
          <w:lang w:val="ru-RU"/>
        </w:rPr>
        <w:t>произошла концентрация на наиболее технологически сложных производствах (прежде всего, изготовление технологически сложного компьютерного оборудования и комплектующих частей) [</w:t>
      </w:r>
      <w:r w:rsidRPr="004E7E3E">
        <w:rPr>
          <w:rFonts w:ascii="Times New Roman" w:hAnsi="Times New Roman" w:cs="Times New Roman"/>
          <w:color w:val="000000"/>
          <w:sz w:val="24"/>
          <w:szCs w:val="24"/>
        </w:rPr>
        <w:fldChar w:fldCharType="begin"/>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 xml:space="preserve"> _</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499131173 \</w:instrText>
      </w:r>
      <w:r w:rsidRPr="004E7E3E">
        <w:rPr>
          <w:rFonts w:ascii="Times New Roman" w:hAnsi="Times New Roman" w:cs="Times New Roman"/>
          <w:color w:val="000000"/>
          <w:sz w:val="24"/>
          <w:szCs w:val="24"/>
        </w:rPr>
        <w:instrText>r</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h</w:instrText>
      </w:r>
      <w:r w:rsidRPr="004E7E3E">
        <w:rPr>
          <w:rFonts w:ascii="Times New Roman" w:hAnsi="Times New Roman" w:cs="Times New Roman"/>
          <w:color w:val="000000"/>
          <w:sz w:val="24"/>
          <w:szCs w:val="24"/>
          <w:lang w:val="ru-RU"/>
        </w:rPr>
        <w:instrText xml:space="preserve">  \* </w:instrText>
      </w:r>
      <w:r w:rsidRPr="004E7E3E">
        <w:rPr>
          <w:rFonts w:ascii="Times New Roman" w:hAnsi="Times New Roman" w:cs="Times New Roman"/>
          <w:color w:val="000000"/>
          <w:sz w:val="24"/>
          <w:szCs w:val="24"/>
        </w:rPr>
        <w:instrText>MERGEFORMAT</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r>
      <w:r w:rsidRPr="004E7E3E">
        <w:rPr>
          <w:rFonts w:ascii="Times New Roman" w:hAnsi="Times New Roman" w:cs="Times New Roman"/>
          <w:color w:val="000000"/>
          <w:sz w:val="24"/>
          <w:szCs w:val="24"/>
        </w:rPr>
        <w:fldChar w:fldCharType="separate"/>
      </w:r>
      <w:r w:rsidR="00801D78" w:rsidRPr="00801D78">
        <w:rPr>
          <w:rFonts w:ascii="Times New Roman" w:hAnsi="Times New Roman" w:cs="Times New Roman"/>
          <w:color w:val="000000"/>
          <w:sz w:val="24"/>
          <w:szCs w:val="24"/>
          <w:lang w:val="ru-RU"/>
        </w:rPr>
        <w:t>91</w:t>
      </w:r>
      <w:r w:rsidRPr="004E7E3E">
        <w:rPr>
          <w:rFonts w:ascii="Times New Roman" w:hAnsi="Times New Roman" w:cs="Times New Roman"/>
          <w:color w:val="000000"/>
          <w:sz w:val="24"/>
          <w:szCs w:val="24"/>
        </w:rPr>
        <w:fldChar w:fldCharType="end"/>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c</w:t>
      </w:r>
      <w:r w:rsidRPr="004E7E3E">
        <w:rPr>
          <w:rFonts w:ascii="Times New Roman" w:hAnsi="Times New Roman" w:cs="Times New Roman"/>
          <w:color w:val="000000"/>
          <w:sz w:val="24"/>
          <w:szCs w:val="24"/>
          <w:lang w:val="ru-RU"/>
        </w:rPr>
        <w:t>. 29]</w:t>
      </w:r>
      <w:r>
        <w:rPr>
          <w:rFonts w:ascii="Times New Roman" w:hAnsi="Times New Roman" w:cs="Times New Roman"/>
          <w:color w:val="000000"/>
          <w:sz w:val="24"/>
          <w:szCs w:val="24"/>
          <w:lang w:val="ru-RU"/>
        </w:rPr>
        <w:t>.</w:t>
      </w:r>
      <w:r w:rsidRPr="004E7E3E">
        <w:rPr>
          <w:rFonts w:ascii="Times New Roman" w:hAnsi="Times New Roman" w:cs="Times New Roman"/>
          <w:color w:val="000000"/>
          <w:sz w:val="24"/>
          <w:szCs w:val="24"/>
          <w:lang w:val="ru-RU"/>
        </w:rPr>
        <w:t xml:space="preserve"> Тайваньские компании перешли к новой схеме работы, при которой высокотехнологичные полуфабрикаты производятся на предприятиях, находящихся на территории Тайваня, далее они экспортируются в КНР, где на дочерних предприятиях тайваньских фирм осуществляется финальная стадия производства, характеризующаяся повышенной трудоёмкостью, что ведёт к получению более высокой нормы прибыли от вложений капитала. Однако и в гонконгском, и в тайваньском случаях реструктуризация их экономик привел</w:t>
      </w:r>
      <w:r>
        <w:rPr>
          <w:rFonts w:ascii="Times New Roman" w:hAnsi="Times New Roman" w:cs="Times New Roman"/>
          <w:color w:val="000000"/>
          <w:sz w:val="24"/>
          <w:szCs w:val="24"/>
          <w:lang w:val="ru-RU"/>
        </w:rPr>
        <w:t>а</w:t>
      </w:r>
      <w:r w:rsidRPr="004E7E3E">
        <w:rPr>
          <w:rFonts w:ascii="Times New Roman" w:hAnsi="Times New Roman" w:cs="Times New Roman"/>
          <w:color w:val="000000"/>
          <w:sz w:val="24"/>
          <w:szCs w:val="24"/>
          <w:lang w:val="ru-RU"/>
        </w:rPr>
        <w:t xml:space="preserve"> к росту числа безработных. Он выше, чем в Республике Корея и Сингапуре (5-6% против 3%). </w:t>
      </w:r>
    </w:p>
    <w:p w14:paraId="33E8F99D" w14:textId="5B1DBA66"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lang w:val="ru-RU"/>
        </w:rPr>
      </w:pPr>
      <w:r w:rsidRPr="004E7E3E">
        <w:rPr>
          <w:rFonts w:ascii="Times New Roman" w:hAnsi="Times New Roman" w:cs="Times New Roman"/>
          <w:color w:val="000000"/>
          <w:sz w:val="24"/>
          <w:szCs w:val="24"/>
          <w:lang w:val="ru-RU"/>
        </w:rPr>
        <w:t>Формирование «Большого Китая» оказало серьезное влияние не только на экономики КНР, Гонконга и Тайваня, но и в целом на весь регион. В 1990-х годах в Восточной Азии межотраслевая торговля постепенно уступила дорогу внутриотраслевой торговле. Логика экономического развития диктует КНР распространение опыта, приобретенного в рамках «Большого Китая», на взаимоотношения с другими странами Восточной Азии. В результате произошло формирование новой схемы региональной кооперации, при которой Китай выступает в качестве главного сборочного цеха региона, а также в качестве экспортера готовых изделий в развитые страны [</w:t>
      </w:r>
      <w:r w:rsidRPr="004E7E3E">
        <w:rPr>
          <w:rFonts w:ascii="Times New Roman" w:hAnsi="Times New Roman" w:cs="Times New Roman"/>
          <w:color w:val="000000"/>
          <w:sz w:val="24"/>
          <w:szCs w:val="24"/>
        </w:rPr>
        <w:fldChar w:fldCharType="begin"/>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 xml:space="preserve"> _</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499131173 \</w:instrText>
      </w:r>
      <w:r w:rsidRPr="004E7E3E">
        <w:rPr>
          <w:rFonts w:ascii="Times New Roman" w:hAnsi="Times New Roman" w:cs="Times New Roman"/>
          <w:color w:val="000000"/>
          <w:sz w:val="24"/>
          <w:szCs w:val="24"/>
        </w:rPr>
        <w:instrText>r</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h</w:instrText>
      </w:r>
      <w:r w:rsidRPr="004E7E3E">
        <w:rPr>
          <w:rFonts w:ascii="Times New Roman" w:hAnsi="Times New Roman" w:cs="Times New Roman"/>
          <w:color w:val="000000"/>
          <w:sz w:val="24"/>
          <w:szCs w:val="24"/>
          <w:lang w:val="ru-RU"/>
        </w:rPr>
        <w:instrText xml:space="preserve">  \* </w:instrText>
      </w:r>
      <w:r w:rsidRPr="004E7E3E">
        <w:rPr>
          <w:rFonts w:ascii="Times New Roman" w:hAnsi="Times New Roman" w:cs="Times New Roman"/>
          <w:color w:val="000000"/>
          <w:sz w:val="24"/>
          <w:szCs w:val="24"/>
        </w:rPr>
        <w:instrText>MERGEFORMAT</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r>
      <w:r w:rsidRPr="004E7E3E">
        <w:rPr>
          <w:rFonts w:ascii="Times New Roman" w:hAnsi="Times New Roman" w:cs="Times New Roman"/>
          <w:color w:val="000000"/>
          <w:sz w:val="24"/>
          <w:szCs w:val="24"/>
        </w:rPr>
        <w:fldChar w:fldCharType="separate"/>
      </w:r>
      <w:r w:rsidR="00801D78" w:rsidRPr="00801D78">
        <w:rPr>
          <w:rFonts w:ascii="Times New Roman" w:hAnsi="Times New Roman" w:cs="Times New Roman"/>
          <w:color w:val="000000"/>
          <w:sz w:val="24"/>
          <w:szCs w:val="24"/>
          <w:lang w:val="ru-RU"/>
        </w:rPr>
        <w:t>91</w:t>
      </w:r>
      <w:r w:rsidRPr="004E7E3E">
        <w:rPr>
          <w:rFonts w:ascii="Times New Roman" w:hAnsi="Times New Roman" w:cs="Times New Roman"/>
          <w:color w:val="000000"/>
          <w:sz w:val="24"/>
          <w:szCs w:val="24"/>
        </w:rPr>
        <w:fldChar w:fldCharType="end"/>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c</w:t>
      </w:r>
      <w:r w:rsidRPr="004E7E3E">
        <w:rPr>
          <w:rFonts w:ascii="Times New Roman" w:hAnsi="Times New Roman" w:cs="Times New Roman"/>
          <w:color w:val="000000"/>
          <w:sz w:val="24"/>
          <w:szCs w:val="24"/>
          <w:lang w:val="ru-RU"/>
        </w:rPr>
        <w:t>. 27]</w:t>
      </w:r>
      <w:r>
        <w:rPr>
          <w:rFonts w:ascii="Times New Roman" w:hAnsi="Times New Roman" w:cs="Times New Roman"/>
          <w:color w:val="000000"/>
          <w:sz w:val="24"/>
          <w:szCs w:val="24"/>
          <w:lang w:val="ru-RU"/>
        </w:rPr>
        <w:t>.</w:t>
      </w:r>
    </w:p>
    <w:p w14:paraId="0BBCCED6" w14:textId="65D45313"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lang w:val="ru-RU"/>
        </w:rPr>
      </w:pPr>
      <w:r w:rsidRPr="004E7E3E">
        <w:rPr>
          <w:rFonts w:ascii="Times New Roman" w:hAnsi="Times New Roman" w:cs="Times New Roman"/>
          <w:color w:val="000000"/>
          <w:sz w:val="24"/>
          <w:szCs w:val="24"/>
          <w:lang w:val="ru-RU"/>
        </w:rPr>
        <w:t>Последние два десятилетия коренным образом изменили формат региональной интеграции: из японоцентричной она плавно трансформировалась в китаецентричную. Усиление авторитета КНР в регионе привело к двум наиболее важным последствиям: с одной стороны, новая роль КНР в региональном разделении труда стала причиной значительного увеличения внутрирегиональной торговли, а, с другой, сделал</w:t>
      </w:r>
      <w:r>
        <w:rPr>
          <w:rFonts w:ascii="Times New Roman" w:hAnsi="Times New Roman" w:cs="Times New Roman"/>
          <w:color w:val="000000"/>
          <w:sz w:val="24"/>
          <w:szCs w:val="24"/>
          <w:lang w:val="ru-RU"/>
        </w:rPr>
        <w:t>а</w:t>
      </w:r>
      <w:r w:rsidRPr="004E7E3E">
        <w:rPr>
          <w:rFonts w:ascii="Times New Roman" w:hAnsi="Times New Roman" w:cs="Times New Roman"/>
          <w:color w:val="000000"/>
          <w:sz w:val="24"/>
          <w:szCs w:val="24"/>
          <w:lang w:val="ru-RU"/>
        </w:rPr>
        <w:t xml:space="preserve"> Китай активным игроком в части продвижения идей региональной интеграции и формирования соответствующей институциональной среды. [</w:t>
      </w:r>
      <w:r w:rsidRPr="004E7E3E">
        <w:rPr>
          <w:rFonts w:ascii="Times New Roman" w:hAnsi="Times New Roman" w:cs="Times New Roman"/>
          <w:color w:val="000000"/>
          <w:sz w:val="24"/>
          <w:szCs w:val="24"/>
        </w:rPr>
        <w:fldChar w:fldCharType="begin"/>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 xml:space="preserve"> _</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499131173 \</w:instrText>
      </w:r>
      <w:r w:rsidRPr="004E7E3E">
        <w:rPr>
          <w:rFonts w:ascii="Times New Roman" w:hAnsi="Times New Roman" w:cs="Times New Roman"/>
          <w:color w:val="000000"/>
          <w:sz w:val="24"/>
          <w:szCs w:val="24"/>
        </w:rPr>
        <w:instrText>r</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h</w:instrText>
      </w:r>
      <w:r w:rsidRPr="004E7E3E">
        <w:rPr>
          <w:rFonts w:ascii="Times New Roman" w:hAnsi="Times New Roman" w:cs="Times New Roman"/>
          <w:color w:val="000000"/>
          <w:sz w:val="24"/>
          <w:szCs w:val="24"/>
          <w:lang w:val="ru-RU"/>
        </w:rPr>
        <w:instrText xml:space="preserve">  \* </w:instrText>
      </w:r>
      <w:r w:rsidRPr="004E7E3E">
        <w:rPr>
          <w:rFonts w:ascii="Times New Roman" w:hAnsi="Times New Roman" w:cs="Times New Roman"/>
          <w:color w:val="000000"/>
          <w:sz w:val="24"/>
          <w:szCs w:val="24"/>
        </w:rPr>
        <w:instrText>MERGEFORMAT</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r>
      <w:r w:rsidRPr="004E7E3E">
        <w:rPr>
          <w:rFonts w:ascii="Times New Roman" w:hAnsi="Times New Roman" w:cs="Times New Roman"/>
          <w:color w:val="000000"/>
          <w:sz w:val="24"/>
          <w:szCs w:val="24"/>
        </w:rPr>
        <w:fldChar w:fldCharType="separate"/>
      </w:r>
      <w:r w:rsidR="00801D78" w:rsidRPr="00801D78">
        <w:rPr>
          <w:rFonts w:ascii="Times New Roman" w:hAnsi="Times New Roman" w:cs="Times New Roman"/>
          <w:color w:val="000000"/>
          <w:sz w:val="24"/>
          <w:szCs w:val="24"/>
          <w:lang w:val="ru-RU"/>
        </w:rPr>
        <w:t>91</w:t>
      </w:r>
      <w:r w:rsidRPr="004E7E3E">
        <w:rPr>
          <w:rFonts w:ascii="Times New Roman" w:hAnsi="Times New Roman" w:cs="Times New Roman"/>
          <w:color w:val="000000"/>
          <w:sz w:val="24"/>
          <w:szCs w:val="24"/>
        </w:rPr>
        <w:fldChar w:fldCharType="end"/>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c</w:t>
      </w:r>
      <w:r w:rsidRPr="004E7E3E">
        <w:rPr>
          <w:rFonts w:ascii="Times New Roman" w:hAnsi="Times New Roman" w:cs="Times New Roman"/>
          <w:color w:val="000000"/>
          <w:sz w:val="24"/>
          <w:szCs w:val="24"/>
          <w:lang w:val="ru-RU"/>
        </w:rPr>
        <w:t xml:space="preserve">. 28] </w:t>
      </w:r>
    </w:p>
    <w:p w14:paraId="65579BB4"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lang w:val="ru-RU"/>
        </w:rPr>
      </w:pPr>
      <w:r w:rsidRPr="004E7E3E">
        <w:rPr>
          <w:rFonts w:ascii="Times New Roman" w:hAnsi="Times New Roman" w:cs="Times New Roman"/>
          <w:color w:val="000000"/>
          <w:sz w:val="24"/>
          <w:szCs w:val="24"/>
          <w:lang w:val="ru-RU"/>
        </w:rPr>
        <w:t xml:space="preserve">Политическое измерение «Большого Китая» часто отводится на задний план, но принятая схема взаимодействия с Гонконгом «одна страна – две системы» должна привести к 2047 году к </w:t>
      </w:r>
      <w:r w:rsidRPr="004E7E3E">
        <w:rPr>
          <w:rFonts w:ascii="Times New Roman" w:hAnsi="Times New Roman" w:cs="Times New Roman"/>
          <w:color w:val="000000"/>
          <w:sz w:val="24"/>
          <w:szCs w:val="24"/>
          <w:lang w:val="ru-RU"/>
        </w:rPr>
        <w:lastRenderedPageBreak/>
        <w:t>объединению страны. Она также была применена в отношении Макао</w:t>
      </w:r>
      <w:r>
        <w:rPr>
          <w:rFonts w:ascii="Times New Roman" w:hAnsi="Times New Roman" w:cs="Times New Roman"/>
          <w:color w:val="000000"/>
          <w:sz w:val="24"/>
          <w:szCs w:val="24"/>
          <w:lang w:val="ru-RU"/>
        </w:rPr>
        <w:t>, и</w:t>
      </w:r>
      <w:r w:rsidRPr="004E7E3E">
        <w:rPr>
          <w:rFonts w:ascii="Times New Roman" w:hAnsi="Times New Roman" w:cs="Times New Roman"/>
          <w:color w:val="000000"/>
          <w:sz w:val="24"/>
          <w:szCs w:val="24"/>
          <w:lang w:val="ru-RU"/>
        </w:rPr>
        <w:t xml:space="preserve">, как и вся система Большого Китая, может вылиться в особую форму региональной интеграции КНР и Тайваня. </w:t>
      </w:r>
    </w:p>
    <w:p w14:paraId="6CFD342C"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lang w:val="ru-RU"/>
        </w:rPr>
        <w:t xml:space="preserve">Концепция Большого Китая находит своё отражение в деятельности и названии инвестиционных фондов крупнейших финансовых конгломератов, действующих в этом регионе: </w:t>
      </w:r>
      <w:r w:rsidRPr="004E7E3E">
        <w:rPr>
          <w:rFonts w:ascii="Times New Roman" w:hAnsi="Times New Roman" w:cs="Times New Roman"/>
          <w:color w:val="000000"/>
          <w:sz w:val="24"/>
          <w:szCs w:val="24"/>
        </w:rPr>
        <w:t>ING</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Greater</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China</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Fund</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Dreyfus</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Greater</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China</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Fund</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JF</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Greater</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China</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Fund</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HSBC</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Greater</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China</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Fund</w:t>
      </w:r>
      <w:r w:rsidRPr="004E7E3E">
        <w:rPr>
          <w:rFonts w:ascii="Times New Roman" w:hAnsi="Times New Roman" w:cs="Times New Roman"/>
          <w:color w:val="000000"/>
          <w:sz w:val="24"/>
          <w:szCs w:val="24"/>
          <w:lang w:val="ru-RU"/>
        </w:rPr>
        <w:t>.</w:t>
      </w:r>
      <w:r w:rsidRPr="004E7E3E">
        <w:rPr>
          <w:rFonts w:ascii="Times New Roman" w:hAnsi="Times New Roman" w:cs="Times New Roman"/>
          <w:color w:val="000000"/>
          <w:sz w:val="24"/>
          <w:szCs w:val="24"/>
          <w:shd w:val="clear" w:color="auto" w:fill="FFFFFF"/>
          <w:lang w:val="ru-RU"/>
        </w:rPr>
        <w:t xml:space="preserve"> </w:t>
      </w:r>
    </w:p>
    <w:p w14:paraId="48C7742B" w14:textId="69729B18"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b/>
          <w:sz w:val="24"/>
          <w:szCs w:val="24"/>
          <w:lang w:val="ru-RU"/>
        </w:rPr>
        <w:t>Сингапур</w:t>
      </w:r>
      <w:r w:rsidRPr="004E7E3E">
        <w:rPr>
          <w:rFonts w:ascii="Times New Roman" w:hAnsi="Times New Roman" w:cs="Times New Roman"/>
          <w:sz w:val="24"/>
          <w:szCs w:val="24"/>
          <w:lang w:val="ru-RU"/>
        </w:rPr>
        <w:t xml:space="preserve"> – бывшая колония Великобритании и бывший штат Малайзии, который борется с Гонконгом за 3-4 место в рейтинге международных финансовых центров и статус </w:t>
      </w:r>
      <w:r w:rsidRPr="004E7E3E">
        <w:rPr>
          <w:rFonts w:ascii="Times New Roman" w:hAnsi="Times New Roman" w:cs="Times New Roman"/>
          <w:color w:val="000000"/>
          <w:sz w:val="24"/>
          <w:szCs w:val="24"/>
          <w:shd w:val="clear" w:color="auto" w:fill="FFFFFF"/>
          <w:lang w:val="ru-RU"/>
        </w:rPr>
        <w:t>«глобального города в Азии»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_Ref446780226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185</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4]</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sz w:val="24"/>
          <w:szCs w:val="24"/>
          <w:lang w:val="ru-RU"/>
        </w:rPr>
        <w:t>После его посещения создаётся впечатление, что город азиатский, но не</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китайский, хотя на улицах заметно большое количество этнических китайцев (</w:t>
      </w:r>
      <w:r>
        <w:rPr>
          <w:rFonts w:ascii="Times New Roman" w:hAnsi="Times New Roman" w:cs="Times New Roman"/>
          <w:sz w:val="24"/>
          <w:szCs w:val="24"/>
          <w:lang w:val="ru-RU"/>
        </w:rPr>
        <w:t>к</w:t>
      </w:r>
      <w:r w:rsidRPr="004E7E3E">
        <w:rPr>
          <w:rFonts w:ascii="Times New Roman" w:hAnsi="Times New Roman" w:cs="Times New Roman"/>
          <w:sz w:val="24"/>
          <w:szCs w:val="24"/>
          <w:lang w:val="ru-RU"/>
        </w:rPr>
        <w:t xml:space="preserve">итайцы составляют 40-50% населения острова). Условно можно считать Сингапур региональным МФЦ для Юго-Восточной Азии. Как правило, Сингапур не включают в регион Большого Китая, но он стабильно входит в «мир синофонов» и систему бамбуковой сети. </w:t>
      </w:r>
    </w:p>
    <w:p w14:paraId="26C07CF3"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sz w:val="24"/>
          <w:szCs w:val="24"/>
          <w:lang w:val="ru-RU"/>
        </w:rPr>
        <w:t>Сингапур начинает теснить Гонконг в рейтингах МФЦ, как и страны ЮВА начинают теснить Китай как места размещения производств, ориентирующих</w:t>
      </w:r>
      <w:r>
        <w:rPr>
          <w:rFonts w:ascii="Times New Roman" w:hAnsi="Times New Roman" w:cs="Times New Roman"/>
          <w:sz w:val="24"/>
          <w:szCs w:val="24"/>
          <w:lang w:val="ru-RU"/>
        </w:rPr>
        <w:t>ся</w:t>
      </w:r>
      <w:r w:rsidRPr="004E7E3E">
        <w:rPr>
          <w:rFonts w:ascii="Times New Roman" w:hAnsi="Times New Roman" w:cs="Times New Roman"/>
          <w:sz w:val="24"/>
          <w:szCs w:val="24"/>
          <w:lang w:val="ru-RU"/>
        </w:rPr>
        <w:t xml:space="preserve"> на дешёвую рабочую силу. Как правило, в Гонконге проходит много </w:t>
      </w:r>
      <w:r w:rsidRPr="004E7E3E">
        <w:rPr>
          <w:rFonts w:ascii="Times New Roman" w:hAnsi="Times New Roman" w:cs="Times New Roman"/>
          <w:sz w:val="24"/>
          <w:szCs w:val="24"/>
        </w:rPr>
        <w:t>IPO</w:t>
      </w:r>
      <w:r w:rsidRPr="004E7E3E">
        <w:rPr>
          <w:rFonts w:ascii="Times New Roman" w:hAnsi="Times New Roman" w:cs="Times New Roman"/>
          <w:sz w:val="24"/>
          <w:szCs w:val="24"/>
          <w:lang w:val="ru-RU"/>
        </w:rPr>
        <w:t xml:space="preserve">, в то время как Сингапур является одним из крупнейших центров валютного рынка. </w:t>
      </w:r>
      <w:r w:rsidRPr="004E7E3E">
        <w:rPr>
          <w:rFonts w:ascii="Times New Roman" w:hAnsi="Times New Roman" w:cs="Times New Roman"/>
          <w:color w:val="000000"/>
          <w:sz w:val="24"/>
          <w:szCs w:val="24"/>
          <w:shd w:val="clear" w:color="auto" w:fill="FFFFFF"/>
          <w:lang w:val="ru-RU"/>
        </w:rPr>
        <w:t xml:space="preserve">Сингапур обрёл богатство позже Гонконга, и демократии здесь ещё меньше. Показательно, что нынешний глава Сингапура – это сын создателя «сингапурского чуда» – Ли Куан Ю. Через Сингапур в Китай идёт мусульманское влияние в силу его близости к исламской Малайзии. В Гонконге иногда можно встретить этнических китаянок в исламских одеждах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скорее всего, это жительницы Сингапура. </w:t>
      </w:r>
    </w:p>
    <w:p w14:paraId="41863C43"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У </w:t>
      </w:r>
      <w:r w:rsidRPr="004E7E3E">
        <w:rPr>
          <w:rFonts w:ascii="Times New Roman" w:hAnsi="Times New Roman" w:cs="Times New Roman"/>
          <w:i/>
          <w:color w:val="000000"/>
          <w:sz w:val="24"/>
          <w:szCs w:val="24"/>
          <w:shd w:val="clear" w:color="auto" w:fill="FFFFFF"/>
          <w:lang w:val="ru-RU"/>
        </w:rPr>
        <w:t>программы развития Сингапура есть две особенности</w:t>
      </w:r>
      <w:r w:rsidRPr="004E7E3E">
        <w:rPr>
          <w:rFonts w:ascii="Times New Roman" w:hAnsi="Times New Roman" w:cs="Times New Roman"/>
          <w:color w:val="000000"/>
          <w:sz w:val="24"/>
          <w:szCs w:val="24"/>
          <w:shd w:val="clear" w:color="auto" w:fill="FFFFFF"/>
          <w:lang w:val="ru-RU"/>
        </w:rPr>
        <w:t xml:space="preserve">, сразу бросающиеся в глаза: </w:t>
      </w:r>
      <w:r w:rsidRPr="004E7E3E">
        <w:rPr>
          <w:rFonts w:ascii="Times New Roman" w:hAnsi="Times New Roman" w:cs="Times New Roman"/>
          <w:b/>
          <w:color w:val="000000"/>
          <w:sz w:val="24"/>
          <w:szCs w:val="24"/>
          <w:shd w:val="clear" w:color="auto" w:fill="FFFFFF"/>
          <w:lang w:val="ru-RU"/>
        </w:rPr>
        <w:t>1)</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Это город-государство. Поэтому любая программа по развитию международного финансового центра будет приниматься не на городском/региональном, а сразу на национальном уровне. </w:t>
      </w:r>
      <w:r w:rsidRPr="004E7E3E">
        <w:rPr>
          <w:rFonts w:ascii="Times New Roman" w:hAnsi="Times New Roman" w:cs="Times New Roman"/>
          <w:b/>
          <w:color w:val="000000"/>
          <w:sz w:val="24"/>
          <w:szCs w:val="24"/>
          <w:shd w:val="clear" w:color="auto" w:fill="FFFFFF"/>
          <w:lang w:val="ru-RU"/>
        </w:rPr>
        <w:t>2)</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Программа модернизации финансового сектора была принята на национальном уровне чуть ли не раньше всех в мире – в 1968 (при этом независимость страна получила в 1965 году), и это удачный пример такой модернизации. В отличие от Гонконга, которому потребовалось структурировать и централизовать свои либеральные финансы в начале 90-х годов </w:t>
      </w:r>
      <w:r w:rsidRPr="004E7E3E">
        <w:rPr>
          <w:rFonts w:ascii="Times New Roman" w:hAnsi="Times New Roman" w:cs="Times New Roman"/>
          <w:color w:val="000000"/>
          <w:sz w:val="24"/>
          <w:szCs w:val="24"/>
          <w:shd w:val="clear" w:color="auto" w:fill="FFFFFF"/>
        </w:rPr>
        <w:t>XX</w:t>
      </w:r>
      <w:r w:rsidRPr="004E7E3E">
        <w:rPr>
          <w:rFonts w:ascii="Times New Roman" w:hAnsi="Times New Roman" w:cs="Times New Roman"/>
          <w:color w:val="000000"/>
          <w:sz w:val="24"/>
          <w:szCs w:val="24"/>
          <w:shd w:val="clear" w:color="auto" w:fill="FFFFFF"/>
          <w:lang w:val="ru-RU"/>
        </w:rPr>
        <w:t xml:space="preserve"> века, Сингапур шёл по пути ослабления участия государства в финансах и допуска нерезидентов на внутренний рынок. Роль государства в процессе финансовой модернизации была всегда значительна. </w:t>
      </w:r>
    </w:p>
    <w:p w14:paraId="55C2A2D7" w14:textId="2ED99DB6"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bidi="ar-SA"/>
        </w:rPr>
      </w:pPr>
      <w:r w:rsidRPr="004E7E3E">
        <w:rPr>
          <w:rFonts w:ascii="Times New Roman" w:hAnsi="Times New Roman" w:cs="Times New Roman"/>
          <w:color w:val="000000"/>
          <w:sz w:val="24"/>
          <w:szCs w:val="24"/>
          <w:shd w:val="clear" w:color="auto" w:fill="FFFFFF"/>
          <w:lang w:val="ru-RU"/>
        </w:rPr>
        <w:t>Руководство изначально сделало акцент в программе развития на двухэтапное развитие финансового сектора: 1) на первом этапе он должен был играть роль поддержки роста промышленности в стране, 2) на втором –</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 xml:space="preserve">получал самостоятельную роль опять же для развития </w:t>
      </w:r>
      <w:r w:rsidRPr="004E7E3E">
        <w:rPr>
          <w:rFonts w:ascii="Times New Roman" w:hAnsi="Times New Roman" w:cs="Times New Roman"/>
          <w:color w:val="000000"/>
          <w:sz w:val="24"/>
          <w:szCs w:val="24"/>
          <w:shd w:val="clear" w:color="auto" w:fill="FFFFFF"/>
          <w:lang w:val="ru-RU"/>
        </w:rPr>
        <w:lastRenderedPageBreak/>
        <w:t>производства и транспортного сектора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_Ref499162107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188</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4]</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Сингапур сознательно осуществлял развитие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первую очередь</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офшорного валютного рынка по причине узости внутреннего рынка. На волне бума евровалютного рынка в Европе был создан </w:t>
      </w:r>
      <w:r w:rsidRPr="004E7E3E">
        <w:rPr>
          <w:rFonts w:ascii="Times New Roman" w:hAnsi="Times New Roman" w:cs="Times New Roman"/>
          <w:color w:val="000000"/>
          <w:sz w:val="24"/>
          <w:szCs w:val="24"/>
          <w:shd w:val="clear" w:color="auto" w:fill="FFFFFF"/>
        </w:rPr>
        <w:t>ADM</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Asian</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Dollar</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Market</w:t>
      </w:r>
      <w:r w:rsidRPr="004E7E3E">
        <w:rPr>
          <w:rFonts w:ascii="Times New Roman" w:hAnsi="Times New Roman" w:cs="Times New Roman"/>
          <w:color w:val="000000"/>
          <w:sz w:val="24"/>
          <w:szCs w:val="24"/>
          <w:shd w:val="clear" w:color="auto" w:fill="FFFFFF"/>
          <w:lang w:val="ru-RU"/>
        </w:rPr>
        <w:t xml:space="preserve">) на основе </w:t>
      </w:r>
      <w:r w:rsidRPr="004E7E3E">
        <w:rPr>
          <w:rFonts w:ascii="Times New Roman" w:hAnsi="Times New Roman" w:cs="Times New Roman"/>
          <w:color w:val="000000"/>
          <w:sz w:val="24"/>
          <w:szCs w:val="24"/>
          <w:shd w:val="clear" w:color="auto" w:fill="FFFFFF"/>
        </w:rPr>
        <w:t>ACU</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Asian</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Currency</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Unit</w:t>
      </w:r>
      <w:r w:rsidRPr="004E7E3E">
        <w:rPr>
          <w:rFonts w:ascii="Times New Roman" w:hAnsi="Times New Roman" w:cs="Times New Roman"/>
          <w:color w:val="000000"/>
          <w:sz w:val="24"/>
          <w:szCs w:val="24"/>
          <w:shd w:val="clear" w:color="auto" w:fill="FFFFFF"/>
          <w:lang w:val="ru-RU"/>
        </w:rPr>
        <w:t xml:space="preserve">) для международных операций и </w:t>
      </w:r>
      <w:r w:rsidRPr="004E7E3E">
        <w:rPr>
          <w:rFonts w:ascii="Times New Roman" w:hAnsi="Times New Roman" w:cs="Times New Roman"/>
          <w:color w:val="000000"/>
          <w:sz w:val="24"/>
          <w:szCs w:val="24"/>
          <w:shd w:val="clear" w:color="auto" w:fill="FFFFFF"/>
        </w:rPr>
        <w:t>DBU</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Domestic</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Banking</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Unit</w:t>
      </w:r>
      <w:r w:rsidRPr="004E7E3E">
        <w:rPr>
          <w:rFonts w:ascii="Times New Roman" w:hAnsi="Times New Roman" w:cs="Times New Roman"/>
          <w:color w:val="000000"/>
          <w:sz w:val="24"/>
          <w:szCs w:val="24"/>
          <w:shd w:val="clear" w:color="auto" w:fill="FFFFFF"/>
          <w:lang w:val="ru-RU"/>
        </w:rPr>
        <w:t xml:space="preserve">) для внутреннего рынка. При этом </w:t>
      </w:r>
      <w:r w:rsidRPr="004E7E3E">
        <w:rPr>
          <w:rFonts w:ascii="Times New Roman" w:hAnsi="Times New Roman" w:cs="Times New Roman"/>
          <w:sz w:val="24"/>
          <w:szCs w:val="24"/>
          <w:lang w:val="ru-RU" w:bidi="ar-SA"/>
        </w:rPr>
        <w:t>участие иностранных банков на офшорном рынке ACU поощрялось офшорным режимом налогообложения и регулирования, а на внутреннем рынке (в DBU) — административно ограничивалось [</w:t>
      </w:r>
      <w:r w:rsidRPr="004E7E3E">
        <w:rPr>
          <w:rFonts w:ascii="Times New Roman" w:hAnsi="Times New Roman" w:cs="Times New Roman"/>
          <w:sz w:val="24"/>
          <w:szCs w:val="24"/>
          <w:lang w:val="ru-RU" w:bidi="ar-SA"/>
        </w:rPr>
        <w:fldChar w:fldCharType="begin"/>
      </w:r>
      <w:r w:rsidRPr="004E7E3E">
        <w:rPr>
          <w:rFonts w:ascii="Times New Roman" w:hAnsi="Times New Roman" w:cs="Times New Roman"/>
          <w:sz w:val="24"/>
          <w:szCs w:val="24"/>
          <w:lang w:val="ru-RU" w:bidi="ar-SA"/>
        </w:rPr>
        <w:instrText xml:space="preserve"> REF _Ref498686162 \r \h  \* MERGEFORMAT </w:instrText>
      </w:r>
      <w:r w:rsidRPr="004E7E3E">
        <w:rPr>
          <w:rFonts w:ascii="Times New Roman" w:hAnsi="Times New Roman" w:cs="Times New Roman"/>
          <w:sz w:val="24"/>
          <w:szCs w:val="24"/>
          <w:lang w:val="ru-RU" w:bidi="ar-SA"/>
        </w:rPr>
      </w:r>
      <w:r w:rsidRPr="004E7E3E">
        <w:rPr>
          <w:rFonts w:ascii="Times New Roman" w:hAnsi="Times New Roman" w:cs="Times New Roman"/>
          <w:sz w:val="24"/>
          <w:szCs w:val="24"/>
          <w:lang w:val="ru-RU" w:bidi="ar-SA"/>
        </w:rPr>
        <w:fldChar w:fldCharType="separate"/>
      </w:r>
      <w:r w:rsidR="00801D78">
        <w:rPr>
          <w:rFonts w:ascii="Times New Roman" w:hAnsi="Times New Roman" w:cs="Times New Roman"/>
          <w:sz w:val="24"/>
          <w:szCs w:val="24"/>
          <w:lang w:val="ru-RU" w:bidi="ar-SA"/>
        </w:rPr>
        <w:t>137</w:t>
      </w:r>
      <w:r w:rsidRPr="004E7E3E">
        <w:rPr>
          <w:rFonts w:ascii="Times New Roman" w:hAnsi="Times New Roman" w:cs="Times New Roman"/>
          <w:sz w:val="24"/>
          <w:szCs w:val="24"/>
          <w:lang w:val="ru-RU" w:bidi="ar-SA"/>
        </w:rPr>
        <w:fldChar w:fldCharType="end"/>
      </w:r>
      <w:r w:rsidRPr="004E7E3E">
        <w:rPr>
          <w:rFonts w:ascii="Times New Roman" w:hAnsi="Times New Roman" w:cs="Times New Roman"/>
          <w:sz w:val="24"/>
          <w:szCs w:val="24"/>
          <w:lang w:val="ru-RU" w:bidi="ar-SA"/>
        </w:rPr>
        <w:t xml:space="preserve">, </w:t>
      </w:r>
      <w:r w:rsidRPr="004E7E3E">
        <w:rPr>
          <w:rFonts w:ascii="Times New Roman" w:hAnsi="Times New Roman" w:cs="Times New Roman"/>
          <w:sz w:val="24"/>
          <w:szCs w:val="24"/>
          <w:lang w:bidi="ar-SA"/>
        </w:rPr>
        <w:t>c</w:t>
      </w:r>
      <w:r w:rsidRPr="004E7E3E">
        <w:rPr>
          <w:rFonts w:ascii="Times New Roman" w:hAnsi="Times New Roman" w:cs="Times New Roman"/>
          <w:sz w:val="24"/>
          <w:szCs w:val="24"/>
          <w:lang w:val="ru-RU" w:bidi="ar-SA"/>
        </w:rPr>
        <w:t>. 243]</w:t>
      </w:r>
      <w:r>
        <w:rPr>
          <w:rFonts w:ascii="Times New Roman" w:hAnsi="Times New Roman" w:cs="Times New Roman"/>
          <w:sz w:val="24"/>
          <w:szCs w:val="24"/>
          <w:lang w:val="ru-RU" w:bidi="ar-SA"/>
        </w:rPr>
        <w:t>.</w:t>
      </w:r>
      <w:r w:rsidRPr="004E7E3E">
        <w:rPr>
          <w:rFonts w:ascii="Times New Roman" w:hAnsi="Times New Roman" w:cs="Times New Roman"/>
          <w:sz w:val="24"/>
          <w:szCs w:val="24"/>
          <w:lang w:val="ru-RU" w:bidi="ar-SA"/>
        </w:rPr>
        <w:t xml:space="preserve"> Удобное географическое расположение, обеспечивающее круглосуточное функционирование финансового рынка и спрос на подобную услугу в 60-70-е гг. </w:t>
      </w:r>
      <w:r w:rsidRPr="004E7E3E">
        <w:rPr>
          <w:rFonts w:ascii="Times New Roman" w:hAnsi="Times New Roman" w:cs="Times New Roman"/>
          <w:sz w:val="24"/>
          <w:szCs w:val="24"/>
          <w:lang w:bidi="ar-SA"/>
        </w:rPr>
        <w:t>XX</w:t>
      </w:r>
      <w:r w:rsidRPr="004E7E3E">
        <w:rPr>
          <w:rFonts w:ascii="Times New Roman" w:hAnsi="Times New Roman" w:cs="Times New Roman"/>
          <w:sz w:val="24"/>
          <w:szCs w:val="24"/>
          <w:lang w:val="ru-RU" w:bidi="ar-SA"/>
        </w:rPr>
        <w:t xml:space="preserve"> века в азиатском регионе обеспечил первоначальный успех Сингапура в</w:t>
      </w:r>
      <w:r>
        <w:rPr>
          <w:rFonts w:ascii="Times New Roman" w:hAnsi="Times New Roman" w:cs="Times New Roman"/>
          <w:sz w:val="24"/>
          <w:szCs w:val="24"/>
          <w:lang w:val="ru-RU" w:bidi="ar-SA"/>
        </w:rPr>
        <w:t> </w:t>
      </w:r>
      <w:r w:rsidRPr="004E7E3E">
        <w:rPr>
          <w:rFonts w:ascii="Times New Roman" w:hAnsi="Times New Roman" w:cs="Times New Roman"/>
          <w:sz w:val="24"/>
          <w:szCs w:val="24"/>
          <w:lang w:val="ru-RU" w:bidi="ar-SA"/>
        </w:rPr>
        <w:t>качестве регионального финансового центра [</w:t>
      </w:r>
      <w:r w:rsidRPr="004E7E3E">
        <w:rPr>
          <w:rFonts w:ascii="Times New Roman" w:hAnsi="Times New Roman" w:cs="Times New Roman"/>
          <w:sz w:val="24"/>
          <w:szCs w:val="24"/>
          <w:lang w:val="ru-RU" w:bidi="ar-SA"/>
        </w:rPr>
        <w:fldChar w:fldCharType="begin"/>
      </w:r>
      <w:r w:rsidRPr="004E7E3E">
        <w:rPr>
          <w:rFonts w:ascii="Times New Roman" w:hAnsi="Times New Roman" w:cs="Times New Roman"/>
          <w:sz w:val="24"/>
          <w:szCs w:val="24"/>
          <w:lang w:val="ru-RU" w:bidi="ar-SA"/>
        </w:rPr>
        <w:instrText xml:space="preserve"> REF _Ref498686162 \r \h  \* MERGEFORMAT </w:instrText>
      </w:r>
      <w:r w:rsidRPr="004E7E3E">
        <w:rPr>
          <w:rFonts w:ascii="Times New Roman" w:hAnsi="Times New Roman" w:cs="Times New Roman"/>
          <w:sz w:val="24"/>
          <w:szCs w:val="24"/>
          <w:lang w:val="ru-RU" w:bidi="ar-SA"/>
        </w:rPr>
      </w:r>
      <w:r w:rsidRPr="004E7E3E">
        <w:rPr>
          <w:rFonts w:ascii="Times New Roman" w:hAnsi="Times New Roman" w:cs="Times New Roman"/>
          <w:sz w:val="24"/>
          <w:szCs w:val="24"/>
          <w:lang w:val="ru-RU" w:bidi="ar-SA"/>
        </w:rPr>
        <w:fldChar w:fldCharType="separate"/>
      </w:r>
      <w:r w:rsidR="00801D78">
        <w:rPr>
          <w:rFonts w:ascii="Times New Roman" w:hAnsi="Times New Roman" w:cs="Times New Roman"/>
          <w:sz w:val="24"/>
          <w:szCs w:val="24"/>
          <w:lang w:val="ru-RU" w:bidi="ar-SA"/>
        </w:rPr>
        <w:t>137</w:t>
      </w:r>
      <w:r w:rsidRPr="004E7E3E">
        <w:rPr>
          <w:rFonts w:ascii="Times New Roman" w:hAnsi="Times New Roman" w:cs="Times New Roman"/>
          <w:sz w:val="24"/>
          <w:szCs w:val="24"/>
          <w:lang w:val="ru-RU" w:bidi="ar-SA"/>
        </w:rPr>
        <w:fldChar w:fldCharType="end"/>
      </w:r>
      <w:r w:rsidRPr="004E7E3E">
        <w:rPr>
          <w:rFonts w:ascii="Times New Roman" w:hAnsi="Times New Roman" w:cs="Times New Roman"/>
          <w:sz w:val="24"/>
          <w:szCs w:val="24"/>
          <w:lang w:val="ru-RU" w:bidi="ar-SA"/>
        </w:rPr>
        <w:t xml:space="preserve"> </w:t>
      </w:r>
      <w:r w:rsidRPr="004E7E3E">
        <w:rPr>
          <w:rFonts w:ascii="Times New Roman" w:hAnsi="Times New Roman" w:cs="Times New Roman"/>
          <w:sz w:val="24"/>
          <w:szCs w:val="24"/>
          <w:lang w:bidi="ar-SA"/>
        </w:rPr>
        <w:t>c</w:t>
      </w:r>
      <w:r w:rsidRPr="004E7E3E">
        <w:rPr>
          <w:rFonts w:ascii="Times New Roman" w:hAnsi="Times New Roman" w:cs="Times New Roman"/>
          <w:sz w:val="24"/>
          <w:szCs w:val="24"/>
          <w:lang w:val="ru-RU" w:bidi="ar-SA"/>
        </w:rPr>
        <w:t>. 244]</w:t>
      </w:r>
      <w:r>
        <w:rPr>
          <w:rFonts w:ascii="Times New Roman" w:hAnsi="Times New Roman" w:cs="Times New Roman"/>
          <w:sz w:val="24"/>
          <w:szCs w:val="24"/>
          <w:lang w:val="ru-RU" w:bidi="ar-SA"/>
        </w:rPr>
        <w:t>.</w:t>
      </w:r>
      <w:r w:rsidRPr="004E7E3E">
        <w:rPr>
          <w:rFonts w:ascii="Times New Roman" w:hAnsi="Times New Roman" w:cs="Times New Roman"/>
          <w:sz w:val="24"/>
          <w:szCs w:val="24"/>
          <w:lang w:val="ru-RU" w:bidi="ar-SA"/>
        </w:rPr>
        <w:t xml:space="preserve"> </w:t>
      </w:r>
    </w:p>
    <w:p w14:paraId="26EDFD68" w14:textId="0044064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bidi="ar-SA"/>
        </w:rPr>
      </w:pPr>
      <w:r w:rsidRPr="004E7E3E">
        <w:rPr>
          <w:rFonts w:ascii="Times New Roman" w:hAnsi="Times New Roman" w:cs="Times New Roman"/>
          <w:sz w:val="24"/>
          <w:szCs w:val="24"/>
          <w:lang w:val="ru-RU" w:bidi="ar-SA"/>
        </w:rPr>
        <w:t>За планирование и реализацию стратегии развития Сингапура в качестве МФЦ всегда отвечал</w:t>
      </w:r>
      <w:r>
        <w:rPr>
          <w:rFonts w:ascii="Times New Roman" w:hAnsi="Times New Roman" w:cs="Times New Roman"/>
          <w:sz w:val="24"/>
          <w:szCs w:val="24"/>
          <w:lang w:val="ru-RU" w:bidi="ar-SA"/>
        </w:rPr>
        <w:t>о</w:t>
      </w:r>
      <w:r w:rsidRPr="004E7E3E">
        <w:rPr>
          <w:rFonts w:ascii="Times New Roman" w:hAnsi="Times New Roman" w:cs="Times New Roman"/>
          <w:sz w:val="24"/>
          <w:szCs w:val="24"/>
          <w:lang w:val="ru-RU" w:bidi="ar-SA"/>
        </w:rPr>
        <w:t xml:space="preserve"> специализированное государственное агентство – Совет по экономическому развитию (</w:t>
      </w:r>
      <w:r w:rsidRPr="004E7E3E">
        <w:rPr>
          <w:rFonts w:ascii="Times New Roman" w:hAnsi="Times New Roman" w:cs="Times New Roman"/>
          <w:sz w:val="24"/>
          <w:szCs w:val="24"/>
          <w:lang w:bidi="ar-SA"/>
        </w:rPr>
        <w:t>Economic</w:t>
      </w:r>
      <w:r w:rsidRPr="004E7E3E">
        <w:rPr>
          <w:rFonts w:ascii="Times New Roman" w:hAnsi="Times New Roman" w:cs="Times New Roman"/>
          <w:sz w:val="24"/>
          <w:szCs w:val="24"/>
          <w:lang w:val="ru-RU" w:bidi="ar-SA"/>
        </w:rPr>
        <w:t xml:space="preserve"> </w:t>
      </w:r>
      <w:r w:rsidRPr="004E7E3E">
        <w:rPr>
          <w:rFonts w:ascii="Times New Roman" w:hAnsi="Times New Roman" w:cs="Times New Roman"/>
          <w:sz w:val="24"/>
          <w:szCs w:val="24"/>
          <w:lang w:bidi="ar-SA"/>
        </w:rPr>
        <w:t>Development</w:t>
      </w:r>
      <w:r w:rsidRPr="004E7E3E">
        <w:rPr>
          <w:rFonts w:ascii="Times New Roman" w:hAnsi="Times New Roman" w:cs="Times New Roman"/>
          <w:sz w:val="24"/>
          <w:szCs w:val="24"/>
          <w:lang w:val="ru-RU" w:bidi="ar-SA"/>
        </w:rPr>
        <w:t xml:space="preserve"> </w:t>
      </w:r>
      <w:r w:rsidRPr="004E7E3E">
        <w:rPr>
          <w:rFonts w:ascii="Times New Roman" w:hAnsi="Times New Roman" w:cs="Times New Roman"/>
          <w:sz w:val="24"/>
          <w:szCs w:val="24"/>
          <w:lang w:bidi="ar-SA"/>
        </w:rPr>
        <w:t>Board</w:t>
      </w:r>
      <w:r w:rsidRPr="004E7E3E">
        <w:rPr>
          <w:rFonts w:ascii="Times New Roman" w:hAnsi="Times New Roman" w:cs="Times New Roman"/>
          <w:sz w:val="24"/>
          <w:szCs w:val="24"/>
          <w:lang w:val="ru-RU" w:bidi="ar-SA"/>
        </w:rPr>
        <w:t>)</w:t>
      </w:r>
      <w:r>
        <w:rPr>
          <w:rFonts w:ascii="Times New Roman" w:hAnsi="Times New Roman" w:cs="Times New Roman"/>
          <w:sz w:val="24"/>
          <w:szCs w:val="24"/>
          <w:lang w:val="ru-RU" w:bidi="ar-SA"/>
        </w:rPr>
        <w:t>. С</w:t>
      </w:r>
      <w:r w:rsidRPr="004E7E3E">
        <w:rPr>
          <w:rFonts w:ascii="Times New Roman" w:hAnsi="Times New Roman" w:cs="Times New Roman"/>
          <w:sz w:val="24"/>
          <w:szCs w:val="24"/>
          <w:lang w:val="ru-RU" w:bidi="ar-SA"/>
        </w:rPr>
        <w:t xml:space="preserve"> 1997 года функции по развитию МФЦ были приняты финансовым мегарегулятором MAS (</w:t>
      </w:r>
      <w:r w:rsidRPr="004E7E3E">
        <w:rPr>
          <w:rFonts w:ascii="Times New Roman" w:hAnsi="Times New Roman" w:cs="Times New Roman"/>
          <w:sz w:val="24"/>
          <w:szCs w:val="24"/>
          <w:lang w:bidi="ar-SA"/>
        </w:rPr>
        <w:t>Monetary</w:t>
      </w:r>
      <w:r w:rsidRPr="004E7E3E">
        <w:rPr>
          <w:rFonts w:ascii="Times New Roman" w:hAnsi="Times New Roman" w:cs="Times New Roman"/>
          <w:sz w:val="24"/>
          <w:szCs w:val="24"/>
          <w:lang w:val="ru-RU" w:bidi="ar-SA"/>
        </w:rPr>
        <w:t xml:space="preserve"> </w:t>
      </w:r>
      <w:r w:rsidRPr="004E7E3E">
        <w:rPr>
          <w:rFonts w:ascii="Times New Roman" w:hAnsi="Times New Roman" w:cs="Times New Roman"/>
          <w:sz w:val="24"/>
          <w:szCs w:val="24"/>
          <w:lang w:bidi="ar-SA"/>
        </w:rPr>
        <w:t>Authority</w:t>
      </w:r>
      <w:r w:rsidRPr="004E7E3E">
        <w:rPr>
          <w:rFonts w:ascii="Times New Roman" w:hAnsi="Times New Roman" w:cs="Times New Roman"/>
          <w:sz w:val="24"/>
          <w:szCs w:val="24"/>
          <w:lang w:val="ru-RU" w:bidi="ar-SA"/>
        </w:rPr>
        <w:t xml:space="preserve"> </w:t>
      </w:r>
      <w:r w:rsidRPr="004E7E3E">
        <w:rPr>
          <w:rFonts w:ascii="Times New Roman" w:hAnsi="Times New Roman" w:cs="Times New Roman"/>
          <w:sz w:val="24"/>
          <w:szCs w:val="24"/>
          <w:lang w:bidi="ar-SA"/>
        </w:rPr>
        <w:t>of</w:t>
      </w:r>
      <w:r w:rsidRPr="004E7E3E">
        <w:rPr>
          <w:rFonts w:ascii="Times New Roman" w:hAnsi="Times New Roman" w:cs="Times New Roman"/>
          <w:sz w:val="24"/>
          <w:szCs w:val="24"/>
          <w:lang w:val="ru-RU" w:bidi="ar-SA"/>
        </w:rPr>
        <w:t xml:space="preserve"> </w:t>
      </w:r>
      <w:r w:rsidRPr="004E7E3E">
        <w:rPr>
          <w:rFonts w:ascii="Times New Roman" w:hAnsi="Times New Roman" w:cs="Times New Roman"/>
          <w:sz w:val="24"/>
          <w:szCs w:val="24"/>
          <w:lang w:bidi="ar-SA"/>
        </w:rPr>
        <w:t>Singapore</w:t>
      </w:r>
      <w:r w:rsidRPr="004E7E3E">
        <w:rPr>
          <w:rFonts w:ascii="Times New Roman" w:hAnsi="Times New Roman" w:cs="Times New Roman"/>
          <w:sz w:val="24"/>
          <w:szCs w:val="24"/>
          <w:lang w:val="ru-RU" w:bidi="ar-SA"/>
        </w:rPr>
        <w:t>), напрямую предоставляющим часть льгот на финансовом рынке. Эти органы создали гибкую конкурентную систему предоставления налоговых льгот в зависимости от условий инвестиционных проектов нерезидентов [</w:t>
      </w:r>
      <w:r w:rsidRPr="004E7E3E">
        <w:rPr>
          <w:rFonts w:ascii="Times New Roman" w:hAnsi="Times New Roman" w:cs="Times New Roman"/>
          <w:sz w:val="24"/>
          <w:szCs w:val="24"/>
          <w:lang w:val="ru-RU" w:bidi="ar-SA"/>
        </w:rPr>
        <w:fldChar w:fldCharType="begin"/>
      </w:r>
      <w:r w:rsidRPr="004E7E3E">
        <w:rPr>
          <w:rFonts w:ascii="Times New Roman" w:hAnsi="Times New Roman" w:cs="Times New Roman"/>
          <w:sz w:val="24"/>
          <w:szCs w:val="24"/>
          <w:lang w:val="ru-RU" w:bidi="ar-SA"/>
        </w:rPr>
        <w:instrText xml:space="preserve"> REF _Ref498686162 \r \h  \* MERGEFORMAT </w:instrText>
      </w:r>
      <w:r w:rsidRPr="004E7E3E">
        <w:rPr>
          <w:rFonts w:ascii="Times New Roman" w:hAnsi="Times New Roman" w:cs="Times New Roman"/>
          <w:sz w:val="24"/>
          <w:szCs w:val="24"/>
          <w:lang w:val="ru-RU" w:bidi="ar-SA"/>
        </w:rPr>
      </w:r>
      <w:r w:rsidRPr="004E7E3E">
        <w:rPr>
          <w:rFonts w:ascii="Times New Roman" w:hAnsi="Times New Roman" w:cs="Times New Roman"/>
          <w:sz w:val="24"/>
          <w:szCs w:val="24"/>
          <w:lang w:val="ru-RU" w:bidi="ar-SA"/>
        </w:rPr>
        <w:fldChar w:fldCharType="separate"/>
      </w:r>
      <w:r w:rsidR="00801D78">
        <w:rPr>
          <w:rFonts w:ascii="Times New Roman" w:hAnsi="Times New Roman" w:cs="Times New Roman"/>
          <w:sz w:val="24"/>
          <w:szCs w:val="24"/>
          <w:lang w:val="ru-RU" w:bidi="ar-SA"/>
        </w:rPr>
        <w:t>137</w:t>
      </w:r>
      <w:r w:rsidRPr="004E7E3E">
        <w:rPr>
          <w:rFonts w:ascii="Times New Roman" w:hAnsi="Times New Roman" w:cs="Times New Roman"/>
          <w:sz w:val="24"/>
          <w:szCs w:val="24"/>
          <w:lang w:val="ru-RU" w:bidi="ar-SA"/>
        </w:rPr>
        <w:fldChar w:fldCharType="end"/>
      </w:r>
      <w:r w:rsidRPr="004E7E3E">
        <w:rPr>
          <w:rFonts w:ascii="Times New Roman" w:hAnsi="Times New Roman" w:cs="Times New Roman"/>
          <w:sz w:val="24"/>
          <w:szCs w:val="24"/>
          <w:lang w:val="ru-RU" w:bidi="ar-SA"/>
        </w:rPr>
        <w:t xml:space="preserve">, </w:t>
      </w:r>
      <w:r w:rsidRPr="004E7E3E">
        <w:rPr>
          <w:rFonts w:ascii="Times New Roman" w:hAnsi="Times New Roman" w:cs="Times New Roman"/>
          <w:sz w:val="24"/>
          <w:szCs w:val="24"/>
          <w:lang w:bidi="ar-SA"/>
        </w:rPr>
        <w:t>c</w:t>
      </w:r>
      <w:r w:rsidRPr="004E7E3E">
        <w:rPr>
          <w:rFonts w:ascii="Times New Roman" w:hAnsi="Times New Roman" w:cs="Times New Roman"/>
          <w:sz w:val="24"/>
          <w:szCs w:val="24"/>
          <w:lang w:val="ru-RU" w:bidi="ar-SA"/>
        </w:rPr>
        <w:t>. 244]</w:t>
      </w:r>
      <w:r>
        <w:rPr>
          <w:rFonts w:ascii="Times New Roman" w:hAnsi="Times New Roman" w:cs="Times New Roman"/>
          <w:sz w:val="24"/>
          <w:szCs w:val="24"/>
          <w:lang w:val="ru-RU" w:bidi="ar-SA"/>
        </w:rPr>
        <w:t>.</w:t>
      </w:r>
    </w:p>
    <w:p w14:paraId="131F3675" w14:textId="77777777" w:rsidR="00DC5025" w:rsidRPr="004E7E3E" w:rsidRDefault="00DC5025" w:rsidP="00DC5025">
      <w:pPr>
        <w:spacing w:after="0" w:line="360" w:lineRule="auto"/>
        <w:ind w:firstLine="709"/>
        <w:contextualSpacing/>
        <w:jc w:val="both"/>
        <w:rPr>
          <w:rFonts w:ascii="Times New Roman" w:hAnsi="Times New Roman" w:cs="Times New Roman"/>
          <w:color w:val="000000"/>
          <w:sz w:val="24"/>
          <w:szCs w:val="24"/>
          <w:lang w:val="ru-RU" w:bidi="ar-SA"/>
        </w:rPr>
      </w:pPr>
      <w:r w:rsidRPr="004E7E3E">
        <w:rPr>
          <w:rFonts w:ascii="Times New Roman" w:hAnsi="Times New Roman" w:cs="Times New Roman"/>
          <w:color w:val="000000"/>
          <w:sz w:val="24"/>
          <w:szCs w:val="24"/>
          <w:lang w:val="ru-RU" w:bidi="ar-SA"/>
        </w:rPr>
        <w:t xml:space="preserve">Основные направления специализации Сингапура как МФЦ можно представить в виде следующего списка достижений: </w:t>
      </w:r>
    </w:p>
    <w:p w14:paraId="2F78D868" w14:textId="77777777" w:rsidR="00DC5025" w:rsidRPr="004E7E3E" w:rsidRDefault="00DC5025" w:rsidP="00DC5025">
      <w:pPr>
        <w:pStyle w:val="af3"/>
        <w:numPr>
          <w:ilvl w:val="0"/>
          <w:numId w:val="10"/>
        </w:numPr>
        <w:spacing w:after="0" w:line="360" w:lineRule="auto"/>
        <w:ind w:left="0" w:firstLine="709"/>
        <w:jc w:val="both"/>
        <w:rPr>
          <w:rFonts w:ascii="Times New Roman" w:hAnsi="Times New Roman" w:cs="Times New Roman"/>
          <w:color w:val="000000"/>
          <w:sz w:val="24"/>
          <w:szCs w:val="24"/>
          <w:lang w:val="ru-RU" w:bidi="ar-SA"/>
        </w:rPr>
      </w:pPr>
      <w:r w:rsidRPr="004E7E3E">
        <w:rPr>
          <w:rFonts w:ascii="Times New Roman" w:hAnsi="Times New Roman" w:cs="Times New Roman"/>
          <w:color w:val="000000"/>
          <w:sz w:val="24"/>
          <w:szCs w:val="24"/>
          <w:lang w:val="ru-RU" w:bidi="ar-SA"/>
        </w:rPr>
        <w:t xml:space="preserve">валютный рынок – третий по величине валютный рынок в мире (5,7% мирового среднедневного оборота); </w:t>
      </w:r>
    </w:p>
    <w:p w14:paraId="4A12E692" w14:textId="77777777" w:rsidR="00DC5025" w:rsidRPr="004E7E3E" w:rsidRDefault="00DC5025" w:rsidP="00DC5025">
      <w:pPr>
        <w:pStyle w:val="af3"/>
        <w:numPr>
          <w:ilvl w:val="0"/>
          <w:numId w:val="10"/>
        </w:numPr>
        <w:spacing w:after="0" w:line="360" w:lineRule="auto"/>
        <w:ind w:left="0" w:firstLine="709"/>
        <w:jc w:val="both"/>
        <w:rPr>
          <w:rFonts w:ascii="Times New Roman" w:hAnsi="Times New Roman" w:cs="Times New Roman"/>
          <w:color w:val="000000"/>
          <w:sz w:val="24"/>
          <w:szCs w:val="24"/>
          <w:lang w:val="ru-RU" w:bidi="ar-SA"/>
        </w:rPr>
      </w:pPr>
      <w:r w:rsidRPr="004E7E3E">
        <w:rPr>
          <w:rFonts w:ascii="Times New Roman" w:hAnsi="Times New Roman" w:cs="Times New Roman"/>
          <w:color w:val="000000"/>
          <w:sz w:val="24"/>
          <w:szCs w:val="24"/>
          <w:lang w:val="ru-RU" w:bidi="ar-SA"/>
        </w:rPr>
        <w:t>офшорный банковский сектор, обеспечивающий привлечение средств на международных и азиатских рынках капитала для финансирования азиатских стран</w:t>
      </w:r>
      <w:r>
        <w:rPr>
          <w:rFonts w:ascii="Times New Roman" w:hAnsi="Times New Roman" w:cs="Times New Roman"/>
          <w:color w:val="000000"/>
          <w:sz w:val="24"/>
          <w:szCs w:val="24"/>
          <w:lang w:val="ru-RU" w:bidi="ar-SA"/>
        </w:rPr>
        <w:t>. П</w:t>
      </w:r>
      <w:r w:rsidRPr="004E7E3E">
        <w:rPr>
          <w:rFonts w:ascii="Times New Roman" w:hAnsi="Times New Roman" w:cs="Times New Roman"/>
          <w:color w:val="000000"/>
          <w:sz w:val="24"/>
          <w:szCs w:val="24"/>
          <w:lang w:val="ru-RU" w:bidi="ar-SA"/>
        </w:rPr>
        <w:t xml:space="preserve">редставлен в Сингапуре в виде Азиатского долларового рынка (ADM), на котором действуют ACU (их активы составляют 250% ВВП); </w:t>
      </w:r>
    </w:p>
    <w:p w14:paraId="5224523E" w14:textId="77777777" w:rsidR="00DC5025" w:rsidRPr="004E7E3E" w:rsidRDefault="00DC5025" w:rsidP="00DC5025">
      <w:pPr>
        <w:pStyle w:val="af3"/>
        <w:numPr>
          <w:ilvl w:val="0"/>
          <w:numId w:val="10"/>
        </w:numPr>
        <w:spacing w:after="0" w:line="360" w:lineRule="auto"/>
        <w:ind w:left="0" w:firstLine="709"/>
        <w:jc w:val="both"/>
        <w:rPr>
          <w:rFonts w:ascii="Times New Roman" w:hAnsi="Times New Roman" w:cs="Times New Roman"/>
          <w:color w:val="000000"/>
          <w:sz w:val="24"/>
          <w:szCs w:val="24"/>
          <w:lang w:val="ru-RU" w:bidi="ar-SA"/>
        </w:rPr>
      </w:pPr>
      <w:r w:rsidRPr="004E7E3E">
        <w:rPr>
          <w:rFonts w:ascii="Times New Roman" w:hAnsi="Times New Roman" w:cs="Times New Roman"/>
          <w:color w:val="000000"/>
          <w:sz w:val="24"/>
          <w:szCs w:val="24"/>
          <w:lang w:val="ru-RU" w:bidi="ar-SA"/>
        </w:rPr>
        <w:t xml:space="preserve">рынок внебиржевых деривативов – один из крупнейших в мире рынков валютных и процентных деривативов с развитой расчетной (8-е место в мире), клиринговой и платежной системой; </w:t>
      </w:r>
    </w:p>
    <w:p w14:paraId="5674013E" w14:textId="77777777" w:rsidR="00DC5025" w:rsidRPr="004E7E3E" w:rsidRDefault="00DC5025" w:rsidP="00DC5025">
      <w:pPr>
        <w:pStyle w:val="af3"/>
        <w:numPr>
          <w:ilvl w:val="0"/>
          <w:numId w:val="10"/>
        </w:numPr>
        <w:spacing w:after="0" w:line="360" w:lineRule="auto"/>
        <w:ind w:left="0" w:firstLine="709"/>
        <w:jc w:val="both"/>
        <w:rPr>
          <w:rFonts w:ascii="Times New Roman" w:hAnsi="Times New Roman" w:cs="Times New Roman"/>
          <w:color w:val="000000"/>
          <w:sz w:val="24"/>
          <w:szCs w:val="24"/>
          <w:lang w:val="ru-RU" w:bidi="ar-SA"/>
        </w:rPr>
      </w:pPr>
      <w:r w:rsidRPr="004E7E3E">
        <w:rPr>
          <w:rFonts w:ascii="Times New Roman" w:hAnsi="Times New Roman" w:cs="Times New Roman"/>
          <w:color w:val="000000"/>
          <w:sz w:val="24"/>
          <w:szCs w:val="24"/>
          <w:lang w:val="ru-RU" w:bidi="ar-SA"/>
        </w:rPr>
        <w:t xml:space="preserve">рынок управления активами – крупнейший в Азии центр управления активами; один из крупнейших центров управления частными активами (private banking) (2-й после Швейцарии в рейтинге PWC); </w:t>
      </w:r>
    </w:p>
    <w:p w14:paraId="3B6096DE" w14:textId="77777777" w:rsidR="00DC5025" w:rsidRPr="004E7E3E" w:rsidRDefault="00DC5025" w:rsidP="00DC5025">
      <w:pPr>
        <w:pStyle w:val="af3"/>
        <w:numPr>
          <w:ilvl w:val="0"/>
          <w:numId w:val="10"/>
        </w:numPr>
        <w:spacing w:after="0" w:line="360" w:lineRule="auto"/>
        <w:ind w:left="0" w:firstLine="709"/>
        <w:jc w:val="both"/>
        <w:rPr>
          <w:rFonts w:ascii="Times New Roman" w:hAnsi="Times New Roman" w:cs="Times New Roman"/>
          <w:color w:val="000000"/>
          <w:sz w:val="24"/>
          <w:szCs w:val="24"/>
          <w:lang w:val="ru-RU" w:bidi="ar-SA"/>
        </w:rPr>
      </w:pPr>
      <w:r w:rsidRPr="004E7E3E">
        <w:rPr>
          <w:rFonts w:ascii="Times New Roman" w:hAnsi="Times New Roman" w:cs="Times New Roman"/>
          <w:color w:val="000000"/>
          <w:sz w:val="24"/>
          <w:szCs w:val="24"/>
          <w:lang w:val="ru-RU" w:bidi="ar-SA"/>
        </w:rPr>
        <w:t xml:space="preserve">страховой сектор (региональный масштаб), в том числе значительная часть офшорная – ведущий центр перестрахования в Азии (из 25 крупнейших перестраховщиков 16 </w:t>
      </w:r>
      <w:r w:rsidRPr="004E7E3E">
        <w:rPr>
          <w:rFonts w:ascii="Times New Roman" w:hAnsi="Times New Roman" w:cs="Times New Roman"/>
          <w:color w:val="000000"/>
          <w:sz w:val="24"/>
          <w:szCs w:val="24"/>
          <w:lang w:val="ru-RU" w:bidi="ar-SA"/>
        </w:rPr>
        <w:lastRenderedPageBreak/>
        <w:t xml:space="preserve">имеют региональные офисы в Сингапуре), специализированное страхование (морское, энергетическое, политические и кредитные риски); 70 страховых брокеров (4 из 5 крупнейших имеют региональные офисы в Сингапуре); </w:t>
      </w:r>
    </w:p>
    <w:p w14:paraId="03889958" w14:textId="50EAFE65" w:rsidR="00DC5025" w:rsidRPr="004E7E3E" w:rsidRDefault="00DC5025" w:rsidP="00DC5025">
      <w:pPr>
        <w:pStyle w:val="af3"/>
        <w:numPr>
          <w:ilvl w:val="0"/>
          <w:numId w:val="10"/>
        </w:numPr>
        <w:spacing w:after="0" w:line="360" w:lineRule="auto"/>
        <w:ind w:left="0" w:firstLine="709"/>
        <w:jc w:val="both"/>
        <w:rPr>
          <w:rFonts w:ascii="Times New Roman" w:hAnsi="Times New Roman" w:cs="Times New Roman"/>
          <w:color w:val="000000"/>
          <w:sz w:val="24"/>
          <w:szCs w:val="24"/>
          <w:lang w:val="ru-RU" w:bidi="ar-SA"/>
        </w:rPr>
      </w:pPr>
      <w:r w:rsidRPr="004E7E3E">
        <w:rPr>
          <w:rFonts w:ascii="Times New Roman" w:hAnsi="Times New Roman" w:cs="Times New Roman"/>
          <w:color w:val="000000"/>
          <w:sz w:val="24"/>
          <w:szCs w:val="24"/>
          <w:lang w:val="ru-RU" w:bidi="ar-SA"/>
        </w:rPr>
        <w:t>рынок расчетных форвардных контрактов в иностранных валютах (юань, корейская вона) для стран Азии (кроме Японии) [</w:t>
      </w:r>
      <w:r w:rsidRPr="004E7E3E">
        <w:rPr>
          <w:rFonts w:ascii="Times New Roman" w:hAnsi="Times New Roman" w:cs="Times New Roman"/>
          <w:color w:val="000000"/>
          <w:sz w:val="24"/>
          <w:szCs w:val="24"/>
          <w:lang w:val="ru-RU" w:bidi="ar-SA"/>
        </w:rPr>
        <w:fldChar w:fldCharType="begin"/>
      </w:r>
      <w:r w:rsidRPr="004E7E3E">
        <w:rPr>
          <w:rFonts w:ascii="Times New Roman" w:hAnsi="Times New Roman" w:cs="Times New Roman"/>
          <w:color w:val="000000"/>
          <w:sz w:val="24"/>
          <w:szCs w:val="24"/>
          <w:lang w:val="ru-RU" w:bidi="ar-SA"/>
        </w:rPr>
        <w:instrText xml:space="preserve"> REF _Ref498686162 \r \h  \* MERGEFORMAT </w:instrText>
      </w:r>
      <w:r w:rsidRPr="004E7E3E">
        <w:rPr>
          <w:rFonts w:ascii="Times New Roman" w:hAnsi="Times New Roman" w:cs="Times New Roman"/>
          <w:color w:val="000000"/>
          <w:sz w:val="24"/>
          <w:szCs w:val="24"/>
          <w:lang w:val="ru-RU" w:bidi="ar-SA"/>
        </w:rPr>
      </w:r>
      <w:r w:rsidRPr="004E7E3E">
        <w:rPr>
          <w:rFonts w:ascii="Times New Roman" w:hAnsi="Times New Roman" w:cs="Times New Roman"/>
          <w:color w:val="000000"/>
          <w:sz w:val="24"/>
          <w:szCs w:val="24"/>
          <w:lang w:val="ru-RU" w:bidi="ar-SA"/>
        </w:rPr>
        <w:fldChar w:fldCharType="separate"/>
      </w:r>
      <w:r w:rsidR="00801D78">
        <w:rPr>
          <w:rFonts w:ascii="Times New Roman" w:hAnsi="Times New Roman" w:cs="Times New Roman"/>
          <w:color w:val="000000"/>
          <w:sz w:val="24"/>
          <w:szCs w:val="24"/>
          <w:lang w:val="ru-RU" w:bidi="ar-SA"/>
        </w:rPr>
        <w:t>137</w:t>
      </w:r>
      <w:r w:rsidRPr="004E7E3E">
        <w:rPr>
          <w:rFonts w:ascii="Times New Roman" w:hAnsi="Times New Roman" w:cs="Times New Roman"/>
          <w:color w:val="000000"/>
          <w:sz w:val="24"/>
          <w:szCs w:val="24"/>
          <w:lang w:val="ru-RU" w:bidi="ar-SA"/>
        </w:rPr>
        <w:fldChar w:fldCharType="end"/>
      </w:r>
      <w:r w:rsidRPr="004E7E3E">
        <w:rPr>
          <w:rFonts w:ascii="Times New Roman" w:hAnsi="Times New Roman" w:cs="Times New Roman"/>
          <w:color w:val="000000"/>
          <w:sz w:val="24"/>
          <w:szCs w:val="24"/>
          <w:lang w:val="ru-RU" w:bidi="ar-SA"/>
        </w:rPr>
        <w:t>, 242-243].</w:t>
      </w:r>
    </w:p>
    <w:p w14:paraId="2A6F7E84" w14:textId="250E5DD2" w:rsidR="00DC5025" w:rsidRPr="004E7E3E" w:rsidRDefault="00DC5025" w:rsidP="00DC5025">
      <w:pPr>
        <w:spacing w:after="0" w:line="360" w:lineRule="auto"/>
        <w:ind w:firstLine="709"/>
        <w:contextualSpacing/>
        <w:jc w:val="both"/>
        <w:rPr>
          <w:rFonts w:ascii="Times New Roman" w:hAnsi="Times New Roman" w:cs="Times New Roman"/>
          <w:color w:val="000000"/>
          <w:sz w:val="24"/>
          <w:szCs w:val="24"/>
          <w:lang w:val="ru-RU" w:bidi="ar-SA"/>
        </w:rPr>
      </w:pPr>
      <w:r w:rsidRPr="004E7E3E">
        <w:rPr>
          <w:rFonts w:ascii="Times New Roman" w:hAnsi="Times New Roman" w:cs="Times New Roman"/>
          <w:color w:val="000000"/>
          <w:sz w:val="24"/>
          <w:szCs w:val="24"/>
          <w:lang w:val="ru-RU" w:bidi="ar-SA"/>
        </w:rPr>
        <w:t xml:space="preserve">Кроме того, Сингапур на протяжении ряда лет лидирует по индексу легкости ведения бизнеса Всемирного банка и глобальному индексу инновационного развития Бостонской консалтинговой группы, Национальной ассоциации производителей и Института производства США. </w:t>
      </w:r>
      <w:r>
        <w:rPr>
          <w:rFonts w:ascii="Times New Roman" w:hAnsi="Times New Roman" w:cs="Times New Roman"/>
          <w:color w:val="000000"/>
          <w:sz w:val="24"/>
          <w:szCs w:val="24"/>
          <w:lang w:val="ru-RU" w:bidi="ar-SA"/>
        </w:rPr>
        <w:t>В</w:t>
      </w:r>
      <w:r w:rsidRPr="004E7E3E">
        <w:rPr>
          <w:rFonts w:ascii="Times New Roman" w:hAnsi="Times New Roman" w:cs="Times New Roman"/>
          <w:color w:val="000000"/>
          <w:sz w:val="24"/>
          <w:szCs w:val="24"/>
          <w:lang w:val="ru-RU" w:bidi="ar-SA"/>
        </w:rPr>
        <w:t xml:space="preserve"> 2011 г</w:t>
      </w:r>
      <w:r>
        <w:rPr>
          <w:rFonts w:ascii="Times New Roman" w:hAnsi="Times New Roman" w:cs="Times New Roman"/>
          <w:color w:val="000000"/>
          <w:sz w:val="24"/>
          <w:szCs w:val="24"/>
          <w:lang w:val="ru-RU" w:bidi="ar-SA"/>
        </w:rPr>
        <w:t>оду о</w:t>
      </w:r>
      <w:r w:rsidRPr="004E7E3E">
        <w:rPr>
          <w:rFonts w:ascii="Times New Roman" w:hAnsi="Times New Roman" w:cs="Times New Roman"/>
          <w:color w:val="000000"/>
          <w:sz w:val="24"/>
          <w:szCs w:val="24"/>
          <w:lang w:val="ru-RU" w:bidi="ar-SA"/>
        </w:rPr>
        <w:t>н занимал 3-е место по глобальному инновационному индексу международного исследовательского института INSEAD (Франция) и в рейтинге глобальной конкурентоспособности 2010</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lang w:val="ru-RU" w:bidi="ar-SA"/>
        </w:rPr>
        <w:t>2011 гг. Всемирного экономического форума (г. Давос). Сингапур лидирует в мире по официальным международным резервам. Благоприятный инвестиционный климат привлекает в страну иностранные капиталы. Чистые прямые иностранные инвестиции (разница между ввозом и вывозом капитала) в 2010 г. составили 35,1% ВВП [</w:t>
      </w:r>
      <w:r w:rsidRPr="004E7E3E">
        <w:rPr>
          <w:rFonts w:ascii="Times New Roman" w:hAnsi="Times New Roman" w:cs="Times New Roman"/>
          <w:color w:val="000000"/>
          <w:sz w:val="24"/>
          <w:szCs w:val="24"/>
          <w:lang w:bidi="ar-SA"/>
        </w:rPr>
        <w:fldChar w:fldCharType="begin"/>
      </w:r>
      <w:r w:rsidRPr="004E7E3E">
        <w:rPr>
          <w:rFonts w:ascii="Times New Roman" w:hAnsi="Times New Roman" w:cs="Times New Roman"/>
          <w:color w:val="000000"/>
          <w:sz w:val="24"/>
          <w:szCs w:val="24"/>
          <w:lang w:val="ru-RU" w:bidi="ar-SA"/>
        </w:rPr>
        <w:instrText xml:space="preserve"> </w:instrText>
      </w:r>
      <w:r w:rsidRPr="004E7E3E">
        <w:rPr>
          <w:rFonts w:ascii="Times New Roman" w:hAnsi="Times New Roman" w:cs="Times New Roman"/>
          <w:color w:val="000000"/>
          <w:sz w:val="24"/>
          <w:szCs w:val="24"/>
          <w:lang w:bidi="ar-SA"/>
        </w:rPr>
        <w:instrText>REF</w:instrText>
      </w:r>
      <w:r w:rsidRPr="004E7E3E">
        <w:rPr>
          <w:rFonts w:ascii="Times New Roman" w:hAnsi="Times New Roman" w:cs="Times New Roman"/>
          <w:color w:val="000000"/>
          <w:sz w:val="24"/>
          <w:szCs w:val="24"/>
          <w:lang w:val="ru-RU" w:bidi="ar-SA"/>
        </w:rPr>
        <w:instrText xml:space="preserve"> _</w:instrText>
      </w:r>
      <w:r w:rsidRPr="004E7E3E">
        <w:rPr>
          <w:rFonts w:ascii="Times New Roman" w:hAnsi="Times New Roman" w:cs="Times New Roman"/>
          <w:color w:val="000000"/>
          <w:sz w:val="24"/>
          <w:szCs w:val="24"/>
          <w:lang w:bidi="ar-SA"/>
        </w:rPr>
        <w:instrText>Ref</w:instrText>
      </w:r>
      <w:r w:rsidRPr="004E7E3E">
        <w:rPr>
          <w:rFonts w:ascii="Times New Roman" w:hAnsi="Times New Roman" w:cs="Times New Roman"/>
          <w:color w:val="000000"/>
          <w:sz w:val="24"/>
          <w:szCs w:val="24"/>
          <w:lang w:val="ru-RU" w:bidi="ar-SA"/>
        </w:rPr>
        <w:instrText>498619482 \</w:instrText>
      </w:r>
      <w:r w:rsidRPr="004E7E3E">
        <w:rPr>
          <w:rFonts w:ascii="Times New Roman" w:hAnsi="Times New Roman" w:cs="Times New Roman"/>
          <w:color w:val="000000"/>
          <w:sz w:val="24"/>
          <w:szCs w:val="24"/>
          <w:lang w:bidi="ar-SA"/>
        </w:rPr>
        <w:instrText>r</w:instrText>
      </w:r>
      <w:r w:rsidRPr="004E7E3E">
        <w:rPr>
          <w:rFonts w:ascii="Times New Roman" w:hAnsi="Times New Roman" w:cs="Times New Roman"/>
          <w:color w:val="000000"/>
          <w:sz w:val="24"/>
          <w:szCs w:val="24"/>
          <w:lang w:val="ru-RU" w:bidi="ar-SA"/>
        </w:rPr>
        <w:instrText xml:space="preserve"> \</w:instrText>
      </w:r>
      <w:r w:rsidRPr="004E7E3E">
        <w:rPr>
          <w:rFonts w:ascii="Times New Roman" w:hAnsi="Times New Roman" w:cs="Times New Roman"/>
          <w:color w:val="000000"/>
          <w:sz w:val="24"/>
          <w:szCs w:val="24"/>
          <w:lang w:bidi="ar-SA"/>
        </w:rPr>
        <w:instrText>h</w:instrText>
      </w:r>
      <w:r w:rsidRPr="004E7E3E">
        <w:rPr>
          <w:rFonts w:ascii="Times New Roman" w:hAnsi="Times New Roman" w:cs="Times New Roman"/>
          <w:color w:val="000000"/>
          <w:sz w:val="24"/>
          <w:szCs w:val="24"/>
          <w:lang w:val="ru-RU" w:bidi="ar-SA"/>
        </w:rPr>
        <w:instrText xml:space="preserve">  \* </w:instrText>
      </w:r>
      <w:r w:rsidRPr="004E7E3E">
        <w:rPr>
          <w:rFonts w:ascii="Times New Roman" w:hAnsi="Times New Roman" w:cs="Times New Roman"/>
          <w:color w:val="000000"/>
          <w:sz w:val="24"/>
          <w:szCs w:val="24"/>
          <w:lang w:bidi="ar-SA"/>
        </w:rPr>
        <w:instrText>MERGEFORMAT</w:instrText>
      </w:r>
      <w:r w:rsidRPr="004E7E3E">
        <w:rPr>
          <w:rFonts w:ascii="Times New Roman" w:hAnsi="Times New Roman" w:cs="Times New Roman"/>
          <w:color w:val="000000"/>
          <w:sz w:val="24"/>
          <w:szCs w:val="24"/>
          <w:lang w:val="ru-RU" w:bidi="ar-SA"/>
        </w:rPr>
        <w:instrText xml:space="preserve"> </w:instrText>
      </w:r>
      <w:r w:rsidRPr="004E7E3E">
        <w:rPr>
          <w:rFonts w:ascii="Times New Roman" w:hAnsi="Times New Roman" w:cs="Times New Roman"/>
          <w:color w:val="000000"/>
          <w:sz w:val="24"/>
          <w:szCs w:val="24"/>
          <w:lang w:bidi="ar-SA"/>
        </w:rPr>
      </w:r>
      <w:r w:rsidRPr="004E7E3E">
        <w:rPr>
          <w:rFonts w:ascii="Times New Roman" w:hAnsi="Times New Roman" w:cs="Times New Roman"/>
          <w:color w:val="000000"/>
          <w:sz w:val="24"/>
          <w:szCs w:val="24"/>
          <w:lang w:bidi="ar-SA"/>
        </w:rPr>
        <w:fldChar w:fldCharType="separate"/>
      </w:r>
      <w:r w:rsidR="00801D78" w:rsidRPr="00801D78">
        <w:rPr>
          <w:rFonts w:ascii="Times New Roman" w:hAnsi="Times New Roman" w:cs="Times New Roman"/>
          <w:color w:val="000000"/>
          <w:sz w:val="24"/>
          <w:szCs w:val="24"/>
          <w:lang w:val="ru-RU" w:bidi="ar-SA"/>
        </w:rPr>
        <w:t>100</w:t>
      </w:r>
      <w:r w:rsidRPr="004E7E3E">
        <w:rPr>
          <w:rFonts w:ascii="Times New Roman" w:hAnsi="Times New Roman" w:cs="Times New Roman"/>
          <w:color w:val="000000"/>
          <w:sz w:val="24"/>
          <w:szCs w:val="24"/>
          <w:lang w:bidi="ar-SA"/>
        </w:rPr>
        <w:fldChar w:fldCharType="end"/>
      </w:r>
      <w:r w:rsidRPr="004E7E3E">
        <w:rPr>
          <w:rFonts w:ascii="Times New Roman" w:hAnsi="Times New Roman" w:cs="Times New Roman"/>
          <w:color w:val="000000"/>
          <w:sz w:val="24"/>
          <w:szCs w:val="24"/>
          <w:lang w:val="ru-RU" w:bidi="ar-SA"/>
        </w:rPr>
        <w:t xml:space="preserve">, </w:t>
      </w:r>
      <w:r w:rsidRPr="004E7E3E">
        <w:rPr>
          <w:rFonts w:ascii="Times New Roman" w:hAnsi="Times New Roman" w:cs="Times New Roman"/>
          <w:color w:val="000000"/>
          <w:sz w:val="24"/>
          <w:szCs w:val="24"/>
          <w:lang w:bidi="ar-SA"/>
        </w:rPr>
        <w:t>c</w:t>
      </w:r>
      <w:r w:rsidRPr="004E7E3E">
        <w:rPr>
          <w:rFonts w:ascii="Times New Roman" w:hAnsi="Times New Roman" w:cs="Times New Roman"/>
          <w:color w:val="000000"/>
          <w:sz w:val="24"/>
          <w:szCs w:val="24"/>
          <w:lang w:val="ru-RU" w:bidi="ar-SA"/>
        </w:rPr>
        <w:t>. 38]</w:t>
      </w:r>
      <w:r>
        <w:rPr>
          <w:rFonts w:ascii="Times New Roman" w:hAnsi="Times New Roman" w:cs="Times New Roman"/>
          <w:color w:val="000000"/>
          <w:sz w:val="24"/>
          <w:szCs w:val="24"/>
          <w:lang w:val="ru-RU" w:bidi="ar-SA"/>
        </w:rPr>
        <w:t>.</w:t>
      </w:r>
    </w:p>
    <w:p w14:paraId="1255549D"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eastAsia="zh-CN"/>
        </w:rPr>
      </w:pPr>
      <w:r w:rsidRPr="004E7E3E">
        <w:rPr>
          <w:rFonts w:ascii="Times New Roman" w:hAnsi="Times New Roman" w:cs="Times New Roman"/>
          <w:color w:val="000000"/>
          <w:sz w:val="24"/>
          <w:szCs w:val="24"/>
          <w:shd w:val="clear" w:color="auto" w:fill="FFFFFF"/>
          <w:lang w:val="ru-RU" w:eastAsia="zh-CN"/>
        </w:rPr>
        <w:t xml:space="preserve">Мультиполярность системы бамбуковой сети подразумевает не только двунаправленное сотрудничество «КНР» </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eastAsia="zh-CN"/>
        </w:rPr>
        <w:t xml:space="preserve"> другие «синофоны» (Гонконг, Сингапур, Тайвань, китайские диаспоры), но и взаимодействие между «китайскими» акторами без участия КНР. Некоторые исследователи считают, что сейчас есть три глобальных финансовых центра: Нью-Йорк, Лондон и единый азиатский центр в виде тандема Гонконга и Сингапура. Объедин</w:t>
      </w:r>
      <w:r>
        <w:rPr>
          <w:rFonts w:ascii="Times New Roman" w:hAnsi="Times New Roman" w:cs="Times New Roman"/>
          <w:color w:val="000000"/>
          <w:sz w:val="24"/>
          <w:szCs w:val="24"/>
          <w:shd w:val="clear" w:color="auto" w:fill="FFFFFF"/>
          <w:lang w:val="ru-RU" w:eastAsia="zh-CN"/>
        </w:rPr>
        <w:t>ив</w:t>
      </w:r>
      <w:r w:rsidRPr="004E7E3E">
        <w:rPr>
          <w:rFonts w:ascii="Times New Roman" w:hAnsi="Times New Roman" w:cs="Times New Roman"/>
          <w:color w:val="000000"/>
          <w:sz w:val="24"/>
          <w:szCs w:val="24"/>
          <w:shd w:val="clear" w:color="auto" w:fill="FFFFFF"/>
          <w:lang w:val="ru-RU" w:eastAsia="zh-CN"/>
        </w:rPr>
        <w:t xml:space="preserve"> усилия</w:t>
      </w:r>
      <w:r>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eastAsia="zh-CN"/>
        </w:rPr>
        <w:t xml:space="preserve"> азиатский тандем может соперничать с англосаксонскими и европейскими финансовыми центрами. Хотя в Гонконге и Сингапуре осуществляются все виды финансовых операций: </w:t>
      </w:r>
      <w:r w:rsidRPr="004E7E3E">
        <w:rPr>
          <w:rFonts w:ascii="Times New Roman" w:hAnsi="Times New Roman" w:cs="Times New Roman"/>
          <w:color w:val="000000"/>
          <w:sz w:val="24"/>
          <w:szCs w:val="24"/>
          <w:shd w:val="clear" w:color="auto" w:fill="FFFFFF"/>
          <w:lang w:eastAsia="zh-CN"/>
        </w:rPr>
        <w:t>IPO</w:t>
      </w:r>
      <w:r w:rsidRPr="004E7E3E">
        <w:rPr>
          <w:rFonts w:ascii="Times New Roman" w:hAnsi="Times New Roman" w:cs="Times New Roman"/>
          <w:color w:val="000000"/>
          <w:sz w:val="24"/>
          <w:szCs w:val="24"/>
          <w:shd w:val="clear" w:color="auto" w:fill="FFFFFF"/>
          <w:lang w:val="ru-RU" w:eastAsia="zh-CN"/>
        </w:rPr>
        <w:t xml:space="preserve">, валютный трейдинг, юридические, аудиторские услуги и т. д., </w:t>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eastAsia="zh-CN"/>
        </w:rPr>
        <w:t xml:space="preserve">есть представление, что Гонконг больше специализируется на работе с акциями, а Сингапур на операциях с валютой. В то же время в тандеме постоянно происходит внутренняя конкуренция за госактивы из КНР, за деньги западных компаний, решивших расширить сферу своей деятельности на азиатский регион: в Сингапуре растёт число </w:t>
      </w:r>
      <w:r w:rsidRPr="004E7E3E">
        <w:rPr>
          <w:rFonts w:ascii="Times New Roman" w:hAnsi="Times New Roman" w:cs="Times New Roman"/>
          <w:color w:val="000000"/>
          <w:sz w:val="24"/>
          <w:szCs w:val="24"/>
          <w:shd w:val="clear" w:color="auto" w:fill="FFFFFF"/>
          <w:lang w:eastAsia="zh-CN"/>
        </w:rPr>
        <w:t>IPO</w:t>
      </w:r>
      <w:r w:rsidRPr="004E7E3E">
        <w:rPr>
          <w:rFonts w:ascii="Times New Roman" w:hAnsi="Times New Roman" w:cs="Times New Roman"/>
          <w:color w:val="000000"/>
          <w:sz w:val="24"/>
          <w:szCs w:val="24"/>
          <w:shd w:val="clear" w:color="auto" w:fill="FFFFFF"/>
          <w:lang w:val="ru-RU" w:eastAsia="zh-CN"/>
        </w:rPr>
        <w:t>, Гонконг расширяет спектр финансовых операций с китайским юанем, центры попеременно занимают 3-4 строчки в рейтингах. Маркетинговые программы по продвижению своих городов в мире перекликаются: Гонконг называет себя “</w:t>
      </w:r>
      <w:r w:rsidRPr="004E7E3E">
        <w:rPr>
          <w:rFonts w:ascii="Times New Roman" w:hAnsi="Times New Roman" w:cs="Times New Roman"/>
          <w:color w:val="000000"/>
          <w:sz w:val="24"/>
          <w:szCs w:val="24"/>
          <w:shd w:val="clear" w:color="auto" w:fill="FFFFFF"/>
          <w:lang w:eastAsia="zh-CN"/>
        </w:rPr>
        <w:t>Asia</w:t>
      </w:r>
      <w:r w:rsidRPr="004E7E3E">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eastAsia="zh-CN"/>
        </w:rPr>
        <w:t>s</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World</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City</w:t>
      </w:r>
      <w:r w:rsidRPr="004E7E3E">
        <w:rPr>
          <w:rFonts w:ascii="Times New Roman" w:hAnsi="Times New Roman" w:cs="Times New Roman"/>
          <w:color w:val="000000"/>
          <w:sz w:val="24"/>
          <w:szCs w:val="24"/>
          <w:shd w:val="clear" w:color="auto" w:fill="FFFFFF"/>
          <w:lang w:val="ru-RU" w:eastAsia="zh-CN"/>
        </w:rPr>
        <w:t>” («мировой город Азии»), Сингапур – “</w:t>
      </w:r>
      <w:r w:rsidRPr="004E7E3E">
        <w:rPr>
          <w:rFonts w:ascii="Times New Roman" w:hAnsi="Times New Roman" w:cs="Times New Roman"/>
          <w:color w:val="000000"/>
          <w:sz w:val="24"/>
          <w:szCs w:val="24"/>
          <w:shd w:val="clear" w:color="auto" w:fill="FFFFFF"/>
          <w:lang w:eastAsia="zh-CN"/>
        </w:rPr>
        <w:t>Asia</w:t>
      </w:r>
      <w:r w:rsidRPr="004E7E3E">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eastAsia="zh-CN"/>
        </w:rPr>
        <w:t>s</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Global</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City</w:t>
      </w:r>
      <w:r w:rsidRPr="004E7E3E">
        <w:rPr>
          <w:rFonts w:ascii="Times New Roman" w:hAnsi="Times New Roman" w:cs="Times New Roman"/>
          <w:color w:val="000000"/>
          <w:sz w:val="24"/>
          <w:szCs w:val="24"/>
          <w:shd w:val="clear" w:color="auto" w:fill="FFFFFF"/>
          <w:lang w:val="ru-RU" w:eastAsia="zh-CN"/>
        </w:rPr>
        <w:t>” («глобальный город Азии»). Тайбэю пока не угнаться за этим тандемом</w:t>
      </w:r>
      <w:r>
        <w:rPr>
          <w:rFonts w:ascii="Times New Roman" w:hAnsi="Times New Roman" w:cs="Times New Roman"/>
          <w:color w:val="000000"/>
          <w:sz w:val="24"/>
          <w:szCs w:val="24"/>
          <w:shd w:val="clear" w:color="auto" w:fill="FFFFFF"/>
          <w:lang w:val="ru-RU" w:eastAsia="zh-CN"/>
        </w:rPr>
        <w:t>, н</w:t>
      </w:r>
      <w:r w:rsidRPr="004E7E3E">
        <w:rPr>
          <w:rFonts w:ascii="Times New Roman" w:hAnsi="Times New Roman" w:cs="Times New Roman"/>
          <w:color w:val="000000"/>
          <w:sz w:val="24"/>
          <w:szCs w:val="24"/>
          <w:shd w:val="clear" w:color="auto" w:fill="FFFFFF"/>
          <w:lang w:val="ru-RU" w:eastAsia="zh-CN"/>
        </w:rPr>
        <w:t xml:space="preserve">о в аэропорту </w:t>
      </w:r>
      <w:r>
        <w:rPr>
          <w:rFonts w:ascii="Times New Roman" w:hAnsi="Times New Roman" w:cs="Times New Roman"/>
          <w:color w:val="000000"/>
          <w:sz w:val="24"/>
          <w:szCs w:val="24"/>
          <w:shd w:val="clear" w:color="auto" w:fill="FFFFFF"/>
          <w:lang w:val="ru-RU" w:eastAsia="zh-CN"/>
        </w:rPr>
        <w:t>этого города</w:t>
      </w:r>
      <w:r w:rsidRPr="004E7E3E">
        <w:rPr>
          <w:rFonts w:ascii="Times New Roman" w:hAnsi="Times New Roman" w:cs="Times New Roman"/>
          <w:color w:val="000000"/>
          <w:sz w:val="24"/>
          <w:szCs w:val="24"/>
          <w:shd w:val="clear" w:color="auto" w:fill="FFFFFF"/>
          <w:lang w:val="ru-RU" w:eastAsia="zh-CN"/>
        </w:rPr>
        <w:t xml:space="preserve"> вы увидите девиз “</w:t>
      </w:r>
      <w:r w:rsidRPr="004E7E3E">
        <w:rPr>
          <w:rFonts w:ascii="Times New Roman" w:hAnsi="Times New Roman" w:cs="Times New Roman"/>
          <w:color w:val="000000"/>
          <w:sz w:val="24"/>
          <w:szCs w:val="24"/>
          <w:shd w:val="clear" w:color="auto" w:fill="FFFFFF"/>
          <w:lang w:eastAsia="zh-CN"/>
        </w:rPr>
        <w:t>Taiwan</w:t>
      </w:r>
      <w:r w:rsidRPr="004E7E3E">
        <w:rPr>
          <w:rFonts w:ascii="Times New Roman" w:hAnsi="Times New Roman" w:cs="Times New Roman"/>
          <w:color w:val="000000"/>
          <w:sz w:val="24"/>
          <w:szCs w:val="24"/>
          <w:shd w:val="clear" w:color="auto" w:fill="FFFFFF"/>
          <w:lang w:val="ru-RU" w:eastAsia="zh-CN"/>
        </w:rPr>
        <w:t xml:space="preserve"> – </w:t>
      </w:r>
      <w:r w:rsidRPr="004E7E3E">
        <w:rPr>
          <w:rFonts w:ascii="Times New Roman" w:hAnsi="Times New Roman" w:cs="Times New Roman"/>
          <w:color w:val="000000"/>
          <w:sz w:val="24"/>
          <w:szCs w:val="24"/>
          <w:shd w:val="clear" w:color="auto" w:fill="FFFFFF"/>
          <w:lang w:eastAsia="zh-CN"/>
        </w:rPr>
        <w:t>the</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Heart</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of</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Asia</w:t>
      </w:r>
      <w:r w:rsidRPr="004E7E3E">
        <w:rPr>
          <w:rFonts w:ascii="Times New Roman" w:hAnsi="Times New Roman" w:cs="Times New Roman"/>
          <w:color w:val="000000"/>
          <w:sz w:val="24"/>
          <w:szCs w:val="24"/>
          <w:shd w:val="clear" w:color="auto" w:fill="FFFFFF"/>
          <w:lang w:val="ru-RU" w:eastAsia="zh-CN"/>
        </w:rPr>
        <w:t xml:space="preserve">” («Тайвань – сердце Азии»). </w:t>
      </w:r>
    </w:p>
    <w:p w14:paraId="6E9BC986"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eastAsia="zh-CN"/>
        </w:rPr>
      </w:pPr>
      <w:r w:rsidRPr="004E7E3E">
        <w:rPr>
          <w:rFonts w:ascii="Times New Roman" w:hAnsi="Times New Roman" w:cs="Times New Roman"/>
          <w:color w:val="000000"/>
          <w:sz w:val="24"/>
          <w:szCs w:val="24"/>
          <w:shd w:val="clear" w:color="auto" w:fill="FFFFFF"/>
          <w:lang w:val="ru-RU" w:eastAsia="zh-CN"/>
        </w:rPr>
        <w:t xml:space="preserve">Наблюдается также сотрудничество на политическом уровне. Сингапурские власти всегда старались сохранять хорошие отношения с властями Тайваня, несмотря его взаимоотношения с </w:t>
      </w:r>
      <w:r w:rsidRPr="004E7E3E">
        <w:rPr>
          <w:rFonts w:ascii="Times New Roman" w:hAnsi="Times New Roman" w:cs="Times New Roman"/>
          <w:color w:val="000000"/>
          <w:sz w:val="24"/>
          <w:szCs w:val="24"/>
          <w:shd w:val="clear" w:color="auto" w:fill="FFFFFF"/>
          <w:lang w:val="ru-RU" w:eastAsia="zh-CN"/>
        </w:rPr>
        <w:lastRenderedPageBreak/>
        <w:t xml:space="preserve">народной республикой. Сингапур имеет свою военную базу на Тайване и ежегодно проводит там учения в связи с дефицитом собственных территорий. </w:t>
      </w:r>
    </w:p>
    <w:p w14:paraId="698F0640" w14:textId="430C5374"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Ещё одним заметным элементом «Большого Китая» являются </w:t>
      </w:r>
      <w:r w:rsidRPr="004E7E3E">
        <w:rPr>
          <w:rFonts w:ascii="Times New Roman" w:hAnsi="Times New Roman" w:cs="Times New Roman"/>
          <w:b/>
          <w:color w:val="000000"/>
          <w:sz w:val="24"/>
          <w:szCs w:val="24"/>
          <w:shd w:val="clear" w:color="auto" w:fill="FFFFFF"/>
          <w:lang w:val="ru-RU"/>
        </w:rPr>
        <w:t>китайские диаспоры</w:t>
      </w:r>
      <w:r w:rsidRPr="004E7E3E">
        <w:rPr>
          <w:rFonts w:ascii="Times New Roman" w:hAnsi="Times New Roman" w:cs="Times New Roman"/>
          <w:color w:val="000000"/>
          <w:sz w:val="24"/>
          <w:szCs w:val="24"/>
          <w:shd w:val="clear" w:color="auto" w:fill="FFFFFF"/>
          <w:lang w:val="ru-RU"/>
        </w:rPr>
        <w:t xml:space="preserve">, разбросанные по всему миру и получившие общее название «чайна-тауны» (от англ. </w:t>
      </w:r>
      <w:r w:rsidRPr="004E7E3E">
        <w:rPr>
          <w:rFonts w:ascii="Times New Roman" w:hAnsi="Times New Roman" w:cs="Times New Roman"/>
          <w:color w:val="000000"/>
          <w:sz w:val="24"/>
          <w:szCs w:val="24"/>
          <w:shd w:val="clear" w:color="auto" w:fill="FFFFFF"/>
        </w:rPr>
        <w:t>China</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town</w:t>
      </w:r>
      <w:r w:rsidRPr="004E7E3E">
        <w:rPr>
          <w:rFonts w:ascii="Times New Roman" w:hAnsi="Times New Roman" w:cs="Times New Roman"/>
          <w:color w:val="000000"/>
          <w:sz w:val="24"/>
          <w:szCs w:val="24"/>
          <w:shd w:val="clear" w:color="auto" w:fill="FFFFFF"/>
          <w:lang w:val="ru-RU"/>
        </w:rPr>
        <w:t xml:space="preserve"> – дословно «китай-город»). Лучше всего это явление изучено на примере «чайна-таунов» в США и Европе. Мы использовали данные магистерской диссертации выпускницы факультета международных отношений С</w:t>
      </w:r>
      <w:r w:rsidR="00267F2A">
        <w:rPr>
          <w:rFonts w:ascii="Times New Roman" w:hAnsi="Times New Roman" w:cs="Times New Roman"/>
          <w:color w:val="000000"/>
          <w:sz w:val="24"/>
          <w:szCs w:val="24"/>
          <w:shd w:val="clear" w:color="auto" w:fill="FFFFFF"/>
          <w:lang w:val="ru-RU"/>
        </w:rPr>
        <w:t>П</w:t>
      </w:r>
      <w:r w:rsidRPr="004E7E3E">
        <w:rPr>
          <w:rFonts w:ascii="Times New Roman" w:hAnsi="Times New Roman" w:cs="Times New Roman"/>
          <w:color w:val="000000"/>
          <w:sz w:val="24"/>
          <w:szCs w:val="24"/>
          <w:shd w:val="clear" w:color="auto" w:fill="FFFFFF"/>
          <w:lang w:val="ru-RU"/>
        </w:rPr>
        <w:t>бГУ Прошиной Ю. А. Петербургская исследовательница пишет, что «чайна-</w:t>
      </w:r>
      <w:proofErr w:type="spellStart"/>
      <w:r w:rsidRPr="004E7E3E">
        <w:rPr>
          <w:rFonts w:ascii="Times New Roman" w:hAnsi="Times New Roman" w:cs="Times New Roman"/>
          <w:color w:val="000000"/>
          <w:sz w:val="24"/>
          <w:szCs w:val="24"/>
          <w:shd w:val="clear" w:color="auto" w:fill="FFFFFF"/>
          <w:lang w:val="ru-RU"/>
        </w:rPr>
        <w:t>таун</w:t>
      </w:r>
      <w:proofErr w:type="spellEnd"/>
      <w:r w:rsidRPr="004E7E3E">
        <w:rPr>
          <w:rFonts w:ascii="Times New Roman" w:hAnsi="Times New Roman" w:cs="Times New Roman"/>
          <w:color w:val="000000"/>
          <w:sz w:val="24"/>
          <w:szCs w:val="24"/>
          <w:shd w:val="clear" w:color="auto" w:fill="FFFFFF"/>
          <w:lang w:val="ru-RU"/>
        </w:rPr>
        <w:t>» – это один из видов диаспоры, который является формой интеграции иммигрантов в принимающее общество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_Ref459294641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110</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Для китайской диаспоры характерна </w:t>
      </w:r>
      <w:proofErr w:type="spellStart"/>
      <w:r w:rsidRPr="004E7E3E">
        <w:rPr>
          <w:rFonts w:ascii="Times New Roman" w:hAnsi="Times New Roman" w:cs="Times New Roman"/>
          <w:color w:val="000000"/>
          <w:sz w:val="24"/>
          <w:szCs w:val="24"/>
          <w:shd w:val="clear" w:color="auto" w:fill="FFFFFF"/>
          <w:lang w:val="ru-RU"/>
        </w:rPr>
        <w:t>б</w:t>
      </w:r>
      <w:r w:rsidR="00267F2A">
        <w:rPr>
          <w:rFonts w:ascii="Times New Roman" w:hAnsi="Times New Roman" w:cs="Times New Roman"/>
          <w:color w:val="000000"/>
          <w:sz w:val="24"/>
          <w:szCs w:val="24"/>
          <w:shd w:val="clear" w:color="auto" w:fill="FFFFFF"/>
          <w:lang w:val="ru-RU"/>
        </w:rPr>
        <w:t>ó</w:t>
      </w:r>
      <w:r w:rsidRPr="004E7E3E">
        <w:rPr>
          <w:rFonts w:ascii="Times New Roman" w:hAnsi="Times New Roman" w:cs="Times New Roman"/>
          <w:color w:val="000000"/>
          <w:sz w:val="24"/>
          <w:szCs w:val="24"/>
          <w:shd w:val="clear" w:color="auto" w:fill="FFFFFF"/>
          <w:lang w:val="ru-RU"/>
        </w:rPr>
        <w:t>льшая</w:t>
      </w:r>
      <w:proofErr w:type="spellEnd"/>
      <w:r w:rsidRPr="004E7E3E">
        <w:rPr>
          <w:rFonts w:ascii="Times New Roman" w:hAnsi="Times New Roman" w:cs="Times New Roman"/>
          <w:color w:val="000000"/>
          <w:sz w:val="24"/>
          <w:szCs w:val="24"/>
          <w:shd w:val="clear" w:color="auto" w:fill="FFFFFF"/>
          <w:lang w:val="ru-RU"/>
        </w:rPr>
        <w:t xml:space="preserve"> внутренняя изолированность, чем для аналогичных образований других культур. В исследовании Прошиной Ю. А</w:t>
      </w:r>
      <w:r>
        <w:rPr>
          <w:rFonts w:ascii="Times New Roman" w:hAnsi="Times New Roman" w:cs="Times New Roman"/>
          <w:color w:val="000000"/>
          <w:sz w:val="24"/>
          <w:szCs w:val="24"/>
          <w:shd w:val="clear" w:color="auto" w:fill="FFFFFF"/>
          <w:lang w:val="ru-RU"/>
        </w:rPr>
        <w:t>. сделано</w:t>
      </w:r>
      <w:r w:rsidRPr="004E7E3E">
        <w:rPr>
          <w:rFonts w:ascii="Times New Roman" w:hAnsi="Times New Roman" w:cs="Times New Roman"/>
          <w:color w:val="000000"/>
          <w:sz w:val="24"/>
          <w:szCs w:val="24"/>
          <w:shd w:val="clear" w:color="auto" w:fill="FFFFFF"/>
          <w:lang w:val="ru-RU"/>
        </w:rPr>
        <w:t xml:space="preserve"> интересное наблюдение: </w:t>
      </w:r>
      <w:r w:rsidRPr="004E7E3E">
        <w:rPr>
          <w:rFonts w:ascii="Times New Roman" w:hAnsi="Times New Roman" w:cs="Times New Roman"/>
          <w:sz w:val="24"/>
          <w:szCs w:val="24"/>
          <w:lang w:val="ru-RU"/>
        </w:rPr>
        <w:t xml:space="preserve">подавляющее число китайцев занято в ресторанном бизнесе, который возглавляется мелкими предпринимателями-иммигрантами, </w:t>
      </w:r>
      <w:r>
        <w:rPr>
          <w:rFonts w:ascii="Times New Roman" w:hAnsi="Times New Roman" w:cs="Times New Roman"/>
          <w:sz w:val="24"/>
          <w:szCs w:val="24"/>
          <w:lang w:val="ru-RU"/>
        </w:rPr>
        <w:t xml:space="preserve">при этом </w:t>
      </w:r>
      <w:r w:rsidRPr="004E7E3E">
        <w:rPr>
          <w:rFonts w:ascii="Times New Roman" w:hAnsi="Times New Roman" w:cs="Times New Roman"/>
          <w:sz w:val="24"/>
          <w:szCs w:val="24"/>
          <w:lang w:val="ru-RU"/>
        </w:rPr>
        <w:t xml:space="preserve">представители китайских сообществ не рассматриваются как конкуренты на европейском рынке труда. Конкуренция возникает скорее внутри диаспоры, обозначая достаточно ощутимую </w:t>
      </w:r>
      <w:proofErr w:type="spellStart"/>
      <w:r w:rsidRPr="004E7E3E">
        <w:rPr>
          <w:rFonts w:ascii="Times New Roman" w:hAnsi="Times New Roman" w:cs="Times New Roman"/>
          <w:sz w:val="24"/>
          <w:szCs w:val="24"/>
          <w:lang w:val="ru-RU"/>
        </w:rPr>
        <w:t>диаспоральную</w:t>
      </w:r>
      <w:proofErr w:type="spellEnd"/>
      <w:r w:rsidRPr="004E7E3E">
        <w:rPr>
          <w:rFonts w:ascii="Times New Roman" w:hAnsi="Times New Roman" w:cs="Times New Roman"/>
          <w:sz w:val="24"/>
          <w:szCs w:val="24"/>
          <w:lang w:val="ru-RU"/>
        </w:rPr>
        <w:t xml:space="preserve"> стратификацию. Острая необходимость в сбыте и реализации своей продукции, а также высокая степень конкуренции вынуждала китайцев расселяться не только в европейских столичных мегаполисах, но и в более мелких европейских городах. Это позволяет говорить о китайской диаспоре как о наиболее географически рассредоточенном сообществе в Нидерландах и Великобритании и объясняет отсутствие крупных консолидированных китайских кварталов в городах</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реципиентах. Кроме того, «чайна-тауны» </w:t>
      </w:r>
      <w:r w:rsidRPr="0081427B">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это форма интеграции, характерная для первой волны иммиграции; для иммигрантов новой волны, начавшейся после</w:t>
      </w:r>
      <w:r w:rsidR="00267F2A">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 xml:space="preserve">реформ Дэн Сяопина в 70-е годы </w:t>
      </w:r>
      <w:r w:rsidRPr="004E7E3E">
        <w:rPr>
          <w:rFonts w:ascii="Times New Roman" w:hAnsi="Times New Roman" w:cs="Times New Roman"/>
          <w:sz w:val="24"/>
          <w:szCs w:val="24"/>
        </w:rPr>
        <w:t>XX</w:t>
      </w:r>
      <w:r w:rsidRPr="004E7E3E">
        <w:rPr>
          <w:rFonts w:ascii="Times New Roman" w:hAnsi="Times New Roman" w:cs="Times New Roman"/>
          <w:sz w:val="24"/>
          <w:szCs w:val="24"/>
          <w:lang w:val="ru-RU"/>
        </w:rPr>
        <w:t xml:space="preserve"> века, приехавших в демократическую среду без значительных предубеждений против новых соседей, большой потребности в «чайна-таунах» как переходной форм</w:t>
      </w:r>
      <w:r>
        <w:rPr>
          <w:rFonts w:ascii="Times New Roman" w:hAnsi="Times New Roman" w:cs="Times New Roman"/>
          <w:sz w:val="24"/>
          <w:szCs w:val="24"/>
          <w:lang w:val="ru-RU"/>
        </w:rPr>
        <w:t>е</w:t>
      </w:r>
      <w:r w:rsidRPr="004E7E3E">
        <w:rPr>
          <w:rFonts w:ascii="Times New Roman" w:hAnsi="Times New Roman" w:cs="Times New Roman"/>
          <w:sz w:val="24"/>
          <w:szCs w:val="24"/>
          <w:lang w:val="ru-RU"/>
        </w:rPr>
        <w:t xml:space="preserve"> интеграции не было. Многие китайские иммигранты – это студенты, приехавшие получать образование за границей и оставшиеся в этой стране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_Ref459294641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110</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w:t>
      </w:r>
    </w:p>
    <w:p w14:paraId="2EEFA6BC"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Но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кроме ресторанного бизнеса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дети китайских иммигрантов заняли достойное место и в отраслях новой экономики. Примером являются Джерри Янг, основатель интернет-гиганта </w:t>
      </w:r>
      <w:r w:rsidRPr="004E7E3E">
        <w:rPr>
          <w:rFonts w:ascii="Times New Roman" w:hAnsi="Times New Roman" w:cs="Times New Roman"/>
          <w:color w:val="000000"/>
          <w:sz w:val="24"/>
          <w:szCs w:val="24"/>
          <w:shd w:val="clear" w:color="auto" w:fill="FFFFFF"/>
        </w:rPr>
        <w:t>Yahoo</w:t>
      </w:r>
      <w:r w:rsidRPr="004E7E3E">
        <w:rPr>
          <w:rFonts w:ascii="Times New Roman" w:hAnsi="Times New Roman" w:cs="Times New Roman"/>
          <w:color w:val="000000"/>
          <w:sz w:val="24"/>
          <w:szCs w:val="24"/>
          <w:shd w:val="clear" w:color="auto" w:fill="FFFFFF"/>
          <w:lang w:val="ru-RU"/>
        </w:rPr>
        <w:t xml:space="preserve">, и Давид Ян, основатель компании </w:t>
      </w:r>
      <w:r w:rsidRPr="004E7E3E">
        <w:rPr>
          <w:rFonts w:ascii="Times New Roman" w:hAnsi="Times New Roman" w:cs="Times New Roman"/>
          <w:color w:val="000000"/>
          <w:sz w:val="24"/>
          <w:szCs w:val="24"/>
          <w:shd w:val="clear" w:color="auto" w:fill="FFFFFF"/>
        </w:rPr>
        <w:t>ABBYY</w:t>
      </w:r>
      <w:r w:rsidRPr="004E7E3E">
        <w:rPr>
          <w:rFonts w:ascii="Times New Roman" w:hAnsi="Times New Roman" w:cs="Times New Roman"/>
          <w:color w:val="000000"/>
          <w:sz w:val="24"/>
          <w:szCs w:val="24"/>
          <w:shd w:val="clear" w:color="auto" w:fill="FFFFFF"/>
          <w:lang w:val="ru-RU"/>
        </w:rPr>
        <w:t xml:space="preserve">. Эти потомки выходцев из Китая могут уже даже не владеть китайским и сохранять </w:t>
      </w:r>
      <w:r>
        <w:rPr>
          <w:rFonts w:ascii="Times New Roman" w:hAnsi="Times New Roman" w:cs="Times New Roman"/>
          <w:color w:val="000000"/>
          <w:sz w:val="24"/>
          <w:szCs w:val="24"/>
          <w:shd w:val="clear" w:color="auto" w:fill="FFFFFF"/>
          <w:lang w:val="ru-RU"/>
        </w:rPr>
        <w:t xml:space="preserve">скорее </w:t>
      </w:r>
      <w:r w:rsidRPr="004E7E3E">
        <w:rPr>
          <w:rFonts w:ascii="Times New Roman" w:hAnsi="Times New Roman" w:cs="Times New Roman"/>
          <w:color w:val="000000"/>
          <w:sz w:val="24"/>
          <w:szCs w:val="24"/>
          <w:shd w:val="clear" w:color="auto" w:fill="FFFFFF"/>
          <w:lang w:val="ru-RU"/>
        </w:rPr>
        <w:t>эмоциональную связь с Родиной предков. Называть их агентами проникновения китайской экспансии могут только одиозные ультраправые издания.</w:t>
      </w:r>
    </w:p>
    <w:p w14:paraId="3ADC39D6" w14:textId="0751818D"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Когда мы говорим про Китай, то вспоминаем огромный китайский народ, </w:t>
      </w:r>
      <w:r w:rsidR="00267F2A">
        <w:rPr>
          <w:rFonts w:ascii="Times New Roman" w:hAnsi="Times New Roman" w:cs="Times New Roman"/>
          <w:color w:val="000000"/>
          <w:sz w:val="24"/>
          <w:szCs w:val="24"/>
          <w:shd w:val="clear" w:color="auto" w:fill="FFFFFF"/>
          <w:lang w:val="ru-RU"/>
        </w:rPr>
        <w:t>но,</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 xml:space="preserve">когда речь заходит о системе Большого Китая, масштабы ещё больше возрастают. Мы познакомились с </w:t>
      </w:r>
      <w:r w:rsidRPr="004E7E3E">
        <w:rPr>
          <w:rFonts w:ascii="Times New Roman" w:hAnsi="Times New Roman" w:cs="Times New Roman"/>
          <w:color w:val="000000"/>
          <w:sz w:val="24"/>
          <w:szCs w:val="24"/>
          <w:shd w:val="clear" w:color="auto" w:fill="FFFFFF"/>
          <w:lang w:val="ru-RU"/>
        </w:rPr>
        <w:lastRenderedPageBreak/>
        <w:t xml:space="preserve">участниками данной системы. В следующем разделе рассмотрим, как эта система работает для продвижения китайских МФЦ и юаня в качестве резервной валюты. </w:t>
      </w:r>
    </w:p>
    <w:p w14:paraId="156D411E" w14:textId="49DD1E00" w:rsidR="00DC5025" w:rsidRPr="004E7E3E" w:rsidRDefault="00DC5025" w:rsidP="00C372DB">
      <w:pPr>
        <w:spacing w:before="100" w:beforeAutospacing="1" w:after="100" w:line="360" w:lineRule="auto"/>
        <w:ind w:firstLine="709"/>
        <w:contextualSpacing/>
        <w:jc w:val="both"/>
        <w:rPr>
          <w:rFonts w:ascii="Times New Roman" w:hAnsi="Times New Roman" w:cs="Times New Roman"/>
          <w:color w:val="000000"/>
          <w:sz w:val="24"/>
          <w:szCs w:val="24"/>
          <w:lang w:val="ru-RU"/>
        </w:rPr>
      </w:pPr>
      <w:bookmarkStart w:id="27" w:name="Главадвадва"/>
      <w:r w:rsidRPr="004E7E3E">
        <w:rPr>
          <w:rFonts w:ascii="Times New Roman" w:hAnsi="Times New Roman" w:cs="Times New Roman"/>
          <w:b/>
          <w:bCs/>
          <w:sz w:val="24"/>
          <w:szCs w:val="24"/>
          <w:lang w:val="ru-RU"/>
        </w:rPr>
        <w:t>Программа развития МФЦ в Шанхае и становление юаня в качестве резервной валюты</w:t>
      </w:r>
      <w:bookmarkEnd w:id="27"/>
      <w:r w:rsidR="00C372DB">
        <w:rPr>
          <w:rFonts w:ascii="Times New Roman" w:hAnsi="Times New Roman" w:cs="Times New Roman"/>
          <w:b/>
          <w:bCs/>
          <w:sz w:val="24"/>
          <w:szCs w:val="24"/>
          <w:lang w:val="ru-RU"/>
        </w:rPr>
        <w:t xml:space="preserve">. </w:t>
      </w:r>
      <w:r w:rsidRPr="004E7E3E">
        <w:rPr>
          <w:rFonts w:ascii="Times New Roman" w:hAnsi="Times New Roman" w:cs="Times New Roman"/>
          <w:sz w:val="24"/>
          <w:szCs w:val="24"/>
          <w:lang w:val="ru-RU"/>
        </w:rPr>
        <w:t xml:space="preserve">В марте 2009 года </w:t>
      </w:r>
      <w:r w:rsidRPr="004E7E3E">
        <w:rPr>
          <w:rFonts w:ascii="Times New Roman" w:hAnsi="Times New Roman" w:cs="Times New Roman"/>
          <w:color w:val="000000"/>
          <w:sz w:val="24"/>
          <w:szCs w:val="24"/>
          <w:shd w:val="clear" w:color="auto" w:fill="FFFFFF"/>
          <w:lang w:val="ru-RU"/>
        </w:rPr>
        <w:t>Госсовет КНР принял решение ускорить программу превращения Шанхая в международный финансовый центр и в основном завершить её до 2020 г.</w:t>
      </w:r>
      <w:r w:rsidRPr="004E7E3E">
        <w:rPr>
          <w:rFonts w:ascii="Times New Roman" w:hAnsi="Times New Roman" w:cs="Times New Roman"/>
          <w:color w:val="000000"/>
          <w:sz w:val="24"/>
          <w:szCs w:val="24"/>
          <w:lang w:val="ru-RU"/>
        </w:rPr>
        <w:t xml:space="preserve"> В сентябре 2013 года также по решению Госсовета КНР была официально открыта Шанхайская экспериментальная зона свободной торговли (ШЗСТ). Это была инициатива </w:t>
      </w:r>
      <w:r>
        <w:rPr>
          <w:rFonts w:ascii="Times New Roman" w:hAnsi="Times New Roman" w:cs="Times New Roman"/>
          <w:color w:val="000000"/>
          <w:sz w:val="24"/>
          <w:szCs w:val="24"/>
          <w:lang w:val="ru-RU"/>
        </w:rPr>
        <w:t xml:space="preserve">второго </w:t>
      </w:r>
      <w:r w:rsidRPr="004E7E3E">
        <w:rPr>
          <w:rFonts w:ascii="Times New Roman" w:hAnsi="Times New Roman" w:cs="Times New Roman"/>
          <w:color w:val="000000"/>
          <w:sz w:val="24"/>
          <w:szCs w:val="24"/>
          <w:lang w:val="ru-RU"/>
        </w:rPr>
        <w:t>человека в</w:t>
      </w:r>
      <w:r>
        <w:rPr>
          <w:rFonts w:ascii="Times New Roman" w:hAnsi="Times New Roman" w:cs="Times New Roman"/>
          <w:color w:val="000000"/>
          <w:sz w:val="24"/>
          <w:szCs w:val="24"/>
          <w:lang w:val="ru-RU"/>
        </w:rPr>
        <w:t> китайской политической иерархии</w:t>
      </w:r>
      <w:r w:rsidRPr="004E7E3E">
        <w:rPr>
          <w:rFonts w:ascii="Times New Roman" w:hAnsi="Times New Roman" w:cs="Times New Roman"/>
          <w:color w:val="000000"/>
          <w:sz w:val="24"/>
          <w:szCs w:val="24"/>
          <w:lang w:val="ru-RU"/>
        </w:rPr>
        <w:t xml:space="preserve"> – премьер-министра Ли Кэцяна. ШЗСТ объединила 4 зоны, существовавшие ранее в районе Шанхая: 1) Особая экономическая зона Вэйгаоцяо – </w:t>
      </w:r>
      <w:r w:rsidRPr="004E7E3E">
        <w:rPr>
          <w:rFonts w:ascii="Times New Roman" w:hAnsi="Times New Roman" w:cs="Times New Roman"/>
          <w:color w:val="000000"/>
          <w:sz w:val="24"/>
          <w:szCs w:val="24"/>
        </w:rPr>
        <w:t>Waigaoqiao</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Free</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Trade</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Zone</w:t>
      </w:r>
      <w:r w:rsidRPr="004E7E3E">
        <w:rPr>
          <w:rFonts w:ascii="Times New Roman" w:hAnsi="Times New Roman" w:cs="Times New Roman"/>
          <w:color w:val="000000"/>
          <w:sz w:val="24"/>
          <w:szCs w:val="24"/>
          <w:lang w:val="ru-RU"/>
        </w:rPr>
        <w:t xml:space="preserve"> (первая зона свободной торговли, открытая в районе Шанхая ещё в 1990 г.), 2)</w:t>
      </w:r>
      <w:r>
        <w:rPr>
          <w:rFonts w:ascii="Times New Roman" w:hAnsi="Times New Roman" w:cs="Times New Roman"/>
          <w:color w:val="000000"/>
          <w:sz w:val="24"/>
          <w:szCs w:val="24"/>
          <w:lang w:val="ru-RU"/>
        </w:rPr>
        <w:t> </w:t>
      </w:r>
      <w:r w:rsidRPr="004E7E3E">
        <w:rPr>
          <w:rFonts w:ascii="Times New Roman" w:hAnsi="Times New Roman" w:cs="Times New Roman"/>
          <w:color w:val="000000"/>
          <w:sz w:val="24"/>
          <w:szCs w:val="24"/>
          <w:lang w:val="ru-RU"/>
        </w:rPr>
        <w:t xml:space="preserve">логистический парк Вэйгаоцяо – </w:t>
      </w:r>
      <w:r w:rsidRPr="004E7E3E">
        <w:rPr>
          <w:rFonts w:ascii="Times New Roman" w:hAnsi="Times New Roman" w:cs="Times New Roman"/>
          <w:color w:val="000000"/>
          <w:sz w:val="24"/>
          <w:szCs w:val="24"/>
        </w:rPr>
        <w:t>Waigaoqiao</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Bonded</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Logistics</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Part</w:t>
      </w:r>
      <w:r w:rsidRPr="004E7E3E">
        <w:rPr>
          <w:rFonts w:ascii="Times New Roman" w:hAnsi="Times New Roman" w:cs="Times New Roman"/>
          <w:color w:val="000000"/>
          <w:sz w:val="24"/>
          <w:szCs w:val="24"/>
          <w:lang w:val="ru-RU"/>
        </w:rPr>
        <w:t xml:space="preserve"> (первый логистический парк в зоне свободной торговли в Китае, открытый в 2004 г.), 3) порт Яншан – </w:t>
      </w:r>
      <w:r w:rsidRPr="004E7E3E">
        <w:rPr>
          <w:rFonts w:ascii="Times New Roman" w:hAnsi="Times New Roman" w:cs="Times New Roman"/>
          <w:color w:val="000000"/>
          <w:sz w:val="24"/>
          <w:szCs w:val="24"/>
        </w:rPr>
        <w:t>Yangshan</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Bonded</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Port</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Area</w:t>
      </w:r>
      <w:r w:rsidRPr="004E7E3E">
        <w:rPr>
          <w:rFonts w:ascii="Times New Roman" w:hAnsi="Times New Roman" w:cs="Times New Roman"/>
          <w:color w:val="000000"/>
          <w:sz w:val="24"/>
          <w:szCs w:val="24"/>
          <w:lang w:val="ru-RU"/>
        </w:rPr>
        <w:t xml:space="preserve">, 4) зона аэропорта Пудон – </w:t>
      </w:r>
      <w:r w:rsidRPr="004E7E3E">
        <w:rPr>
          <w:rFonts w:ascii="Times New Roman" w:hAnsi="Times New Roman" w:cs="Times New Roman"/>
          <w:color w:val="000000"/>
          <w:sz w:val="24"/>
          <w:szCs w:val="24"/>
        </w:rPr>
        <w:t>Pudong</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Airport</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Bonded</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Logistic</w:t>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Area</w:t>
      </w:r>
      <w:r w:rsidRPr="004E7E3E">
        <w:rPr>
          <w:rFonts w:ascii="Times New Roman" w:hAnsi="Times New Roman" w:cs="Times New Roman"/>
          <w:color w:val="000000"/>
          <w:sz w:val="24"/>
          <w:szCs w:val="24"/>
          <w:lang w:val="ru-RU"/>
        </w:rPr>
        <w:t xml:space="preserve">. Перед новой экспериментальной площадкой стоят </w:t>
      </w:r>
      <w:r>
        <w:rPr>
          <w:rFonts w:ascii="Times New Roman" w:hAnsi="Times New Roman" w:cs="Times New Roman"/>
          <w:color w:val="000000"/>
          <w:sz w:val="24"/>
          <w:szCs w:val="24"/>
          <w:lang w:val="ru-RU"/>
        </w:rPr>
        <w:t>четыре</w:t>
      </w:r>
      <w:r w:rsidRPr="004E7E3E">
        <w:rPr>
          <w:rFonts w:ascii="Times New Roman" w:hAnsi="Times New Roman" w:cs="Times New Roman"/>
          <w:color w:val="000000"/>
          <w:sz w:val="24"/>
          <w:szCs w:val="24"/>
          <w:lang w:val="ru-RU"/>
        </w:rPr>
        <w:t xml:space="preserve"> амбициозные цели: </w:t>
      </w:r>
    </w:p>
    <w:p w14:paraId="1B67C9D5" w14:textId="77777777" w:rsidR="00DC5025" w:rsidRPr="004E7E3E" w:rsidRDefault="00DC5025" w:rsidP="00DC5025">
      <w:pPr>
        <w:pStyle w:val="af3"/>
        <w:numPr>
          <w:ilvl w:val="0"/>
          <w:numId w:val="11"/>
        </w:numPr>
        <w:spacing w:after="0" w:line="360" w:lineRule="auto"/>
        <w:ind w:left="0" w:firstLine="709"/>
        <w:jc w:val="both"/>
        <w:rPr>
          <w:rFonts w:ascii="Times New Roman" w:hAnsi="Times New Roman" w:cs="Times New Roman"/>
          <w:color w:val="000000"/>
          <w:sz w:val="24"/>
          <w:szCs w:val="24"/>
          <w:lang w:val="ru-RU"/>
        </w:rPr>
      </w:pPr>
      <w:r w:rsidRPr="004E7E3E">
        <w:rPr>
          <w:rFonts w:ascii="Times New Roman" w:hAnsi="Times New Roman" w:cs="Times New Roman"/>
          <w:color w:val="000000"/>
          <w:sz w:val="24"/>
          <w:szCs w:val="24"/>
          <w:lang w:val="ru-RU"/>
        </w:rPr>
        <w:t>Финансовая реформа.</w:t>
      </w:r>
    </w:p>
    <w:p w14:paraId="77B6B11D" w14:textId="77777777" w:rsidR="00DC5025" w:rsidRPr="004E7E3E" w:rsidRDefault="00DC5025" w:rsidP="00DC5025">
      <w:pPr>
        <w:pStyle w:val="af3"/>
        <w:numPr>
          <w:ilvl w:val="0"/>
          <w:numId w:val="11"/>
        </w:numPr>
        <w:spacing w:after="0" w:line="360" w:lineRule="auto"/>
        <w:ind w:left="0" w:firstLine="709"/>
        <w:jc w:val="both"/>
        <w:rPr>
          <w:rFonts w:ascii="Times New Roman" w:hAnsi="Times New Roman" w:cs="Times New Roman"/>
          <w:color w:val="000000"/>
          <w:sz w:val="24"/>
          <w:szCs w:val="24"/>
          <w:lang w:val="ru-RU"/>
        </w:rPr>
      </w:pPr>
      <w:r w:rsidRPr="004E7E3E">
        <w:rPr>
          <w:rFonts w:ascii="Times New Roman" w:hAnsi="Times New Roman" w:cs="Times New Roman"/>
          <w:color w:val="000000"/>
          <w:sz w:val="24"/>
          <w:szCs w:val="24"/>
          <w:lang w:val="ru-RU"/>
        </w:rPr>
        <w:t xml:space="preserve">Совершенствование таможенного надзора. </w:t>
      </w:r>
    </w:p>
    <w:p w14:paraId="36B5A357" w14:textId="77777777" w:rsidR="00DC5025" w:rsidRPr="004E7E3E" w:rsidRDefault="00DC5025" w:rsidP="00DC5025">
      <w:pPr>
        <w:pStyle w:val="af3"/>
        <w:numPr>
          <w:ilvl w:val="0"/>
          <w:numId w:val="11"/>
        </w:numPr>
        <w:spacing w:after="0" w:line="360" w:lineRule="auto"/>
        <w:ind w:left="0" w:firstLine="709"/>
        <w:jc w:val="both"/>
        <w:rPr>
          <w:rFonts w:ascii="Times New Roman" w:hAnsi="Times New Roman" w:cs="Times New Roman"/>
          <w:color w:val="000000"/>
          <w:sz w:val="24"/>
          <w:szCs w:val="24"/>
          <w:lang w:val="ru-RU"/>
        </w:rPr>
      </w:pPr>
      <w:r w:rsidRPr="004E7E3E">
        <w:rPr>
          <w:rFonts w:ascii="Times New Roman" w:hAnsi="Times New Roman" w:cs="Times New Roman"/>
          <w:color w:val="000000"/>
          <w:sz w:val="24"/>
          <w:szCs w:val="24"/>
          <w:lang w:val="ru-RU"/>
        </w:rPr>
        <w:t>Улучшение административного контроля для иностранных инвесторов.</w:t>
      </w:r>
    </w:p>
    <w:p w14:paraId="7148198B" w14:textId="537D4F7D" w:rsidR="00DC5025" w:rsidRPr="004E7E3E" w:rsidRDefault="00DC5025" w:rsidP="00DC5025">
      <w:pPr>
        <w:pStyle w:val="af3"/>
        <w:numPr>
          <w:ilvl w:val="0"/>
          <w:numId w:val="11"/>
        </w:numPr>
        <w:spacing w:after="0" w:line="360" w:lineRule="auto"/>
        <w:ind w:left="0" w:firstLine="709"/>
        <w:jc w:val="both"/>
        <w:rPr>
          <w:rFonts w:ascii="Times New Roman" w:hAnsi="Times New Roman" w:cs="Times New Roman"/>
          <w:color w:val="000000"/>
          <w:sz w:val="24"/>
          <w:szCs w:val="24"/>
          <w:lang w:val="ru-RU"/>
        </w:rPr>
      </w:pPr>
      <w:r w:rsidRPr="004E7E3E">
        <w:rPr>
          <w:rFonts w:ascii="Times New Roman" w:hAnsi="Times New Roman" w:cs="Times New Roman"/>
          <w:color w:val="000000"/>
          <w:sz w:val="24"/>
          <w:szCs w:val="24"/>
          <w:lang w:val="ru-RU"/>
        </w:rPr>
        <w:t>Создание конкурентной регулирующей и налоговой среды для бизнеса [</w:t>
      </w:r>
      <w:r w:rsidRPr="004E7E3E">
        <w:rPr>
          <w:rFonts w:ascii="Times New Roman" w:hAnsi="Times New Roman" w:cs="Times New Roman"/>
          <w:color w:val="000000"/>
          <w:sz w:val="24"/>
          <w:szCs w:val="24"/>
          <w:lang w:val="ru-RU"/>
        </w:rPr>
        <w:fldChar w:fldCharType="begin"/>
      </w:r>
      <w:r w:rsidRPr="004E7E3E">
        <w:rPr>
          <w:rFonts w:ascii="Times New Roman" w:hAnsi="Times New Roman" w:cs="Times New Roman"/>
          <w:color w:val="000000"/>
          <w:sz w:val="24"/>
          <w:szCs w:val="24"/>
          <w:lang w:val="ru-RU"/>
        </w:rPr>
        <w:instrText xml:space="preserve"> REF _Ref131436415 \r \h  \* MERGEFORMAT </w:instrText>
      </w:r>
      <w:r w:rsidRPr="004E7E3E">
        <w:rPr>
          <w:rFonts w:ascii="Times New Roman" w:hAnsi="Times New Roman" w:cs="Times New Roman"/>
          <w:color w:val="000000"/>
          <w:sz w:val="24"/>
          <w:szCs w:val="24"/>
          <w:lang w:val="ru-RU"/>
        </w:rPr>
      </w:r>
      <w:r w:rsidRPr="004E7E3E">
        <w:rPr>
          <w:rFonts w:ascii="Times New Roman" w:hAnsi="Times New Roman" w:cs="Times New Roman"/>
          <w:color w:val="000000"/>
          <w:sz w:val="24"/>
          <w:szCs w:val="24"/>
          <w:lang w:val="ru-RU"/>
        </w:rPr>
        <w:fldChar w:fldCharType="separate"/>
      </w:r>
      <w:r w:rsidR="00801D78">
        <w:rPr>
          <w:rFonts w:ascii="Times New Roman" w:hAnsi="Times New Roman" w:cs="Times New Roman"/>
          <w:color w:val="000000"/>
          <w:sz w:val="24"/>
          <w:szCs w:val="24"/>
          <w:lang w:val="ru-RU"/>
        </w:rPr>
        <w:t>218</w:t>
      </w:r>
      <w:r w:rsidRPr="004E7E3E">
        <w:rPr>
          <w:rFonts w:ascii="Times New Roman" w:hAnsi="Times New Roman" w:cs="Times New Roman"/>
          <w:color w:val="000000"/>
          <w:sz w:val="24"/>
          <w:szCs w:val="24"/>
          <w:lang w:val="ru-RU"/>
        </w:rPr>
        <w:fldChar w:fldCharType="end"/>
      </w:r>
      <w:r w:rsidRPr="004E7E3E">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w:t>
      </w:r>
    </w:p>
    <w:p w14:paraId="7608DAA3" w14:textId="77777777" w:rsidR="00DC5025" w:rsidRPr="004E7E3E" w:rsidRDefault="00DC5025" w:rsidP="00DC5025">
      <w:pPr>
        <w:spacing w:after="0" w:line="360" w:lineRule="auto"/>
        <w:ind w:firstLine="709"/>
        <w:contextualSpacing/>
        <w:jc w:val="both"/>
        <w:rPr>
          <w:rFonts w:ascii="Times New Roman" w:hAnsi="Times New Roman" w:cs="Times New Roman"/>
          <w:color w:val="000000"/>
          <w:sz w:val="24"/>
          <w:szCs w:val="24"/>
          <w:lang w:val="ru-RU"/>
        </w:rPr>
      </w:pPr>
      <w:r w:rsidRPr="004E7E3E">
        <w:rPr>
          <w:rFonts w:ascii="Times New Roman" w:hAnsi="Times New Roman" w:cs="Times New Roman"/>
          <w:color w:val="000000"/>
          <w:sz w:val="24"/>
          <w:szCs w:val="24"/>
          <w:lang w:val="ru-RU"/>
        </w:rPr>
        <w:t>При этом основной фин</w:t>
      </w:r>
      <w:r>
        <w:rPr>
          <w:rFonts w:ascii="Times New Roman" w:hAnsi="Times New Roman" w:cs="Times New Roman"/>
          <w:color w:val="000000"/>
          <w:sz w:val="24"/>
          <w:szCs w:val="24"/>
          <w:lang w:val="ru-RU"/>
        </w:rPr>
        <w:t>ансовой целью является интернационали</w:t>
      </w:r>
      <w:r w:rsidRPr="004E7E3E">
        <w:rPr>
          <w:rFonts w:ascii="Times New Roman" w:hAnsi="Times New Roman" w:cs="Times New Roman"/>
          <w:color w:val="000000"/>
          <w:sz w:val="24"/>
          <w:szCs w:val="24"/>
          <w:lang w:val="ru-RU"/>
        </w:rPr>
        <w:t xml:space="preserve">зация юаня: свободная конвертируемость национальной валюты и либерализация процентных ставок. </w:t>
      </w:r>
    </w:p>
    <w:p w14:paraId="4CB883D8" w14:textId="2904D098"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данной политике по созданию ШЗСТ просматривается общий стиль проведения реформ в КНР. Как известно, </w:t>
      </w:r>
      <w:r w:rsidRPr="004E7E3E">
        <w:rPr>
          <w:rFonts w:ascii="Times New Roman" w:hAnsi="Times New Roman" w:cs="Times New Roman"/>
          <w:sz w:val="24"/>
          <w:szCs w:val="24"/>
          <w:lang w:val="ru-RU"/>
        </w:rPr>
        <w:t xml:space="preserve">либерализация китайской экономики началась относительно давно: начало этому процессу положил Дэн Сяопин в 1979. Отчасти она проходила в форме эксперимента. Основным полем испытаний стали особые экономические зоны, располагавшиеся </w:t>
      </w:r>
      <w:r>
        <w:rPr>
          <w:rFonts w:ascii="Times New Roman" w:hAnsi="Times New Roman" w:cs="Times New Roman"/>
          <w:sz w:val="24"/>
          <w:szCs w:val="24"/>
          <w:lang w:val="ru-RU"/>
        </w:rPr>
        <w:t xml:space="preserve">преимущественно </w:t>
      </w:r>
      <w:r w:rsidRPr="004E7E3E">
        <w:rPr>
          <w:rFonts w:ascii="Times New Roman" w:hAnsi="Times New Roman" w:cs="Times New Roman"/>
          <w:sz w:val="24"/>
          <w:szCs w:val="24"/>
          <w:lang w:val="ru-RU"/>
        </w:rPr>
        <w:t>в южной провинции Гуандон. Эти территории почти ничего не приносили в бюджет страны</w:t>
      </w:r>
      <w:r>
        <w:rPr>
          <w:rFonts w:ascii="Times New Roman" w:hAnsi="Times New Roman" w:cs="Times New Roman"/>
          <w:sz w:val="24"/>
          <w:szCs w:val="24"/>
          <w:lang w:val="ru-RU"/>
        </w:rPr>
        <w:t>, в</w:t>
      </w:r>
      <w:r w:rsidRPr="004E7E3E">
        <w:rPr>
          <w:rFonts w:ascii="Times New Roman" w:hAnsi="Times New Roman" w:cs="Times New Roman"/>
          <w:sz w:val="24"/>
          <w:szCs w:val="24"/>
          <w:lang w:val="ru-RU"/>
        </w:rPr>
        <w:t xml:space="preserve"> отличие, например, от Шанхая</w:t>
      </w:r>
      <w:r w:rsidRPr="004E7E3E">
        <w:rPr>
          <w:rFonts w:ascii="Times New Roman" w:hAnsi="Times New Roman" w:cs="Times New Roman"/>
          <w:color w:val="000000"/>
          <w:sz w:val="24"/>
          <w:szCs w:val="24"/>
          <w:shd w:val="clear" w:color="auto" w:fill="FFFFFF"/>
          <w:lang w:val="ru-RU"/>
        </w:rPr>
        <w:t xml:space="preserve">, который в одиночку производил 20% ВВП государства. Только когда новые методы экономики зарекомендовали себя в пяти экономических зонах в </w:t>
      </w:r>
      <w:r w:rsidR="00267F2A" w:rsidRPr="004E7E3E">
        <w:rPr>
          <w:rFonts w:ascii="Times New Roman" w:hAnsi="Times New Roman" w:cs="Times New Roman"/>
          <w:color w:val="000000"/>
          <w:sz w:val="24"/>
          <w:szCs w:val="24"/>
          <w:shd w:val="clear" w:color="auto" w:fill="FFFFFF"/>
          <w:lang w:val="ru-RU"/>
        </w:rPr>
        <w:t>Гуандуне</w:t>
      </w:r>
      <w:r w:rsidRPr="004E7E3E">
        <w:rPr>
          <w:rFonts w:ascii="Times New Roman" w:hAnsi="Times New Roman" w:cs="Times New Roman"/>
          <w:color w:val="000000"/>
          <w:sz w:val="24"/>
          <w:szCs w:val="24"/>
          <w:shd w:val="clear" w:color="auto" w:fill="FFFFFF"/>
          <w:lang w:val="ru-RU"/>
        </w:rPr>
        <w:t xml:space="preserve">, Шанхай был также переведён на рельсы рыночной экономики (точнее </w:t>
      </w:r>
      <w:r w:rsidRPr="004E7E3E">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shd w:val="clear" w:color="auto" w:fill="FFFFFF"/>
          <w:lang w:val="ru-RU"/>
        </w:rPr>
        <w:t xml:space="preserve">в 1990 году). </w:t>
      </w:r>
    </w:p>
    <w:p w14:paraId="5DA6CD35" w14:textId="275DD12F"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Отличием ШЗСТ от других особых экономических зон (ОЭЗ) является сфера деятельности – финансы. Кроме того, создатели по крайней мере декларируют, что они учли опыт создания других ОЭЗ, и новая зона будет нацелена прежде всего на поддержание компаний, работающих с инновационными финансовыми инструментами, чтобы в дальнейшем их деятельность можно </w:t>
      </w:r>
      <w:r w:rsidRPr="004E7E3E">
        <w:rPr>
          <w:rFonts w:ascii="Times New Roman" w:hAnsi="Times New Roman" w:cs="Times New Roman"/>
          <w:color w:val="000000"/>
          <w:sz w:val="24"/>
          <w:szCs w:val="24"/>
          <w:shd w:val="clear" w:color="auto" w:fill="FFFFFF"/>
          <w:lang w:val="ru-RU"/>
        </w:rPr>
        <w:lastRenderedPageBreak/>
        <w:t>было бы распространить на всю страну</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и </w:t>
      </w:r>
      <w:r>
        <w:rPr>
          <w:rFonts w:ascii="Times New Roman" w:hAnsi="Times New Roman" w:cs="Times New Roman"/>
          <w:color w:val="000000"/>
          <w:sz w:val="24"/>
          <w:szCs w:val="24"/>
          <w:shd w:val="clear" w:color="auto" w:fill="FFFFFF"/>
          <w:lang w:val="ru-RU"/>
        </w:rPr>
        <w:t xml:space="preserve">чтобы </w:t>
      </w:r>
      <w:r w:rsidRPr="004E7E3E">
        <w:rPr>
          <w:rFonts w:ascii="Times New Roman" w:hAnsi="Times New Roman" w:cs="Times New Roman"/>
          <w:color w:val="000000"/>
          <w:sz w:val="24"/>
          <w:szCs w:val="24"/>
          <w:shd w:val="clear" w:color="auto" w:fill="FFFFFF"/>
          <w:lang w:val="ru-RU"/>
        </w:rPr>
        <w:t>они сохраняли свою жизнеспособность при обычном режиме налогообложения, а не только в специальной льготной зоне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_Ref131436377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220</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4]</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Также делается акцент на развитие финансовых продуктов для транспортного сектора и деривативов на фрахтовый индекс, чтобы поддержать развитие Шанхая как международного транспортного узла. </w:t>
      </w:r>
    </w:p>
    <w:p w14:paraId="631B5EFE" w14:textId="7BA30471"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lang w:val="ru-RU"/>
        </w:rPr>
      </w:pPr>
      <w:r w:rsidRPr="004E7E3E">
        <w:rPr>
          <w:rFonts w:ascii="Times New Roman" w:hAnsi="Times New Roman" w:cs="Times New Roman"/>
          <w:color w:val="000000"/>
          <w:sz w:val="24"/>
          <w:szCs w:val="24"/>
          <w:shd w:val="clear" w:color="auto" w:fill="FFFFFF"/>
          <w:lang w:val="ru-RU"/>
        </w:rPr>
        <w:t>Важность стоящей задачи подчёркивается структурой у</w:t>
      </w:r>
      <w:r w:rsidRPr="004E7E3E">
        <w:rPr>
          <w:rFonts w:ascii="Times New Roman" w:hAnsi="Times New Roman" w:cs="Times New Roman"/>
          <w:color w:val="000000"/>
          <w:sz w:val="24"/>
          <w:szCs w:val="24"/>
          <w:lang w:val="ru-RU"/>
        </w:rPr>
        <w:t>правлени</w:t>
      </w:r>
      <w:r>
        <w:rPr>
          <w:rFonts w:ascii="Times New Roman" w:hAnsi="Times New Roman" w:cs="Times New Roman"/>
          <w:color w:val="000000"/>
          <w:sz w:val="24"/>
          <w:szCs w:val="24"/>
          <w:lang w:val="ru-RU"/>
        </w:rPr>
        <w:t>я</w:t>
      </w:r>
      <w:r w:rsidRPr="004E7E3E">
        <w:rPr>
          <w:rFonts w:ascii="Times New Roman" w:hAnsi="Times New Roman" w:cs="Times New Roman"/>
          <w:color w:val="000000"/>
          <w:sz w:val="24"/>
          <w:szCs w:val="24"/>
          <w:lang w:val="ru-RU"/>
        </w:rPr>
        <w:t xml:space="preserve"> ШЗСТ: специальный комитет, работающий на муниципальном уровне напрямую подчинен правительству Китая [</w:t>
      </w:r>
      <w:r w:rsidRPr="004E7E3E">
        <w:rPr>
          <w:rFonts w:ascii="Times New Roman" w:hAnsi="Times New Roman" w:cs="Times New Roman"/>
          <w:color w:val="000000"/>
          <w:sz w:val="24"/>
          <w:szCs w:val="24"/>
          <w:lang w:val="ru-RU"/>
        </w:rPr>
        <w:fldChar w:fldCharType="begin"/>
      </w:r>
      <w:r w:rsidRPr="004E7E3E">
        <w:rPr>
          <w:rFonts w:ascii="Times New Roman" w:hAnsi="Times New Roman" w:cs="Times New Roman"/>
          <w:color w:val="000000"/>
          <w:sz w:val="24"/>
          <w:szCs w:val="24"/>
          <w:lang w:val="ru-RU"/>
        </w:rPr>
        <w:instrText xml:space="preserve"> REF _Ref499231392 \r \h  \* MERGEFORMAT </w:instrText>
      </w:r>
      <w:r w:rsidRPr="004E7E3E">
        <w:rPr>
          <w:rFonts w:ascii="Times New Roman" w:hAnsi="Times New Roman" w:cs="Times New Roman"/>
          <w:color w:val="000000"/>
          <w:sz w:val="24"/>
          <w:szCs w:val="24"/>
          <w:lang w:val="ru-RU"/>
        </w:rPr>
      </w:r>
      <w:r w:rsidRPr="004E7E3E">
        <w:rPr>
          <w:rFonts w:ascii="Times New Roman" w:hAnsi="Times New Roman" w:cs="Times New Roman"/>
          <w:color w:val="000000"/>
          <w:sz w:val="24"/>
          <w:szCs w:val="24"/>
          <w:lang w:val="ru-RU"/>
        </w:rPr>
        <w:fldChar w:fldCharType="separate"/>
      </w:r>
      <w:r w:rsidR="00801D78">
        <w:rPr>
          <w:rFonts w:ascii="Times New Roman" w:hAnsi="Times New Roman" w:cs="Times New Roman"/>
          <w:color w:val="000000"/>
          <w:sz w:val="24"/>
          <w:szCs w:val="24"/>
          <w:lang w:val="ru-RU"/>
        </w:rPr>
        <w:t>159</w:t>
      </w:r>
      <w:r w:rsidRPr="004E7E3E">
        <w:rPr>
          <w:rFonts w:ascii="Times New Roman" w:hAnsi="Times New Roman" w:cs="Times New Roman"/>
          <w:color w:val="000000"/>
          <w:sz w:val="24"/>
          <w:szCs w:val="24"/>
          <w:lang w:val="ru-RU"/>
        </w:rPr>
        <w:fldChar w:fldCharType="end"/>
      </w:r>
      <w:r w:rsidRPr="004E7E3E">
        <w:rPr>
          <w:rFonts w:ascii="Times New Roman" w:hAnsi="Times New Roman" w:cs="Times New Roman"/>
          <w:color w:val="000000"/>
          <w:sz w:val="24"/>
          <w:szCs w:val="24"/>
          <w:lang w:val="ru-RU"/>
        </w:rPr>
        <w:t>]. На него возложен</w:t>
      </w:r>
      <w:r>
        <w:rPr>
          <w:rFonts w:ascii="Times New Roman" w:hAnsi="Times New Roman" w:cs="Times New Roman"/>
          <w:color w:val="000000"/>
          <w:sz w:val="24"/>
          <w:szCs w:val="24"/>
          <w:lang w:val="ru-RU"/>
        </w:rPr>
        <w:t>а</w:t>
      </w:r>
      <w:r w:rsidRPr="004E7E3E">
        <w:rPr>
          <w:rFonts w:ascii="Times New Roman" w:hAnsi="Times New Roman" w:cs="Times New Roman"/>
          <w:color w:val="000000"/>
          <w:sz w:val="24"/>
          <w:szCs w:val="24"/>
          <w:lang w:val="ru-RU"/>
        </w:rPr>
        <w:t xml:space="preserve"> функция государственного регулирования в сфере инвестиционной деятельности, трудового законодательства, валютно-финансового контроля.</w:t>
      </w:r>
    </w:p>
    <w:p w14:paraId="2C180FF7" w14:textId="3E33EAB3"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lang w:val="ru-RU"/>
        </w:rPr>
      </w:pPr>
      <w:r w:rsidRPr="004E7E3E">
        <w:rPr>
          <w:rFonts w:ascii="Times New Roman" w:hAnsi="Times New Roman" w:cs="Times New Roman"/>
          <w:sz w:val="24"/>
          <w:szCs w:val="24"/>
          <w:lang w:val="ru-RU"/>
        </w:rPr>
        <w:t xml:space="preserve">Китайское руководство движется постепенно по заветам Дэн Сяопина – «переходим реку, нащупывая дно». Хотя реформы развиваются относительно медленно, их размеренная поступь не останавливается. </w:t>
      </w:r>
      <w:r w:rsidRPr="004E7E3E">
        <w:rPr>
          <w:rFonts w:ascii="Times New Roman" w:hAnsi="Times New Roman" w:cs="Times New Roman"/>
          <w:color w:val="000000"/>
          <w:sz w:val="24"/>
          <w:szCs w:val="24"/>
          <w:lang w:val="ru-RU"/>
        </w:rPr>
        <w:t>Создание Шанхайской зоны свободной торговли открывает новый этап в экономике Китая – либерализаци</w:t>
      </w:r>
      <w:r>
        <w:rPr>
          <w:rFonts w:ascii="Times New Roman" w:hAnsi="Times New Roman" w:cs="Times New Roman"/>
          <w:color w:val="000000"/>
          <w:sz w:val="24"/>
          <w:szCs w:val="24"/>
          <w:lang w:val="ru-RU"/>
        </w:rPr>
        <w:t>ю</w:t>
      </w:r>
      <w:r w:rsidRPr="004E7E3E">
        <w:rPr>
          <w:rFonts w:ascii="Times New Roman" w:hAnsi="Times New Roman" w:cs="Times New Roman"/>
          <w:color w:val="000000"/>
          <w:sz w:val="24"/>
          <w:szCs w:val="24"/>
          <w:lang w:val="ru-RU"/>
        </w:rPr>
        <w:t xml:space="preserve"> финансовой сферы. По оценке экспертов, эта зона должна сыграть важную роль в строительстве шанхайского международного экономического центра, международного финансового центра, международного торгового центра и международного порта [</w:t>
      </w:r>
      <w:r w:rsidRPr="004E7E3E">
        <w:rPr>
          <w:rFonts w:ascii="Times New Roman" w:hAnsi="Times New Roman" w:cs="Times New Roman"/>
          <w:color w:val="000000"/>
          <w:sz w:val="24"/>
          <w:szCs w:val="24"/>
          <w:lang w:val="ru-RU"/>
        </w:rPr>
        <w:fldChar w:fldCharType="begin"/>
      </w:r>
      <w:r w:rsidRPr="004E7E3E">
        <w:rPr>
          <w:rFonts w:ascii="Times New Roman" w:hAnsi="Times New Roman" w:cs="Times New Roman"/>
          <w:color w:val="000000"/>
          <w:sz w:val="24"/>
          <w:szCs w:val="24"/>
          <w:lang w:val="ru-RU"/>
        </w:rPr>
        <w:instrText xml:space="preserve"> REF _Ref499231392 \r \h  \* MERGEFORMAT </w:instrText>
      </w:r>
      <w:r w:rsidRPr="004E7E3E">
        <w:rPr>
          <w:rFonts w:ascii="Times New Roman" w:hAnsi="Times New Roman" w:cs="Times New Roman"/>
          <w:color w:val="000000"/>
          <w:sz w:val="24"/>
          <w:szCs w:val="24"/>
          <w:lang w:val="ru-RU"/>
        </w:rPr>
      </w:r>
      <w:r w:rsidRPr="004E7E3E">
        <w:rPr>
          <w:rFonts w:ascii="Times New Roman" w:hAnsi="Times New Roman" w:cs="Times New Roman"/>
          <w:color w:val="000000"/>
          <w:sz w:val="24"/>
          <w:szCs w:val="24"/>
          <w:lang w:val="ru-RU"/>
        </w:rPr>
        <w:fldChar w:fldCharType="separate"/>
      </w:r>
      <w:r w:rsidR="00801D78">
        <w:rPr>
          <w:rFonts w:ascii="Times New Roman" w:hAnsi="Times New Roman" w:cs="Times New Roman"/>
          <w:color w:val="000000"/>
          <w:sz w:val="24"/>
          <w:szCs w:val="24"/>
          <w:lang w:val="ru-RU"/>
        </w:rPr>
        <w:t>159</w:t>
      </w:r>
      <w:r w:rsidRPr="004E7E3E">
        <w:rPr>
          <w:rFonts w:ascii="Times New Roman" w:hAnsi="Times New Roman" w:cs="Times New Roman"/>
          <w:color w:val="000000"/>
          <w:sz w:val="24"/>
          <w:szCs w:val="24"/>
          <w:lang w:val="ru-RU"/>
        </w:rPr>
        <w:fldChar w:fldCharType="end"/>
      </w:r>
      <w:r w:rsidRPr="004E7E3E">
        <w:rPr>
          <w:rFonts w:ascii="Times New Roman" w:hAnsi="Times New Roman" w:cs="Times New Roman"/>
          <w:color w:val="000000"/>
          <w:sz w:val="24"/>
          <w:szCs w:val="24"/>
          <w:lang w:val="ru-RU"/>
        </w:rPr>
        <w:t xml:space="preserve">]. Но в основе данного процесса лежит вполне понятный эталон: </w:t>
      </w:r>
      <w:r w:rsidRPr="004E7E3E">
        <w:rPr>
          <w:rFonts w:ascii="Times New Roman" w:hAnsi="Times New Roman" w:cs="Times New Roman"/>
          <w:color w:val="000000"/>
          <w:sz w:val="24"/>
          <w:szCs w:val="24"/>
          <w:shd w:val="clear" w:color="auto" w:fill="FFFFFF"/>
          <w:lang w:val="ru-RU"/>
        </w:rPr>
        <w:t xml:space="preserve">на официальном сайте ШЗСТ указано, что эта особая зона </w:t>
      </w:r>
      <w:r>
        <w:rPr>
          <w:rFonts w:ascii="Times New Roman" w:hAnsi="Times New Roman" w:cs="Times New Roman"/>
          <w:color w:val="000000"/>
          <w:sz w:val="24"/>
          <w:szCs w:val="24"/>
          <w:shd w:val="clear" w:color="auto" w:fill="FFFFFF"/>
          <w:lang w:val="ru-RU"/>
        </w:rPr>
        <w:t>имеет</w:t>
      </w:r>
      <w:r w:rsidRPr="004E7E3E">
        <w:rPr>
          <w:rFonts w:ascii="Times New Roman" w:hAnsi="Times New Roman" w:cs="Times New Roman"/>
          <w:color w:val="000000"/>
          <w:sz w:val="24"/>
          <w:szCs w:val="24"/>
          <w:shd w:val="clear" w:color="auto" w:fill="FFFFFF"/>
          <w:lang w:val="ru-RU"/>
        </w:rPr>
        <w:t xml:space="preserve"> условия, как в Гонконге </w:t>
      </w:r>
      <w:r w:rsidRPr="004E7E3E">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_Ref446789527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226</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lang w:val="ru-RU"/>
        </w:rPr>
        <w:t xml:space="preserve"> </w:t>
      </w:r>
    </w:p>
    <w:p w14:paraId="32293A78"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sz w:val="24"/>
          <w:szCs w:val="24"/>
          <w:lang w:val="ru-RU"/>
        </w:rPr>
        <w:t xml:space="preserve">Сильные культурные связи между Шанхаем и Гонконгом имеют глубокие корни. Мощь Гонконга формировалась за счёт выходцев из Шанхая, главного финансового центра Китая </w:t>
      </w:r>
      <w:r w:rsidRPr="004E7E3E">
        <w:rPr>
          <w:rFonts w:ascii="Times New Roman" w:hAnsi="Times New Roman" w:cs="Times New Roman"/>
          <w:sz w:val="24"/>
          <w:szCs w:val="24"/>
          <w:lang w:eastAsia="zh-CN"/>
        </w:rPr>
        <w:t>XIX</w:t>
      </w:r>
      <w:r w:rsidRPr="004E7E3E">
        <w:rPr>
          <w:rFonts w:ascii="Times New Roman" w:hAnsi="Times New Roman" w:cs="Times New Roman"/>
          <w:sz w:val="24"/>
          <w:szCs w:val="24"/>
          <w:lang w:val="ru-RU"/>
        </w:rPr>
        <w:t xml:space="preserve"> – начала </w:t>
      </w:r>
      <w:r w:rsidRPr="004E7E3E">
        <w:rPr>
          <w:rFonts w:ascii="Times New Roman" w:hAnsi="Times New Roman" w:cs="Times New Roman"/>
          <w:sz w:val="24"/>
          <w:szCs w:val="24"/>
        </w:rPr>
        <w:t>XX</w:t>
      </w:r>
      <w:r w:rsidRPr="004E7E3E">
        <w:rPr>
          <w:rFonts w:ascii="Times New Roman" w:hAnsi="Times New Roman" w:cs="Times New Roman"/>
          <w:sz w:val="24"/>
          <w:szCs w:val="24"/>
          <w:lang w:val="ru-RU"/>
        </w:rPr>
        <w:t xml:space="preserve"> вв., которые бежали от КПК, установившей контроль над Шанхаем в 1949 г. Теперь гонконгцы (с шанхайскими корнями) помогают вернуть былую мощь в финансовом секторе Шанхаю в частности и Китаю</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в целом.</w:t>
      </w:r>
      <w:r w:rsidRPr="004E7E3E">
        <w:rPr>
          <w:rFonts w:ascii="Times New Roman" w:hAnsi="Times New Roman" w:cs="Times New Roman"/>
          <w:color w:val="000000"/>
          <w:sz w:val="24"/>
          <w:szCs w:val="24"/>
          <w:shd w:val="clear" w:color="auto" w:fill="FFFFFF"/>
          <w:lang w:val="ru-RU"/>
        </w:rPr>
        <w:t xml:space="preserve"> Все госбанки и многие госкомпании КНР считают размещение на Гонконгской бирже обязательным пунктом глобальной стратегии развития. </w:t>
      </w:r>
      <w:r w:rsidRPr="004E7E3E">
        <w:rPr>
          <w:rFonts w:ascii="Times New Roman" w:hAnsi="Times New Roman" w:cs="Times New Roman"/>
          <w:color w:val="000000"/>
          <w:sz w:val="24"/>
          <w:szCs w:val="24"/>
          <w:shd w:val="clear" w:color="auto" w:fill="FFFFFF"/>
        </w:rPr>
        <w:t xml:space="preserve">Bank of China, Chinese Construction and Telecommunication Bank, Agricultural Bank of China, China Petroleum – </w:t>
      </w:r>
      <w:r w:rsidRPr="004E7E3E">
        <w:rPr>
          <w:rFonts w:ascii="Times New Roman" w:hAnsi="Times New Roman" w:cs="Times New Roman"/>
          <w:color w:val="000000"/>
          <w:sz w:val="24"/>
          <w:szCs w:val="24"/>
          <w:shd w:val="clear" w:color="auto" w:fill="FFFFFF"/>
          <w:lang w:val="ru-RU"/>
        </w:rPr>
        <w:t>вот</w:t>
      </w:r>
      <w:r w:rsidRPr="004E7E3E">
        <w:rPr>
          <w:rFonts w:ascii="Times New Roman" w:hAnsi="Times New Roman" w:cs="Times New Roman"/>
          <w:color w:val="000000"/>
          <w:sz w:val="24"/>
          <w:szCs w:val="24"/>
          <w:shd w:val="clear" w:color="auto" w:fill="FFFFFF"/>
        </w:rPr>
        <w:t xml:space="preserve"> </w:t>
      </w:r>
      <w:r w:rsidRPr="004E7E3E">
        <w:rPr>
          <w:rFonts w:ascii="Times New Roman" w:hAnsi="Times New Roman" w:cs="Times New Roman"/>
          <w:color w:val="000000"/>
          <w:sz w:val="24"/>
          <w:szCs w:val="24"/>
          <w:shd w:val="clear" w:color="auto" w:fill="FFFFFF"/>
          <w:lang w:val="ru-RU"/>
        </w:rPr>
        <w:t>неполный</w:t>
      </w:r>
      <w:r w:rsidRPr="004E7E3E">
        <w:rPr>
          <w:rFonts w:ascii="Times New Roman" w:hAnsi="Times New Roman" w:cs="Times New Roman"/>
          <w:color w:val="000000"/>
          <w:sz w:val="24"/>
          <w:szCs w:val="24"/>
          <w:shd w:val="clear" w:color="auto" w:fill="FFFFFF"/>
        </w:rPr>
        <w:t xml:space="preserve"> </w:t>
      </w:r>
      <w:r w:rsidRPr="004E7E3E">
        <w:rPr>
          <w:rFonts w:ascii="Times New Roman" w:hAnsi="Times New Roman" w:cs="Times New Roman"/>
          <w:color w:val="000000"/>
          <w:sz w:val="24"/>
          <w:szCs w:val="24"/>
          <w:shd w:val="clear" w:color="auto" w:fill="FFFFFF"/>
          <w:lang w:val="ru-RU"/>
        </w:rPr>
        <w:t>перечень</w:t>
      </w:r>
      <w:r w:rsidRPr="004E7E3E">
        <w:rPr>
          <w:rFonts w:ascii="Times New Roman" w:hAnsi="Times New Roman" w:cs="Times New Roman"/>
          <w:color w:val="000000"/>
          <w:sz w:val="24"/>
          <w:szCs w:val="24"/>
          <w:shd w:val="clear" w:color="auto" w:fill="FFFFFF"/>
        </w:rPr>
        <w:t xml:space="preserve"> </w:t>
      </w:r>
      <w:r w:rsidRPr="004E7E3E">
        <w:rPr>
          <w:rFonts w:ascii="Times New Roman" w:hAnsi="Times New Roman" w:cs="Times New Roman"/>
          <w:color w:val="000000"/>
          <w:sz w:val="24"/>
          <w:szCs w:val="24"/>
          <w:shd w:val="clear" w:color="auto" w:fill="FFFFFF"/>
          <w:lang w:val="ru-RU"/>
        </w:rPr>
        <w:t>госкорпораций</w:t>
      </w:r>
      <w:r w:rsidRPr="004E7E3E">
        <w:rPr>
          <w:rFonts w:ascii="Times New Roman" w:hAnsi="Times New Roman" w:cs="Times New Roman"/>
          <w:color w:val="000000"/>
          <w:sz w:val="24"/>
          <w:szCs w:val="24"/>
          <w:shd w:val="clear" w:color="auto" w:fill="FFFFFF"/>
        </w:rPr>
        <w:t xml:space="preserve">, </w:t>
      </w:r>
      <w:r w:rsidRPr="004E7E3E">
        <w:rPr>
          <w:rFonts w:ascii="Times New Roman" w:hAnsi="Times New Roman" w:cs="Times New Roman"/>
          <w:color w:val="000000"/>
          <w:sz w:val="24"/>
          <w:szCs w:val="24"/>
          <w:shd w:val="clear" w:color="auto" w:fill="FFFFFF"/>
          <w:lang w:val="ru-RU"/>
        </w:rPr>
        <w:t>чьи</w:t>
      </w:r>
      <w:r w:rsidRPr="004E7E3E">
        <w:rPr>
          <w:rFonts w:ascii="Times New Roman" w:hAnsi="Times New Roman" w:cs="Times New Roman"/>
          <w:color w:val="000000"/>
          <w:sz w:val="24"/>
          <w:szCs w:val="24"/>
          <w:shd w:val="clear" w:color="auto" w:fill="FFFFFF"/>
        </w:rPr>
        <w:t xml:space="preserve"> </w:t>
      </w:r>
      <w:r w:rsidRPr="004E7E3E">
        <w:rPr>
          <w:rFonts w:ascii="Times New Roman" w:hAnsi="Times New Roman" w:cs="Times New Roman"/>
          <w:color w:val="000000"/>
          <w:sz w:val="24"/>
          <w:szCs w:val="24"/>
          <w:shd w:val="clear" w:color="auto" w:fill="FFFFFF"/>
          <w:lang w:val="ru-RU"/>
        </w:rPr>
        <w:t>акции</w:t>
      </w:r>
      <w:r w:rsidRPr="004E7E3E">
        <w:rPr>
          <w:rFonts w:ascii="Times New Roman" w:hAnsi="Times New Roman" w:cs="Times New Roman"/>
          <w:color w:val="000000"/>
          <w:sz w:val="24"/>
          <w:szCs w:val="24"/>
          <w:shd w:val="clear" w:color="auto" w:fill="FFFFFF"/>
        </w:rPr>
        <w:t xml:space="preserve"> </w:t>
      </w:r>
      <w:r w:rsidRPr="004E7E3E">
        <w:rPr>
          <w:rFonts w:ascii="Times New Roman" w:hAnsi="Times New Roman" w:cs="Times New Roman"/>
          <w:color w:val="000000"/>
          <w:sz w:val="24"/>
          <w:szCs w:val="24"/>
          <w:shd w:val="clear" w:color="auto" w:fill="FFFFFF"/>
          <w:lang w:val="ru-RU"/>
        </w:rPr>
        <w:t>котируются</w:t>
      </w:r>
      <w:r w:rsidRPr="004E7E3E">
        <w:rPr>
          <w:rFonts w:ascii="Times New Roman" w:hAnsi="Times New Roman" w:cs="Times New Roman"/>
          <w:color w:val="000000"/>
          <w:sz w:val="24"/>
          <w:szCs w:val="24"/>
          <w:shd w:val="clear" w:color="auto" w:fill="FFFFFF"/>
        </w:rPr>
        <w:t xml:space="preserve"> </w:t>
      </w:r>
      <w:r w:rsidRPr="004E7E3E">
        <w:rPr>
          <w:rFonts w:ascii="Times New Roman" w:hAnsi="Times New Roman" w:cs="Times New Roman"/>
          <w:color w:val="000000"/>
          <w:sz w:val="24"/>
          <w:szCs w:val="24"/>
          <w:shd w:val="clear" w:color="auto" w:fill="FFFFFF"/>
          <w:lang w:val="ru-RU"/>
        </w:rPr>
        <w:t>на</w:t>
      </w:r>
      <w:r w:rsidRPr="004E7E3E">
        <w:rPr>
          <w:rFonts w:ascii="Times New Roman" w:hAnsi="Times New Roman" w:cs="Times New Roman"/>
          <w:color w:val="000000"/>
          <w:sz w:val="24"/>
          <w:szCs w:val="24"/>
          <w:shd w:val="clear" w:color="auto" w:fill="FFFFFF"/>
        </w:rPr>
        <w:t xml:space="preserve"> </w:t>
      </w:r>
      <w:r w:rsidRPr="004E7E3E">
        <w:rPr>
          <w:rFonts w:ascii="Times New Roman" w:hAnsi="Times New Roman" w:cs="Times New Roman"/>
          <w:color w:val="000000"/>
          <w:sz w:val="24"/>
          <w:szCs w:val="24"/>
          <w:shd w:val="clear" w:color="auto" w:fill="FFFFFF"/>
          <w:lang w:val="ru-RU"/>
        </w:rPr>
        <w:t>Гонконгской</w:t>
      </w:r>
      <w:r w:rsidRPr="004E7E3E">
        <w:rPr>
          <w:rFonts w:ascii="Times New Roman" w:hAnsi="Times New Roman" w:cs="Times New Roman"/>
          <w:color w:val="000000"/>
          <w:sz w:val="24"/>
          <w:szCs w:val="24"/>
          <w:shd w:val="clear" w:color="auto" w:fill="FFFFFF"/>
        </w:rPr>
        <w:t xml:space="preserve"> </w:t>
      </w:r>
      <w:r w:rsidRPr="004E7E3E">
        <w:rPr>
          <w:rFonts w:ascii="Times New Roman" w:hAnsi="Times New Roman" w:cs="Times New Roman"/>
          <w:color w:val="000000"/>
          <w:sz w:val="24"/>
          <w:szCs w:val="24"/>
          <w:shd w:val="clear" w:color="auto" w:fill="FFFFFF"/>
          <w:lang w:val="ru-RU"/>
        </w:rPr>
        <w:t>бирже</w:t>
      </w:r>
      <w:r w:rsidRPr="004E7E3E">
        <w:rPr>
          <w:rFonts w:ascii="Times New Roman" w:hAnsi="Times New Roman" w:cs="Times New Roman"/>
          <w:color w:val="000000"/>
          <w:sz w:val="24"/>
          <w:szCs w:val="24"/>
          <w:shd w:val="clear" w:color="auto" w:fill="FFFFFF"/>
        </w:rPr>
        <w:t xml:space="preserve">. </w:t>
      </w:r>
      <w:r w:rsidRPr="004E7E3E">
        <w:rPr>
          <w:rFonts w:ascii="Times New Roman" w:hAnsi="Times New Roman" w:cs="Times New Roman"/>
          <w:color w:val="000000"/>
          <w:sz w:val="24"/>
          <w:szCs w:val="24"/>
          <w:shd w:val="clear" w:color="auto" w:fill="FFFFFF"/>
          <w:lang w:val="ru-RU"/>
        </w:rPr>
        <w:t xml:space="preserve">Эти акции получили название – </w:t>
      </w:r>
      <w:r w:rsidRPr="004E7E3E">
        <w:rPr>
          <w:rFonts w:ascii="Times New Roman" w:hAnsi="Times New Roman" w:cs="Times New Roman"/>
          <w:color w:val="000000"/>
          <w:sz w:val="24"/>
          <w:szCs w:val="24"/>
          <w:shd w:val="clear" w:color="auto" w:fill="FFFFFF"/>
        </w:rPr>
        <w:t>X</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rPr>
        <w:t>shares</w:t>
      </w:r>
      <w:r w:rsidRPr="004E7E3E">
        <w:rPr>
          <w:rFonts w:ascii="Times New Roman" w:hAnsi="Times New Roman" w:cs="Times New Roman"/>
          <w:color w:val="000000"/>
          <w:sz w:val="24"/>
          <w:szCs w:val="24"/>
          <w:shd w:val="clear" w:color="auto" w:fill="FFFFFF"/>
          <w:lang w:val="ru-RU"/>
        </w:rPr>
        <w:t xml:space="preserve"> или «красные фишки». </w:t>
      </w:r>
    </w:p>
    <w:p w14:paraId="72B4C8DC" w14:textId="5A8BDAC8"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highlight w:val="yellow"/>
          <w:lang w:val="ru-RU"/>
        </w:rPr>
      </w:pPr>
      <w:r w:rsidRPr="004E7E3E">
        <w:rPr>
          <w:rFonts w:ascii="Times New Roman" w:hAnsi="Times New Roman" w:cs="Times New Roman"/>
          <w:color w:val="000000"/>
          <w:sz w:val="24"/>
          <w:szCs w:val="24"/>
          <w:shd w:val="clear" w:color="auto" w:fill="FFFFFF"/>
          <w:lang w:val="ru-RU"/>
        </w:rPr>
        <w:t>Центральным звеном создания МФЦ в Шанхае является Шанхайская фондовая биржа (ШФБ). Она была основана и начала свою деятельность в 1990 году. Чуть позже, но в том же году, была создана Шэньджэньская фондовая биржа. Между этими двумя площадками существует разделение: Шанхай – это основная площадка для больших компаний, часто с большим государственным участие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_Ref499231392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159</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а </w:t>
      </w:r>
      <w:r w:rsidR="002F50A0" w:rsidRPr="004E7E3E">
        <w:rPr>
          <w:rFonts w:ascii="Times New Roman" w:hAnsi="Times New Roman" w:cs="Times New Roman"/>
          <w:color w:val="000000"/>
          <w:sz w:val="24"/>
          <w:szCs w:val="24"/>
          <w:shd w:val="clear" w:color="auto" w:fill="FFFFFF"/>
          <w:lang w:val="ru-RU"/>
        </w:rPr>
        <w:t>Шэньчжэнь</w:t>
      </w:r>
      <w:r w:rsidRPr="004E7E3E">
        <w:rPr>
          <w:rFonts w:ascii="Times New Roman" w:hAnsi="Times New Roman" w:cs="Times New Roman"/>
          <w:color w:val="000000"/>
          <w:sz w:val="24"/>
          <w:szCs w:val="24"/>
          <w:shd w:val="clear" w:color="auto" w:fill="FFFFFF"/>
          <w:lang w:val="ru-RU"/>
        </w:rPr>
        <w:t xml:space="preserve"> – это площадка для первого размещения новых частных, часто инновационных компаний с большим потенциалом роста, но сохранивших риски первоначального роста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_Ref131436460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225</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Кроме того, можно говорить о симбиозе Шанхайской и Гонконгской бирж: </w:t>
      </w:r>
      <w:r w:rsidRPr="004E7E3E">
        <w:rPr>
          <w:rFonts w:ascii="Times New Roman" w:hAnsi="Times New Roman" w:cs="Times New Roman"/>
          <w:color w:val="000000"/>
          <w:sz w:val="24"/>
          <w:szCs w:val="24"/>
          <w:lang w:val="ru-RU"/>
        </w:rPr>
        <w:t xml:space="preserve">КНР через Гонконг свободно пользуется возможностями мировых рынков </w:t>
      </w:r>
      <w:r w:rsidRPr="004E7E3E">
        <w:rPr>
          <w:rFonts w:ascii="Times New Roman" w:hAnsi="Times New Roman" w:cs="Times New Roman"/>
          <w:color w:val="000000"/>
          <w:sz w:val="24"/>
          <w:szCs w:val="24"/>
          <w:lang w:val="ru-RU"/>
        </w:rPr>
        <w:lastRenderedPageBreak/>
        <w:t>капитала и</w:t>
      </w:r>
      <w:r>
        <w:rPr>
          <w:rFonts w:ascii="Times New Roman" w:hAnsi="Times New Roman" w:cs="Times New Roman"/>
          <w:color w:val="000000"/>
          <w:sz w:val="24"/>
          <w:szCs w:val="24"/>
          <w:lang w:val="ru-RU"/>
        </w:rPr>
        <w:t>,</w:t>
      </w:r>
      <w:r w:rsidRPr="004E7E3E">
        <w:rPr>
          <w:rFonts w:ascii="Times New Roman" w:hAnsi="Times New Roman" w:cs="Times New Roman"/>
          <w:color w:val="000000"/>
          <w:sz w:val="24"/>
          <w:szCs w:val="24"/>
          <w:lang w:val="ru-RU"/>
        </w:rPr>
        <w:t xml:space="preserve"> в то же время, используя Гонконг в качестве «шлюза», не позволяет ведущим игрокам мировых рынков капитала играть против интересов КНР [</w:t>
      </w:r>
      <w:r w:rsidRPr="004E7E3E">
        <w:rPr>
          <w:rFonts w:ascii="Times New Roman" w:hAnsi="Times New Roman" w:cs="Times New Roman"/>
          <w:color w:val="000000"/>
          <w:sz w:val="24"/>
          <w:szCs w:val="24"/>
        </w:rPr>
        <w:fldChar w:fldCharType="begin"/>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 xml:space="preserve"> _</w:instrText>
      </w:r>
      <w:r w:rsidRPr="004E7E3E">
        <w:rPr>
          <w:rFonts w:ascii="Times New Roman" w:hAnsi="Times New Roman" w:cs="Times New Roman"/>
          <w:color w:val="000000"/>
          <w:sz w:val="24"/>
          <w:szCs w:val="24"/>
        </w:rPr>
        <w:instrText>Ref</w:instrText>
      </w:r>
      <w:r w:rsidRPr="004E7E3E">
        <w:rPr>
          <w:rFonts w:ascii="Times New Roman" w:hAnsi="Times New Roman" w:cs="Times New Roman"/>
          <w:color w:val="000000"/>
          <w:sz w:val="24"/>
          <w:szCs w:val="24"/>
          <w:lang w:val="ru-RU"/>
        </w:rPr>
        <w:instrText>499131173 \</w:instrText>
      </w:r>
      <w:r w:rsidRPr="004E7E3E">
        <w:rPr>
          <w:rFonts w:ascii="Times New Roman" w:hAnsi="Times New Roman" w:cs="Times New Roman"/>
          <w:color w:val="000000"/>
          <w:sz w:val="24"/>
          <w:szCs w:val="24"/>
        </w:rPr>
        <w:instrText>r</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instrText>h</w:instrText>
      </w:r>
      <w:r w:rsidRPr="004E7E3E">
        <w:rPr>
          <w:rFonts w:ascii="Times New Roman" w:hAnsi="Times New Roman" w:cs="Times New Roman"/>
          <w:color w:val="000000"/>
          <w:sz w:val="24"/>
          <w:szCs w:val="24"/>
          <w:lang w:val="ru-RU"/>
        </w:rPr>
        <w:instrText xml:space="preserve">  \* </w:instrText>
      </w:r>
      <w:r w:rsidRPr="004E7E3E">
        <w:rPr>
          <w:rFonts w:ascii="Times New Roman" w:hAnsi="Times New Roman" w:cs="Times New Roman"/>
          <w:color w:val="000000"/>
          <w:sz w:val="24"/>
          <w:szCs w:val="24"/>
        </w:rPr>
        <w:instrText>MERGEFORMAT</w:instrText>
      </w:r>
      <w:r w:rsidRPr="004E7E3E">
        <w:rPr>
          <w:rFonts w:ascii="Times New Roman" w:hAnsi="Times New Roman" w:cs="Times New Roman"/>
          <w:color w:val="000000"/>
          <w:sz w:val="24"/>
          <w:szCs w:val="24"/>
          <w:lang w:val="ru-RU"/>
        </w:rPr>
        <w:instrText xml:space="preserve"> </w:instrText>
      </w:r>
      <w:r w:rsidRPr="004E7E3E">
        <w:rPr>
          <w:rFonts w:ascii="Times New Roman" w:hAnsi="Times New Roman" w:cs="Times New Roman"/>
          <w:color w:val="000000"/>
          <w:sz w:val="24"/>
          <w:szCs w:val="24"/>
        </w:rPr>
      </w:r>
      <w:r w:rsidRPr="004E7E3E">
        <w:rPr>
          <w:rFonts w:ascii="Times New Roman" w:hAnsi="Times New Roman" w:cs="Times New Roman"/>
          <w:color w:val="000000"/>
          <w:sz w:val="24"/>
          <w:szCs w:val="24"/>
        </w:rPr>
        <w:fldChar w:fldCharType="separate"/>
      </w:r>
      <w:r w:rsidR="00801D78" w:rsidRPr="00801D78">
        <w:rPr>
          <w:rFonts w:ascii="Times New Roman" w:hAnsi="Times New Roman" w:cs="Times New Roman"/>
          <w:color w:val="000000"/>
          <w:sz w:val="24"/>
          <w:szCs w:val="24"/>
          <w:lang w:val="ru-RU"/>
        </w:rPr>
        <w:t>91</w:t>
      </w:r>
      <w:r w:rsidRPr="004E7E3E">
        <w:rPr>
          <w:rFonts w:ascii="Times New Roman" w:hAnsi="Times New Roman" w:cs="Times New Roman"/>
          <w:color w:val="000000"/>
          <w:sz w:val="24"/>
          <w:szCs w:val="24"/>
        </w:rPr>
        <w:fldChar w:fldCharType="end"/>
      </w:r>
      <w:r w:rsidRPr="004E7E3E">
        <w:rPr>
          <w:rFonts w:ascii="Times New Roman" w:hAnsi="Times New Roman" w:cs="Times New Roman"/>
          <w:color w:val="000000"/>
          <w:sz w:val="24"/>
          <w:szCs w:val="24"/>
          <w:lang w:val="ru-RU"/>
        </w:rPr>
        <w:t xml:space="preserve">, </w:t>
      </w:r>
      <w:r w:rsidRPr="004E7E3E">
        <w:rPr>
          <w:rFonts w:ascii="Times New Roman" w:hAnsi="Times New Roman" w:cs="Times New Roman"/>
          <w:color w:val="000000"/>
          <w:sz w:val="24"/>
          <w:szCs w:val="24"/>
        </w:rPr>
        <w:t>c</w:t>
      </w:r>
      <w:r w:rsidRPr="004E7E3E">
        <w:rPr>
          <w:rFonts w:ascii="Times New Roman" w:hAnsi="Times New Roman" w:cs="Times New Roman"/>
          <w:color w:val="000000"/>
          <w:sz w:val="24"/>
          <w:szCs w:val="24"/>
          <w:lang w:val="ru-RU"/>
        </w:rPr>
        <w:t>. 26]</w:t>
      </w:r>
      <w:r>
        <w:rPr>
          <w:rFonts w:ascii="Times New Roman" w:hAnsi="Times New Roman" w:cs="Times New Roman"/>
          <w:color w:val="000000"/>
          <w:sz w:val="24"/>
          <w:szCs w:val="24"/>
          <w:lang w:val="ru-RU"/>
        </w:rPr>
        <w:t>.</w:t>
      </w:r>
    </w:p>
    <w:p w14:paraId="1C8A93C3" w14:textId="447A8C19"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Такая структура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целом</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сохраняется до сих пор. На Шанхайском фондовой бирже обращаются два вида акций: «</w:t>
      </w:r>
      <w:r w:rsidRPr="004E7E3E">
        <w:rPr>
          <w:rFonts w:ascii="Times New Roman" w:hAnsi="Times New Roman" w:cs="Times New Roman"/>
          <w:color w:val="000000"/>
          <w:sz w:val="24"/>
          <w:szCs w:val="24"/>
          <w:shd w:val="clear" w:color="auto" w:fill="FFFFFF"/>
        </w:rPr>
        <w:t>A</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rPr>
        <w:t>shares</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lang w:val="ru-RU"/>
        </w:rPr>
        <w:t>–</w:t>
      </w:r>
      <w:r w:rsidRPr="004E7E3E">
        <w:rPr>
          <w:rFonts w:ascii="Times New Roman" w:hAnsi="Times New Roman" w:cs="Times New Roman"/>
          <w:color w:val="000000"/>
          <w:sz w:val="24"/>
          <w:szCs w:val="24"/>
          <w:shd w:val="clear" w:color="auto" w:fill="FFFFFF"/>
          <w:lang w:val="ru-RU"/>
        </w:rPr>
        <w:t xml:space="preserve"> деноминированные в юанях обычные акции для внутреннего рынка (инвесторы из Тайваня, Гонконга и Макао также не могут торговать этими бумагами), «</w:t>
      </w:r>
      <w:r w:rsidRPr="004E7E3E">
        <w:rPr>
          <w:rFonts w:ascii="Times New Roman" w:hAnsi="Times New Roman" w:cs="Times New Roman"/>
          <w:color w:val="000000"/>
          <w:sz w:val="24"/>
          <w:szCs w:val="24"/>
          <w:shd w:val="clear" w:color="auto" w:fill="FFFFFF"/>
        </w:rPr>
        <w:t>B</w:t>
      </w:r>
      <w:r w:rsidRPr="004E7E3E">
        <w:rPr>
          <w:rFonts w:ascii="Times New Roman" w:hAnsi="Times New Roman" w:cs="Times New Roman"/>
          <w:color w:val="000000"/>
          <w:sz w:val="24"/>
          <w:szCs w:val="24"/>
          <w:shd w:val="clear" w:color="auto" w:fill="FFFFFF"/>
          <w:lang w:val="ru-RU"/>
        </w:rPr>
        <w:t xml:space="preserve">-shares» </w:t>
      </w:r>
      <w:r w:rsidRPr="004E7E3E">
        <w:rPr>
          <w:rFonts w:ascii="Times New Roman" w:hAnsi="Times New Roman" w:cs="Times New Roman"/>
          <w:color w:val="000000"/>
          <w:sz w:val="24"/>
          <w:szCs w:val="24"/>
          <w:lang w:val="ru-RU"/>
        </w:rPr>
        <w:t>–</w:t>
      </w:r>
      <w:r w:rsidRPr="004E7E3E">
        <w:rPr>
          <w:rFonts w:ascii="Times New Roman" w:hAnsi="Times New Roman" w:cs="Times New Roman"/>
          <w:color w:val="000000"/>
          <w:sz w:val="24"/>
          <w:szCs w:val="24"/>
          <w:shd w:val="clear" w:color="auto" w:fill="FFFFFF"/>
          <w:lang w:val="ru-RU"/>
        </w:rPr>
        <w:t xml:space="preserve"> деноминированные в юанях специальные акции для иностранных участников торгов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_Ref499297838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175</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Согласно информации </w:t>
      </w:r>
      <w:r>
        <w:rPr>
          <w:rFonts w:ascii="Times New Roman" w:hAnsi="Times New Roman" w:cs="Times New Roman"/>
          <w:color w:val="000000"/>
          <w:sz w:val="24"/>
          <w:szCs w:val="24"/>
          <w:shd w:val="clear" w:color="auto" w:fill="FFFFFF"/>
          <w:lang w:val="ru-RU"/>
        </w:rPr>
        <w:t xml:space="preserve">с </w:t>
      </w:r>
      <w:r w:rsidRPr="004E7E3E">
        <w:rPr>
          <w:rFonts w:ascii="Times New Roman" w:hAnsi="Times New Roman" w:cs="Times New Roman"/>
          <w:color w:val="000000"/>
          <w:sz w:val="24"/>
          <w:szCs w:val="24"/>
          <w:shd w:val="clear" w:color="auto" w:fill="FFFFFF"/>
          <w:lang w:val="ru-RU"/>
        </w:rPr>
        <w:t xml:space="preserve">официального сайта ШФБ, для иностранных инвесторов предусмотрены две формы участи: 1) Квалифицированный иностранный институциональный инвестор – </w:t>
      </w:r>
      <w:r w:rsidRPr="004E7E3E">
        <w:rPr>
          <w:rFonts w:ascii="Times New Roman" w:hAnsi="Times New Roman" w:cs="Times New Roman"/>
          <w:color w:val="000000"/>
          <w:sz w:val="24"/>
          <w:szCs w:val="24"/>
          <w:shd w:val="clear" w:color="auto" w:fill="FFFFFF"/>
        </w:rPr>
        <w:t>Qualified</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Foreign</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Institutional</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Investor</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QFII</w:t>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Данный </w:t>
      </w:r>
      <w:r w:rsidRPr="004E7E3E">
        <w:rPr>
          <w:rFonts w:ascii="Times New Roman" w:hAnsi="Times New Roman" w:cs="Times New Roman"/>
          <w:color w:val="000000"/>
          <w:sz w:val="24"/>
          <w:szCs w:val="24"/>
          <w:shd w:val="clear" w:color="auto" w:fill="FFFFFF"/>
          <w:lang w:val="ru-RU"/>
        </w:rPr>
        <w:t xml:space="preserve">механизм был введен в 2002 году как переходная форма участия глобальных инвесторов, позволяющая им покупать ограниченный перечень акций типа А по согласованным со специальным государственным агентством ценам, 2) </w:t>
      </w:r>
      <w:r w:rsidRPr="004E7E3E">
        <w:rPr>
          <w:rFonts w:ascii="Times New Roman" w:hAnsi="Times New Roman" w:cs="Times New Roman"/>
          <w:color w:val="000000"/>
          <w:sz w:val="24"/>
          <w:szCs w:val="24"/>
          <w:shd w:val="clear" w:color="auto" w:fill="FFFFFF"/>
        </w:rPr>
        <w:t>RMB</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Qualified</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Foreign</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Institutional</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Investor</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RQFII</w:t>
      </w:r>
      <w:r w:rsidRPr="004E7E3E">
        <w:rPr>
          <w:rFonts w:ascii="Times New Roman" w:hAnsi="Times New Roman" w:cs="Times New Roman"/>
          <w:color w:val="000000"/>
          <w:sz w:val="24"/>
          <w:szCs w:val="24"/>
          <w:shd w:val="clear" w:color="auto" w:fill="FFFFFF"/>
          <w:lang w:val="ru-RU"/>
        </w:rPr>
        <w:t xml:space="preserve">) – схема, инициированная в конце 2011 года, позволяющая торговать китайскими ценными бумагами напрямую с помощью офшорных юаней. Хотя лицензий </w:t>
      </w:r>
      <w:r w:rsidRPr="004E7E3E">
        <w:rPr>
          <w:rFonts w:ascii="Times New Roman" w:hAnsi="Times New Roman" w:cs="Times New Roman"/>
          <w:color w:val="000000"/>
          <w:sz w:val="24"/>
          <w:szCs w:val="24"/>
          <w:shd w:val="clear" w:color="auto" w:fill="FFFFFF"/>
        </w:rPr>
        <w:t>RQFII</w:t>
      </w:r>
      <w:r w:rsidRPr="004E7E3E">
        <w:rPr>
          <w:rFonts w:ascii="Times New Roman" w:hAnsi="Times New Roman" w:cs="Times New Roman"/>
          <w:color w:val="000000"/>
          <w:sz w:val="24"/>
          <w:szCs w:val="24"/>
          <w:shd w:val="clear" w:color="auto" w:fill="FFFFFF"/>
          <w:lang w:val="ru-RU"/>
        </w:rPr>
        <w:t xml:space="preserve"> было выдано на 35% меньше, чем </w:t>
      </w:r>
      <w:r w:rsidRPr="004E7E3E">
        <w:rPr>
          <w:rFonts w:ascii="Times New Roman" w:hAnsi="Times New Roman" w:cs="Times New Roman"/>
          <w:color w:val="000000"/>
          <w:sz w:val="24"/>
          <w:szCs w:val="24"/>
          <w:shd w:val="clear" w:color="auto" w:fill="FFFFFF"/>
        </w:rPr>
        <w:t>QFII</w:t>
      </w:r>
      <w:r w:rsidRPr="004E7E3E">
        <w:rPr>
          <w:rFonts w:ascii="Times New Roman" w:hAnsi="Times New Roman" w:cs="Times New Roman"/>
          <w:color w:val="000000"/>
          <w:sz w:val="24"/>
          <w:szCs w:val="24"/>
          <w:shd w:val="clear" w:color="auto" w:fill="FFFFFF"/>
          <w:lang w:val="ru-RU"/>
        </w:rPr>
        <w:t xml:space="preserve">, активов по данной схеме торгуется на сумму в 6 раз больше (93,3 млрд. дол. </w:t>
      </w:r>
      <w:r>
        <w:rPr>
          <w:rFonts w:ascii="Times New Roman" w:hAnsi="Times New Roman" w:cs="Times New Roman"/>
          <w:color w:val="000000"/>
          <w:sz w:val="24"/>
          <w:szCs w:val="24"/>
          <w:shd w:val="clear" w:color="auto" w:fill="FFFFFF"/>
          <w:lang w:val="ru-RU"/>
        </w:rPr>
        <w:t>п</w:t>
      </w:r>
      <w:r w:rsidRPr="004E7E3E">
        <w:rPr>
          <w:rFonts w:ascii="Times New Roman" w:hAnsi="Times New Roman" w:cs="Times New Roman"/>
          <w:color w:val="000000"/>
          <w:sz w:val="24"/>
          <w:szCs w:val="24"/>
          <w:shd w:val="clear" w:color="auto" w:fill="FFFFFF"/>
          <w:lang w:val="ru-RU"/>
        </w:rPr>
        <w:t xml:space="preserve">о </w:t>
      </w:r>
      <w:r w:rsidRPr="004E7E3E">
        <w:rPr>
          <w:rFonts w:ascii="Times New Roman" w:hAnsi="Times New Roman" w:cs="Times New Roman"/>
          <w:color w:val="000000"/>
          <w:sz w:val="24"/>
          <w:szCs w:val="24"/>
          <w:shd w:val="clear" w:color="auto" w:fill="FFFFFF"/>
        </w:rPr>
        <w:t>QFII</w:t>
      </w:r>
      <w:r w:rsidRPr="004E7E3E">
        <w:rPr>
          <w:rFonts w:ascii="Times New Roman" w:hAnsi="Times New Roman" w:cs="Times New Roman"/>
          <w:color w:val="000000"/>
          <w:sz w:val="24"/>
          <w:szCs w:val="24"/>
          <w:shd w:val="clear" w:color="auto" w:fill="FFFFFF"/>
          <w:lang w:val="ru-RU"/>
        </w:rPr>
        <w:t xml:space="preserve"> против 548,2 млрд. дол. </w:t>
      </w:r>
      <w:r>
        <w:rPr>
          <w:rFonts w:ascii="Times New Roman" w:hAnsi="Times New Roman" w:cs="Times New Roman"/>
          <w:color w:val="000000"/>
          <w:sz w:val="24"/>
          <w:szCs w:val="24"/>
          <w:shd w:val="clear" w:color="auto" w:fill="FFFFFF"/>
          <w:lang w:val="ru-RU"/>
        </w:rPr>
        <w:t>п</w:t>
      </w:r>
      <w:r w:rsidRPr="004E7E3E">
        <w:rPr>
          <w:rFonts w:ascii="Times New Roman" w:hAnsi="Times New Roman" w:cs="Times New Roman"/>
          <w:color w:val="000000"/>
          <w:sz w:val="24"/>
          <w:szCs w:val="24"/>
          <w:shd w:val="clear" w:color="auto" w:fill="FFFFFF"/>
          <w:lang w:val="ru-RU"/>
        </w:rPr>
        <w:t xml:space="preserve">о </w:t>
      </w:r>
      <w:r w:rsidRPr="004E7E3E">
        <w:rPr>
          <w:rFonts w:ascii="Times New Roman" w:hAnsi="Times New Roman" w:cs="Times New Roman"/>
          <w:color w:val="000000"/>
          <w:sz w:val="24"/>
          <w:szCs w:val="24"/>
          <w:shd w:val="clear" w:color="auto" w:fill="FFFFFF"/>
        </w:rPr>
        <w:t>RQFII</w:t>
      </w:r>
      <w:r w:rsidRPr="004E7E3E">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_Ref131436573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221</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w:t>
      </w:r>
    </w:p>
    <w:p w14:paraId="0B5372CA"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2010 году был введён ещё один инструмент для портфельных инвестиций в экономику Китая – </w:t>
      </w:r>
      <w:r w:rsidRPr="004E7E3E">
        <w:rPr>
          <w:rFonts w:ascii="Times New Roman" w:hAnsi="Times New Roman" w:cs="Times New Roman"/>
          <w:color w:val="000000"/>
          <w:sz w:val="24"/>
          <w:szCs w:val="24"/>
          <w:shd w:val="clear" w:color="auto" w:fill="FFFFFF"/>
        </w:rPr>
        <w:t>Qualified</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Foreign</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Institutional</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Partnership</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QFIP</w:t>
      </w:r>
      <w:r w:rsidRPr="004E7E3E">
        <w:rPr>
          <w:rFonts w:ascii="Times New Roman" w:hAnsi="Times New Roman" w:cs="Times New Roman"/>
          <w:color w:val="000000"/>
          <w:sz w:val="24"/>
          <w:szCs w:val="24"/>
          <w:shd w:val="clear" w:color="auto" w:fill="FFFFFF"/>
          <w:lang w:val="ru-RU"/>
        </w:rPr>
        <w:t>), содействующи</w:t>
      </w:r>
      <w:r>
        <w:rPr>
          <w:rFonts w:ascii="Times New Roman" w:hAnsi="Times New Roman" w:cs="Times New Roman"/>
          <w:color w:val="000000"/>
          <w:sz w:val="24"/>
          <w:szCs w:val="24"/>
          <w:shd w:val="clear" w:color="auto" w:fill="FFFFFF"/>
          <w:lang w:val="ru-RU"/>
        </w:rPr>
        <w:t>й</w:t>
      </w:r>
      <w:r w:rsidRPr="004E7E3E">
        <w:rPr>
          <w:rFonts w:ascii="Times New Roman" w:hAnsi="Times New Roman" w:cs="Times New Roman"/>
          <w:color w:val="000000"/>
          <w:sz w:val="24"/>
          <w:szCs w:val="24"/>
          <w:shd w:val="clear" w:color="auto" w:fill="FFFFFF"/>
          <w:lang w:val="ru-RU"/>
        </w:rPr>
        <w:t xml:space="preserve"> увеличению портфельных инвестиций в Китай. </w:t>
      </w:r>
    </w:p>
    <w:p w14:paraId="1B6765C9"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Китайская экономика является второй в мире по размерам и имеет весьма высоки</w:t>
      </w:r>
      <w:r>
        <w:rPr>
          <w:rFonts w:ascii="Times New Roman" w:hAnsi="Times New Roman" w:cs="Times New Roman"/>
          <w:color w:val="000000"/>
          <w:sz w:val="24"/>
          <w:szCs w:val="24"/>
          <w:shd w:val="clear" w:color="auto" w:fill="FFFFFF"/>
          <w:lang w:val="ru-RU"/>
        </w:rPr>
        <w:t>й</w:t>
      </w:r>
      <w:r w:rsidRPr="004E7E3E">
        <w:rPr>
          <w:rFonts w:ascii="Times New Roman" w:hAnsi="Times New Roman" w:cs="Times New Roman"/>
          <w:color w:val="000000"/>
          <w:sz w:val="24"/>
          <w:szCs w:val="24"/>
          <w:shd w:val="clear" w:color="auto" w:fill="FFFFFF"/>
          <w:lang w:val="ru-RU"/>
        </w:rPr>
        <w:t xml:space="preserve"> уровень накоплений. Для китайских инвестиций за рубеж был создан в 2006 году переходный инструмент – </w:t>
      </w:r>
      <w:r w:rsidRPr="004E7E3E">
        <w:rPr>
          <w:rFonts w:ascii="Times New Roman" w:hAnsi="Times New Roman" w:cs="Times New Roman"/>
          <w:color w:val="000000"/>
          <w:sz w:val="24"/>
          <w:szCs w:val="24"/>
          <w:shd w:val="clear" w:color="auto" w:fill="FFFFFF"/>
        </w:rPr>
        <w:t>Qualified</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Domestic</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Institutional</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Investor</w:t>
      </w:r>
      <w:r w:rsidRPr="004E7E3E">
        <w:rPr>
          <w:rFonts w:ascii="Times New Roman" w:hAnsi="Times New Roman" w:cs="Times New Roman"/>
          <w:color w:val="000000"/>
          <w:sz w:val="24"/>
          <w:szCs w:val="24"/>
          <w:shd w:val="clear" w:color="auto" w:fill="FFFFFF"/>
          <w:lang w:val="ru-RU"/>
        </w:rPr>
        <w:t>, который имел большое количество ограничений</w:t>
      </w:r>
      <w:r>
        <w:rPr>
          <w:rFonts w:ascii="Times New Roman" w:hAnsi="Times New Roman" w:cs="Times New Roman"/>
          <w:color w:val="000000"/>
          <w:sz w:val="24"/>
          <w:szCs w:val="24"/>
          <w:shd w:val="clear" w:color="auto" w:fill="FFFFFF"/>
          <w:lang w:val="ru-RU"/>
        </w:rPr>
        <w:t>. Позже,</w:t>
      </w:r>
      <w:r w:rsidRPr="004E7E3E">
        <w:rPr>
          <w:rFonts w:ascii="Times New Roman" w:hAnsi="Times New Roman" w:cs="Times New Roman"/>
          <w:color w:val="000000"/>
          <w:sz w:val="24"/>
          <w:szCs w:val="24"/>
          <w:shd w:val="clear" w:color="auto" w:fill="FFFFFF"/>
          <w:lang w:val="ru-RU"/>
        </w:rPr>
        <w:t xml:space="preserve"> с развитием данного процесса был создан механизм – </w:t>
      </w:r>
      <w:r w:rsidRPr="004E7E3E">
        <w:rPr>
          <w:rFonts w:ascii="Times New Roman" w:hAnsi="Times New Roman" w:cs="Times New Roman"/>
          <w:color w:val="000000"/>
          <w:sz w:val="24"/>
          <w:szCs w:val="24"/>
          <w:shd w:val="clear" w:color="auto" w:fill="FFFFFF"/>
        </w:rPr>
        <w:t>Qualified</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Domestic</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Institutional</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Partnership</w:t>
      </w:r>
      <w:r w:rsidRPr="004E7E3E">
        <w:rPr>
          <w:rFonts w:ascii="Times New Roman" w:hAnsi="Times New Roman" w:cs="Times New Roman"/>
          <w:color w:val="000000"/>
          <w:sz w:val="24"/>
          <w:szCs w:val="24"/>
          <w:shd w:val="clear" w:color="auto" w:fill="FFFFFF"/>
          <w:lang w:val="ru-RU"/>
        </w:rPr>
        <w:t xml:space="preserve">. </w:t>
      </w:r>
    </w:p>
    <w:p w14:paraId="68B87E8C" w14:textId="17755DC1"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color w:val="000000"/>
          <w:sz w:val="24"/>
          <w:szCs w:val="24"/>
          <w:shd w:val="clear" w:color="auto" w:fill="FFFFFF"/>
          <w:lang w:val="ru-RU"/>
        </w:rPr>
        <w:t xml:space="preserve">Развитие китайского финансового рынка идёт постепенно, но неуклонно. Реформы начались в 1979 году. Открытие китайского рынка шло через особые экономические зоны. Первоначально инвестиции были возможны для иностранцев только в форме совместных предприятий – </w:t>
      </w:r>
      <w:r w:rsidRPr="004E7E3E">
        <w:rPr>
          <w:rFonts w:ascii="Times New Roman" w:hAnsi="Times New Roman" w:cs="Times New Roman"/>
          <w:color w:val="000000"/>
          <w:sz w:val="24"/>
          <w:szCs w:val="24"/>
          <w:shd w:val="clear" w:color="auto" w:fill="FFFFFF"/>
        </w:rPr>
        <w:t>Equity</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Joint</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Venture</w:t>
      </w:r>
      <w:r w:rsidRPr="004E7E3E">
        <w:rPr>
          <w:rFonts w:ascii="Times New Roman" w:hAnsi="Times New Roman" w:cs="Times New Roman"/>
          <w:color w:val="000000"/>
          <w:sz w:val="24"/>
          <w:szCs w:val="24"/>
          <w:shd w:val="clear" w:color="auto" w:fill="FFFFFF"/>
          <w:lang w:val="ru-RU"/>
        </w:rPr>
        <w:t xml:space="preserve"> и </w:t>
      </w:r>
      <w:r w:rsidRPr="004E7E3E">
        <w:rPr>
          <w:rFonts w:ascii="Times New Roman" w:hAnsi="Times New Roman" w:cs="Times New Roman"/>
          <w:color w:val="000000"/>
          <w:sz w:val="24"/>
          <w:szCs w:val="24"/>
          <w:shd w:val="clear" w:color="auto" w:fill="FFFFFF"/>
        </w:rPr>
        <w:t>Cooperative</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Joint</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Venture</w:t>
      </w:r>
      <w:r w:rsidRPr="004E7E3E">
        <w:rPr>
          <w:rFonts w:ascii="Times New Roman" w:hAnsi="Times New Roman" w:cs="Times New Roman"/>
          <w:color w:val="000000"/>
          <w:sz w:val="24"/>
          <w:szCs w:val="24"/>
          <w:shd w:val="clear" w:color="auto" w:fill="FFFFFF"/>
          <w:lang w:val="ru-RU"/>
        </w:rPr>
        <w:t xml:space="preserve">, которые подразумевали ограничения для иностранцев в управлении компании. С 1986 года возможна стала форма компании со 100% иностранным участием – </w:t>
      </w:r>
      <w:r w:rsidRPr="004E7E3E">
        <w:rPr>
          <w:rFonts w:ascii="Times New Roman" w:hAnsi="Times New Roman" w:cs="Times New Roman"/>
          <w:color w:val="000000"/>
          <w:sz w:val="24"/>
          <w:szCs w:val="24"/>
          <w:shd w:val="clear" w:color="auto" w:fill="FFFFFF"/>
        </w:rPr>
        <w:t>Wholly</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Owned</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Foreign</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Enterprise</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WFOE</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sz w:val="24"/>
          <w:szCs w:val="24"/>
        </w:rPr>
        <w:t>WFOE</w:t>
      </w:r>
      <w:r w:rsidRPr="004E7E3E">
        <w:rPr>
          <w:rFonts w:ascii="Times New Roman" w:hAnsi="Times New Roman" w:cs="Times New Roman"/>
          <w:sz w:val="24"/>
          <w:szCs w:val="24"/>
          <w:lang w:val="ru-RU"/>
        </w:rPr>
        <w:t xml:space="preserve"> стал</w:t>
      </w:r>
      <w:r>
        <w:rPr>
          <w:rFonts w:ascii="Times New Roman" w:hAnsi="Times New Roman" w:cs="Times New Roman"/>
          <w:sz w:val="24"/>
          <w:szCs w:val="24"/>
          <w:lang w:val="ru-RU"/>
        </w:rPr>
        <w:t>а</w:t>
      </w:r>
      <w:r w:rsidRPr="004E7E3E">
        <w:rPr>
          <w:rFonts w:ascii="Times New Roman" w:hAnsi="Times New Roman" w:cs="Times New Roman"/>
          <w:sz w:val="24"/>
          <w:szCs w:val="24"/>
          <w:lang w:val="ru-RU"/>
        </w:rPr>
        <w:t xml:space="preserve"> основной формой привлечения прямых иностранных инвестиций (</w:t>
      </w:r>
      <w:r w:rsidRPr="004E7E3E">
        <w:rPr>
          <w:rFonts w:ascii="Times New Roman" w:hAnsi="Times New Roman" w:cs="Times New Roman"/>
          <w:sz w:val="24"/>
          <w:szCs w:val="24"/>
        </w:rPr>
        <w:t>Foreign</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Direct</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Investments</w:t>
      </w:r>
      <w:r w:rsidRPr="004E7E3E">
        <w:rPr>
          <w:rFonts w:ascii="Times New Roman" w:hAnsi="Times New Roman" w:cs="Times New Roman"/>
          <w:sz w:val="24"/>
          <w:szCs w:val="24"/>
          <w:lang w:val="ru-RU"/>
        </w:rPr>
        <w:t xml:space="preserve"> – </w:t>
      </w:r>
      <w:r w:rsidRPr="004E7E3E">
        <w:rPr>
          <w:rFonts w:ascii="Times New Roman" w:hAnsi="Times New Roman" w:cs="Times New Roman"/>
          <w:sz w:val="24"/>
          <w:szCs w:val="24"/>
        </w:rPr>
        <w:t>FDI</w:t>
      </w:r>
      <w:r w:rsidRPr="004E7E3E">
        <w:rPr>
          <w:rFonts w:ascii="Times New Roman" w:hAnsi="Times New Roman" w:cs="Times New Roman"/>
          <w:sz w:val="24"/>
          <w:szCs w:val="24"/>
          <w:lang w:val="ru-RU"/>
        </w:rPr>
        <w:t xml:space="preserve">) в китайскую экономику (48,9% </w:t>
      </w:r>
      <w:r w:rsidRPr="004E7E3E">
        <w:rPr>
          <w:rFonts w:ascii="Times New Roman" w:hAnsi="Times New Roman" w:cs="Times New Roman"/>
          <w:sz w:val="24"/>
          <w:szCs w:val="24"/>
        </w:rPr>
        <w:t>FDI</w:t>
      </w:r>
      <w:r w:rsidRPr="004E7E3E">
        <w:rPr>
          <w:rFonts w:ascii="Times New Roman" w:hAnsi="Times New Roman" w:cs="Times New Roman"/>
          <w:sz w:val="24"/>
          <w:szCs w:val="24"/>
          <w:lang w:val="ru-RU"/>
        </w:rPr>
        <w:t xml:space="preserve"> в 2001 г. и 76% </w:t>
      </w:r>
      <w:r w:rsidRPr="004E7E3E">
        <w:rPr>
          <w:rFonts w:ascii="Times New Roman" w:hAnsi="Times New Roman" w:cs="Times New Roman"/>
          <w:sz w:val="24"/>
          <w:szCs w:val="24"/>
        </w:rPr>
        <w:t>FDI</w:t>
      </w:r>
      <w:r w:rsidRPr="004E7E3E">
        <w:rPr>
          <w:rFonts w:ascii="Times New Roman" w:hAnsi="Times New Roman" w:cs="Times New Roman"/>
          <w:sz w:val="24"/>
          <w:szCs w:val="24"/>
          <w:lang w:val="ru-RU"/>
        </w:rPr>
        <w:t xml:space="preserve"> в 2012 г.). Для сравнения</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EJV</w:t>
      </w:r>
      <w:r w:rsidRPr="004E7E3E">
        <w:rPr>
          <w:rFonts w:ascii="Times New Roman" w:hAnsi="Times New Roman" w:cs="Times New Roman"/>
          <w:sz w:val="24"/>
          <w:szCs w:val="24"/>
          <w:lang w:val="ru-RU"/>
        </w:rPr>
        <w:t xml:space="preserve"> обеспечивал</w:t>
      </w:r>
      <w:r>
        <w:rPr>
          <w:rFonts w:ascii="Times New Roman" w:hAnsi="Times New Roman" w:cs="Times New Roman"/>
          <w:sz w:val="24"/>
          <w:szCs w:val="24"/>
          <w:lang w:val="ru-RU"/>
        </w:rPr>
        <w:t>а</w:t>
      </w:r>
      <w:r w:rsidRPr="004E7E3E">
        <w:rPr>
          <w:rFonts w:ascii="Times New Roman" w:hAnsi="Times New Roman" w:cs="Times New Roman"/>
          <w:sz w:val="24"/>
          <w:szCs w:val="24"/>
          <w:lang w:val="ru-RU"/>
        </w:rPr>
        <w:t xml:space="preserve"> только 20% </w:t>
      </w:r>
      <w:r w:rsidRPr="004E7E3E">
        <w:rPr>
          <w:rFonts w:ascii="Times New Roman" w:hAnsi="Times New Roman" w:cs="Times New Roman"/>
          <w:sz w:val="24"/>
          <w:szCs w:val="24"/>
        </w:rPr>
        <w:t>FDI</w:t>
      </w:r>
      <w:r w:rsidRPr="004E7E3E">
        <w:rPr>
          <w:rFonts w:ascii="Times New Roman" w:hAnsi="Times New Roman" w:cs="Times New Roman"/>
          <w:sz w:val="24"/>
          <w:szCs w:val="24"/>
          <w:lang w:val="ru-RU"/>
        </w:rPr>
        <w:t xml:space="preserve"> в 2012 г., </w:t>
      </w:r>
      <w:r w:rsidRPr="004E7E3E">
        <w:rPr>
          <w:rFonts w:ascii="Times New Roman" w:hAnsi="Times New Roman" w:cs="Times New Roman"/>
          <w:sz w:val="24"/>
          <w:szCs w:val="24"/>
        </w:rPr>
        <w:t>CJV</w:t>
      </w:r>
      <w:r w:rsidRPr="004E7E3E">
        <w:rPr>
          <w:rFonts w:ascii="Times New Roman" w:hAnsi="Times New Roman" w:cs="Times New Roman"/>
          <w:sz w:val="24"/>
          <w:szCs w:val="24"/>
          <w:lang w:val="ru-RU"/>
        </w:rPr>
        <w:t xml:space="preserve"> – 1,9% </w:t>
      </w:r>
      <w:r w:rsidRPr="004E7E3E">
        <w:rPr>
          <w:rFonts w:ascii="Times New Roman" w:hAnsi="Times New Roman" w:cs="Times New Roman"/>
          <w:sz w:val="24"/>
          <w:szCs w:val="24"/>
        </w:rPr>
        <w:t>FDI</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_Ref131436630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237</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68]</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Для иностранных компаний создавались гибкие формы налогообложения, включающие налоговые </w:t>
      </w:r>
      <w:r w:rsidRPr="004E7E3E">
        <w:rPr>
          <w:rFonts w:ascii="Times New Roman" w:hAnsi="Times New Roman" w:cs="Times New Roman"/>
          <w:sz w:val="24"/>
          <w:szCs w:val="24"/>
          <w:lang w:val="ru-RU"/>
        </w:rPr>
        <w:lastRenderedPageBreak/>
        <w:t>каникулы (до 5 лет), налоговые льготы, налоговые вычеты в зависимости от уровня реинвестирования прибыли, а также льготы в зависимости от расположения зон (вначале инвестиции привлекались в прибрежные зоны; на следующих этапах стали открываться новые зоны во внутренних провинциях – в таких городах</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как Чэнду и Сиань). С 2002 года стали создаваться инструменты для иностранных инвестиций в ценные бумаги – </w:t>
      </w:r>
      <w:r w:rsidRPr="004E7E3E">
        <w:rPr>
          <w:rFonts w:ascii="Times New Roman" w:hAnsi="Times New Roman" w:cs="Times New Roman"/>
          <w:sz w:val="24"/>
          <w:szCs w:val="24"/>
        </w:rPr>
        <w:t>QFII</w:t>
      </w:r>
      <w:r w:rsidRPr="004E7E3E">
        <w:rPr>
          <w:rFonts w:ascii="Times New Roman" w:hAnsi="Times New Roman" w:cs="Times New Roman"/>
          <w:sz w:val="24"/>
          <w:szCs w:val="24"/>
          <w:lang w:val="ru-RU"/>
        </w:rPr>
        <w:t xml:space="preserve">, далее </w:t>
      </w:r>
      <w:r w:rsidRPr="004E7E3E">
        <w:rPr>
          <w:rFonts w:ascii="Times New Roman" w:hAnsi="Times New Roman" w:cs="Times New Roman"/>
          <w:sz w:val="24"/>
          <w:szCs w:val="24"/>
        </w:rPr>
        <w:t>QFIP</w:t>
      </w:r>
      <w:r w:rsidRPr="004E7E3E">
        <w:rPr>
          <w:rFonts w:ascii="Times New Roman" w:hAnsi="Times New Roman" w:cs="Times New Roman"/>
          <w:sz w:val="24"/>
          <w:szCs w:val="24"/>
          <w:lang w:val="ru-RU"/>
        </w:rPr>
        <w:t xml:space="preserve"> и </w:t>
      </w:r>
      <w:r w:rsidRPr="004E7E3E">
        <w:rPr>
          <w:rFonts w:ascii="Times New Roman" w:hAnsi="Times New Roman" w:cs="Times New Roman"/>
          <w:sz w:val="24"/>
          <w:szCs w:val="24"/>
        </w:rPr>
        <w:t>RQFII</w:t>
      </w:r>
      <w:r w:rsidRPr="004E7E3E">
        <w:rPr>
          <w:rFonts w:ascii="Times New Roman" w:hAnsi="Times New Roman" w:cs="Times New Roman"/>
          <w:sz w:val="24"/>
          <w:szCs w:val="24"/>
          <w:lang w:val="ru-RU"/>
        </w:rPr>
        <w:t xml:space="preserve">. С 2006 года уровень развития экономики поставил на повестку дня вопрос о механизмах китайских инвестиций за рубеж. </w:t>
      </w:r>
    </w:p>
    <w:p w14:paraId="08DBB959"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Шанхайский план 2020 (</w:t>
      </w:r>
      <w:r w:rsidRPr="004E7E3E">
        <w:rPr>
          <w:rFonts w:ascii="Times New Roman" w:hAnsi="Times New Roman" w:cs="Times New Roman"/>
          <w:sz w:val="24"/>
          <w:szCs w:val="24"/>
        </w:rPr>
        <w:t>The</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Shanghai</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Plan</w:t>
      </w:r>
      <w:r w:rsidRPr="004E7E3E">
        <w:rPr>
          <w:rFonts w:ascii="Times New Roman" w:hAnsi="Times New Roman" w:cs="Times New Roman"/>
          <w:sz w:val="24"/>
          <w:szCs w:val="24"/>
          <w:lang w:val="ru-RU"/>
        </w:rPr>
        <w:t xml:space="preserve"> 2020), который является программой опережающего развития Шанхая как МФЦ, должен стимулировать количественное и качественное развитие финансового рынка вначале в Шанхае, которому даётся простор для экспериментов в финансовой сфере, а в дальнейшем по всей стране, вероятно, тем же путём, как это было сделано с экономическими кластерами особых экономических зон. </w:t>
      </w:r>
    </w:p>
    <w:p w14:paraId="706241CD" w14:textId="56319AF9"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lang w:val="ru-RU"/>
        </w:rPr>
      </w:pPr>
      <w:r w:rsidRPr="004E7E3E">
        <w:rPr>
          <w:rFonts w:ascii="Times New Roman" w:hAnsi="Times New Roman" w:cs="Times New Roman"/>
          <w:color w:val="000000" w:themeColor="text1"/>
          <w:sz w:val="24"/>
          <w:szCs w:val="24"/>
          <w:lang w:val="ru-RU"/>
        </w:rPr>
        <w:t>План предусматривает финансовую реформу, направленную на интерна</w:t>
      </w:r>
      <w:r>
        <w:rPr>
          <w:rFonts w:ascii="Times New Roman" w:hAnsi="Times New Roman" w:cs="Times New Roman"/>
          <w:color w:val="000000" w:themeColor="text1"/>
          <w:sz w:val="24"/>
          <w:szCs w:val="24"/>
          <w:lang w:val="ru-RU"/>
        </w:rPr>
        <w:t>циона</w:t>
      </w:r>
      <w:r w:rsidRPr="004E7E3E">
        <w:rPr>
          <w:rFonts w:ascii="Times New Roman" w:hAnsi="Times New Roman" w:cs="Times New Roman"/>
          <w:color w:val="000000" w:themeColor="text1"/>
          <w:sz w:val="24"/>
          <w:szCs w:val="24"/>
          <w:lang w:val="ru-RU"/>
        </w:rPr>
        <w:t>лизацию юаня. Иностранным банкам будет позволено создавать дочерние отделения и совместные предприятия с контрольным пакетом акций без предварительного переходного периода, который требовался ранее (ведение представительского офиса в течение двух лет, соответствие строгим критериям и длительная программа регистрации) [</w:t>
      </w:r>
      <w:r w:rsidRPr="004E7E3E">
        <w:rPr>
          <w:rFonts w:ascii="Times New Roman" w:hAnsi="Times New Roman" w:cs="Times New Roman"/>
          <w:color w:val="000000" w:themeColor="text1"/>
          <w:sz w:val="24"/>
          <w:szCs w:val="24"/>
        </w:rPr>
        <w:fldChar w:fldCharType="begin"/>
      </w:r>
      <w:r w:rsidRPr="004E7E3E">
        <w:rPr>
          <w:rFonts w:ascii="Times New Roman" w:hAnsi="Times New Roman" w:cs="Times New Roman"/>
          <w:color w:val="000000" w:themeColor="text1"/>
          <w:sz w:val="24"/>
          <w:szCs w:val="24"/>
          <w:lang w:val="ru-RU"/>
        </w:rPr>
        <w:instrText xml:space="preserve"> </w:instrText>
      </w:r>
      <w:r w:rsidRPr="004E7E3E">
        <w:rPr>
          <w:rFonts w:ascii="Times New Roman" w:hAnsi="Times New Roman" w:cs="Times New Roman"/>
          <w:color w:val="000000" w:themeColor="text1"/>
          <w:sz w:val="24"/>
          <w:szCs w:val="24"/>
        </w:rPr>
        <w:instrText>REF</w:instrText>
      </w:r>
      <w:r w:rsidRPr="004E7E3E">
        <w:rPr>
          <w:rFonts w:ascii="Times New Roman" w:hAnsi="Times New Roman" w:cs="Times New Roman"/>
          <w:color w:val="000000" w:themeColor="text1"/>
          <w:sz w:val="24"/>
          <w:szCs w:val="24"/>
          <w:lang w:val="ru-RU"/>
        </w:rPr>
        <w:instrText xml:space="preserve"> _</w:instrText>
      </w:r>
      <w:r w:rsidRPr="004E7E3E">
        <w:rPr>
          <w:rFonts w:ascii="Times New Roman" w:hAnsi="Times New Roman" w:cs="Times New Roman"/>
          <w:color w:val="000000" w:themeColor="text1"/>
          <w:sz w:val="24"/>
          <w:szCs w:val="24"/>
        </w:rPr>
        <w:instrText>Ref</w:instrText>
      </w:r>
      <w:r w:rsidRPr="004E7E3E">
        <w:rPr>
          <w:rFonts w:ascii="Times New Roman" w:hAnsi="Times New Roman" w:cs="Times New Roman"/>
          <w:color w:val="000000" w:themeColor="text1"/>
          <w:sz w:val="24"/>
          <w:szCs w:val="24"/>
          <w:lang w:val="ru-RU"/>
        </w:rPr>
        <w:instrText>499671128 \</w:instrText>
      </w:r>
      <w:r w:rsidRPr="004E7E3E">
        <w:rPr>
          <w:rFonts w:ascii="Times New Roman" w:hAnsi="Times New Roman" w:cs="Times New Roman"/>
          <w:color w:val="000000" w:themeColor="text1"/>
          <w:sz w:val="24"/>
          <w:szCs w:val="24"/>
        </w:rPr>
        <w:instrText>r</w:instrText>
      </w:r>
      <w:r w:rsidRPr="004E7E3E">
        <w:rPr>
          <w:rFonts w:ascii="Times New Roman" w:hAnsi="Times New Roman" w:cs="Times New Roman"/>
          <w:color w:val="000000" w:themeColor="text1"/>
          <w:sz w:val="24"/>
          <w:szCs w:val="24"/>
          <w:lang w:val="ru-RU"/>
        </w:rPr>
        <w:instrText xml:space="preserve"> \</w:instrText>
      </w:r>
      <w:r w:rsidRPr="004E7E3E">
        <w:rPr>
          <w:rFonts w:ascii="Times New Roman" w:hAnsi="Times New Roman" w:cs="Times New Roman"/>
          <w:color w:val="000000" w:themeColor="text1"/>
          <w:sz w:val="24"/>
          <w:szCs w:val="24"/>
        </w:rPr>
        <w:instrText>h</w:instrText>
      </w:r>
      <w:r w:rsidRPr="004E7E3E">
        <w:rPr>
          <w:rFonts w:ascii="Times New Roman" w:hAnsi="Times New Roman" w:cs="Times New Roman"/>
          <w:color w:val="000000" w:themeColor="text1"/>
          <w:sz w:val="24"/>
          <w:szCs w:val="24"/>
          <w:lang w:val="ru-RU"/>
        </w:rPr>
        <w:instrText xml:space="preserve">  \* </w:instrText>
      </w:r>
      <w:r w:rsidRPr="004E7E3E">
        <w:rPr>
          <w:rFonts w:ascii="Times New Roman" w:hAnsi="Times New Roman" w:cs="Times New Roman"/>
          <w:color w:val="000000" w:themeColor="text1"/>
          <w:sz w:val="24"/>
          <w:szCs w:val="24"/>
        </w:rPr>
        <w:instrText>MERGEFORMAT</w:instrText>
      </w:r>
      <w:r w:rsidRPr="004E7E3E">
        <w:rPr>
          <w:rFonts w:ascii="Times New Roman" w:hAnsi="Times New Roman" w:cs="Times New Roman"/>
          <w:color w:val="000000" w:themeColor="text1"/>
          <w:sz w:val="24"/>
          <w:szCs w:val="24"/>
          <w:lang w:val="ru-RU"/>
        </w:rPr>
        <w:instrText xml:space="preserve"> </w:instrText>
      </w:r>
      <w:r w:rsidRPr="004E7E3E">
        <w:rPr>
          <w:rFonts w:ascii="Times New Roman" w:hAnsi="Times New Roman" w:cs="Times New Roman"/>
          <w:color w:val="000000" w:themeColor="text1"/>
          <w:sz w:val="24"/>
          <w:szCs w:val="24"/>
        </w:rPr>
      </w:r>
      <w:r w:rsidRPr="004E7E3E">
        <w:rPr>
          <w:rFonts w:ascii="Times New Roman" w:hAnsi="Times New Roman" w:cs="Times New Roman"/>
          <w:color w:val="000000" w:themeColor="text1"/>
          <w:sz w:val="24"/>
          <w:szCs w:val="24"/>
        </w:rPr>
        <w:fldChar w:fldCharType="separate"/>
      </w:r>
      <w:r w:rsidR="00801D78" w:rsidRPr="00801D78">
        <w:rPr>
          <w:rFonts w:ascii="Times New Roman" w:hAnsi="Times New Roman" w:cs="Times New Roman"/>
          <w:color w:val="000000" w:themeColor="text1"/>
          <w:sz w:val="24"/>
          <w:szCs w:val="24"/>
          <w:lang w:val="ru-RU"/>
        </w:rPr>
        <w:t>188</w:t>
      </w:r>
      <w:r w:rsidRPr="004E7E3E">
        <w:rPr>
          <w:rFonts w:ascii="Times New Roman" w:hAnsi="Times New Roman" w:cs="Times New Roman"/>
          <w:color w:val="000000" w:themeColor="text1"/>
          <w:sz w:val="24"/>
          <w:szCs w:val="24"/>
        </w:rPr>
        <w:fldChar w:fldCharType="end"/>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c</w:t>
      </w:r>
      <w:r w:rsidRPr="004E7E3E">
        <w:rPr>
          <w:rFonts w:ascii="Times New Roman" w:hAnsi="Times New Roman" w:cs="Times New Roman"/>
          <w:color w:val="000000" w:themeColor="text1"/>
          <w:sz w:val="24"/>
          <w:szCs w:val="24"/>
          <w:lang w:val="ru-RU"/>
        </w:rPr>
        <w:t>. 2]</w:t>
      </w:r>
      <w:r>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lang w:val="ru-RU"/>
        </w:rPr>
        <w:t xml:space="preserve"> Предусматривается также расширение лицензий местным игрокам для ведения операций частного банкинга, кросс-граничной торговли товарными ресурсами, развитие инструментов транспортного финансирования и торговли фрахтовым деривативным индексом для поддержания городской портово-транспортной инфраструктуры. Планируется либерализация схемы привлечения финансовых средств для международных компаний, имеющих представительства в Китае. Отдельная программа предусмотрена по стимулированию переноса штаб-квартир таких компаний в Шанхай. [</w:t>
      </w:r>
      <w:r w:rsidRPr="004E7E3E">
        <w:rPr>
          <w:rFonts w:ascii="Times New Roman" w:hAnsi="Times New Roman" w:cs="Times New Roman"/>
          <w:color w:val="000000" w:themeColor="text1"/>
          <w:sz w:val="24"/>
          <w:szCs w:val="24"/>
        </w:rPr>
        <w:fldChar w:fldCharType="begin"/>
      </w:r>
      <w:r w:rsidRPr="004E7E3E">
        <w:rPr>
          <w:rFonts w:ascii="Times New Roman" w:hAnsi="Times New Roman" w:cs="Times New Roman"/>
          <w:color w:val="000000" w:themeColor="text1"/>
          <w:sz w:val="24"/>
          <w:szCs w:val="24"/>
          <w:lang w:val="ru-RU"/>
        </w:rPr>
        <w:instrText xml:space="preserve"> </w:instrText>
      </w:r>
      <w:r w:rsidRPr="004E7E3E">
        <w:rPr>
          <w:rFonts w:ascii="Times New Roman" w:hAnsi="Times New Roman" w:cs="Times New Roman"/>
          <w:color w:val="000000" w:themeColor="text1"/>
          <w:sz w:val="24"/>
          <w:szCs w:val="24"/>
        </w:rPr>
        <w:instrText>REF</w:instrText>
      </w:r>
      <w:r w:rsidRPr="004E7E3E">
        <w:rPr>
          <w:rFonts w:ascii="Times New Roman" w:hAnsi="Times New Roman" w:cs="Times New Roman"/>
          <w:color w:val="000000" w:themeColor="text1"/>
          <w:sz w:val="24"/>
          <w:szCs w:val="24"/>
          <w:lang w:val="ru-RU"/>
        </w:rPr>
        <w:instrText xml:space="preserve"> _</w:instrText>
      </w:r>
      <w:r w:rsidRPr="004E7E3E">
        <w:rPr>
          <w:rFonts w:ascii="Times New Roman" w:hAnsi="Times New Roman" w:cs="Times New Roman"/>
          <w:color w:val="000000" w:themeColor="text1"/>
          <w:sz w:val="24"/>
          <w:szCs w:val="24"/>
        </w:rPr>
        <w:instrText>Ref</w:instrText>
      </w:r>
      <w:r w:rsidRPr="004E7E3E">
        <w:rPr>
          <w:rFonts w:ascii="Times New Roman" w:hAnsi="Times New Roman" w:cs="Times New Roman"/>
          <w:color w:val="000000" w:themeColor="text1"/>
          <w:sz w:val="24"/>
          <w:szCs w:val="24"/>
          <w:lang w:val="ru-RU"/>
        </w:rPr>
        <w:instrText>499671128 \</w:instrText>
      </w:r>
      <w:r w:rsidRPr="004E7E3E">
        <w:rPr>
          <w:rFonts w:ascii="Times New Roman" w:hAnsi="Times New Roman" w:cs="Times New Roman"/>
          <w:color w:val="000000" w:themeColor="text1"/>
          <w:sz w:val="24"/>
          <w:szCs w:val="24"/>
        </w:rPr>
        <w:instrText>r</w:instrText>
      </w:r>
      <w:r w:rsidRPr="004E7E3E">
        <w:rPr>
          <w:rFonts w:ascii="Times New Roman" w:hAnsi="Times New Roman" w:cs="Times New Roman"/>
          <w:color w:val="000000" w:themeColor="text1"/>
          <w:sz w:val="24"/>
          <w:szCs w:val="24"/>
          <w:lang w:val="ru-RU"/>
        </w:rPr>
        <w:instrText xml:space="preserve"> \</w:instrText>
      </w:r>
      <w:r w:rsidRPr="004E7E3E">
        <w:rPr>
          <w:rFonts w:ascii="Times New Roman" w:hAnsi="Times New Roman" w:cs="Times New Roman"/>
          <w:color w:val="000000" w:themeColor="text1"/>
          <w:sz w:val="24"/>
          <w:szCs w:val="24"/>
        </w:rPr>
        <w:instrText>h</w:instrText>
      </w:r>
      <w:r w:rsidRPr="004E7E3E">
        <w:rPr>
          <w:rFonts w:ascii="Times New Roman" w:hAnsi="Times New Roman" w:cs="Times New Roman"/>
          <w:color w:val="000000" w:themeColor="text1"/>
          <w:sz w:val="24"/>
          <w:szCs w:val="24"/>
          <w:lang w:val="ru-RU"/>
        </w:rPr>
        <w:instrText xml:space="preserve">  \* </w:instrText>
      </w:r>
      <w:r w:rsidRPr="004E7E3E">
        <w:rPr>
          <w:rFonts w:ascii="Times New Roman" w:hAnsi="Times New Roman" w:cs="Times New Roman"/>
          <w:color w:val="000000" w:themeColor="text1"/>
          <w:sz w:val="24"/>
          <w:szCs w:val="24"/>
        </w:rPr>
        <w:instrText>MERGEFORMAT</w:instrText>
      </w:r>
      <w:r w:rsidRPr="004E7E3E">
        <w:rPr>
          <w:rFonts w:ascii="Times New Roman" w:hAnsi="Times New Roman" w:cs="Times New Roman"/>
          <w:color w:val="000000" w:themeColor="text1"/>
          <w:sz w:val="24"/>
          <w:szCs w:val="24"/>
          <w:lang w:val="ru-RU"/>
        </w:rPr>
        <w:instrText xml:space="preserve"> </w:instrText>
      </w:r>
      <w:r w:rsidRPr="004E7E3E">
        <w:rPr>
          <w:rFonts w:ascii="Times New Roman" w:hAnsi="Times New Roman" w:cs="Times New Roman"/>
          <w:color w:val="000000" w:themeColor="text1"/>
          <w:sz w:val="24"/>
          <w:szCs w:val="24"/>
        </w:rPr>
      </w:r>
      <w:r w:rsidRPr="004E7E3E">
        <w:rPr>
          <w:rFonts w:ascii="Times New Roman" w:hAnsi="Times New Roman" w:cs="Times New Roman"/>
          <w:color w:val="000000" w:themeColor="text1"/>
          <w:sz w:val="24"/>
          <w:szCs w:val="24"/>
        </w:rPr>
        <w:fldChar w:fldCharType="separate"/>
      </w:r>
      <w:r w:rsidR="00801D78" w:rsidRPr="00801D78">
        <w:rPr>
          <w:rFonts w:ascii="Times New Roman" w:hAnsi="Times New Roman" w:cs="Times New Roman"/>
          <w:color w:val="000000" w:themeColor="text1"/>
          <w:sz w:val="24"/>
          <w:szCs w:val="24"/>
          <w:lang w:val="ru-RU"/>
        </w:rPr>
        <w:t>188</w:t>
      </w:r>
      <w:r w:rsidRPr="004E7E3E">
        <w:rPr>
          <w:rFonts w:ascii="Times New Roman" w:hAnsi="Times New Roman" w:cs="Times New Roman"/>
          <w:color w:val="000000" w:themeColor="text1"/>
          <w:sz w:val="24"/>
          <w:szCs w:val="24"/>
        </w:rPr>
        <w:fldChar w:fldCharType="end"/>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c</w:t>
      </w:r>
      <w:r w:rsidRPr="004E7E3E">
        <w:rPr>
          <w:rFonts w:ascii="Times New Roman" w:hAnsi="Times New Roman" w:cs="Times New Roman"/>
          <w:color w:val="000000" w:themeColor="text1"/>
          <w:sz w:val="24"/>
          <w:szCs w:val="24"/>
          <w:lang w:val="ru-RU"/>
        </w:rPr>
        <w:t>. 2]</w:t>
      </w:r>
    </w:p>
    <w:p w14:paraId="048357B4" w14:textId="62052095"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У экспертов не возника</w:t>
      </w:r>
      <w:r>
        <w:rPr>
          <w:rFonts w:ascii="Times New Roman" w:hAnsi="Times New Roman" w:cs="Times New Roman"/>
          <w:sz w:val="24"/>
          <w:szCs w:val="24"/>
          <w:lang w:val="ru-RU"/>
        </w:rPr>
        <w:t>е</w:t>
      </w:r>
      <w:r w:rsidRPr="004E7E3E">
        <w:rPr>
          <w:rFonts w:ascii="Times New Roman" w:hAnsi="Times New Roman" w:cs="Times New Roman"/>
          <w:sz w:val="24"/>
          <w:szCs w:val="24"/>
          <w:lang w:val="ru-RU"/>
        </w:rPr>
        <w:t>т сомнени</w:t>
      </w:r>
      <w:r>
        <w:rPr>
          <w:rFonts w:ascii="Times New Roman" w:hAnsi="Times New Roman" w:cs="Times New Roman"/>
          <w:sz w:val="24"/>
          <w:szCs w:val="24"/>
          <w:lang w:val="ru-RU"/>
        </w:rPr>
        <w:t>й</w:t>
      </w:r>
      <w:r w:rsidRPr="004E7E3E">
        <w:rPr>
          <w:rFonts w:ascii="Times New Roman" w:hAnsi="Times New Roman" w:cs="Times New Roman"/>
          <w:sz w:val="24"/>
          <w:szCs w:val="24"/>
          <w:lang w:val="ru-RU"/>
        </w:rPr>
        <w:t>, что Шанхай может стать важным центром экспорта инвестиций, аккумулируя средства со всего Китая. Но возникают вопросы по поводу возможности стать центром привлечения иностранных инвестиций подобно Гонконгу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_Ref499671128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188</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8]</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Механизм </w:t>
      </w:r>
      <w:r w:rsidRPr="004E7E3E">
        <w:rPr>
          <w:rFonts w:ascii="Times New Roman" w:hAnsi="Times New Roman" w:cs="Times New Roman"/>
          <w:sz w:val="24"/>
          <w:szCs w:val="24"/>
        </w:rPr>
        <w:t>Shanghai</w:t>
      </w:r>
      <w:r w:rsidRPr="004E7E3E">
        <w:rPr>
          <w:rFonts w:ascii="Times New Roman" w:hAnsi="Times New Roman" w:cs="Times New Roman"/>
          <w:sz w:val="24"/>
          <w:szCs w:val="24"/>
          <w:lang w:val="ru-RU"/>
        </w:rPr>
        <w:t>-</w:t>
      </w:r>
      <w:r w:rsidRPr="004E7E3E">
        <w:rPr>
          <w:rFonts w:ascii="Times New Roman" w:hAnsi="Times New Roman" w:cs="Times New Roman"/>
          <w:sz w:val="24"/>
          <w:szCs w:val="24"/>
        </w:rPr>
        <w:t>Hong</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Kong</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Connect</w:t>
      </w:r>
      <w:r w:rsidRPr="004E7E3E">
        <w:rPr>
          <w:rFonts w:ascii="Times New Roman" w:hAnsi="Times New Roman" w:cs="Times New Roman"/>
          <w:sz w:val="24"/>
          <w:szCs w:val="24"/>
          <w:lang w:val="ru-RU"/>
        </w:rPr>
        <w:t>, запущенны</w:t>
      </w:r>
      <w:r>
        <w:rPr>
          <w:rFonts w:ascii="Times New Roman" w:hAnsi="Times New Roman" w:cs="Times New Roman"/>
          <w:sz w:val="24"/>
          <w:szCs w:val="24"/>
          <w:lang w:val="ru-RU"/>
        </w:rPr>
        <w:t>й</w:t>
      </w:r>
      <w:r w:rsidRPr="004E7E3E">
        <w:rPr>
          <w:rFonts w:ascii="Times New Roman" w:hAnsi="Times New Roman" w:cs="Times New Roman"/>
          <w:sz w:val="24"/>
          <w:szCs w:val="24"/>
          <w:lang w:val="ru-RU"/>
        </w:rPr>
        <w:t xml:space="preserve"> в конце 2014 года</w:t>
      </w:r>
      <w:r>
        <w:rPr>
          <w:rFonts w:ascii="Times New Roman" w:hAnsi="Times New Roman" w:cs="Times New Roman"/>
          <w:sz w:val="24"/>
          <w:szCs w:val="24"/>
          <w:lang w:val="ru-RU"/>
        </w:rPr>
        <w:t xml:space="preserve"> </w:t>
      </w:r>
      <w:r w:rsidR="002F50A0">
        <w:rPr>
          <w:rFonts w:ascii="Times New Roman" w:hAnsi="Times New Roman" w:cs="Times New Roman"/>
          <w:sz w:val="24"/>
          <w:szCs w:val="24"/>
          <w:lang w:val="ru-RU"/>
        </w:rPr>
        <w:t>и</w:t>
      </w:r>
      <w:r w:rsidR="002F50A0" w:rsidRPr="004E7E3E">
        <w:rPr>
          <w:rFonts w:ascii="Times New Roman" w:hAnsi="Times New Roman" w:cs="Times New Roman"/>
          <w:sz w:val="24"/>
          <w:szCs w:val="24"/>
          <w:lang w:val="ru-RU"/>
        </w:rPr>
        <w:t xml:space="preserve"> ориенти</w:t>
      </w:r>
      <w:r w:rsidR="002F50A0">
        <w:rPr>
          <w:rFonts w:ascii="Times New Roman" w:hAnsi="Times New Roman" w:cs="Times New Roman"/>
          <w:sz w:val="24"/>
          <w:szCs w:val="24"/>
          <w:lang w:val="ru-RU"/>
        </w:rPr>
        <w:t>рованный</w:t>
      </w:r>
      <w:r w:rsidRPr="004E7E3E">
        <w:rPr>
          <w:rFonts w:ascii="Times New Roman" w:hAnsi="Times New Roman" w:cs="Times New Roman"/>
          <w:sz w:val="24"/>
          <w:szCs w:val="24"/>
          <w:lang w:val="ru-RU"/>
        </w:rPr>
        <w:t xml:space="preserve"> на особые связи Шанхайской и Гонконгской фондовы</w:t>
      </w:r>
      <w:r>
        <w:rPr>
          <w:rFonts w:ascii="Times New Roman" w:hAnsi="Times New Roman" w:cs="Times New Roman"/>
          <w:sz w:val="24"/>
          <w:szCs w:val="24"/>
          <w:lang w:val="ru-RU"/>
        </w:rPr>
        <w:t>х</w:t>
      </w:r>
      <w:r w:rsidRPr="004E7E3E">
        <w:rPr>
          <w:rFonts w:ascii="Times New Roman" w:hAnsi="Times New Roman" w:cs="Times New Roman"/>
          <w:sz w:val="24"/>
          <w:szCs w:val="24"/>
          <w:lang w:val="ru-RU"/>
        </w:rPr>
        <w:t xml:space="preserve"> бирж, был инициирован китайскими властями, и, вероятно, служил</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в первую очередь</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национальным интересам развития Шанхая как МФЦ, а уже потом для нивелирования возможности арбитража акций китайских госкомпаний на шанхайской и гонконгской платформах</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w:t>
      </w:r>
      <w:r w:rsidRPr="004E7E3E">
        <w:rPr>
          <w:rFonts w:ascii="Times New Roman" w:hAnsi="Times New Roman" w:cs="Times New Roman"/>
          <w:sz w:val="24"/>
          <w:szCs w:val="24"/>
        </w:rPr>
        <w:fldChar w:fldCharType="begin"/>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REF</w:instrText>
      </w:r>
      <w:r w:rsidRPr="004E7E3E">
        <w:rPr>
          <w:rFonts w:ascii="Times New Roman" w:hAnsi="Times New Roman" w:cs="Times New Roman"/>
          <w:sz w:val="24"/>
          <w:szCs w:val="24"/>
          <w:lang w:val="ru-RU"/>
        </w:rPr>
        <w:instrText xml:space="preserve"> _</w:instrText>
      </w:r>
      <w:r w:rsidRPr="004E7E3E">
        <w:rPr>
          <w:rFonts w:ascii="Times New Roman" w:hAnsi="Times New Roman" w:cs="Times New Roman"/>
          <w:sz w:val="24"/>
          <w:szCs w:val="24"/>
        </w:rPr>
        <w:instrText>Ref</w:instrText>
      </w:r>
      <w:r w:rsidRPr="004E7E3E">
        <w:rPr>
          <w:rFonts w:ascii="Times New Roman" w:hAnsi="Times New Roman" w:cs="Times New Roman"/>
          <w:sz w:val="24"/>
          <w:szCs w:val="24"/>
          <w:lang w:val="ru-RU"/>
        </w:rPr>
        <w:instrText>499670309 \</w:instrText>
      </w:r>
      <w:r w:rsidRPr="004E7E3E">
        <w:rPr>
          <w:rFonts w:ascii="Times New Roman" w:hAnsi="Times New Roman" w:cs="Times New Roman"/>
          <w:sz w:val="24"/>
          <w:szCs w:val="24"/>
        </w:rPr>
        <w:instrText>r</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h</w:instrText>
      </w:r>
      <w:r w:rsidRPr="004E7E3E">
        <w:rPr>
          <w:rFonts w:ascii="Times New Roman" w:hAnsi="Times New Roman" w:cs="Times New Roman"/>
          <w:sz w:val="24"/>
          <w:szCs w:val="24"/>
          <w:lang w:val="ru-RU"/>
        </w:rPr>
        <w:instrText xml:space="preserve">  \* </w:instrText>
      </w:r>
      <w:r w:rsidRPr="004E7E3E">
        <w:rPr>
          <w:rFonts w:ascii="Times New Roman" w:hAnsi="Times New Roman" w:cs="Times New Roman"/>
          <w:sz w:val="24"/>
          <w:szCs w:val="24"/>
        </w:rPr>
        <w:instrText>MERGEFORMAT</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r>
      <w:r w:rsidRPr="004E7E3E">
        <w:rPr>
          <w:rFonts w:ascii="Times New Roman" w:hAnsi="Times New Roman" w:cs="Times New Roman"/>
          <w:sz w:val="24"/>
          <w:szCs w:val="24"/>
        </w:rPr>
        <w:fldChar w:fldCharType="separate"/>
      </w:r>
      <w:r w:rsidR="00801D78" w:rsidRPr="00801D78">
        <w:rPr>
          <w:rFonts w:ascii="Times New Roman" w:hAnsi="Times New Roman" w:cs="Times New Roman"/>
          <w:sz w:val="24"/>
          <w:szCs w:val="24"/>
          <w:lang w:val="ru-RU"/>
        </w:rPr>
        <w:t>206</w:t>
      </w:r>
      <w:r w:rsidRPr="004E7E3E">
        <w:rPr>
          <w:rFonts w:ascii="Times New Roman" w:hAnsi="Times New Roman" w:cs="Times New Roman"/>
          <w:sz w:val="24"/>
          <w:szCs w:val="24"/>
        </w:rPr>
        <w:fldChar w:fldCharType="end"/>
      </w:r>
      <w:r w:rsidRPr="004E7E3E">
        <w:rPr>
          <w:rFonts w:ascii="Times New Roman" w:hAnsi="Times New Roman" w:cs="Times New Roman"/>
          <w:sz w:val="24"/>
          <w:szCs w:val="24"/>
          <w:lang w:val="ru-RU"/>
        </w:rPr>
        <w:t>]</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w:t>
      </w:r>
    </w:p>
    <w:p w14:paraId="3DC83C2E" w14:textId="50361414"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Китайский финансовый рынок ещё нельзя сравнить по открытости с европейским и американским рынками. На сайте британского государственного агентства по продвижению </w:t>
      </w:r>
      <w:r w:rsidRPr="004E7E3E">
        <w:rPr>
          <w:rFonts w:ascii="Times New Roman" w:hAnsi="Times New Roman" w:cs="Times New Roman"/>
          <w:sz w:val="24"/>
          <w:szCs w:val="24"/>
          <w:lang w:val="ru-RU"/>
        </w:rPr>
        <w:lastRenderedPageBreak/>
        <w:t>лондонского финансового центра TheCityUK размещено сравнительное исследование «запретного списка» («</w:t>
      </w:r>
      <w:r w:rsidRPr="004E7E3E">
        <w:rPr>
          <w:rFonts w:ascii="Times New Roman" w:hAnsi="Times New Roman" w:cs="Times New Roman"/>
          <w:sz w:val="24"/>
          <w:szCs w:val="24"/>
        </w:rPr>
        <w:t>the</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Negative</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list</w:t>
      </w:r>
      <w:r w:rsidRPr="004E7E3E">
        <w:rPr>
          <w:rFonts w:ascii="Times New Roman" w:hAnsi="Times New Roman" w:cs="Times New Roman"/>
          <w:sz w:val="24"/>
          <w:szCs w:val="24"/>
          <w:lang w:val="ru-RU"/>
        </w:rPr>
        <w:t>») сфер инвестиций, куда иностранны</w:t>
      </w:r>
      <w:r>
        <w:rPr>
          <w:rFonts w:ascii="Times New Roman" w:hAnsi="Times New Roman" w:cs="Times New Roman"/>
          <w:sz w:val="24"/>
          <w:szCs w:val="24"/>
          <w:lang w:val="ru-RU"/>
        </w:rPr>
        <w:t>й</w:t>
      </w:r>
      <w:r w:rsidRPr="004E7E3E">
        <w:rPr>
          <w:rFonts w:ascii="Times New Roman" w:hAnsi="Times New Roman" w:cs="Times New Roman"/>
          <w:sz w:val="24"/>
          <w:szCs w:val="24"/>
          <w:lang w:val="ru-RU"/>
        </w:rPr>
        <w:t xml:space="preserve"> капитал ещё не допускается. В Китае этот список охватывает 190 сфер и, хотя должен со временем сократиться до 130, является самым жёстким из рассматриваемых в исследовании (ряд западных стран, Филиппины, Таиланд, Индонезия, Вьетнам)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_Ref131436573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221</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7]</w:t>
      </w:r>
      <w:r>
        <w:rPr>
          <w:rFonts w:ascii="Times New Roman" w:hAnsi="Times New Roman" w:cs="Times New Roman"/>
          <w:sz w:val="24"/>
          <w:szCs w:val="24"/>
          <w:lang w:val="ru-RU"/>
        </w:rPr>
        <w:t>.</w:t>
      </w:r>
    </w:p>
    <w:p w14:paraId="45B9757F" w14:textId="6D0D41EE"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Как можно заменить, инструментов развития финансового рынка и его интерна</w:t>
      </w:r>
      <w:r>
        <w:rPr>
          <w:rFonts w:ascii="Times New Roman" w:hAnsi="Times New Roman" w:cs="Times New Roman"/>
          <w:color w:val="000000"/>
          <w:sz w:val="24"/>
          <w:szCs w:val="24"/>
          <w:shd w:val="clear" w:color="auto" w:fill="FFFFFF"/>
          <w:lang w:val="ru-RU"/>
        </w:rPr>
        <w:t>циона</w:t>
      </w:r>
      <w:r w:rsidRPr="004E7E3E">
        <w:rPr>
          <w:rFonts w:ascii="Times New Roman" w:hAnsi="Times New Roman" w:cs="Times New Roman"/>
          <w:color w:val="000000"/>
          <w:sz w:val="24"/>
          <w:szCs w:val="24"/>
          <w:shd w:val="clear" w:color="auto" w:fill="FFFFFF"/>
          <w:lang w:val="ru-RU"/>
        </w:rPr>
        <w:t>лизации создано уже довольно много. Интересно было бы проследить, как они работаю</w:t>
      </w:r>
      <w:r>
        <w:rPr>
          <w:rFonts w:ascii="Times New Roman" w:hAnsi="Times New Roman" w:cs="Times New Roman"/>
          <w:color w:val="000000"/>
          <w:sz w:val="24"/>
          <w:szCs w:val="24"/>
          <w:shd w:val="clear" w:color="auto" w:fill="FFFFFF"/>
          <w:lang w:val="ru-RU"/>
        </w:rPr>
        <w:t>т</w:t>
      </w:r>
      <w:r w:rsidRPr="004E7E3E">
        <w:rPr>
          <w:rFonts w:ascii="Times New Roman" w:hAnsi="Times New Roman" w:cs="Times New Roman"/>
          <w:color w:val="000000"/>
          <w:sz w:val="24"/>
          <w:szCs w:val="24"/>
          <w:shd w:val="clear" w:color="auto" w:fill="FFFFFF"/>
          <w:lang w:val="ru-RU"/>
        </w:rPr>
        <w:t xml:space="preserve"> на практике. Автор данного исследования с июня 2012 по июль 2014 года работал в Китае в сфере контрактного производства, поэтому мог изучить на практике механизмы проникновение финансовых инноваций в деятельность ряд</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производств, находящихся в ОЭЗ </w:t>
      </w:r>
      <w:proofErr w:type="spellStart"/>
      <w:r w:rsidRPr="004E7E3E">
        <w:rPr>
          <w:rFonts w:ascii="Times New Roman" w:hAnsi="Times New Roman" w:cs="Times New Roman"/>
          <w:color w:val="000000"/>
          <w:sz w:val="24"/>
          <w:szCs w:val="24"/>
          <w:shd w:val="clear" w:color="auto" w:fill="FFFFFF"/>
          <w:lang w:val="ru-RU"/>
        </w:rPr>
        <w:t>Чжуншаня</w:t>
      </w:r>
      <w:proofErr w:type="spellEnd"/>
      <w:r w:rsidRPr="004E7E3E">
        <w:rPr>
          <w:rFonts w:ascii="Times New Roman" w:hAnsi="Times New Roman" w:cs="Times New Roman"/>
          <w:color w:val="000000"/>
          <w:sz w:val="24"/>
          <w:szCs w:val="24"/>
          <w:shd w:val="clear" w:color="auto" w:fill="FFFFFF"/>
          <w:lang w:val="ru-RU"/>
        </w:rPr>
        <w:t xml:space="preserve"> (провинция </w:t>
      </w:r>
      <w:r w:rsidR="002F50A0" w:rsidRPr="004E7E3E">
        <w:rPr>
          <w:rFonts w:ascii="Times New Roman" w:hAnsi="Times New Roman" w:cs="Times New Roman"/>
          <w:color w:val="000000"/>
          <w:sz w:val="24"/>
          <w:szCs w:val="24"/>
          <w:shd w:val="clear" w:color="auto" w:fill="FFFFFF"/>
          <w:lang w:val="ru-RU"/>
        </w:rPr>
        <w:t>Гуандун</w:t>
      </w:r>
      <w:r w:rsidRPr="004E7E3E">
        <w:rPr>
          <w:rFonts w:ascii="Times New Roman" w:hAnsi="Times New Roman" w:cs="Times New Roman"/>
          <w:color w:val="000000"/>
          <w:sz w:val="24"/>
          <w:szCs w:val="24"/>
          <w:shd w:val="clear" w:color="auto" w:fill="FFFFFF"/>
          <w:lang w:val="ru-RU"/>
        </w:rPr>
        <w:t xml:space="preserve">), ОЭЗ </w:t>
      </w:r>
      <w:r w:rsidR="002F50A0" w:rsidRPr="004E7E3E">
        <w:rPr>
          <w:rFonts w:ascii="Times New Roman" w:hAnsi="Times New Roman" w:cs="Times New Roman"/>
          <w:color w:val="000000"/>
          <w:sz w:val="24"/>
          <w:szCs w:val="24"/>
          <w:shd w:val="clear" w:color="auto" w:fill="FFFFFF"/>
          <w:lang w:val="ru-RU"/>
        </w:rPr>
        <w:t>Шаньтоу</w:t>
      </w:r>
      <w:r w:rsidRPr="004E7E3E">
        <w:rPr>
          <w:rFonts w:ascii="Times New Roman" w:hAnsi="Times New Roman" w:cs="Times New Roman"/>
          <w:color w:val="000000"/>
          <w:sz w:val="24"/>
          <w:szCs w:val="24"/>
          <w:shd w:val="clear" w:color="auto" w:fill="FFFFFF"/>
          <w:lang w:val="ru-RU"/>
        </w:rPr>
        <w:t xml:space="preserve"> (провинция </w:t>
      </w:r>
      <w:r w:rsidR="002F50A0" w:rsidRPr="004E7E3E">
        <w:rPr>
          <w:rFonts w:ascii="Times New Roman" w:hAnsi="Times New Roman" w:cs="Times New Roman"/>
          <w:color w:val="000000"/>
          <w:sz w:val="24"/>
          <w:szCs w:val="24"/>
          <w:shd w:val="clear" w:color="auto" w:fill="FFFFFF"/>
          <w:lang w:val="ru-RU"/>
        </w:rPr>
        <w:t>Гуандун</w:t>
      </w:r>
      <w:r w:rsidRPr="004E7E3E">
        <w:rPr>
          <w:rFonts w:ascii="Times New Roman" w:hAnsi="Times New Roman" w:cs="Times New Roman"/>
          <w:color w:val="000000"/>
          <w:sz w:val="24"/>
          <w:szCs w:val="24"/>
          <w:shd w:val="clear" w:color="auto" w:fill="FFFFFF"/>
          <w:lang w:val="ru-RU"/>
        </w:rPr>
        <w:t>), ОЭЗ Даляня (провинция Хэйлунцзян).</w:t>
      </w:r>
    </w:p>
    <w:p w14:paraId="76DD593B" w14:textId="4A3A3622"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sz w:val="24"/>
          <w:szCs w:val="24"/>
          <w:lang w:val="ru-RU"/>
        </w:rPr>
        <w:t xml:space="preserve">Примером положительной роли государства можно назвать программу поддержки инновационных компаний, которая увязывает предоставление кредитов от государства по льготным ставкам с выходом на биржу. Автор исследования посещал завод жидкокристаллических дисплеев </w:t>
      </w:r>
      <w:r w:rsidRPr="004E7E3E">
        <w:rPr>
          <w:rFonts w:ascii="Times New Roman" w:hAnsi="Times New Roman" w:cs="Times New Roman"/>
          <w:sz w:val="24"/>
          <w:szCs w:val="24"/>
        </w:rPr>
        <w:t>DKE</w:t>
      </w:r>
      <w:r w:rsidRPr="004E7E3E">
        <w:rPr>
          <w:rFonts w:ascii="Times New Roman" w:hAnsi="Times New Roman" w:cs="Times New Roman"/>
          <w:sz w:val="24"/>
          <w:szCs w:val="24"/>
          <w:lang w:val="ru-RU"/>
        </w:rPr>
        <w:t xml:space="preserve"> (корпоративный сайт: </w:t>
      </w:r>
      <w:hyperlink r:id="rId26" w:tooltip="http://www.dkelcd" w:history="1">
        <w:r w:rsidRPr="004E7E3E">
          <w:rPr>
            <w:rStyle w:val="a9"/>
            <w:rFonts w:ascii="Times New Roman" w:hAnsi="Times New Roman" w:cs="Times New Roman"/>
            <w:sz w:val="24"/>
            <w:szCs w:val="24"/>
          </w:rPr>
          <w:t>www</w:t>
        </w:r>
        <w:r w:rsidRPr="004E7E3E">
          <w:rPr>
            <w:rStyle w:val="a9"/>
            <w:rFonts w:ascii="Times New Roman" w:hAnsi="Times New Roman" w:cs="Times New Roman"/>
            <w:sz w:val="24"/>
            <w:szCs w:val="24"/>
            <w:lang w:val="ru-RU"/>
          </w:rPr>
          <w:t>.</w:t>
        </w:r>
        <w:r w:rsidRPr="004E7E3E">
          <w:rPr>
            <w:rStyle w:val="a9"/>
            <w:rFonts w:ascii="Times New Roman" w:hAnsi="Times New Roman" w:cs="Times New Roman"/>
            <w:sz w:val="24"/>
            <w:szCs w:val="24"/>
          </w:rPr>
          <w:t>dkelcd</w:t>
        </w:r>
      </w:hyperlink>
      <w:r w:rsidRPr="004E7E3E">
        <w:rPr>
          <w:rFonts w:ascii="Times New Roman" w:hAnsi="Times New Roman" w:cs="Times New Roman"/>
          <w:sz w:val="24"/>
          <w:szCs w:val="24"/>
          <w:lang w:val="ru-RU"/>
        </w:rPr>
        <w:t>.</w:t>
      </w:r>
      <w:r w:rsidRPr="004E7E3E">
        <w:rPr>
          <w:rFonts w:ascii="Times New Roman" w:hAnsi="Times New Roman" w:cs="Times New Roman"/>
          <w:sz w:val="24"/>
          <w:szCs w:val="24"/>
        </w:rPr>
        <w:t>com</w:t>
      </w:r>
      <w:r w:rsidRPr="004E7E3E">
        <w:rPr>
          <w:rFonts w:ascii="Times New Roman" w:hAnsi="Times New Roman" w:cs="Times New Roman"/>
          <w:sz w:val="24"/>
          <w:szCs w:val="24"/>
          <w:lang w:val="ru-RU"/>
        </w:rPr>
        <w:t>), находящийся в</w:t>
      </w:r>
      <w:r w:rsidRPr="004E7E3E">
        <w:rPr>
          <w:rFonts w:ascii="Times New Roman" w:hAnsi="Times New Roman" w:cs="Times New Roman"/>
          <w:color w:val="000000"/>
          <w:sz w:val="24"/>
          <w:szCs w:val="24"/>
          <w:shd w:val="clear" w:color="auto" w:fill="FFFFFF"/>
          <w:lang w:val="ru-RU"/>
        </w:rPr>
        <w:t xml:space="preserve"> особой экономической области города Далянь. Эта отрасль входит в перечень отраслей, которые имеют приоритетное значение и первоочередную поддержку со стороны местных властей. Государство выделило средства, которые могут покрыть расходы на постройку нового завода с новым современным оборудованием. Но для того, чтобы попасть в пул такой программы, компания должна была соответствовать ряду критериев: 1) заниматься бизнесом в инновационной отрасли, поддерживаемой в данном регионе, 2) иметь рост на уровне 50% в год в течение прошедших 5 лет, 3) поддерживать рост на том же уровне в течение последующих 3 лет, 4) в течение 3 лет после постройки нового завода разместить свои акции на одной из фондовых бирж Китая. Топ-менедж</w:t>
      </w:r>
      <w:r>
        <w:rPr>
          <w:rFonts w:ascii="Times New Roman" w:hAnsi="Times New Roman" w:cs="Times New Roman"/>
          <w:color w:val="000000"/>
          <w:sz w:val="24"/>
          <w:szCs w:val="24"/>
          <w:shd w:val="clear" w:color="auto" w:fill="FFFFFF"/>
          <w:lang w:val="ru-RU"/>
        </w:rPr>
        <w:t>ер компании</w:t>
      </w:r>
      <w:r w:rsidRPr="004E7E3E">
        <w:rPr>
          <w:rFonts w:ascii="Times New Roman" w:hAnsi="Times New Roman" w:cs="Times New Roman"/>
          <w:color w:val="000000"/>
          <w:sz w:val="24"/>
          <w:szCs w:val="24"/>
          <w:shd w:val="clear" w:color="auto" w:fill="FFFFFF"/>
          <w:lang w:val="ru-RU"/>
        </w:rPr>
        <w:t xml:space="preserve">, как на работу, ходил в администрацию провинции, чтобы выстроить хорошие отношения с местными чиновниками, принимающими решениями, зачастую жертвуя возможностью встретиться с новыми клиентами. </w:t>
      </w:r>
    </w:p>
    <w:p w14:paraId="24B5334E" w14:textId="3CD01B05"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Автор посещал ещё одно производство дисплеев </w:t>
      </w:r>
      <w:r w:rsidRPr="004E7E3E">
        <w:rPr>
          <w:rFonts w:ascii="Times New Roman" w:hAnsi="Times New Roman" w:cs="Times New Roman"/>
          <w:color w:val="000000"/>
          <w:sz w:val="24"/>
          <w:szCs w:val="24"/>
          <w:shd w:val="clear" w:color="auto" w:fill="FFFFFF"/>
        </w:rPr>
        <w:t>Shantou</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Goworld</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Displays</w:t>
      </w:r>
      <w:r w:rsidRPr="004E7E3E">
        <w:rPr>
          <w:rFonts w:ascii="Times New Roman" w:hAnsi="Times New Roman" w:cs="Times New Roman"/>
          <w:color w:val="000000"/>
          <w:sz w:val="24"/>
          <w:szCs w:val="24"/>
          <w:shd w:val="clear" w:color="auto" w:fill="FFFFFF"/>
          <w:lang w:val="ru-RU"/>
        </w:rPr>
        <w:t xml:space="preserve">. Как можно понять из названия, завод находится в городе </w:t>
      </w:r>
      <w:r w:rsidR="002F50A0" w:rsidRPr="004E7E3E">
        <w:rPr>
          <w:rFonts w:ascii="Times New Roman" w:hAnsi="Times New Roman" w:cs="Times New Roman"/>
          <w:color w:val="000000"/>
          <w:sz w:val="24"/>
          <w:szCs w:val="24"/>
          <w:shd w:val="clear" w:color="auto" w:fill="FFFFFF"/>
          <w:lang w:val="ru-RU"/>
        </w:rPr>
        <w:t>Шаньтоу</w:t>
      </w:r>
      <w:r w:rsidRPr="004E7E3E">
        <w:rPr>
          <w:rFonts w:ascii="Times New Roman" w:hAnsi="Times New Roman" w:cs="Times New Roman"/>
          <w:color w:val="000000"/>
          <w:sz w:val="24"/>
          <w:szCs w:val="24"/>
          <w:shd w:val="clear" w:color="auto" w:fill="FFFFFF"/>
          <w:lang w:val="ru-RU"/>
        </w:rPr>
        <w:t xml:space="preserve">, в котором была создана одна из первых особых экономических зон. По сути, эти две компании (одна из Даляня, другая из </w:t>
      </w:r>
      <w:r w:rsidR="002F50A0" w:rsidRPr="004E7E3E">
        <w:rPr>
          <w:rFonts w:ascii="Times New Roman" w:hAnsi="Times New Roman" w:cs="Times New Roman"/>
          <w:color w:val="000000"/>
          <w:sz w:val="24"/>
          <w:szCs w:val="24"/>
          <w:shd w:val="clear" w:color="auto" w:fill="FFFFFF"/>
          <w:lang w:val="ru-RU"/>
        </w:rPr>
        <w:t>Шаньтоу</w:t>
      </w:r>
      <w:r w:rsidRPr="004E7E3E">
        <w:rPr>
          <w:rFonts w:ascii="Times New Roman" w:hAnsi="Times New Roman" w:cs="Times New Roman"/>
          <w:color w:val="000000"/>
          <w:sz w:val="24"/>
          <w:szCs w:val="24"/>
          <w:shd w:val="clear" w:color="auto" w:fill="FFFFFF"/>
          <w:lang w:val="ru-RU"/>
        </w:rPr>
        <w:t xml:space="preserve">), находятся на стандартной кривой развития инновационных компаний Китая. </w:t>
      </w:r>
      <w:r w:rsidRPr="004E7E3E">
        <w:rPr>
          <w:rFonts w:ascii="Times New Roman" w:hAnsi="Times New Roman" w:cs="Times New Roman"/>
          <w:color w:val="000000"/>
          <w:sz w:val="24"/>
          <w:szCs w:val="24"/>
          <w:shd w:val="clear" w:color="auto" w:fill="FFFFFF"/>
        </w:rPr>
        <w:t>Goworld</w:t>
      </w:r>
      <w:r w:rsidRPr="004E7E3E">
        <w:rPr>
          <w:rFonts w:ascii="Times New Roman" w:hAnsi="Times New Roman" w:cs="Times New Roman"/>
          <w:color w:val="000000"/>
          <w:sz w:val="24"/>
          <w:szCs w:val="24"/>
          <w:shd w:val="clear" w:color="auto" w:fill="FFFFFF"/>
          <w:lang w:val="ru-RU"/>
        </w:rPr>
        <w:t xml:space="preserve"> на 2012 год имела листинг на фондовых площадках Шэньчжэня и Шанхае и думала о размещении своих средств в Гонконге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_Ref446789751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166</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Уже на тот момент у </w:t>
      </w:r>
      <w:r>
        <w:rPr>
          <w:rFonts w:ascii="Times New Roman" w:hAnsi="Times New Roman" w:cs="Times New Roman"/>
          <w:color w:val="000000"/>
          <w:sz w:val="24"/>
          <w:szCs w:val="24"/>
          <w:shd w:val="clear" w:color="auto" w:fill="FFFFFF"/>
          <w:lang w:val="ru-RU"/>
        </w:rPr>
        <w:t>нее</w:t>
      </w:r>
      <w:r w:rsidRPr="004E7E3E">
        <w:rPr>
          <w:rFonts w:ascii="Times New Roman" w:hAnsi="Times New Roman" w:cs="Times New Roman"/>
          <w:color w:val="000000"/>
          <w:sz w:val="24"/>
          <w:szCs w:val="24"/>
          <w:shd w:val="clear" w:color="auto" w:fill="FFFFFF"/>
          <w:lang w:val="ru-RU"/>
        </w:rPr>
        <w:t xml:space="preserve"> было суперсовременное «чистое» производство, требующееся для изготовления самых современных ЖК-дисплеев. В Даляне труд </w:t>
      </w:r>
      <w:r w:rsidRPr="004E7E3E">
        <w:rPr>
          <w:rFonts w:ascii="Times New Roman" w:hAnsi="Times New Roman" w:cs="Times New Roman"/>
          <w:color w:val="000000"/>
          <w:sz w:val="24"/>
          <w:szCs w:val="24"/>
          <w:shd w:val="clear" w:color="auto" w:fill="FFFFFF"/>
          <w:lang w:val="ru-RU"/>
        </w:rPr>
        <w:lastRenderedPageBreak/>
        <w:t xml:space="preserve">был преимущественно ручной, производимые ими изделия шли на простые счётчики электричества, в то время как дисплеи из </w:t>
      </w:r>
      <w:r w:rsidR="002F50A0" w:rsidRPr="004E7E3E">
        <w:rPr>
          <w:rFonts w:ascii="Times New Roman" w:hAnsi="Times New Roman" w:cs="Times New Roman"/>
          <w:color w:val="000000"/>
          <w:sz w:val="24"/>
          <w:szCs w:val="24"/>
          <w:shd w:val="clear" w:color="auto" w:fill="FFFFFF"/>
          <w:lang w:val="ru-RU"/>
        </w:rPr>
        <w:t>Шаньтоу</w:t>
      </w:r>
      <w:r w:rsidRPr="004E7E3E">
        <w:rPr>
          <w:rFonts w:ascii="Times New Roman" w:hAnsi="Times New Roman" w:cs="Times New Roman"/>
          <w:color w:val="000000"/>
          <w:sz w:val="24"/>
          <w:szCs w:val="24"/>
          <w:shd w:val="clear" w:color="auto" w:fill="FFFFFF"/>
          <w:lang w:val="ru-RU"/>
        </w:rPr>
        <w:t xml:space="preserve"> поставлялись для производства мобильных телефонов и на автомобильные панели. </w:t>
      </w:r>
    </w:p>
    <w:p w14:paraId="567E0F60"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Плюсом участия государства является масштаб поддержки (китайское государство обладает большими средствами, которые оно охотно вкладывает в инфраструктурные проекты, если они вошли в повестку дня) и её системность (разработка специальных программ, охватывающи</w:t>
      </w:r>
      <w:r>
        <w:rPr>
          <w:rFonts w:ascii="Times New Roman" w:hAnsi="Times New Roman" w:cs="Times New Roman"/>
          <w:sz w:val="24"/>
          <w:szCs w:val="24"/>
          <w:lang w:val="ru-RU"/>
        </w:rPr>
        <w:t>х</w:t>
      </w:r>
      <w:r w:rsidRPr="004E7E3E">
        <w:rPr>
          <w:rFonts w:ascii="Times New Roman" w:hAnsi="Times New Roman" w:cs="Times New Roman"/>
          <w:sz w:val="24"/>
          <w:szCs w:val="24"/>
          <w:lang w:val="ru-RU"/>
        </w:rPr>
        <w:t xml:space="preserve"> несколько сфер). Минусы связаны с бюрократическими барьерами, которые приходится преодолевать, чтобы проект получил государственную поддержку, медлительност</w:t>
      </w:r>
      <w:r>
        <w:rPr>
          <w:rFonts w:ascii="Times New Roman" w:hAnsi="Times New Roman" w:cs="Times New Roman"/>
          <w:sz w:val="24"/>
          <w:szCs w:val="24"/>
          <w:lang w:val="ru-RU"/>
        </w:rPr>
        <w:t>ью</w:t>
      </w:r>
      <w:r w:rsidRPr="004E7E3E">
        <w:rPr>
          <w:rFonts w:ascii="Times New Roman" w:hAnsi="Times New Roman" w:cs="Times New Roman"/>
          <w:sz w:val="24"/>
          <w:szCs w:val="24"/>
          <w:lang w:val="ru-RU"/>
        </w:rPr>
        <w:t xml:space="preserve"> реакции на меняющуюся конъюнктуру. </w:t>
      </w:r>
    </w:p>
    <w:p w14:paraId="3D20C020" w14:textId="3D3A8C2D"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практике автора есть пример развития компании </w:t>
      </w:r>
      <w:r w:rsidRPr="004E7E3E">
        <w:rPr>
          <w:rFonts w:ascii="Times New Roman" w:hAnsi="Times New Roman" w:cs="Times New Roman"/>
          <w:color w:val="000000"/>
          <w:sz w:val="24"/>
          <w:szCs w:val="24"/>
          <w:shd w:val="clear" w:color="auto" w:fill="FFFFFF"/>
        </w:rPr>
        <w:t>Nostop</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Motor</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Group</w:t>
      </w:r>
      <w:r w:rsidRPr="004E7E3E">
        <w:rPr>
          <w:rFonts w:ascii="Times New Roman" w:hAnsi="Times New Roman" w:cs="Times New Roman"/>
          <w:color w:val="000000"/>
          <w:sz w:val="24"/>
          <w:szCs w:val="24"/>
          <w:shd w:val="clear" w:color="auto" w:fill="FFFFFF"/>
          <w:lang w:val="ru-RU"/>
        </w:rPr>
        <w:t>, производящ</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й электрические моторы малой мощности. Владелец, бывший военный, </w:t>
      </w:r>
      <w:r>
        <w:rPr>
          <w:rFonts w:ascii="Times New Roman" w:hAnsi="Times New Roman" w:cs="Times New Roman"/>
          <w:color w:val="000000"/>
          <w:sz w:val="24"/>
          <w:szCs w:val="24"/>
          <w:shd w:val="clear" w:color="auto" w:fill="FFFFFF"/>
          <w:lang w:val="ru-RU"/>
        </w:rPr>
        <w:t>служивший</w:t>
      </w:r>
      <w:r w:rsidRPr="004E7E3E">
        <w:rPr>
          <w:rFonts w:ascii="Times New Roman" w:hAnsi="Times New Roman" w:cs="Times New Roman"/>
          <w:color w:val="000000"/>
          <w:sz w:val="24"/>
          <w:szCs w:val="24"/>
          <w:shd w:val="clear" w:color="auto" w:fill="FFFFFF"/>
          <w:lang w:val="ru-RU"/>
        </w:rPr>
        <w:t xml:space="preserve">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китайском посольстве в Вене, после демобилизации начал свой бизнес с торговой деятельности</w:t>
      </w:r>
      <w:r>
        <w:rPr>
          <w:rFonts w:ascii="Times New Roman" w:hAnsi="Times New Roman" w:cs="Times New Roman"/>
          <w:color w:val="000000"/>
          <w:sz w:val="24"/>
          <w:szCs w:val="24"/>
          <w:shd w:val="clear" w:color="auto" w:fill="FFFFFF"/>
          <w:lang w:val="ru-RU"/>
        </w:rPr>
        <w:t xml:space="preserve"> без конкретной специализации</w:t>
      </w:r>
      <w:r w:rsidRPr="004E7E3E">
        <w:rPr>
          <w:rFonts w:ascii="Times New Roman" w:hAnsi="Times New Roman" w:cs="Times New Roman"/>
          <w:color w:val="000000"/>
          <w:sz w:val="24"/>
          <w:szCs w:val="24"/>
          <w:shd w:val="clear" w:color="auto" w:fill="FFFFFF"/>
          <w:lang w:val="ru-RU"/>
        </w:rPr>
        <w:t>, потом сфокусировался на моторах</w:t>
      </w:r>
      <w:r>
        <w:rPr>
          <w:rFonts w:ascii="Times New Roman" w:hAnsi="Times New Roman" w:cs="Times New Roman"/>
          <w:color w:val="000000"/>
          <w:sz w:val="24"/>
          <w:szCs w:val="24"/>
          <w:shd w:val="clear" w:color="auto" w:fill="FFFFFF"/>
          <w:lang w:val="ru-RU"/>
        </w:rPr>
        <w:t>. Д</w:t>
      </w:r>
      <w:r w:rsidRPr="004E7E3E">
        <w:rPr>
          <w:rFonts w:ascii="Times New Roman" w:hAnsi="Times New Roman" w:cs="Times New Roman"/>
          <w:color w:val="000000"/>
          <w:sz w:val="24"/>
          <w:szCs w:val="24"/>
          <w:shd w:val="clear" w:color="auto" w:fill="FFFFFF"/>
          <w:lang w:val="ru-RU"/>
        </w:rPr>
        <w:t>алее, получив большой заказ, решил, что сможет на его основе открыть производство сначала в Шэньчжэне, где находилась торговая фирма, потом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Чжуншане – буквально через бухту от Шэньчжэня. </w:t>
      </w:r>
      <w:r>
        <w:rPr>
          <w:rFonts w:ascii="Times New Roman" w:hAnsi="Times New Roman" w:cs="Times New Roman"/>
          <w:color w:val="000000"/>
          <w:sz w:val="24"/>
          <w:szCs w:val="24"/>
          <w:shd w:val="clear" w:color="auto" w:fill="FFFFFF"/>
          <w:lang w:val="ru-RU"/>
        </w:rPr>
        <w:t xml:space="preserve">Предприятие располагало </w:t>
      </w:r>
      <w:r w:rsidRPr="004E7E3E">
        <w:rPr>
          <w:rFonts w:ascii="Times New Roman" w:hAnsi="Times New Roman" w:cs="Times New Roman"/>
          <w:color w:val="000000"/>
          <w:sz w:val="24"/>
          <w:szCs w:val="24"/>
          <w:shd w:val="clear" w:color="auto" w:fill="FFFFFF"/>
          <w:lang w:val="ru-RU"/>
        </w:rPr>
        <w:t>одн</w:t>
      </w:r>
      <w:r>
        <w:rPr>
          <w:rFonts w:ascii="Times New Roman" w:hAnsi="Times New Roman" w:cs="Times New Roman"/>
          <w:color w:val="000000"/>
          <w:sz w:val="24"/>
          <w:szCs w:val="24"/>
          <w:shd w:val="clear" w:color="auto" w:fill="FFFFFF"/>
          <w:lang w:val="ru-RU"/>
        </w:rPr>
        <w:t>им</w:t>
      </w:r>
      <w:r w:rsidRPr="004E7E3E">
        <w:rPr>
          <w:rFonts w:ascii="Times New Roman" w:hAnsi="Times New Roman" w:cs="Times New Roman"/>
          <w:color w:val="000000"/>
          <w:sz w:val="24"/>
          <w:szCs w:val="24"/>
          <w:shd w:val="clear" w:color="auto" w:fill="FFFFFF"/>
          <w:lang w:val="ru-RU"/>
        </w:rPr>
        <w:t xml:space="preserve"> </w:t>
      </w:r>
      <w:r w:rsidR="002F50A0" w:rsidRPr="004E7E3E">
        <w:rPr>
          <w:rFonts w:ascii="Times New Roman" w:hAnsi="Times New Roman" w:cs="Times New Roman"/>
          <w:color w:val="000000"/>
          <w:sz w:val="24"/>
          <w:szCs w:val="24"/>
          <w:shd w:val="clear" w:color="auto" w:fill="FFFFFF"/>
          <w:lang w:val="ru-RU"/>
        </w:rPr>
        <w:t>четырёхэтажн</w:t>
      </w:r>
      <w:r w:rsidR="002F50A0">
        <w:rPr>
          <w:rFonts w:ascii="Times New Roman" w:hAnsi="Times New Roman" w:cs="Times New Roman"/>
          <w:color w:val="000000"/>
          <w:sz w:val="24"/>
          <w:szCs w:val="24"/>
          <w:shd w:val="clear" w:color="auto" w:fill="FFFFFF"/>
          <w:lang w:val="ru-RU"/>
        </w:rPr>
        <w:t>ым</w:t>
      </w:r>
      <w:r w:rsidRPr="004E7E3E">
        <w:rPr>
          <w:rFonts w:ascii="Times New Roman" w:hAnsi="Times New Roman" w:cs="Times New Roman"/>
          <w:color w:val="000000"/>
          <w:sz w:val="24"/>
          <w:szCs w:val="24"/>
          <w:shd w:val="clear" w:color="auto" w:fill="FFFFFF"/>
          <w:lang w:val="ru-RU"/>
        </w:rPr>
        <w:t xml:space="preserve"> зда</w:t>
      </w:r>
      <w:r>
        <w:rPr>
          <w:rFonts w:ascii="Times New Roman" w:hAnsi="Times New Roman" w:cs="Times New Roman"/>
          <w:color w:val="000000"/>
          <w:sz w:val="24"/>
          <w:szCs w:val="24"/>
          <w:shd w:val="clear" w:color="auto" w:fill="FFFFFF"/>
          <w:lang w:val="ru-RU"/>
        </w:rPr>
        <w:t xml:space="preserve">нием под производство </w:t>
      </w:r>
      <w:r w:rsidRPr="004E7E3E">
        <w:rPr>
          <w:rFonts w:ascii="Times New Roman" w:hAnsi="Times New Roman" w:cs="Times New Roman"/>
          <w:color w:val="000000"/>
          <w:sz w:val="24"/>
          <w:szCs w:val="24"/>
          <w:shd w:val="clear" w:color="auto" w:fill="FFFFFF"/>
          <w:lang w:val="ru-RU"/>
        </w:rPr>
        <w:t xml:space="preserve"> и</w:t>
      </w:r>
      <w:r>
        <w:rPr>
          <w:rFonts w:ascii="Times New Roman" w:hAnsi="Times New Roman" w:cs="Times New Roman"/>
          <w:color w:val="000000"/>
          <w:sz w:val="24"/>
          <w:szCs w:val="24"/>
          <w:shd w:val="clear" w:color="auto" w:fill="FFFFFF"/>
          <w:lang w:val="ru-RU"/>
        </w:rPr>
        <w:t> </w:t>
      </w:r>
      <w:r w:rsidR="002F50A0" w:rsidRPr="004E7E3E">
        <w:rPr>
          <w:rFonts w:ascii="Times New Roman" w:hAnsi="Times New Roman" w:cs="Times New Roman"/>
          <w:color w:val="000000"/>
          <w:sz w:val="24"/>
          <w:szCs w:val="24"/>
          <w:shd w:val="clear" w:color="auto" w:fill="FFFFFF"/>
          <w:lang w:val="ru-RU"/>
        </w:rPr>
        <w:t>одни</w:t>
      </w:r>
      <w:r w:rsidR="002F50A0">
        <w:rPr>
          <w:rFonts w:ascii="Times New Roman" w:hAnsi="Times New Roman" w:cs="Times New Roman"/>
          <w:color w:val="000000"/>
          <w:sz w:val="24"/>
          <w:szCs w:val="24"/>
          <w:shd w:val="clear" w:color="auto" w:fill="FFFFFF"/>
          <w:lang w:val="ru-RU"/>
        </w:rPr>
        <w:t>м</w:t>
      </w:r>
      <w:r w:rsidRPr="004E7E3E">
        <w:rPr>
          <w:rFonts w:ascii="Times New Roman" w:hAnsi="Times New Roman" w:cs="Times New Roman"/>
          <w:color w:val="000000"/>
          <w:sz w:val="24"/>
          <w:szCs w:val="24"/>
          <w:shd w:val="clear" w:color="auto" w:fill="FFFFFF"/>
          <w:lang w:val="ru-RU"/>
        </w:rPr>
        <w:t xml:space="preserve"> </w:t>
      </w:r>
      <w:r w:rsidR="002F50A0" w:rsidRPr="004E7E3E">
        <w:rPr>
          <w:rFonts w:ascii="Times New Roman" w:hAnsi="Times New Roman" w:cs="Times New Roman"/>
          <w:color w:val="000000"/>
          <w:sz w:val="24"/>
          <w:szCs w:val="24"/>
          <w:shd w:val="clear" w:color="auto" w:fill="FFFFFF"/>
          <w:lang w:val="ru-RU"/>
        </w:rPr>
        <w:t>этаж</w:t>
      </w:r>
      <w:r w:rsidR="002F50A0">
        <w:rPr>
          <w:rFonts w:ascii="Times New Roman" w:hAnsi="Times New Roman" w:cs="Times New Roman"/>
          <w:color w:val="000000"/>
          <w:sz w:val="24"/>
          <w:szCs w:val="24"/>
          <w:shd w:val="clear" w:color="auto" w:fill="FFFFFF"/>
          <w:lang w:val="ru-RU"/>
        </w:rPr>
        <w:t>ом</w:t>
      </w:r>
      <w:r w:rsidRPr="004E7E3E">
        <w:rPr>
          <w:rFonts w:ascii="Times New Roman" w:hAnsi="Times New Roman" w:cs="Times New Roman"/>
          <w:color w:val="000000"/>
          <w:sz w:val="24"/>
          <w:szCs w:val="24"/>
          <w:shd w:val="clear" w:color="auto" w:fill="FFFFFF"/>
          <w:lang w:val="ru-RU"/>
        </w:rPr>
        <w:t xml:space="preserve"> в прилегающем бизнес-центре под офис</w:t>
      </w:r>
      <w:r>
        <w:rPr>
          <w:rFonts w:ascii="Times New Roman" w:hAnsi="Times New Roman" w:cs="Times New Roman"/>
          <w:color w:val="000000"/>
          <w:sz w:val="24"/>
          <w:szCs w:val="24"/>
          <w:shd w:val="clear" w:color="auto" w:fill="FFFFFF"/>
          <w:lang w:val="ru-RU"/>
        </w:rPr>
        <w:t>, которые находились</w:t>
      </w:r>
      <w:r w:rsidRPr="004E7E3E">
        <w:rPr>
          <w:rFonts w:ascii="Times New Roman" w:hAnsi="Times New Roman" w:cs="Times New Roman"/>
          <w:color w:val="000000"/>
          <w:sz w:val="24"/>
          <w:szCs w:val="24"/>
          <w:shd w:val="clear" w:color="auto" w:fill="FFFFFF"/>
          <w:lang w:val="ru-RU"/>
        </w:rPr>
        <w:t xml:space="preserve"> в аренде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дотируемой государством. Летом 2013 года </w:t>
      </w:r>
      <w:r>
        <w:rPr>
          <w:rFonts w:ascii="Times New Roman" w:hAnsi="Times New Roman" w:cs="Times New Roman"/>
          <w:color w:val="000000"/>
          <w:sz w:val="24"/>
          <w:szCs w:val="24"/>
          <w:shd w:val="clear" w:color="auto" w:fill="FFFFFF"/>
          <w:lang w:val="ru-RU"/>
        </w:rPr>
        <w:t>владелец компании</w:t>
      </w:r>
      <w:r w:rsidRPr="004E7E3E">
        <w:rPr>
          <w:rFonts w:ascii="Times New Roman" w:hAnsi="Times New Roman" w:cs="Times New Roman"/>
          <w:color w:val="000000"/>
          <w:sz w:val="24"/>
          <w:szCs w:val="24"/>
          <w:shd w:val="clear" w:color="auto" w:fill="FFFFFF"/>
          <w:lang w:val="ru-RU"/>
        </w:rPr>
        <w:t xml:space="preserve"> начал строить новый завод в </w:t>
      </w:r>
      <w:proofErr w:type="spellStart"/>
      <w:r w:rsidRPr="004E7E3E">
        <w:rPr>
          <w:rFonts w:ascii="Times New Roman" w:hAnsi="Times New Roman" w:cs="Times New Roman"/>
          <w:color w:val="000000"/>
          <w:sz w:val="24"/>
          <w:szCs w:val="24"/>
          <w:shd w:val="clear" w:color="auto" w:fill="FFFFFF"/>
          <w:lang w:val="ru-RU"/>
        </w:rPr>
        <w:t>Цз</w:t>
      </w:r>
      <w:r>
        <w:rPr>
          <w:rFonts w:ascii="Times New Roman" w:hAnsi="Times New Roman" w:cs="Times New Roman"/>
          <w:color w:val="000000"/>
          <w:sz w:val="24"/>
          <w:szCs w:val="24"/>
          <w:shd w:val="clear" w:color="auto" w:fill="FFFFFF"/>
          <w:lang w:val="ru-RU"/>
        </w:rPr>
        <w:t>янмыне</w:t>
      </w:r>
      <w:proofErr w:type="spellEnd"/>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провинци</w:t>
      </w:r>
      <w:r>
        <w:rPr>
          <w:rFonts w:ascii="Times New Roman" w:hAnsi="Times New Roman" w:cs="Times New Roman"/>
          <w:color w:val="000000"/>
          <w:sz w:val="24"/>
          <w:szCs w:val="24"/>
          <w:shd w:val="clear" w:color="auto" w:fill="FFFFFF"/>
          <w:lang w:val="ru-RU"/>
        </w:rPr>
        <w:t>я</w:t>
      </w:r>
      <w:r w:rsidRPr="004E7E3E">
        <w:rPr>
          <w:rFonts w:ascii="Times New Roman" w:hAnsi="Times New Roman" w:cs="Times New Roman"/>
          <w:color w:val="000000"/>
          <w:sz w:val="24"/>
          <w:szCs w:val="24"/>
          <w:shd w:val="clear" w:color="auto" w:fill="FFFFFF"/>
          <w:lang w:val="ru-RU"/>
        </w:rPr>
        <w:t xml:space="preserve"> </w:t>
      </w:r>
      <w:r w:rsidR="002F50A0" w:rsidRPr="004E7E3E">
        <w:rPr>
          <w:rFonts w:ascii="Times New Roman" w:hAnsi="Times New Roman" w:cs="Times New Roman"/>
          <w:color w:val="000000"/>
          <w:sz w:val="24"/>
          <w:szCs w:val="24"/>
          <w:shd w:val="clear" w:color="auto" w:fill="FFFFFF"/>
          <w:lang w:val="ru-RU"/>
        </w:rPr>
        <w:t>Гуандун</w:t>
      </w:r>
      <w:r>
        <w:rPr>
          <w:rFonts w:ascii="Times New Roman" w:hAnsi="Times New Roman" w:cs="Times New Roman"/>
          <w:color w:val="000000"/>
          <w:sz w:val="24"/>
          <w:szCs w:val="24"/>
          <w:shd w:val="clear" w:color="auto" w:fill="FFFFFF"/>
          <w:lang w:val="ru-RU"/>
        </w:rPr>
        <w:t>), чтобы перевести туда всё производство</w:t>
      </w:r>
      <w:r w:rsidRPr="004E7E3E">
        <w:rPr>
          <w:rFonts w:ascii="Times New Roman" w:hAnsi="Times New Roman" w:cs="Times New Roman"/>
          <w:color w:val="000000"/>
          <w:sz w:val="24"/>
          <w:szCs w:val="24"/>
          <w:shd w:val="clear" w:color="auto" w:fill="FFFFFF"/>
          <w:lang w:val="ru-RU"/>
        </w:rPr>
        <w:t xml:space="preserve">. В Чжуншане </w:t>
      </w:r>
      <w:r>
        <w:rPr>
          <w:rFonts w:ascii="Times New Roman" w:hAnsi="Times New Roman" w:cs="Times New Roman"/>
          <w:color w:val="000000"/>
          <w:sz w:val="24"/>
          <w:szCs w:val="24"/>
          <w:shd w:val="clear" w:color="auto" w:fill="FFFFFF"/>
          <w:lang w:val="ru-RU"/>
        </w:rPr>
        <w:t>вся</w:t>
      </w:r>
      <w:r w:rsidRPr="004E7E3E">
        <w:rPr>
          <w:rFonts w:ascii="Times New Roman" w:hAnsi="Times New Roman" w:cs="Times New Roman"/>
          <w:color w:val="000000"/>
          <w:sz w:val="24"/>
          <w:szCs w:val="24"/>
          <w:shd w:val="clear" w:color="auto" w:fill="FFFFFF"/>
          <w:lang w:val="ru-RU"/>
        </w:rPr>
        <w:t xml:space="preserve"> продукции шл</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на экспорт, а в Цз</w:t>
      </w:r>
      <w:r>
        <w:rPr>
          <w:rFonts w:ascii="Times New Roman" w:hAnsi="Times New Roman" w:cs="Times New Roman"/>
          <w:color w:val="000000"/>
          <w:sz w:val="24"/>
          <w:szCs w:val="24"/>
          <w:shd w:val="clear" w:color="auto" w:fill="FFFFFF"/>
          <w:lang w:val="ru-RU"/>
        </w:rPr>
        <w:t>янмыне</w:t>
      </w:r>
      <w:r w:rsidRPr="004E7E3E">
        <w:rPr>
          <w:rFonts w:ascii="Times New Roman" w:hAnsi="Times New Roman" w:cs="Times New Roman"/>
          <w:color w:val="000000"/>
          <w:sz w:val="24"/>
          <w:szCs w:val="24"/>
          <w:shd w:val="clear" w:color="auto" w:fill="FFFFFF"/>
          <w:lang w:val="ru-RU"/>
        </w:rPr>
        <w:t xml:space="preserve"> уже можно было реализовывать заказы для внутренних клиентов. Однако китайские предприниматели из особых экономических зон </w:t>
      </w:r>
      <w:r>
        <w:rPr>
          <w:rFonts w:ascii="Times New Roman" w:hAnsi="Times New Roman" w:cs="Times New Roman"/>
          <w:color w:val="000000"/>
          <w:sz w:val="24"/>
          <w:szCs w:val="24"/>
          <w:shd w:val="clear" w:color="auto" w:fill="FFFFFF"/>
          <w:lang w:val="ru-RU"/>
        </w:rPr>
        <w:t xml:space="preserve">не стремяться расширять работу </w:t>
      </w:r>
      <w:r w:rsidRPr="004E7E3E">
        <w:rPr>
          <w:rFonts w:ascii="Times New Roman" w:hAnsi="Times New Roman" w:cs="Times New Roman"/>
          <w:color w:val="000000"/>
          <w:sz w:val="24"/>
          <w:szCs w:val="24"/>
          <w:shd w:val="clear" w:color="auto" w:fill="FFFFFF"/>
          <w:lang w:val="ru-RU"/>
        </w:rPr>
        <w:t>со своими соотечественниками: слишком велик риск неплатежа или иного обмана. Расширение – это не</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единственная причина переезда. Друг</w:t>
      </w:r>
      <w:r>
        <w:rPr>
          <w:rFonts w:ascii="Times New Roman" w:hAnsi="Times New Roman" w:cs="Times New Roman"/>
          <w:color w:val="000000"/>
          <w:sz w:val="24"/>
          <w:szCs w:val="24"/>
          <w:shd w:val="clear" w:color="auto" w:fill="FFFFFF"/>
          <w:lang w:val="ru-RU"/>
        </w:rPr>
        <w:t>ие</w:t>
      </w:r>
      <w:r w:rsidRPr="004E7E3E">
        <w:rPr>
          <w:rFonts w:ascii="Times New Roman" w:hAnsi="Times New Roman" w:cs="Times New Roman"/>
          <w:color w:val="000000"/>
          <w:sz w:val="24"/>
          <w:szCs w:val="24"/>
          <w:shd w:val="clear" w:color="auto" w:fill="FFFFFF"/>
          <w:lang w:val="ru-RU"/>
        </w:rPr>
        <w:t xml:space="preserve"> причин</w:t>
      </w:r>
      <w:r>
        <w:rPr>
          <w:rFonts w:ascii="Times New Roman" w:hAnsi="Times New Roman" w:cs="Times New Roman"/>
          <w:color w:val="000000"/>
          <w:sz w:val="24"/>
          <w:szCs w:val="24"/>
          <w:shd w:val="clear" w:color="auto" w:fill="FFFFFF"/>
          <w:lang w:val="ru-RU"/>
        </w:rPr>
        <w:t>ы: увеличение лимитов по энергопотреблению и </w:t>
      </w:r>
      <w:r w:rsidRPr="004E7E3E">
        <w:rPr>
          <w:rFonts w:ascii="Times New Roman" w:hAnsi="Times New Roman" w:cs="Times New Roman"/>
          <w:color w:val="000000"/>
          <w:sz w:val="24"/>
          <w:szCs w:val="24"/>
          <w:shd w:val="clear" w:color="auto" w:fill="FFFFFF"/>
          <w:lang w:val="ru-RU"/>
        </w:rPr>
        <w:t>лучшие отношения с госчиновниками. Даже хорошее место на Кантонской ярмарке нельзя получить без связей в региональном правительстве. Именно чиновники распределяют эти места</w:t>
      </w:r>
      <w:r>
        <w:rPr>
          <w:rFonts w:ascii="Times New Roman" w:hAnsi="Times New Roman" w:cs="Times New Roman"/>
          <w:color w:val="000000"/>
          <w:sz w:val="24"/>
          <w:szCs w:val="24"/>
          <w:shd w:val="clear" w:color="auto" w:fill="FFFFFF"/>
          <w:lang w:val="ru-RU"/>
        </w:rPr>
        <w:t>, а</w:t>
      </w:r>
      <w:r w:rsidRPr="004E7E3E">
        <w:rPr>
          <w:rFonts w:ascii="Times New Roman" w:hAnsi="Times New Roman" w:cs="Times New Roman"/>
          <w:color w:val="000000"/>
          <w:sz w:val="24"/>
          <w:szCs w:val="24"/>
          <w:shd w:val="clear" w:color="auto" w:fill="FFFFFF"/>
          <w:lang w:val="ru-RU"/>
        </w:rPr>
        <w:t xml:space="preserve"> иначе приходится перекупать по завышенной цене у спекулянтов. Завод был построен не за год, как планировалось, а за 1,5 на средства самого владельца. Теперь он может использовать построенные производственные помещения для залога в банке. Причем в банк он стал обращаться, когда было достроено всего два этажа, третий и четвертый, он строил уже на заёмные средства. Теперь бизнесмен думает использовать свою недвижимость также для получения кредитов по низким ставкам и самому уже выступать кредитором, добавляя к полученным средствам свой интерес. Когда-то он заканчивал педагогический институт. Ему понравилось заниматься строительством, и он хочет построить частную школу на 15 тысяч учеников. По закону, ученики старших классов могут бесплатно обучаться только по адресу </w:t>
      </w:r>
      <w:r w:rsidRPr="004E7E3E">
        <w:rPr>
          <w:rFonts w:ascii="Times New Roman" w:hAnsi="Times New Roman" w:cs="Times New Roman"/>
          <w:color w:val="000000"/>
          <w:sz w:val="24"/>
          <w:szCs w:val="24"/>
          <w:shd w:val="clear" w:color="auto" w:fill="FFFFFF"/>
          <w:lang w:val="ru-RU"/>
        </w:rPr>
        <w:lastRenderedPageBreak/>
        <w:t>прописки</w:t>
      </w:r>
      <w:r>
        <w:rPr>
          <w:rFonts w:ascii="Times New Roman" w:hAnsi="Times New Roman" w:cs="Times New Roman"/>
          <w:color w:val="000000"/>
          <w:sz w:val="24"/>
          <w:szCs w:val="24"/>
          <w:shd w:val="clear" w:color="auto" w:fill="FFFFFF"/>
          <w:lang w:val="ru-RU"/>
        </w:rPr>
        <w:t>, а</w:t>
      </w:r>
      <w:r w:rsidRPr="004E7E3E">
        <w:rPr>
          <w:rFonts w:ascii="Times New Roman" w:hAnsi="Times New Roman" w:cs="Times New Roman"/>
          <w:color w:val="000000"/>
          <w:sz w:val="24"/>
          <w:szCs w:val="24"/>
          <w:shd w:val="clear" w:color="auto" w:fill="FFFFFF"/>
          <w:lang w:val="ru-RU"/>
        </w:rPr>
        <w:t xml:space="preserve"> их родители, как правило, могут найти высокооплачиваемую работу только на побережье. Изменить прописку с одного город</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на другой довольно сложно. В частных же школах не </w:t>
      </w:r>
      <w:r>
        <w:rPr>
          <w:rFonts w:ascii="Times New Roman" w:hAnsi="Times New Roman" w:cs="Times New Roman"/>
          <w:color w:val="000000"/>
          <w:sz w:val="24"/>
          <w:szCs w:val="24"/>
          <w:shd w:val="clear" w:color="auto" w:fill="FFFFFF"/>
          <w:lang w:val="ru-RU"/>
        </w:rPr>
        <w:t>учитывают</w:t>
      </w:r>
      <w:r w:rsidRPr="004E7E3E">
        <w:rPr>
          <w:rFonts w:ascii="Times New Roman" w:hAnsi="Times New Roman" w:cs="Times New Roman"/>
          <w:color w:val="000000"/>
          <w:sz w:val="24"/>
          <w:szCs w:val="24"/>
          <w:shd w:val="clear" w:color="auto" w:fill="FFFFFF"/>
          <w:lang w:val="ru-RU"/>
        </w:rPr>
        <w:t xml:space="preserve"> данные регистрации, когда берут ученика в класс. Через пару лет этот предприниматель собирается выходить на биржу. Так постепенно производство обращается к сервису и финансам. </w:t>
      </w:r>
    </w:p>
    <w:p w14:paraId="2C7754D5" w14:textId="1F066B5A"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Китайское руководство значительно продвинулось в сфере развития финансового сектора</w:t>
      </w:r>
      <w:r>
        <w:rPr>
          <w:rFonts w:ascii="Times New Roman" w:hAnsi="Times New Roman" w:cs="Times New Roman"/>
          <w:color w:val="000000"/>
          <w:sz w:val="24"/>
          <w:szCs w:val="24"/>
          <w:shd w:val="clear" w:color="auto" w:fill="FFFFFF"/>
          <w:lang w:val="ru-RU"/>
        </w:rPr>
        <w:t>, н</w:t>
      </w:r>
      <w:r w:rsidRPr="004E7E3E">
        <w:rPr>
          <w:rFonts w:ascii="Times New Roman" w:hAnsi="Times New Roman" w:cs="Times New Roman"/>
          <w:color w:val="000000"/>
          <w:sz w:val="24"/>
          <w:szCs w:val="24"/>
          <w:shd w:val="clear" w:color="auto" w:fill="FFFFFF"/>
          <w:lang w:val="ru-RU"/>
        </w:rPr>
        <w:t>о значительные шаги по интерна</w:t>
      </w:r>
      <w:r>
        <w:rPr>
          <w:rFonts w:ascii="Times New Roman" w:hAnsi="Times New Roman" w:cs="Times New Roman"/>
          <w:color w:val="000000"/>
          <w:sz w:val="24"/>
          <w:szCs w:val="24"/>
          <w:shd w:val="clear" w:color="auto" w:fill="FFFFFF"/>
          <w:lang w:val="ru-RU"/>
        </w:rPr>
        <w:t>циона</w:t>
      </w:r>
      <w:r w:rsidRPr="004E7E3E">
        <w:rPr>
          <w:rFonts w:ascii="Times New Roman" w:hAnsi="Times New Roman" w:cs="Times New Roman"/>
          <w:color w:val="000000"/>
          <w:sz w:val="24"/>
          <w:szCs w:val="24"/>
          <w:shd w:val="clear" w:color="auto" w:fill="FFFFFF"/>
          <w:lang w:val="ru-RU"/>
        </w:rPr>
        <w:t>лизации юаня делаются и за пределами страны. В первую очередь</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это касается «синофонских» финансовых центров. Специально для Гонконгской биржи китайское правительство разработало особый вид акций – акции </w:t>
      </w:r>
      <w:r w:rsidRPr="004E7E3E">
        <w:rPr>
          <w:rFonts w:ascii="Times New Roman" w:hAnsi="Times New Roman" w:cs="Times New Roman"/>
          <w:color w:val="000000"/>
          <w:sz w:val="24"/>
          <w:szCs w:val="24"/>
          <w:shd w:val="clear" w:color="auto" w:fill="FFFFFF"/>
        </w:rPr>
        <w:t>H</w:t>
      </w:r>
      <w:r w:rsidRPr="004E7E3E">
        <w:rPr>
          <w:rFonts w:ascii="Times New Roman" w:hAnsi="Times New Roman" w:cs="Times New Roman"/>
          <w:color w:val="000000"/>
          <w:sz w:val="24"/>
          <w:szCs w:val="24"/>
          <w:shd w:val="clear" w:color="auto" w:fill="FFFFFF"/>
          <w:lang w:val="ru-RU"/>
        </w:rPr>
        <w:t xml:space="preserve"> (от «</w:t>
      </w:r>
      <w:r w:rsidRPr="004E7E3E">
        <w:rPr>
          <w:rFonts w:ascii="Times New Roman" w:hAnsi="Times New Roman" w:cs="Times New Roman"/>
          <w:color w:val="000000"/>
          <w:sz w:val="24"/>
          <w:szCs w:val="24"/>
          <w:shd w:val="clear" w:color="auto" w:fill="FFFFFF"/>
        </w:rPr>
        <w:t>Hong</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Kong</w:t>
      </w:r>
      <w:r w:rsidRPr="004E7E3E">
        <w:rPr>
          <w:rFonts w:ascii="Times New Roman" w:hAnsi="Times New Roman" w:cs="Times New Roman"/>
          <w:color w:val="000000"/>
          <w:sz w:val="24"/>
          <w:szCs w:val="24"/>
          <w:shd w:val="clear" w:color="auto" w:fill="FFFFFF"/>
          <w:lang w:val="ru-RU"/>
        </w:rPr>
        <w:t>»), которые котир</w:t>
      </w:r>
      <w:r>
        <w:rPr>
          <w:rFonts w:ascii="Times New Roman" w:hAnsi="Times New Roman" w:cs="Times New Roman"/>
          <w:color w:val="000000"/>
          <w:sz w:val="24"/>
          <w:szCs w:val="24"/>
          <w:shd w:val="clear" w:color="auto" w:fill="FFFFFF"/>
          <w:lang w:val="ru-RU"/>
        </w:rPr>
        <w:t>уются</w:t>
      </w:r>
      <w:r w:rsidRPr="004E7E3E">
        <w:rPr>
          <w:rFonts w:ascii="Times New Roman" w:hAnsi="Times New Roman" w:cs="Times New Roman"/>
          <w:color w:val="000000"/>
          <w:sz w:val="24"/>
          <w:szCs w:val="24"/>
          <w:shd w:val="clear" w:color="auto" w:fill="FFFFFF"/>
          <w:lang w:val="ru-RU"/>
        </w:rPr>
        <w:t xml:space="preserve"> только за пределами КНР и</w:t>
      </w:r>
      <w:r>
        <w:rPr>
          <w:rFonts w:ascii="Times New Roman" w:hAnsi="Times New Roman" w:cs="Times New Roman"/>
          <w:color w:val="000000"/>
          <w:sz w:val="24"/>
          <w:szCs w:val="24"/>
          <w:shd w:val="clear" w:color="auto" w:fill="FFFFFF"/>
          <w:lang w:val="ru-RU"/>
        </w:rPr>
        <w:t xml:space="preserve"> могут</w:t>
      </w:r>
      <w:r w:rsidRPr="004E7E3E">
        <w:rPr>
          <w:rFonts w:ascii="Times New Roman" w:hAnsi="Times New Roman" w:cs="Times New Roman"/>
          <w:color w:val="000000"/>
          <w:sz w:val="24"/>
          <w:szCs w:val="24"/>
          <w:shd w:val="clear" w:color="auto" w:fill="FFFFFF"/>
          <w:lang w:val="ru-RU"/>
        </w:rPr>
        <w:t xml:space="preserve"> покупаться только нерезидентами. Также Гонконг стал местом рождения дим-сам бондов (от китайского блюда «димсам» –</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аналога пельменей, но приготовленных на пару), то есть еврооблигаций в китайских юанях, выпущенных опять же некитайскими эмитентами за пределами Китая. Есть другие неформальные названи</w:t>
      </w:r>
      <w:r>
        <w:rPr>
          <w:rFonts w:ascii="Times New Roman" w:hAnsi="Times New Roman" w:cs="Times New Roman"/>
          <w:color w:val="000000"/>
          <w:sz w:val="24"/>
          <w:szCs w:val="24"/>
          <w:shd w:val="clear" w:color="auto" w:fill="FFFFFF"/>
          <w:lang w:val="ru-RU"/>
        </w:rPr>
        <w:t>я</w:t>
      </w:r>
      <w:r w:rsidRPr="004E7E3E">
        <w:rPr>
          <w:rFonts w:ascii="Times New Roman" w:hAnsi="Times New Roman" w:cs="Times New Roman"/>
          <w:color w:val="000000"/>
          <w:sz w:val="24"/>
          <w:szCs w:val="24"/>
          <w:shd w:val="clear" w:color="auto" w:fill="FFFFFF"/>
          <w:lang w:val="ru-RU"/>
        </w:rPr>
        <w:t xml:space="preserve"> для облигаций в юанях: панда бонд</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xml:space="preserve"> (в честь чёрно-белого медведя, обитающего только в Китае) и формозабонды («</w:t>
      </w:r>
      <w:r w:rsidRPr="004E7E3E">
        <w:rPr>
          <w:rFonts w:ascii="Times New Roman" w:hAnsi="Times New Roman" w:cs="Times New Roman"/>
          <w:color w:val="000000"/>
          <w:sz w:val="24"/>
          <w:szCs w:val="24"/>
          <w:shd w:val="clear" w:color="auto" w:fill="FFFFFF"/>
        </w:rPr>
        <w:t>Formoza</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rPr>
        <w:t>bond</w:t>
      </w:r>
      <w:r w:rsidRPr="004E7E3E">
        <w:rPr>
          <w:rFonts w:ascii="Times New Roman" w:hAnsi="Times New Roman" w:cs="Times New Roman"/>
          <w:color w:val="000000"/>
          <w:sz w:val="24"/>
          <w:szCs w:val="24"/>
          <w:shd w:val="clear" w:color="auto" w:fill="FFFFFF"/>
          <w:lang w:val="ru-RU"/>
        </w:rPr>
        <w:t>» – от португальского названия Тайваня)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_Ref459293607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98</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xml:space="preserve">. 76]. Часто китайские юани на счетах иностранных банков обозначают </w:t>
      </w:r>
      <w:r>
        <w:rPr>
          <w:rFonts w:ascii="Times New Roman" w:hAnsi="Times New Roman" w:cs="Times New Roman"/>
          <w:color w:val="000000"/>
          <w:sz w:val="24"/>
          <w:szCs w:val="24"/>
          <w:shd w:val="clear" w:color="auto" w:fill="FFFFFF"/>
          <w:lang w:val="ru-RU"/>
        </w:rPr>
        <w:t>как</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CNH</w:t>
      </w:r>
      <w:r w:rsidRPr="004E7E3E">
        <w:rPr>
          <w:rFonts w:ascii="Times New Roman" w:hAnsi="Times New Roman" w:cs="Times New Roman"/>
          <w:color w:val="000000"/>
          <w:sz w:val="24"/>
          <w:szCs w:val="24"/>
          <w:shd w:val="clear" w:color="auto" w:fill="FFFFFF"/>
          <w:lang w:val="ru-RU"/>
        </w:rPr>
        <w:t xml:space="preserve"> (от </w:t>
      </w:r>
      <w:r w:rsidRPr="004E7E3E">
        <w:rPr>
          <w:rFonts w:ascii="Times New Roman" w:hAnsi="Times New Roman" w:cs="Times New Roman"/>
          <w:color w:val="000000"/>
          <w:sz w:val="24"/>
          <w:szCs w:val="24"/>
          <w:shd w:val="clear" w:color="auto" w:fill="FFFFFF"/>
        </w:rPr>
        <w:t>CNY</w:t>
      </w:r>
      <w:r w:rsidRPr="004E7E3E">
        <w:rPr>
          <w:rFonts w:ascii="Times New Roman" w:hAnsi="Times New Roman" w:cs="Times New Roman"/>
          <w:color w:val="000000"/>
          <w:sz w:val="24"/>
          <w:szCs w:val="24"/>
          <w:shd w:val="clear" w:color="auto" w:fill="FFFFFF"/>
          <w:lang w:val="ru-RU"/>
        </w:rPr>
        <w:t xml:space="preserve"> – обозначение юаня («</w:t>
      </w:r>
      <w:r w:rsidRPr="004E7E3E">
        <w:rPr>
          <w:rFonts w:ascii="Times New Roman" w:hAnsi="Times New Roman" w:cs="Times New Roman"/>
          <w:color w:val="000000"/>
          <w:sz w:val="24"/>
          <w:szCs w:val="24"/>
          <w:shd w:val="clear" w:color="auto" w:fill="FFFFFF"/>
        </w:rPr>
        <w:t>Chinese</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yuan</w:t>
      </w:r>
      <w:r w:rsidRPr="004E7E3E">
        <w:rPr>
          <w:rFonts w:ascii="Times New Roman" w:hAnsi="Times New Roman" w:cs="Times New Roman"/>
          <w:color w:val="000000"/>
          <w:sz w:val="24"/>
          <w:szCs w:val="24"/>
          <w:shd w:val="clear" w:color="auto" w:fill="FFFFFF"/>
          <w:lang w:val="ru-RU"/>
        </w:rPr>
        <w:t>») и «</w:t>
      </w:r>
      <w:r w:rsidRPr="004E7E3E">
        <w:rPr>
          <w:rFonts w:ascii="Times New Roman" w:hAnsi="Times New Roman" w:cs="Times New Roman"/>
          <w:color w:val="000000"/>
          <w:sz w:val="24"/>
          <w:szCs w:val="24"/>
          <w:shd w:val="clear" w:color="auto" w:fill="FFFFFF"/>
        </w:rPr>
        <w:t>Hong</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Kong</w:t>
      </w:r>
      <w:r w:rsidRPr="004E7E3E">
        <w:rPr>
          <w:rFonts w:ascii="Times New Roman" w:hAnsi="Times New Roman" w:cs="Times New Roman"/>
          <w:color w:val="000000"/>
          <w:sz w:val="24"/>
          <w:szCs w:val="24"/>
          <w:shd w:val="clear" w:color="auto" w:fill="FFFFFF"/>
          <w:lang w:val="ru-RU"/>
        </w:rPr>
        <w:t xml:space="preserve">»), хотя, если придерживаться изначального принципа обозначения, то должны быть и </w:t>
      </w:r>
      <w:r w:rsidRPr="004E7E3E">
        <w:rPr>
          <w:rFonts w:ascii="Times New Roman" w:hAnsi="Times New Roman" w:cs="Times New Roman"/>
          <w:color w:val="000000"/>
          <w:sz w:val="24"/>
          <w:szCs w:val="24"/>
          <w:shd w:val="clear" w:color="auto" w:fill="FFFFFF"/>
        </w:rPr>
        <w:t>CHT</w:t>
      </w:r>
      <w:r w:rsidRPr="004E7E3E">
        <w:rPr>
          <w:rFonts w:ascii="Times New Roman" w:hAnsi="Times New Roman" w:cs="Times New Roman"/>
          <w:color w:val="000000"/>
          <w:sz w:val="24"/>
          <w:szCs w:val="24"/>
          <w:shd w:val="clear" w:color="auto" w:fill="FFFFFF"/>
          <w:lang w:val="ru-RU"/>
        </w:rPr>
        <w:t xml:space="preserve"> (Тайвань) и </w:t>
      </w:r>
      <w:r w:rsidRPr="004E7E3E">
        <w:rPr>
          <w:rFonts w:ascii="Times New Roman" w:hAnsi="Times New Roman" w:cs="Times New Roman"/>
          <w:color w:val="000000"/>
          <w:sz w:val="24"/>
          <w:szCs w:val="24"/>
          <w:shd w:val="clear" w:color="auto" w:fill="FFFFFF"/>
        </w:rPr>
        <w:t>CHS</w:t>
      </w:r>
      <w:r w:rsidRPr="004E7E3E">
        <w:rPr>
          <w:rFonts w:ascii="Times New Roman" w:hAnsi="Times New Roman" w:cs="Times New Roman"/>
          <w:color w:val="000000"/>
          <w:sz w:val="24"/>
          <w:szCs w:val="24"/>
          <w:shd w:val="clear" w:color="auto" w:fill="FFFFFF"/>
          <w:lang w:val="ru-RU"/>
        </w:rPr>
        <w:t xml:space="preserve"> (Сингапур). В 2014 году было сделано 150 выпусков облигаций в </w:t>
      </w:r>
      <w:r w:rsidRPr="004E7E3E">
        <w:rPr>
          <w:rFonts w:ascii="Times New Roman" w:hAnsi="Times New Roman" w:cs="Times New Roman"/>
          <w:color w:val="000000"/>
          <w:sz w:val="24"/>
          <w:szCs w:val="24"/>
          <w:shd w:val="clear" w:color="auto" w:fill="FFFFFF"/>
        </w:rPr>
        <w:t>CNH</w:t>
      </w:r>
      <w:r w:rsidRPr="004E7E3E">
        <w:rPr>
          <w:rFonts w:ascii="Times New Roman" w:hAnsi="Times New Roman" w:cs="Times New Roman"/>
          <w:color w:val="000000"/>
          <w:sz w:val="24"/>
          <w:szCs w:val="24"/>
          <w:shd w:val="clear" w:color="auto" w:fill="FFFFFF"/>
          <w:lang w:val="ru-RU"/>
        </w:rPr>
        <w:t xml:space="preserve"> общим объёмом $ 30 млрд.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_Ref459293607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98</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76] Большая часть этих операций (около 100 выпусков) была сделана китайскими компаниями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_Ref459293607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98</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76]. Но, как замечают эксперты, растёт также количество и объём размещений извне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_Ref459293607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98</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76]. Среди валют фондирования на рынке евробондов «Новые рынки» («</w:t>
      </w:r>
      <w:r w:rsidRPr="004E7E3E">
        <w:rPr>
          <w:rFonts w:ascii="Times New Roman" w:hAnsi="Times New Roman" w:cs="Times New Roman"/>
          <w:color w:val="000000"/>
          <w:sz w:val="24"/>
          <w:szCs w:val="24"/>
          <w:shd w:val="clear" w:color="auto" w:fill="FFFFFF"/>
        </w:rPr>
        <w:t>Emerging</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Market</w:t>
      </w:r>
      <w:r w:rsidRPr="004E7E3E">
        <w:rPr>
          <w:rFonts w:ascii="Times New Roman" w:hAnsi="Times New Roman" w:cs="Times New Roman"/>
          <w:color w:val="000000"/>
          <w:sz w:val="24"/>
          <w:szCs w:val="24"/>
          <w:shd w:val="clear" w:color="auto" w:fill="FFFFFF"/>
          <w:lang w:val="ru-RU"/>
        </w:rPr>
        <w:t>») юань стал третье</w:t>
      </w:r>
      <w:r>
        <w:rPr>
          <w:rFonts w:ascii="Times New Roman" w:hAnsi="Times New Roman" w:cs="Times New Roman"/>
          <w:color w:val="000000"/>
          <w:sz w:val="24"/>
          <w:szCs w:val="24"/>
          <w:shd w:val="clear" w:color="auto" w:fill="FFFFFF"/>
          <w:lang w:val="ru-RU"/>
        </w:rPr>
        <w:t>й</w:t>
      </w:r>
      <w:r w:rsidRPr="004E7E3E">
        <w:rPr>
          <w:rFonts w:ascii="Times New Roman" w:hAnsi="Times New Roman" w:cs="Times New Roman"/>
          <w:color w:val="000000"/>
          <w:sz w:val="24"/>
          <w:szCs w:val="24"/>
          <w:shd w:val="clear" w:color="auto" w:fill="FFFFFF"/>
          <w:lang w:val="ru-RU"/>
        </w:rPr>
        <w:t xml:space="preserve"> по значимости валютой (после доллара США и евро)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_Ref459293607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98</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76]</w:t>
      </w:r>
      <w:r>
        <w:rPr>
          <w:rFonts w:ascii="Times New Roman" w:hAnsi="Times New Roman" w:cs="Times New Roman"/>
          <w:color w:val="000000"/>
          <w:sz w:val="24"/>
          <w:szCs w:val="24"/>
          <w:shd w:val="clear" w:color="auto" w:fill="FFFFFF"/>
          <w:lang w:val="ru-RU"/>
        </w:rPr>
        <w:t>.</w:t>
      </w:r>
    </w:p>
    <w:p w14:paraId="78FE349C" w14:textId="1B4855BD"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color w:val="000000"/>
          <w:sz w:val="24"/>
          <w:szCs w:val="24"/>
          <w:shd w:val="clear" w:color="auto" w:fill="FFFFFF"/>
          <w:lang w:val="ru-RU"/>
        </w:rPr>
        <w:t>Зависимость между площадками Большого Китая и континентального Китая взаимная. Так</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sz w:val="24"/>
          <w:szCs w:val="24"/>
          <w:lang w:val="ru-RU"/>
        </w:rPr>
        <w:t xml:space="preserve">из 979 компаний, зарегистрированных на основной площадке Гонконга </w:t>
      </w:r>
      <w:r w:rsidRPr="004E7E3E">
        <w:rPr>
          <w:rFonts w:ascii="Times New Roman" w:hAnsi="Times New Roman" w:cs="Times New Roman"/>
          <w:sz w:val="24"/>
          <w:szCs w:val="24"/>
        </w:rPr>
        <w:t>HKEx</w:t>
      </w:r>
      <w:r w:rsidRPr="004E7E3E">
        <w:rPr>
          <w:rFonts w:ascii="Times New Roman" w:hAnsi="Times New Roman" w:cs="Times New Roman"/>
          <w:sz w:val="24"/>
          <w:szCs w:val="24"/>
          <w:lang w:val="ru-RU"/>
        </w:rPr>
        <w:t>, лишь 5 являются иностранными, а 156 компаний, обеспечивающих половину всей капитализации биржи, представляют материковый Китай. При этом более трети капитализации рынка акций приходится на иностранных эмитентов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_Ref446785527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8</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76]. Тем не менее, Сингапур также активно участвует в процессе превращения юаня в мировую резервную валюту: летом 2013 года Сингапурская биржа разрешила торговлю акциями с расчётами в юанях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_Ref459294828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275</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Первым эмитентом, бумаги которого получили возможность котироваться в двух валютах, стала </w:t>
      </w:r>
      <w:r w:rsidRPr="004E7E3E">
        <w:rPr>
          <w:rFonts w:ascii="Times New Roman" w:hAnsi="Times New Roman" w:cs="Times New Roman"/>
          <w:sz w:val="24"/>
          <w:szCs w:val="24"/>
        </w:rPr>
        <w:t>Yangzijiang</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Shipbuilding</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Holding</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Ltd</w:t>
      </w:r>
      <w:r w:rsidRPr="004E7E3E">
        <w:rPr>
          <w:rFonts w:ascii="Times New Roman" w:hAnsi="Times New Roman" w:cs="Times New Roman"/>
          <w:sz w:val="24"/>
          <w:szCs w:val="24"/>
          <w:lang w:val="ru-RU"/>
        </w:rPr>
        <w:t>., занимающая четвёртое место в области судостроения в Китае. Компания вышла на Сингапурскую биржу в 2007 году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_Ref459294828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275</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w:t>
      </w:r>
    </w:p>
    <w:p w14:paraId="4B353E94" w14:textId="4F40662D"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sz w:val="24"/>
          <w:szCs w:val="24"/>
          <w:lang w:val="ru-RU"/>
        </w:rPr>
        <w:lastRenderedPageBreak/>
        <w:t xml:space="preserve">Возникает некоторая озабоченность </w:t>
      </w:r>
      <w:r>
        <w:rPr>
          <w:rFonts w:ascii="Times New Roman" w:hAnsi="Times New Roman" w:cs="Times New Roman"/>
          <w:sz w:val="24"/>
          <w:szCs w:val="24"/>
          <w:lang w:val="ru-RU"/>
        </w:rPr>
        <w:t>в отношении</w:t>
      </w:r>
      <w:r w:rsidRPr="004E7E3E">
        <w:rPr>
          <w:rFonts w:ascii="Times New Roman" w:hAnsi="Times New Roman" w:cs="Times New Roman"/>
          <w:sz w:val="24"/>
          <w:szCs w:val="24"/>
          <w:lang w:val="ru-RU"/>
        </w:rPr>
        <w:t xml:space="preserve"> судьб</w:t>
      </w:r>
      <w:r>
        <w:rPr>
          <w:rFonts w:ascii="Times New Roman" w:hAnsi="Times New Roman" w:cs="Times New Roman"/>
          <w:sz w:val="24"/>
          <w:szCs w:val="24"/>
          <w:lang w:val="ru-RU"/>
        </w:rPr>
        <w:t>ы</w:t>
      </w:r>
      <w:r w:rsidRPr="004E7E3E">
        <w:rPr>
          <w:rFonts w:ascii="Times New Roman" w:hAnsi="Times New Roman" w:cs="Times New Roman"/>
          <w:sz w:val="24"/>
          <w:szCs w:val="24"/>
          <w:lang w:val="ru-RU"/>
        </w:rPr>
        <w:t xml:space="preserve"> Гонконга после 2047 года, когда должен </w:t>
      </w:r>
      <w:r>
        <w:rPr>
          <w:rFonts w:ascii="Times New Roman" w:hAnsi="Times New Roman" w:cs="Times New Roman"/>
          <w:sz w:val="24"/>
          <w:szCs w:val="24"/>
          <w:lang w:val="ru-RU"/>
        </w:rPr>
        <w:t>за</w:t>
      </w:r>
      <w:r w:rsidRPr="004E7E3E">
        <w:rPr>
          <w:rFonts w:ascii="Times New Roman" w:hAnsi="Times New Roman" w:cs="Times New Roman"/>
          <w:sz w:val="24"/>
          <w:szCs w:val="24"/>
          <w:lang w:val="ru-RU"/>
        </w:rPr>
        <w:t>кончиться переходный период сосуществования Гонконга и КНР. В первую очередь встаёт вопрос о гонконгском долларе, который является одной из свободно конвертируемых валют, курс которой привязан к доллару. Национальная валюта Гонконга не может быть заменена юанем по внутреннему законодательству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_Ref499131173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91</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28]</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Оптимальным решением стала бы привязка гонконгского доллара к юан</w:t>
      </w:r>
      <w:r>
        <w:rPr>
          <w:rFonts w:ascii="Times New Roman" w:hAnsi="Times New Roman" w:cs="Times New Roman"/>
          <w:sz w:val="24"/>
          <w:szCs w:val="24"/>
          <w:lang w:val="ru-RU"/>
        </w:rPr>
        <w:t>ю</w:t>
      </w:r>
      <w:r w:rsidRPr="004E7E3E">
        <w:rPr>
          <w:rFonts w:ascii="Times New Roman" w:hAnsi="Times New Roman" w:cs="Times New Roman"/>
          <w:sz w:val="24"/>
          <w:szCs w:val="24"/>
          <w:lang w:val="ru-RU"/>
        </w:rPr>
        <w:t xml:space="preserve"> в случае, если он к тому времени станет свободно конвертируемым, а, может быть, даже одной из главных инвестиционных валют. </w:t>
      </w:r>
    </w:p>
    <w:p w14:paraId="54AEA1FC" w14:textId="796A97F6" w:rsidR="00DC5025"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Коммунистический Китай больше не использует революционную практику «большого скачка» и «культурной революции». Дэн Сяопин, сменивший Мао Цзэдуна, перевёл страну к эволюционному развитию. Он сам и его семья были жертвами репрессий Мао, но преемственность требовала выработки новой формулы для оценки предыдущего лидера: 70% </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sz w:val="24"/>
          <w:szCs w:val="24"/>
          <w:lang w:val="ru-RU"/>
        </w:rPr>
        <w:t xml:space="preserve"> заслуги, 30% </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sz w:val="24"/>
          <w:szCs w:val="24"/>
          <w:lang w:val="ru-RU"/>
        </w:rPr>
        <w:t xml:space="preserve"> ошибки. Так Мао сохранил своё место на китайских банкнотах. </w:t>
      </w:r>
    </w:p>
    <w:p w14:paraId="7D92AFF3"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Многие эксперты считают, что Китай – это супердержава </w:t>
      </w:r>
      <w:r w:rsidRPr="004E7E3E">
        <w:rPr>
          <w:rFonts w:ascii="Times New Roman" w:hAnsi="Times New Roman" w:cs="Times New Roman"/>
          <w:sz w:val="24"/>
          <w:szCs w:val="24"/>
        </w:rPr>
        <w:t>XXI</w:t>
      </w:r>
      <w:r w:rsidRPr="004E7E3E">
        <w:rPr>
          <w:rFonts w:ascii="Times New Roman" w:hAnsi="Times New Roman" w:cs="Times New Roman"/>
          <w:sz w:val="24"/>
          <w:szCs w:val="24"/>
          <w:lang w:val="ru-RU"/>
        </w:rPr>
        <w:t xml:space="preserve"> века, но если углубить анализ, изучить страну изнутри, то можно обнаружить целый список потенциальных рисков, </w:t>
      </w:r>
      <w:r>
        <w:rPr>
          <w:rFonts w:ascii="Times New Roman" w:hAnsi="Times New Roman" w:cs="Times New Roman"/>
          <w:sz w:val="24"/>
          <w:szCs w:val="24"/>
          <w:lang w:val="ru-RU"/>
        </w:rPr>
        <w:t>угрожающих</w:t>
      </w:r>
      <w:r w:rsidRPr="004E7E3E">
        <w:rPr>
          <w:rFonts w:ascii="Times New Roman" w:hAnsi="Times New Roman" w:cs="Times New Roman"/>
          <w:sz w:val="24"/>
          <w:szCs w:val="24"/>
          <w:lang w:val="ru-RU"/>
        </w:rPr>
        <w:t xml:space="preserve"> развити</w:t>
      </w:r>
      <w:r>
        <w:rPr>
          <w:rFonts w:ascii="Times New Roman" w:hAnsi="Times New Roman" w:cs="Times New Roman"/>
          <w:sz w:val="24"/>
          <w:szCs w:val="24"/>
          <w:lang w:val="ru-RU"/>
        </w:rPr>
        <w:t>ю</w:t>
      </w:r>
      <w:r w:rsidRPr="004E7E3E">
        <w:rPr>
          <w:rFonts w:ascii="Times New Roman" w:hAnsi="Times New Roman" w:cs="Times New Roman"/>
          <w:sz w:val="24"/>
          <w:szCs w:val="24"/>
          <w:lang w:val="ru-RU"/>
        </w:rPr>
        <w:t xml:space="preserve"> «спящего дракона». </w:t>
      </w:r>
    </w:p>
    <w:p w14:paraId="7F750651"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 xml:space="preserve">Национальное единство. </w:t>
      </w:r>
      <w:r w:rsidRPr="004E7E3E">
        <w:rPr>
          <w:rFonts w:ascii="Times New Roman" w:hAnsi="Times New Roman" w:cs="Times New Roman"/>
          <w:color w:val="000000"/>
          <w:sz w:val="24"/>
          <w:szCs w:val="24"/>
          <w:shd w:val="clear" w:color="auto" w:fill="FFFFFF"/>
          <w:lang w:val="ru-RU"/>
        </w:rPr>
        <w:t xml:space="preserve">Слухи о «китайской угрозе» в последнее время только набирают популярность. Они, прежде всего, связаны с миллиардным населением Китая. Однако стоит напомнить, что жители КНР, несмотря на многотысячелетнюю историю их страны, остаются одними из самых бедных в мире. Кроме того, хотя, по официальной статистике, более 90% населения Китая составляют этнические китайцы – хань, многие из них не поймут друг друга при встрече, так как в каждой провинции есть собственный «диалект», отличающийся от официального «путунхуа» больше, чем русский от украинского или белорусского. Без проблем китайцы могут понять друг друга только на письме, с помощью «китайской грамоты»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иероглифов. Сами китайцы учат сво</w:t>
      </w:r>
      <w:r>
        <w:rPr>
          <w:rFonts w:ascii="Times New Roman" w:hAnsi="Times New Roman" w:cs="Times New Roman"/>
          <w:color w:val="000000"/>
          <w:sz w:val="24"/>
          <w:szCs w:val="24"/>
          <w:shd w:val="clear" w:color="auto" w:fill="FFFFFF"/>
          <w:lang w:val="ru-RU"/>
        </w:rPr>
        <w:t>й «алфавит»</w:t>
      </w:r>
      <w:r w:rsidRPr="004E7E3E">
        <w:rPr>
          <w:rFonts w:ascii="Times New Roman" w:hAnsi="Times New Roman" w:cs="Times New Roman"/>
          <w:color w:val="000000"/>
          <w:sz w:val="24"/>
          <w:szCs w:val="24"/>
          <w:shd w:val="clear" w:color="auto" w:fill="FFFFFF"/>
          <w:lang w:val="ru-RU"/>
        </w:rPr>
        <w:t xml:space="preserve"> не первые полгода в 1-м классе, как в начальной школе в России, а всю свою начальную школу, которая длится не 3, не 4, а все 6 лет</w:t>
      </w:r>
      <w:r>
        <w:rPr>
          <w:rFonts w:ascii="Times New Roman" w:hAnsi="Times New Roman" w:cs="Times New Roman"/>
          <w:color w:val="000000"/>
          <w:sz w:val="24"/>
          <w:szCs w:val="24"/>
          <w:shd w:val="clear" w:color="auto" w:fill="FFFFFF"/>
          <w:lang w:val="ru-RU"/>
        </w:rPr>
        <w:t>. Для чтения газет требуется знать не менее 2 тысяч иероглифов</w:t>
      </w:r>
    </w:p>
    <w:p w14:paraId="47805A2B" w14:textId="09EFEF70"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Гонконгцев без переводчика могут понять только жители провинции </w:t>
      </w:r>
      <w:r w:rsidR="002F50A0" w:rsidRPr="004E7E3E">
        <w:rPr>
          <w:rFonts w:ascii="Times New Roman" w:hAnsi="Times New Roman" w:cs="Times New Roman"/>
          <w:color w:val="000000"/>
          <w:sz w:val="24"/>
          <w:szCs w:val="24"/>
          <w:shd w:val="clear" w:color="auto" w:fill="FFFFFF"/>
          <w:lang w:val="ru-RU"/>
        </w:rPr>
        <w:t>Гуандун</w:t>
      </w:r>
      <w:r w:rsidRPr="004E7E3E">
        <w:rPr>
          <w:rFonts w:ascii="Times New Roman" w:hAnsi="Times New Roman" w:cs="Times New Roman"/>
          <w:color w:val="000000"/>
          <w:sz w:val="24"/>
          <w:szCs w:val="24"/>
          <w:shd w:val="clear" w:color="auto" w:fill="FFFFFF"/>
          <w:lang w:val="ru-RU"/>
        </w:rPr>
        <w:t xml:space="preserve">, граничащей с бывшей британской колонией, тайванцев – только жители провинции Фуцзянь, находящейся через пролив от бывшей португальской колонии, а если вы хотите увидеть китаянок в чадрах и хиджабах, то вам стоит посетить Сингапур, не говоря уже про восточную часть Туркестана, который в Китае стал </w:t>
      </w:r>
      <w:r w:rsidR="002F50A0" w:rsidRPr="004E7E3E">
        <w:rPr>
          <w:rFonts w:ascii="Times New Roman" w:hAnsi="Times New Roman" w:cs="Times New Roman"/>
          <w:color w:val="000000"/>
          <w:sz w:val="24"/>
          <w:szCs w:val="24"/>
          <w:shd w:val="clear" w:color="auto" w:fill="FFFFFF"/>
          <w:lang w:val="ru-RU"/>
        </w:rPr>
        <w:t>Синьцзян</w:t>
      </w:r>
      <w:r w:rsidRPr="004E7E3E">
        <w:rPr>
          <w:rFonts w:ascii="Times New Roman" w:hAnsi="Times New Roman" w:cs="Times New Roman"/>
          <w:color w:val="000000"/>
          <w:sz w:val="24"/>
          <w:szCs w:val="24"/>
          <w:shd w:val="clear" w:color="auto" w:fill="FFFFFF"/>
          <w:lang w:val="ru-RU"/>
        </w:rPr>
        <w:t>-Уйгурским автономным районом, и Тибет. Китайцы Гонконга, Тайваня и Сингапура могу</w:t>
      </w:r>
      <w:r>
        <w:rPr>
          <w:rFonts w:ascii="Times New Roman" w:hAnsi="Times New Roman" w:cs="Times New Roman"/>
          <w:color w:val="000000"/>
          <w:sz w:val="24"/>
          <w:szCs w:val="24"/>
          <w:shd w:val="clear" w:color="auto" w:fill="FFFFFF"/>
          <w:lang w:val="ru-RU"/>
        </w:rPr>
        <w:t>т</w:t>
      </w:r>
      <w:r w:rsidRPr="004E7E3E">
        <w:rPr>
          <w:rFonts w:ascii="Times New Roman" w:hAnsi="Times New Roman" w:cs="Times New Roman"/>
          <w:color w:val="000000"/>
          <w:sz w:val="24"/>
          <w:szCs w:val="24"/>
          <w:shd w:val="clear" w:color="auto" w:fill="FFFFFF"/>
          <w:lang w:val="ru-RU"/>
        </w:rPr>
        <w:t xml:space="preserve"> читать в оригинале своих классиков, живших </w:t>
      </w:r>
      <w:r>
        <w:rPr>
          <w:rFonts w:ascii="Times New Roman" w:hAnsi="Times New Roman" w:cs="Times New Roman"/>
          <w:color w:val="000000"/>
          <w:sz w:val="24"/>
          <w:szCs w:val="24"/>
          <w:shd w:val="clear" w:color="auto" w:fill="FFFFFF"/>
          <w:lang w:val="ru-RU"/>
        </w:rPr>
        <w:t xml:space="preserve">за </w:t>
      </w:r>
      <w:r w:rsidRPr="004E7E3E">
        <w:rPr>
          <w:rFonts w:ascii="Times New Roman" w:hAnsi="Times New Roman" w:cs="Times New Roman"/>
          <w:color w:val="000000"/>
          <w:sz w:val="24"/>
          <w:szCs w:val="24"/>
          <w:shd w:val="clear" w:color="auto" w:fill="FFFFFF"/>
          <w:lang w:val="ru-RU"/>
        </w:rPr>
        <w:t xml:space="preserve">тысячу лет до них, однако современную китайскую газету им будет не прочесть из-за грамматической реформы, «упростившей» написание почти всех оригинальных древних китайских иероглифов. </w:t>
      </w:r>
      <w:r w:rsidRPr="004E7E3E">
        <w:rPr>
          <w:rFonts w:ascii="Times New Roman" w:hAnsi="Times New Roman" w:cs="Times New Roman"/>
          <w:color w:val="000000"/>
          <w:sz w:val="24"/>
          <w:szCs w:val="24"/>
          <w:shd w:val="clear" w:color="auto" w:fill="FFFFFF"/>
          <w:lang w:val="ru-RU"/>
        </w:rPr>
        <w:lastRenderedPageBreak/>
        <w:t>И если власти Гонконга ещё подумывают о присоединении к реформе, то ханьцы из многочисленных «чайна-таунов», вывезших китайскую культуру в мир, об этом даже не</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помышляют.</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 xml:space="preserve"> Спросите, что китайцы из КНР думают про </w:t>
      </w:r>
      <w:r w:rsidR="002F50A0" w:rsidRPr="004E7E3E">
        <w:rPr>
          <w:rFonts w:ascii="Times New Roman" w:hAnsi="Times New Roman" w:cs="Times New Roman"/>
          <w:color w:val="000000"/>
          <w:sz w:val="24"/>
          <w:szCs w:val="24"/>
          <w:shd w:val="clear" w:color="auto" w:fill="FFFFFF"/>
          <w:lang w:val="ru-RU"/>
        </w:rPr>
        <w:t>тайван</w:t>
      </w:r>
      <w:r w:rsidR="002F50A0">
        <w:rPr>
          <w:rFonts w:ascii="Times New Roman" w:hAnsi="Times New Roman" w:cs="Times New Roman"/>
          <w:color w:val="000000"/>
          <w:sz w:val="24"/>
          <w:szCs w:val="24"/>
          <w:shd w:val="clear" w:color="auto" w:fill="FFFFFF"/>
          <w:lang w:val="ru-RU"/>
        </w:rPr>
        <w:t>ц</w:t>
      </w:r>
      <w:r w:rsidR="002F50A0" w:rsidRPr="004E7E3E">
        <w:rPr>
          <w:rFonts w:ascii="Times New Roman" w:hAnsi="Times New Roman" w:cs="Times New Roman"/>
          <w:color w:val="000000"/>
          <w:sz w:val="24"/>
          <w:szCs w:val="24"/>
          <w:shd w:val="clear" w:color="auto" w:fill="FFFFFF"/>
          <w:lang w:val="ru-RU"/>
        </w:rPr>
        <w:t>ев</w:t>
      </w:r>
      <w:r w:rsidRPr="004E7E3E">
        <w:rPr>
          <w:rFonts w:ascii="Times New Roman" w:hAnsi="Times New Roman" w:cs="Times New Roman"/>
          <w:color w:val="000000"/>
          <w:sz w:val="24"/>
          <w:szCs w:val="24"/>
          <w:shd w:val="clear" w:color="auto" w:fill="FFFFFF"/>
          <w:lang w:val="ru-RU"/>
        </w:rPr>
        <w:t xml:space="preserve">, и окажется, что жители острова Формоза </w:t>
      </w:r>
      <w:r>
        <w:rPr>
          <w:rFonts w:ascii="Times New Roman" w:hAnsi="Times New Roman" w:cs="Times New Roman"/>
          <w:color w:val="000000"/>
          <w:sz w:val="24"/>
          <w:szCs w:val="24"/>
          <w:shd w:val="clear" w:color="auto" w:fill="FFFFFF"/>
          <w:lang w:val="ru-RU"/>
        </w:rPr>
        <w:t xml:space="preserve">в их глазах </w:t>
      </w:r>
      <w:r w:rsidRPr="004E7E3E">
        <w:rPr>
          <w:rFonts w:ascii="Times New Roman" w:hAnsi="Times New Roman" w:cs="Times New Roman"/>
          <w:color w:val="000000"/>
          <w:sz w:val="24"/>
          <w:szCs w:val="24"/>
          <w:shd w:val="clear" w:color="auto" w:fill="FFFFFF"/>
          <w:lang w:val="ru-RU"/>
        </w:rPr>
        <w:t xml:space="preserve">только чуть лучше японцев, оккупировавших половину Китая во время Второй мировой войны. После этого понимаешь сколь «монолитен» великий китайский народ под управлением КПК. </w:t>
      </w:r>
    </w:p>
    <w:p w14:paraId="2210107E"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 xml:space="preserve">Отсутствие социальной политики. </w:t>
      </w:r>
      <w:r w:rsidRPr="004E7E3E">
        <w:rPr>
          <w:rFonts w:ascii="Times New Roman" w:hAnsi="Times New Roman" w:cs="Times New Roman"/>
          <w:color w:val="000000"/>
          <w:sz w:val="24"/>
          <w:szCs w:val="24"/>
          <w:shd w:val="clear" w:color="auto" w:fill="FFFFFF"/>
          <w:lang w:val="ru-RU"/>
        </w:rPr>
        <w:t>После краха Советского Союза Китай остаётся чуть ли не единственной страной с коммунистическим режимом. Однако, сохраняя коммунистическую идеологию и риторику, китайское правительство почти не заботится о</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развитии социального государства</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 xml:space="preserve">В Китае нет пенсий, как это принято в развитых странах. Наверное, единственной социально защищённой прослойкой в этом плане являются государственные служащие. Вероятно, с этим связано уважительное отношение к мундиру, которое чувствуется, когда находишься в Китае. </w:t>
      </w:r>
    </w:p>
    <w:p w14:paraId="5D5588B0"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 xml:space="preserve">Неравномерность развития страны. </w:t>
      </w:r>
      <w:r w:rsidRPr="004E7E3E">
        <w:rPr>
          <w:rFonts w:ascii="Times New Roman" w:hAnsi="Times New Roman" w:cs="Times New Roman"/>
          <w:color w:val="000000"/>
          <w:sz w:val="24"/>
          <w:szCs w:val="24"/>
          <w:shd w:val="clear" w:color="auto" w:fill="FFFFFF"/>
          <w:lang w:val="ru-RU"/>
        </w:rPr>
        <w:t>Дэн Сяопин допускал, что некоторые жители Китая будут богатеть быстрее других. Теперь это вылилось в огромную диспропорцию экономического развития страны. По уровню жизни населения между особыми экономическими зонами, расположенными на побережье, и внутренними провинциями Китая, часто заселёнными национальными меньшинствами, пролегла целая пропасть. Исторические области Тибета и Восточного Туркестана являются самыми бедными территориями Китая. Таким образом, конфликт на национальной поч</w:t>
      </w:r>
      <w:r>
        <w:rPr>
          <w:rFonts w:ascii="Times New Roman" w:hAnsi="Times New Roman" w:cs="Times New Roman"/>
          <w:color w:val="000000"/>
          <w:sz w:val="24"/>
          <w:szCs w:val="24"/>
          <w:shd w:val="clear" w:color="auto" w:fill="FFFFFF"/>
          <w:lang w:val="ru-RU"/>
        </w:rPr>
        <w:t>в</w:t>
      </w:r>
      <w:r w:rsidRPr="004E7E3E">
        <w:rPr>
          <w:rFonts w:ascii="Times New Roman" w:hAnsi="Times New Roman" w:cs="Times New Roman"/>
          <w:color w:val="000000"/>
          <w:sz w:val="24"/>
          <w:szCs w:val="24"/>
          <w:shd w:val="clear" w:color="auto" w:fill="FFFFFF"/>
          <w:lang w:val="ru-RU"/>
        </w:rPr>
        <w:t xml:space="preserve">е дополняется конфликтом между бедными и богатыми. </w:t>
      </w:r>
    </w:p>
    <w:p w14:paraId="3569BCC0" w14:textId="3AC2788A"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Как известно, именно с появлением роликов на </w:t>
      </w:r>
      <w:r w:rsidRPr="004E7E3E">
        <w:rPr>
          <w:rFonts w:ascii="Times New Roman" w:hAnsi="Times New Roman" w:cs="Times New Roman"/>
          <w:color w:val="000000"/>
          <w:sz w:val="24"/>
          <w:szCs w:val="24"/>
          <w:shd w:val="clear" w:color="auto" w:fill="FFFFFF"/>
        </w:rPr>
        <w:t>YouTube</w:t>
      </w:r>
      <w:r w:rsidRPr="004E7E3E">
        <w:rPr>
          <w:rFonts w:ascii="Times New Roman" w:hAnsi="Times New Roman" w:cs="Times New Roman"/>
          <w:color w:val="000000"/>
          <w:sz w:val="24"/>
          <w:szCs w:val="24"/>
          <w:shd w:val="clear" w:color="auto" w:fill="FFFFFF"/>
          <w:lang w:val="ru-RU"/>
        </w:rPr>
        <w:t>, где китайские солдаты избивают жителей Тибета, обычно связывают блокирование этого сайта</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_Ref459294955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257</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w:t>
      </w:r>
      <w:r>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rPr>
        <w:t xml:space="preserve"> В Синьцзян-Уйгурском автономном районе Национально-освободительная армия Китая периодически вступает в столкновения с Исламским движение</w:t>
      </w:r>
      <w:r>
        <w:rPr>
          <w:rFonts w:ascii="Times New Roman" w:hAnsi="Times New Roman" w:cs="Times New Roman"/>
          <w:color w:val="000000"/>
          <w:sz w:val="24"/>
          <w:szCs w:val="24"/>
          <w:shd w:val="clear" w:color="auto" w:fill="FFFFFF"/>
          <w:lang w:val="ru-RU"/>
        </w:rPr>
        <w:t>м</w:t>
      </w:r>
      <w:r w:rsidRPr="004E7E3E">
        <w:rPr>
          <w:rFonts w:ascii="Times New Roman" w:hAnsi="Times New Roman" w:cs="Times New Roman"/>
          <w:color w:val="000000"/>
          <w:sz w:val="24"/>
          <w:szCs w:val="24"/>
          <w:shd w:val="clear" w:color="auto" w:fill="FFFFFF"/>
          <w:lang w:val="ru-RU"/>
        </w:rPr>
        <w:t xml:space="preserve"> Восточного Туркестана, отстаивающим независимость десятимиллионного уйгурского народа военными методами. С подачи китайского правительства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оно теперь признаётся мировым сообществом в качестве террористической организаци</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как и Аль-Каида. </w:t>
      </w:r>
    </w:p>
    <w:p w14:paraId="347AF269" w14:textId="2B458111"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Всё чаще транснациональные корпорации переносят производства вглубь страны. Например, тайваньская корпорация </w:t>
      </w:r>
      <w:r w:rsidRPr="004E7E3E">
        <w:rPr>
          <w:rFonts w:ascii="Times New Roman" w:hAnsi="Times New Roman" w:cs="Times New Roman"/>
          <w:color w:val="000000"/>
          <w:sz w:val="24"/>
          <w:szCs w:val="24"/>
          <w:shd w:val="clear" w:color="auto" w:fill="FFFFFF"/>
        </w:rPr>
        <w:t>Foxconn</w:t>
      </w:r>
      <w:r w:rsidRPr="004E7E3E">
        <w:rPr>
          <w:rFonts w:ascii="Times New Roman" w:hAnsi="Times New Roman" w:cs="Times New Roman"/>
          <w:color w:val="000000"/>
          <w:sz w:val="24"/>
          <w:szCs w:val="24"/>
          <w:shd w:val="clear" w:color="auto" w:fill="FFFFFF"/>
          <w:lang w:val="ru-RU"/>
        </w:rPr>
        <w:t>, ставшая печально известной из-за массовых самоубийств на её фабрике в Шэньчжэне, которые журналисты обычно связывают с нечеловеческими условиями труда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_Ref500795605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186</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теперь открывает фабрики только во внутренних провинциях: Сычуань, Хэнань и т. д. Но без активного участия государства, инвестиций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инфраструктуру и энергетику вряд ли процесс выравнивания уровня жизни будет быстрым.</w:t>
      </w:r>
    </w:p>
    <w:p w14:paraId="6BB265C2"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lastRenderedPageBreak/>
        <w:t xml:space="preserve">Бюрократизм и коррупция. </w:t>
      </w:r>
      <w:r w:rsidRPr="004E7E3E">
        <w:rPr>
          <w:rFonts w:ascii="Times New Roman" w:hAnsi="Times New Roman" w:cs="Times New Roman"/>
          <w:color w:val="000000"/>
          <w:sz w:val="24"/>
          <w:szCs w:val="24"/>
          <w:shd w:val="clear" w:color="auto" w:fill="FFFFFF"/>
          <w:lang w:val="ru-RU"/>
        </w:rPr>
        <w:t xml:space="preserve">Китайская государственность имеет самую длинную непрерывающуюся историю в мире. Но иногда степень зарегулированности некоторых сфер бизнеса в Китае превосходит даже российские реалии. </w:t>
      </w:r>
    </w:p>
    <w:p w14:paraId="35F6A57C"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Как правило, контакты китайцев с внешним миром ограничиваются. </w:t>
      </w:r>
      <w:r>
        <w:rPr>
          <w:rFonts w:ascii="Times New Roman" w:hAnsi="Times New Roman" w:cs="Times New Roman"/>
          <w:color w:val="000000"/>
          <w:sz w:val="24"/>
          <w:szCs w:val="24"/>
          <w:shd w:val="clear" w:color="auto" w:fill="FFFFFF"/>
          <w:lang w:val="ru-RU"/>
        </w:rPr>
        <w:t>В качестве</w:t>
      </w:r>
      <w:r w:rsidRPr="004E7E3E">
        <w:rPr>
          <w:rFonts w:ascii="Times New Roman" w:hAnsi="Times New Roman" w:cs="Times New Roman"/>
          <w:color w:val="000000"/>
          <w:sz w:val="24"/>
          <w:szCs w:val="24"/>
          <w:shd w:val="clear" w:color="auto" w:fill="FFFFFF"/>
          <w:lang w:val="ru-RU"/>
        </w:rPr>
        <w:t xml:space="preserve"> пример</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можно привести способ попадания китайских предпринимателей на известную Кантонскую ярмарку. Если у китайского предпринимателя нет стенда на выставке, то пройти на выставку можно только в качестве переводчика, де юре или де факто, иностранного участника выставки. Хотя для иностранных участников посещение практически бесплатное (за исключением небольшой суммы на оформление пропуска – около 20 долларов). Для китайского «переводчика» стоимость визита составит около 200 долларов на одну из сессий ярмарки (всего их три, и каждая длится около недели). </w:t>
      </w:r>
    </w:p>
    <w:p w14:paraId="52375000"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личных беседах китайские бизнесмены высказывают мнение, что коррупция в Китае низкая. Это касается, в том числе, и южных провинций, где раньше без этого не обходилась ни одна крупная сделка. Размер подарка ограничен законом – 20 тыс. юаней (около 3350 долларов). Но есть скрытая форма взятки – ежемесячные обеды с чиновниками за счёт бизнесменов. Эти обеды сопровождаются походом в </w:t>
      </w:r>
      <w:r w:rsidRPr="004E7E3E">
        <w:rPr>
          <w:rFonts w:ascii="Times New Roman" w:hAnsi="Times New Roman" w:cs="Times New Roman"/>
          <w:color w:val="000000"/>
          <w:sz w:val="24"/>
          <w:szCs w:val="24"/>
          <w:shd w:val="clear" w:color="auto" w:fill="FFFFFF"/>
        </w:rPr>
        <w:t>KTV</w:t>
      </w:r>
      <w:r w:rsidRPr="004E7E3E">
        <w:rPr>
          <w:rFonts w:ascii="Times New Roman" w:hAnsi="Times New Roman" w:cs="Times New Roman"/>
          <w:color w:val="000000"/>
          <w:sz w:val="24"/>
          <w:szCs w:val="24"/>
          <w:shd w:val="clear" w:color="auto" w:fill="FFFFFF"/>
          <w:lang w:val="ru-RU"/>
        </w:rPr>
        <w:t xml:space="preserve"> (караоке). Средний чек за такой ужин составляет 105 тыс. юаней (около 17500 долларов). Это речь идёт о среднем бизнесе</w:t>
      </w:r>
      <w:r>
        <w:rPr>
          <w:rFonts w:ascii="Times New Roman" w:hAnsi="Times New Roman" w:cs="Times New Roman"/>
          <w:color w:val="000000"/>
          <w:sz w:val="24"/>
          <w:szCs w:val="24"/>
          <w:shd w:val="clear" w:color="auto" w:fill="FFFFFF"/>
          <w:lang w:val="ru-RU"/>
        </w:rPr>
        <w:t>, например,</w:t>
      </w:r>
      <w:r w:rsidRPr="004E7E3E">
        <w:rPr>
          <w:rFonts w:ascii="Times New Roman" w:hAnsi="Times New Roman" w:cs="Times New Roman"/>
          <w:color w:val="000000"/>
          <w:sz w:val="24"/>
          <w:szCs w:val="24"/>
          <w:shd w:val="clear" w:color="auto" w:fill="FFFFFF"/>
          <w:lang w:val="ru-RU"/>
        </w:rPr>
        <w:t xml:space="preserve"> фабрике с числом рабочих 500-1000 человек. </w:t>
      </w:r>
    </w:p>
    <w:p w14:paraId="2F04F48E"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Степень зарегулированности китайских финансов не знает границ. На бытовом уровне это можно почувствовать при попытке поменять валюту. Чтобы разменять 100 долларов</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нужен паспорт, заявление об обмене, затем подписать ещё три бумаги. С Гонконгом, где обменные пункты на любом шагу работают часто в круглосуточном режим, нет смысла сравнивать. Та же ситуация в туристическом Макао, где всюду принимают доллары Макао, гонконгские доллары, юани, и всё по одному паритету (хотя разница официальных курсов гонконгского доллара и китайского юаня составляет около 20%). Вероятно, в этой бывшей португальской колонии в такси можно расплатиться даже фишками известных местных казино. </w:t>
      </w:r>
    </w:p>
    <w:p w14:paraId="6C26BC48"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На институциональном уровне эта зарегулированность сохраняется. На Шанхайской фондовой бирже одно время существовало сразу четыре вида акций: акции «А»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только для резидентов и квалифицированных иностранных инвесторов, соответствующих очень жёстким требованиям, акции «В»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доступные до 2001 г. только для нерезидентов, акции «С»</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которыми могли владеть только гос</w:t>
      </w:r>
      <w:r>
        <w:rPr>
          <w:rFonts w:ascii="Times New Roman" w:hAnsi="Times New Roman" w:cs="Times New Roman"/>
          <w:color w:val="000000"/>
          <w:sz w:val="24"/>
          <w:szCs w:val="24"/>
          <w:shd w:val="clear" w:color="auto" w:fill="FFFFFF"/>
          <w:lang w:val="ru-RU"/>
        </w:rPr>
        <w:t>ударственные</w:t>
      </w:r>
      <w:r w:rsidRPr="004E7E3E">
        <w:rPr>
          <w:rFonts w:ascii="Times New Roman" w:hAnsi="Times New Roman" w:cs="Times New Roman"/>
          <w:color w:val="000000"/>
          <w:sz w:val="24"/>
          <w:szCs w:val="24"/>
          <w:shd w:val="clear" w:color="auto" w:fill="FFFFFF"/>
          <w:lang w:val="ru-RU"/>
        </w:rPr>
        <w:t xml:space="preserve"> учреждения КНР и акции «Н», или «красные фишки»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которые могут котироваться либо в Гонконге, либо за пределами Китая и покупаться только нерезидентами). Такая сложность и котирование одновременно на двух разных рынка (в Шанхае и Гонконге) ведёт к спекуляциям и отпугивает стратегических инвесторов. </w:t>
      </w:r>
    </w:p>
    <w:p w14:paraId="2512080D"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lastRenderedPageBreak/>
        <w:t xml:space="preserve">Доступность кредитов для населения и бизнеса и неразвитость финансового рынка. </w:t>
      </w:r>
      <w:r w:rsidRPr="004E7E3E">
        <w:rPr>
          <w:rFonts w:ascii="Times New Roman" w:hAnsi="Times New Roman" w:cs="Times New Roman"/>
          <w:color w:val="000000"/>
          <w:sz w:val="24"/>
          <w:szCs w:val="24"/>
          <w:shd w:val="clear" w:color="auto" w:fill="FFFFFF"/>
          <w:lang w:val="ru-RU"/>
        </w:rPr>
        <w:t xml:space="preserve">На первый взгляд, доступность кредитов для покупки жилья или авто в Китае значительно </w:t>
      </w:r>
      <w:r>
        <w:rPr>
          <w:rFonts w:ascii="Times New Roman" w:hAnsi="Times New Roman" w:cs="Times New Roman"/>
          <w:color w:val="000000"/>
          <w:sz w:val="24"/>
          <w:szCs w:val="24"/>
          <w:shd w:val="clear" w:color="auto" w:fill="FFFFFF"/>
          <w:lang w:val="ru-RU"/>
        </w:rPr>
        <w:t>выше</w:t>
      </w:r>
      <w:r w:rsidRPr="004E7E3E">
        <w:rPr>
          <w:rFonts w:ascii="Times New Roman" w:hAnsi="Times New Roman" w:cs="Times New Roman"/>
          <w:color w:val="000000"/>
          <w:sz w:val="24"/>
          <w:szCs w:val="24"/>
          <w:shd w:val="clear" w:color="auto" w:fill="FFFFFF"/>
          <w:lang w:val="ru-RU"/>
        </w:rPr>
        <w:t xml:space="preserve">, чем в России. Ставка по автокредиту будет в районе 5-6% в год, ипотечный кредит можно взять под 2-3% в год. Уровень цен на жилплощадь в 2-3 раза ниже, чем в России. На протяжении ряда лет строительная отрасль является одним из локомотивов китайской экономики. Во время посещения Китая можно увидеть много огромных незаселённых жилых комплексов. В окно своей китайской квартиры автор исследования видел 16-этажный дом с двумя подъездами, в котором вечерами светились только 3-4 квартиры. Как выяснилось, все квартиры раскуплены. Покупателями были состоятельные люди из Шэньчжэня, самого богатого города в КНР, и Гонконга. Покупки совершались, очевидно, в инвестиционных целях. Цены в том районе, где жил исследователь, по словам жильцов, действительно выросли в 2 раза за несколько лет. Но такое количество незаселённых квартир наводит на мысль о существовании «пузыря» на рынке жилой недвижимости Китая. </w:t>
      </w:r>
    </w:p>
    <w:p w14:paraId="3FCB91CC"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Крупные гос</w:t>
      </w:r>
      <w:r>
        <w:rPr>
          <w:rFonts w:ascii="Times New Roman" w:hAnsi="Times New Roman" w:cs="Times New Roman"/>
          <w:color w:val="000000"/>
          <w:sz w:val="24"/>
          <w:szCs w:val="24"/>
          <w:shd w:val="clear" w:color="auto" w:fill="FFFFFF"/>
          <w:lang w:val="ru-RU"/>
        </w:rPr>
        <w:t>ударственные</w:t>
      </w:r>
      <w:r w:rsidRPr="004E7E3E">
        <w:rPr>
          <w:rFonts w:ascii="Times New Roman" w:hAnsi="Times New Roman" w:cs="Times New Roman"/>
          <w:color w:val="000000"/>
          <w:sz w:val="24"/>
          <w:szCs w:val="24"/>
          <w:shd w:val="clear" w:color="auto" w:fill="FFFFFF"/>
          <w:lang w:val="ru-RU"/>
        </w:rPr>
        <w:t xml:space="preserve"> банки обладают большими средствами для кредитования, но </w:t>
      </w:r>
      <w:r>
        <w:rPr>
          <w:rFonts w:ascii="Times New Roman" w:hAnsi="Times New Roman" w:cs="Times New Roman"/>
          <w:color w:val="000000"/>
          <w:sz w:val="24"/>
          <w:szCs w:val="24"/>
          <w:shd w:val="clear" w:color="auto" w:fill="FFFFFF"/>
          <w:lang w:val="ru-RU"/>
        </w:rPr>
        <w:t>доступность их для населения и малого и среднего бизнеса остаётся низкой</w:t>
      </w:r>
      <w:r w:rsidRPr="004E7E3E">
        <w:rPr>
          <w:rFonts w:ascii="Times New Roman" w:hAnsi="Times New Roman" w:cs="Times New Roman"/>
          <w:color w:val="000000"/>
          <w:sz w:val="24"/>
          <w:szCs w:val="24"/>
          <w:shd w:val="clear" w:color="auto" w:fill="FFFFFF"/>
          <w:lang w:val="ru-RU"/>
        </w:rPr>
        <w:t>; это ведёт к созданию рынк</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«серого» кредитования: деньги идут от коррумпированных представителей банков, а размер процента их использования становится ростовщическим. В ходе своей работы автор диссертации проводил интервью с китайскими бизнесменами. В начале 2014 года они утверждали, что средний процент под залог промышленной недвижимости составлял 0,5% простых в месяц. Для получения этого кредита требовалось около полугода. На нелегальном рынке (имеется в виду не рынок работорговли, конечно, а просто рынок краткосрочных кредитов, которые бизнес предоставляет друг другу, но также обычно под залог недвижимости) этот процент уже составлял 3% простых в месяц. По достоверным данным</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кредит на таких же условиях в Иране будет составлять 5% простых в месяц, в Казахстане – 2-3%. Даже в Европе (а</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точнее в Италии) 2-3% простых процента на товарный кредит – это нормально. Так что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принципе эти условия аналогичны российским на июн</w:t>
      </w:r>
      <w:r>
        <w:rPr>
          <w:rFonts w:ascii="Times New Roman" w:hAnsi="Times New Roman" w:cs="Times New Roman"/>
          <w:color w:val="000000"/>
          <w:sz w:val="24"/>
          <w:szCs w:val="24"/>
          <w:shd w:val="clear" w:color="auto" w:fill="FFFFFF"/>
          <w:lang w:val="ru-RU"/>
        </w:rPr>
        <w:t>ь</w:t>
      </w:r>
      <w:r w:rsidRPr="004E7E3E">
        <w:rPr>
          <w:rFonts w:ascii="Times New Roman" w:hAnsi="Times New Roman" w:cs="Times New Roman"/>
          <w:color w:val="000000"/>
          <w:sz w:val="24"/>
          <w:szCs w:val="24"/>
          <w:shd w:val="clear" w:color="auto" w:fill="FFFFFF"/>
          <w:lang w:val="ru-RU"/>
        </w:rPr>
        <w:t xml:space="preserve"> 2014 года. </w:t>
      </w:r>
    </w:p>
    <w:p w14:paraId="7FA505FD"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Как известно, основной объём торгов фондового рынка создают институциональные игроки. В первую очередь</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пенсионные фонды. Но в Китае нет пенсий. Очевидно, развитие финансового рынка требуется и государству (для финансирования инфраструктурных проектов во внутренних провинциях), и населению страны, которое в массе стремительно стареет из-за известной политики «одна семья – один ребёнок». Китай, если будет постепенно выводить пенсионные деньги на биржу, даже, начав с госструктур, может по валовым показателям обойти многие развитые страны просто в силу численности своего населения в 1200 млн. человек. </w:t>
      </w:r>
    </w:p>
    <w:p w14:paraId="78E3B4AA"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sz w:val="24"/>
          <w:szCs w:val="24"/>
          <w:lang w:val="ru-RU"/>
        </w:rPr>
        <w:lastRenderedPageBreak/>
        <w:t xml:space="preserve">Вопрос о защите частной собственности. </w:t>
      </w:r>
      <w:r w:rsidRPr="004E7E3E">
        <w:rPr>
          <w:rFonts w:ascii="Times New Roman" w:hAnsi="Times New Roman" w:cs="Times New Roman"/>
          <w:sz w:val="24"/>
          <w:szCs w:val="24"/>
          <w:lang w:val="ru-RU"/>
        </w:rPr>
        <w:t xml:space="preserve">Вопрос о статусе институциональных инвесторов перетекает в более общий вопрос о частной собственности. </w:t>
      </w:r>
      <w:r w:rsidRPr="004E7E3E">
        <w:rPr>
          <w:rFonts w:ascii="Times New Roman" w:hAnsi="Times New Roman" w:cs="Times New Roman"/>
          <w:color w:val="000000"/>
          <w:sz w:val="24"/>
          <w:szCs w:val="24"/>
          <w:shd w:val="clear" w:color="auto" w:fill="FFFFFF"/>
          <w:lang w:val="ru-RU"/>
        </w:rPr>
        <w:t xml:space="preserve">Безусловно, </w:t>
      </w:r>
      <w:r>
        <w:rPr>
          <w:rFonts w:ascii="Times New Roman" w:hAnsi="Times New Roman" w:cs="Times New Roman"/>
          <w:color w:val="000000"/>
          <w:sz w:val="24"/>
          <w:szCs w:val="24"/>
          <w:shd w:val="clear" w:color="auto" w:fill="FFFFFF"/>
          <w:lang w:val="ru-RU"/>
        </w:rPr>
        <w:t>К</w:t>
      </w:r>
      <w:r w:rsidRPr="004E7E3E">
        <w:rPr>
          <w:rFonts w:ascii="Times New Roman" w:hAnsi="Times New Roman" w:cs="Times New Roman"/>
          <w:color w:val="000000"/>
          <w:sz w:val="24"/>
          <w:szCs w:val="24"/>
          <w:shd w:val="clear" w:color="auto" w:fill="FFFFFF"/>
          <w:lang w:val="ru-RU"/>
        </w:rPr>
        <w:t xml:space="preserve">онституция КНР провозглашает </w:t>
      </w:r>
      <w:r>
        <w:rPr>
          <w:rFonts w:ascii="Times New Roman" w:hAnsi="Times New Roman" w:cs="Times New Roman"/>
          <w:color w:val="000000"/>
          <w:sz w:val="24"/>
          <w:szCs w:val="24"/>
          <w:shd w:val="clear" w:color="auto" w:fill="FFFFFF"/>
          <w:lang w:val="ru-RU"/>
        </w:rPr>
        <w:t>неприкосновенность</w:t>
      </w:r>
      <w:r w:rsidRPr="004E7E3E">
        <w:rPr>
          <w:rFonts w:ascii="Times New Roman" w:hAnsi="Times New Roman" w:cs="Times New Roman"/>
          <w:color w:val="000000"/>
          <w:sz w:val="24"/>
          <w:szCs w:val="24"/>
          <w:shd w:val="clear" w:color="auto" w:fill="FFFFFF"/>
          <w:lang w:val="ru-RU"/>
        </w:rPr>
        <w:t xml:space="preserve"> частной собственности. Но экономическую систему в Китае пока можно охарактеризовать как «дикий» капитализм, и механизм защиты частной собственности </w:t>
      </w:r>
      <w:r>
        <w:rPr>
          <w:rFonts w:ascii="Times New Roman" w:hAnsi="Times New Roman" w:cs="Times New Roman"/>
          <w:color w:val="000000"/>
          <w:sz w:val="24"/>
          <w:szCs w:val="24"/>
          <w:shd w:val="clear" w:color="auto" w:fill="FFFFFF"/>
          <w:lang w:val="ru-RU"/>
        </w:rPr>
        <w:t xml:space="preserve">здесь </w:t>
      </w:r>
      <w:r w:rsidRPr="004E7E3E">
        <w:rPr>
          <w:rFonts w:ascii="Times New Roman" w:hAnsi="Times New Roman" w:cs="Times New Roman"/>
          <w:color w:val="000000"/>
          <w:sz w:val="24"/>
          <w:szCs w:val="24"/>
          <w:shd w:val="clear" w:color="auto" w:fill="FFFFFF"/>
          <w:lang w:val="ru-RU"/>
        </w:rPr>
        <w:t xml:space="preserve">не развит. Кроме того, в той же конституции на несколько пунктов раньше провозглашается руководящая роль Коммунистической партии Китая, и если партия провозгласит </w:t>
      </w:r>
      <w:r>
        <w:rPr>
          <w:rFonts w:ascii="Times New Roman" w:hAnsi="Times New Roman" w:cs="Times New Roman"/>
          <w:color w:val="000000"/>
          <w:sz w:val="24"/>
          <w:szCs w:val="24"/>
          <w:shd w:val="clear" w:color="auto" w:fill="FFFFFF"/>
          <w:lang w:val="ru-RU"/>
        </w:rPr>
        <w:t xml:space="preserve">в качестве </w:t>
      </w:r>
      <w:r w:rsidRPr="004E7E3E">
        <w:rPr>
          <w:rFonts w:ascii="Times New Roman" w:hAnsi="Times New Roman" w:cs="Times New Roman"/>
          <w:color w:val="000000"/>
          <w:sz w:val="24"/>
          <w:szCs w:val="24"/>
          <w:shd w:val="clear" w:color="auto" w:fill="FFFFFF"/>
          <w:lang w:val="ru-RU"/>
        </w:rPr>
        <w:t>приоритет</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развитие промышленности, то никакое священное право крестьян на землю не спасёт от изъятия её под строительство заводов, иногда даже силовыми методами. Автор диссертации сталкивался со случаями, передающимися в среде иностранных сотрудников китайских компаний, что расширение одной из промышленных зон Чжуншаня за счёт близлежащих сельскохозяйственных земель вызвало выступление крестьян-владельцев этих земель. Протесты были подавлены властями силовыми методами, </w:t>
      </w:r>
      <w:r>
        <w:rPr>
          <w:rFonts w:ascii="Times New Roman" w:hAnsi="Times New Roman" w:cs="Times New Roman"/>
          <w:color w:val="000000"/>
          <w:sz w:val="24"/>
          <w:szCs w:val="24"/>
          <w:shd w:val="clear" w:color="auto" w:fill="FFFFFF"/>
          <w:lang w:val="ru-RU"/>
        </w:rPr>
        <w:t>ч</w:t>
      </w:r>
      <w:r w:rsidRPr="004E7E3E">
        <w:rPr>
          <w:rFonts w:ascii="Times New Roman" w:hAnsi="Times New Roman" w:cs="Times New Roman"/>
          <w:color w:val="000000"/>
          <w:sz w:val="24"/>
          <w:szCs w:val="24"/>
          <w:shd w:val="clear" w:color="auto" w:fill="FFFFFF"/>
          <w:lang w:val="ru-RU"/>
        </w:rPr>
        <w:t>то повлекло жертвы со стороны протестовавших. Ни в одном официальном китайском СМИ ни о столкновениях, ни о жертвах не упоминалось. На юге очень много мелких собственников земли,</w:t>
      </w:r>
      <w:r>
        <w:rPr>
          <w:rFonts w:ascii="Times New Roman" w:hAnsi="Times New Roman" w:cs="Times New Roman"/>
          <w:color w:val="000000"/>
          <w:sz w:val="24"/>
          <w:szCs w:val="24"/>
          <w:shd w:val="clear" w:color="auto" w:fill="FFFFFF"/>
          <w:lang w:val="ru-RU"/>
        </w:rPr>
        <w:t xml:space="preserve"> и</w:t>
      </w:r>
      <w:r w:rsidRPr="004E7E3E">
        <w:rPr>
          <w:rFonts w:ascii="Times New Roman" w:hAnsi="Times New Roman" w:cs="Times New Roman"/>
          <w:color w:val="000000"/>
          <w:sz w:val="24"/>
          <w:szCs w:val="24"/>
          <w:shd w:val="clear" w:color="auto" w:fill="FFFFFF"/>
          <w:lang w:val="ru-RU"/>
        </w:rPr>
        <w:t xml:space="preserve"> буквальн</w:t>
      </w:r>
      <w:r>
        <w:rPr>
          <w:rFonts w:ascii="Times New Roman" w:hAnsi="Times New Roman" w:cs="Times New Roman"/>
          <w:color w:val="000000"/>
          <w:sz w:val="24"/>
          <w:szCs w:val="24"/>
          <w:shd w:val="clear" w:color="auto" w:fill="FFFFFF"/>
          <w:lang w:val="ru-RU"/>
        </w:rPr>
        <w:t>о</w:t>
      </w:r>
      <w:r w:rsidRPr="004E7E3E">
        <w:rPr>
          <w:rFonts w:ascii="Times New Roman" w:hAnsi="Times New Roman" w:cs="Times New Roman"/>
          <w:color w:val="000000"/>
          <w:sz w:val="24"/>
          <w:szCs w:val="24"/>
          <w:shd w:val="clear" w:color="auto" w:fill="FFFFFF"/>
          <w:lang w:val="ru-RU"/>
        </w:rPr>
        <w:t xml:space="preserve"> каждый клочок, свободный от построек, возделывается. Нередко можно наблюдать, как между двумя заводами </w:t>
      </w:r>
      <w:r>
        <w:rPr>
          <w:rFonts w:ascii="Times New Roman" w:hAnsi="Times New Roman" w:cs="Times New Roman"/>
          <w:color w:val="000000"/>
          <w:sz w:val="24"/>
          <w:szCs w:val="24"/>
          <w:shd w:val="clear" w:color="auto" w:fill="FFFFFF"/>
          <w:lang w:val="ru-RU"/>
        </w:rPr>
        <w:t>располагаются</w:t>
      </w:r>
      <w:r w:rsidRPr="004E7E3E">
        <w:rPr>
          <w:rFonts w:ascii="Times New Roman" w:hAnsi="Times New Roman" w:cs="Times New Roman"/>
          <w:color w:val="000000"/>
          <w:sz w:val="24"/>
          <w:szCs w:val="24"/>
          <w:shd w:val="clear" w:color="auto" w:fill="FFFFFF"/>
          <w:lang w:val="ru-RU"/>
        </w:rPr>
        <w:t xml:space="preserve"> грядки. Так что в возможность таких столкновений легко верится. </w:t>
      </w:r>
    </w:p>
    <w:p w14:paraId="5296E467"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Богатые китайцы также сталкиваются с проблемой защиты частной собственности. Вероятно, из-за этого знакомые автору исследования китайские миллионеры присматривают себе вилл</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xml:space="preserve"> в Южной Европе или отправляют своих детей в Гонконг или Сингапур, а средний класс изучает программу иммиграции в Канаду или отправляет своих детей учиться в США.</w:t>
      </w:r>
    </w:p>
    <w:p w14:paraId="01C52CFF" w14:textId="5CA936F5"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Некоторые эксперты выделяют также </w:t>
      </w:r>
      <w:r w:rsidRPr="004E7E3E">
        <w:rPr>
          <w:rFonts w:ascii="Times New Roman" w:hAnsi="Times New Roman" w:cs="Times New Roman"/>
          <w:b/>
          <w:color w:val="000000"/>
          <w:sz w:val="24"/>
          <w:szCs w:val="24"/>
          <w:shd w:val="clear" w:color="auto" w:fill="FFFFFF"/>
          <w:lang w:val="ru-RU"/>
        </w:rPr>
        <w:t>экологическую проблему</w:t>
      </w:r>
      <w:r w:rsidRPr="004E7E3E">
        <w:rPr>
          <w:rFonts w:ascii="Times New Roman" w:hAnsi="Times New Roman" w:cs="Times New Roman"/>
          <w:color w:val="000000"/>
          <w:sz w:val="24"/>
          <w:szCs w:val="24"/>
          <w:shd w:val="clear" w:color="auto" w:fill="FFFFFF"/>
          <w:lang w:val="ru-RU"/>
        </w:rPr>
        <w:t xml:space="preserve">. Посещая разные промышленные центры, такие как </w:t>
      </w:r>
      <w:r w:rsidR="002F50A0" w:rsidRPr="004E7E3E">
        <w:rPr>
          <w:rFonts w:ascii="Times New Roman" w:hAnsi="Times New Roman" w:cs="Times New Roman"/>
          <w:color w:val="000000"/>
          <w:sz w:val="24"/>
          <w:szCs w:val="24"/>
          <w:shd w:val="clear" w:color="auto" w:fill="FFFFFF"/>
          <w:lang w:val="ru-RU"/>
        </w:rPr>
        <w:t>Дунгуань</w:t>
      </w:r>
      <w:r>
        <w:rPr>
          <w:rFonts w:ascii="Times New Roman" w:hAnsi="Times New Roman" w:cs="Times New Roman"/>
          <w:color w:val="000000"/>
          <w:sz w:val="24"/>
          <w:szCs w:val="24"/>
          <w:shd w:val="clear" w:color="auto" w:fill="FFFFFF"/>
          <w:lang w:val="ru-RU"/>
        </w:rPr>
        <w:t xml:space="preserve"> и</w:t>
      </w:r>
      <w:r w:rsidRPr="004E7E3E">
        <w:rPr>
          <w:rFonts w:ascii="Times New Roman" w:hAnsi="Times New Roman" w:cs="Times New Roman"/>
          <w:color w:val="000000"/>
          <w:sz w:val="24"/>
          <w:szCs w:val="24"/>
          <w:shd w:val="clear" w:color="auto" w:fill="FFFFFF"/>
          <w:lang w:val="ru-RU"/>
        </w:rPr>
        <w:t xml:space="preserve"> Сиань, автор исследования </w:t>
      </w:r>
      <w:r>
        <w:rPr>
          <w:rFonts w:ascii="Times New Roman" w:hAnsi="Times New Roman" w:cs="Times New Roman"/>
          <w:color w:val="000000"/>
          <w:sz w:val="24"/>
          <w:szCs w:val="24"/>
          <w:shd w:val="clear" w:color="auto" w:fill="FFFFFF"/>
          <w:lang w:val="ru-RU"/>
        </w:rPr>
        <w:t>редко</w:t>
      </w:r>
      <w:r w:rsidRPr="004E7E3E">
        <w:rPr>
          <w:rFonts w:ascii="Times New Roman" w:hAnsi="Times New Roman" w:cs="Times New Roman"/>
          <w:color w:val="000000"/>
          <w:sz w:val="24"/>
          <w:szCs w:val="24"/>
          <w:shd w:val="clear" w:color="auto" w:fill="FFFFFF"/>
          <w:lang w:val="ru-RU"/>
        </w:rPr>
        <w:t xml:space="preserve"> видел солнц</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на небе – всё было затянуто серой дымкой. В Китае довольно холмистая местность, 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отличие от </w:t>
      </w:r>
      <w:r>
        <w:rPr>
          <w:rFonts w:ascii="Times New Roman" w:hAnsi="Times New Roman" w:cs="Times New Roman"/>
          <w:color w:val="000000"/>
          <w:sz w:val="24"/>
          <w:szCs w:val="24"/>
          <w:shd w:val="clear" w:color="auto" w:fill="FFFFFF"/>
          <w:lang w:val="ru-RU"/>
        </w:rPr>
        <w:t xml:space="preserve">европейской части </w:t>
      </w:r>
      <w:r w:rsidRPr="004E7E3E">
        <w:rPr>
          <w:rFonts w:ascii="Times New Roman" w:hAnsi="Times New Roman" w:cs="Times New Roman"/>
          <w:color w:val="000000"/>
          <w:sz w:val="24"/>
          <w:szCs w:val="24"/>
          <w:shd w:val="clear" w:color="auto" w:fill="FFFFFF"/>
          <w:lang w:val="ru-RU"/>
        </w:rPr>
        <w:t xml:space="preserve">России, где преобладает равнинный пейзаж, загрязнённый воздух не выветривается. В этот же блок можно добавить проблему эпидемии птичьего гриппа. Китайское правительство провинции </w:t>
      </w:r>
      <w:r w:rsidR="002F50A0" w:rsidRPr="004E7E3E">
        <w:rPr>
          <w:rFonts w:ascii="Times New Roman" w:hAnsi="Times New Roman" w:cs="Times New Roman"/>
          <w:color w:val="000000"/>
          <w:sz w:val="24"/>
          <w:szCs w:val="24"/>
          <w:shd w:val="clear" w:color="auto" w:fill="FFFFFF"/>
          <w:lang w:val="ru-RU"/>
        </w:rPr>
        <w:t>Гуандун</w:t>
      </w:r>
      <w:r w:rsidRPr="004E7E3E">
        <w:rPr>
          <w:rFonts w:ascii="Times New Roman" w:hAnsi="Times New Roman" w:cs="Times New Roman"/>
          <w:color w:val="000000"/>
          <w:sz w:val="24"/>
          <w:szCs w:val="24"/>
          <w:shd w:val="clear" w:color="auto" w:fill="FFFFFF"/>
          <w:lang w:val="ru-RU"/>
        </w:rPr>
        <w:t xml:space="preserve"> боролось с распространением болезни, проводя инспекции мест общественного питания, убирая из меню собачье мясо, змей и пр. Кроме того, в крупных городах очень многие люди ходят в масках. Порой кажется, что это даже стало модно: подростки надевают не одноразовую марлевую повязку, а цветные маски с особым орнаментом, логотипами популярных музыкальных коллективов, кинофильмов и пр. </w:t>
      </w:r>
    </w:p>
    <w:p w14:paraId="045BE37E"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На наш взгляд</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вопросы экологии ещё рано ставить в первоочередную повестку дня. Как правило, это проблема больших городов. Так что на уровне больших городов их и надо решать, а государство должно лишь поддерживать инновационные предприятия, которые будут предлагать новые методы решения подобных проблем (альтернативные источники энергии, </w:t>
      </w:r>
      <w:r w:rsidRPr="004E7E3E">
        <w:rPr>
          <w:rFonts w:ascii="Times New Roman" w:hAnsi="Times New Roman" w:cs="Times New Roman"/>
          <w:color w:val="000000"/>
          <w:sz w:val="24"/>
          <w:szCs w:val="24"/>
          <w:shd w:val="clear" w:color="auto" w:fill="FFFFFF"/>
          <w:lang w:val="ru-RU"/>
        </w:rPr>
        <w:lastRenderedPageBreak/>
        <w:t>утилизация мусора, электрический автотранспорт и пр.)</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Между вступлением в силу Социального закона Бисмарка и избранием партии Зелёных в Бундестаг в Германии прошло сто лет. Китай развивается стремительно, но ему, вероятно, в первую очередь нужно решать вопросы социального неравенства и диспропорции в развитии регионов. </w:t>
      </w:r>
    </w:p>
    <w:p w14:paraId="54331CBC"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p>
    <w:p w14:paraId="47E23F77"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Перечисленные риски не так заметны для внешнего мира, но несут потенциальную угрозу для экономического развития новой супердержавы. Мы расположили их не по степени важности, а скорее по критерию заметности для иностранца, жившего длительное время в Китае.</w:t>
      </w:r>
    </w:p>
    <w:p w14:paraId="4DA9875B"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Несмотря на всё сказанное, международные финансовые центры Китая являются перспективным направлением для изучения и полем работы российских финансистов. Этот рынок привлекает финансистов своей ёмкостью, стабильным экономическим ростом и перспективами роста в будущем. В стране предстоит ещё много сделать для того, чтобы достичь вершин в финансовом мире. </w:t>
      </w:r>
    </w:p>
    <w:p w14:paraId="3CE860A4" w14:textId="6327E7F0" w:rsidR="000B0CE0" w:rsidRDefault="000B0CE0" w:rsidP="000B0CE0">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В повестку дня пробивается проблема объединени</w:t>
      </w:r>
      <w:r>
        <w:rPr>
          <w:rFonts w:ascii="Times New Roman" w:hAnsi="Times New Roman" w:cs="Times New Roman"/>
          <w:sz w:val="24"/>
          <w:szCs w:val="24"/>
          <w:lang w:val="ru-RU"/>
        </w:rPr>
        <w:t>я</w:t>
      </w:r>
      <w:r w:rsidRPr="004E7E3E">
        <w:rPr>
          <w:rFonts w:ascii="Times New Roman" w:hAnsi="Times New Roman" w:cs="Times New Roman"/>
          <w:sz w:val="24"/>
          <w:szCs w:val="24"/>
          <w:lang w:val="ru-RU"/>
        </w:rPr>
        <w:t xml:space="preserve"> китайских фондовых бирж: не только Шанхая и Шэньчжэня, но и Гонконга. Идёт методичная гармонизация практик. Точнее функционеры шанхайской биржи перенимают гонконгский стандарт. В случае объединения </w:t>
      </w:r>
      <w:r>
        <w:rPr>
          <w:rFonts w:ascii="Times New Roman" w:hAnsi="Times New Roman" w:cs="Times New Roman"/>
          <w:sz w:val="24"/>
          <w:szCs w:val="24"/>
          <w:lang w:val="ru-RU"/>
        </w:rPr>
        <w:t>новая</w:t>
      </w:r>
      <w:r w:rsidRPr="004E7E3E">
        <w:rPr>
          <w:rFonts w:ascii="Times New Roman" w:hAnsi="Times New Roman" w:cs="Times New Roman"/>
          <w:sz w:val="24"/>
          <w:szCs w:val="24"/>
          <w:lang w:val="ru-RU"/>
        </w:rPr>
        <w:t xml:space="preserve"> площадка может стать конкурентом как Лондона, так и Нью-Йорка. </w:t>
      </w:r>
    </w:p>
    <w:p w14:paraId="0CF9BE0E" w14:textId="2DAE0202" w:rsidR="00BC3AF7" w:rsidRPr="004E7E3E" w:rsidRDefault="00BC3AF7" w:rsidP="000B0CE0">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начале объединения Гонконга с материковым Китаем в 1997 году, ВВП Гонконга составлял 30% от экономики материковой части. Благодаря бурному экономическому росту КНР, доля Гонконга уже достигал 3%. </w:t>
      </w:r>
      <w:r w:rsidR="00172020">
        <w:rPr>
          <w:rFonts w:ascii="Times New Roman" w:hAnsi="Times New Roman" w:cs="Times New Roman"/>
          <w:sz w:val="24"/>
          <w:szCs w:val="24"/>
          <w:lang w:val="ru-RU"/>
        </w:rPr>
        <w:t>Таким же образом к</w:t>
      </w:r>
      <w:r>
        <w:rPr>
          <w:rFonts w:ascii="Times New Roman" w:hAnsi="Times New Roman" w:cs="Times New Roman"/>
          <w:sz w:val="24"/>
          <w:szCs w:val="24"/>
          <w:lang w:val="ru-RU"/>
        </w:rPr>
        <w:t xml:space="preserve">итайские власти постепенно, шаг за шагом </w:t>
      </w:r>
      <w:r w:rsidR="00172020">
        <w:rPr>
          <w:rFonts w:ascii="Times New Roman" w:hAnsi="Times New Roman" w:cs="Times New Roman"/>
          <w:sz w:val="24"/>
          <w:szCs w:val="24"/>
          <w:lang w:val="ru-RU"/>
        </w:rPr>
        <w:t xml:space="preserve">нивелируют разрыв между уровнем финансового развития в признанном мировой финансовом центре Гонконге и активно развивающем Шанхае.  </w:t>
      </w:r>
    </w:p>
    <w:p w14:paraId="10F7E012" w14:textId="77DEF063" w:rsidR="00DC5025" w:rsidRPr="004E7E3E" w:rsidRDefault="00DC5025" w:rsidP="00DC5025">
      <w:pPr>
        <w:pStyle w:val="2"/>
        <w:spacing w:before="100" w:beforeAutospacing="1" w:after="100" w:line="360" w:lineRule="auto"/>
        <w:ind w:firstLine="709"/>
        <w:contextualSpacing/>
        <w:rPr>
          <w:rFonts w:cs="Times New Roman"/>
          <w:sz w:val="24"/>
          <w:szCs w:val="24"/>
        </w:rPr>
      </w:pPr>
      <w:bookmarkStart w:id="28" w:name="_Toc136269021"/>
      <w:bookmarkStart w:id="29" w:name="_Toc136448481"/>
      <w:r w:rsidRPr="004E7E3E">
        <w:rPr>
          <w:rFonts w:cs="Times New Roman"/>
          <w:sz w:val="24"/>
          <w:szCs w:val="24"/>
        </w:rPr>
        <w:t xml:space="preserve">§ 3.2 </w:t>
      </w:r>
      <w:r w:rsidR="000B0CE0">
        <w:rPr>
          <w:rFonts w:cs="Times New Roman"/>
          <w:sz w:val="24"/>
          <w:szCs w:val="24"/>
        </w:rPr>
        <w:t>Становление МФЦ в</w:t>
      </w:r>
      <w:r w:rsidRPr="004E7E3E">
        <w:rPr>
          <w:rFonts w:cs="Times New Roman"/>
          <w:sz w:val="24"/>
          <w:szCs w:val="24"/>
        </w:rPr>
        <w:t xml:space="preserve"> России</w:t>
      </w:r>
      <w:bookmarkEnd w:id="28"/>
      <w:bookmarkEnd w:id="29"/>
      <w:r w:rsidRPr="004E7E3E">
        <w:rPr>
          <w:rFonts w:cs="Times New Roman"/>
          <w:sz w:val="24"/>
          <w:szCs w:val="24"/>
        </w:rPr>
        <w:t xml:space="preserve"> </w:t>
      </w:r>
    </w:p>
    <w:p w14:paraId="17BD9408"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Президентство Д. А. Медведева (2008-2012 гг.) обусловило начало политики государства по крайней мере в двух сферах: 1) в инновационном развитии (проект «Сколково»), 2) на финансовых рынках (проект создания МФЦ в Москве). В нашем исследовании мы остановимся на втором пункте. С политической точки зрения, желание нынешнего российского руководства, которое </w:t>
      </w:r>
      <w:r>
        <w:rPr>
          <w:rFonts w:ascii="Times New Roman" w:hAnsi="Times New Roman" w:cs="Times New Roman"/>
          <w:color w:val="000000"/>
          <w:sz w:val="24"/>
          <w:szCs w:val="24"/>
          <w:shd w:val="clear" w:color="auto" w:fill="FFFFFF"/>
          <w:lang w:val="ru-RU"/>
        </w:rPr>
        <w:t>начинало свою карьеру в</w:t>
      </w:r>
      <w:r w:rsidRPr="004E7E3E">
        <w:rPr>
          <w:rFonts w:ascii="Times New Roman" w:hAnsi="Times New Roman" w:cs="Times New Roman"/>
          <w:color w:val="000000"/>
          <w:sz w:val="24"/>
          <w:szCs w:val="24"/>
          <w:shd w:val="clear" w:color="auto" w:fill="FFFFFF"/>
          <w:lang w:val="ru-RU"/>
        </w:rPr>
        <w:t xml:space="preserve"> Санкт-Петербург</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всегда считавшегося «окном в Европу», создать МФЦ в Москве – прорубить «окно» в мир международных финансов – весьма символично. </w:t>
      </w:r>
    </w:p>
    <w:p w14:paraId="5EE4AAE8" w14:textId="3679BC71" w:rsidR="000B0CE0" w:rsidRPr="004E7E3E" w:rsidRDefault="000B0CE0" w:rsidP="000B0CE0">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color w:val="000000"/>
          <w:sz w:val="24"/>
          <w:szCs w:val="24"/>
          <w:shd w:val="clear" w:color="auto" w:fill="FFFFFF"/>
          <w:lang w:val="ru-RU"/>
        </w:rPr>
        <w:t xml:space="preserve">В 2008 году президент </w:t>
      </w:r>
      <w:r>
        <w:rPr>
          <w:rFonts w:ascii="Times New Roman" w:hAnsi="Times New Roman" w:cs="Times New Roman"/>
          <w:color w:val="000000"/>
          <w:sz w:val="24"/>
          <w:szCs w:val="24"/>
          <w:shd w:val="clear" w:color="auto" w:fill="FFFFFF"/>
          <w:lang w:val="ru-RU"/>
        </w:rPr>
        <w:t xml:space="preserve">Д. А. </w:t>
      </w:r>
      <w:r w:rsidRPr="004E7E3E">
        <w:rPr>
          <w:rFonts w:ascii="Times New Roman" w:hAnsi="Times New Roman" w:cs="Times New Roman"/>
          <w:color w:val="000000"/>
          <w:sz w:val="24"/>
          <w:szCs w:val="24"/>
          <w:shd w:val="clear" w:color="auto" w:fill="FFFFFF"/>
          <w:lang w:val="ru-RU"/>
        </w:rPr>
        <w:t>Медведев выступил с инициативой создания международного финансового центра в Москве: «</w:t>
      </w:r>
      <w:r w:rsidRPr="004E7E3E">
        <w:rPr>
          <w:rFonts w:ascii="Times New Roman" w:hAnsi="Times New Roman" w:cs="Times New Roman"/>
          <w:color w:val="000000"/>
          <w:sz w:val="24"/>
          <w:szCs w:val="24"/>
          <w:lang w:val="ru-RU"/>
        </w:rPr>
        <w:t xml:space="preserve">Превращение Москвы в мощный мировой финансовый центр, а </w:t>
      </w:r>
      <w:r w:rsidRPr="004E7E3E">
        <w:rPr>
          <w:rFonts w:ascii="Times New Roman" w:hAnsi="Times New Roman" w:cs="Times New Roman"/>
          <w:color w:val="000000"/>
          <w:sz w:val="24"/>
          <w:szCs w:val="24"/>
          <w:lang w:val="ru-RU"/>
        </w:rPr>
        <w:lastRenderedPageBreak/>
        <w:t>рубля в одну из ведущих региональных резервных валют – вот это</w:t>
      </w:r>
      <w:r w:rsidRPr="004E7E3E">
        <w:rPr>
          <w:rFonts w:ascii="Times New Roman" w:hAnsi="Times New Roman" w:cs="Times New Roman"/>
          <w:color w:val="000000"/>
          <w:sz w:val="24"/>
          <w:szCs w:val="24"/>
        </w:rPr>
        <w:t> </w:t>
      </w:r>
      <w:r w:rsidRPr="004E7E3E">
        <w:rPr>
          <w:rFonts w:ascii="Times New Roman" w:hAnsi="Times New Roman" w:cs="Times New Roman"/>
          <w:color w:val="000000"/>
          <w:sz w:val="24"/>
          <w:szCs w:val="24"/>
          <w:lang w:val="ru-RU"/>
        </w:rPr>
        <w:t>ключевые составляющие, призванные обеспечить конкурентоспособность нашей финансовой системы, и соответствующий план действий будет принят уже в самое ближайшее время» [</w:t>
      </w:r>
      <w:r w:rsidRPr="004E7E3E">
        <w:rPr>
          <w:rFonts w:ascii="Times New Roman" w:hAnsi="Times New Roman" w:cs="Times New Roman"/>
          <w:color w:val="000000"/>
          <w:sz w:val="24"/>
          <w:szCs w:val="24"/>
          <w:lang w:val="ru-RU"/>
        </w:rPr>
        <w:fldChar w:fldCharType="begin"/>
      </w:r>
      <w:r w:rsidRPr="004E7E3E">
        <w:rPr>
          <w:rFonts w:ascii="Times New Roman" w:hAnsi="Times New Roman" w:cs="Times New Roman"/>
          <w:color w:val="000000"/>
          <w:sz w:val="24"/>
          <w:szCs w:val="24"/>
          <w:lang w:val="ru-RU"/>
        </w:rPr>
        <w:instrText xml:space="preserve"> REF _Ref446790712 \r \h  \* MERGEFORMAT </w:instrText>
      </w:r>
      <w:r w:rsidRPr="004E7E3E">
        <w:rPr>
          <w:rFonts w:ascii="Times New Roman" w:hAnsi="Times New Roman" w:cs="Times New Roman"/>
          <w:color w:val="000000"/>
          <w:sz w:val="24"/>
          <w:szCs w:val="24"/>
          <w:lang w:val="ru-RU"/>
        </w:rPr>
      </w:r>
      <w:r w:rsidRPr="004E7E3E">
        <w:rPr>
          <w:rFonts w:ascii="Times New Roman" w:hAnsi="Times New Roman" w:cs="Times New Roman"/>
          <w:color w:val="000000"/>
          <w:sz w:val="24"/>
          <w:szCs w:val="24"/>
          <w:lang w:val="ru-RU"/>
        </w:rPr>
        <w:fldChar w:fldCharType="separate"/>
      </w:r>
      <w:r w:rsidR="00801D78">
        <w:rPr>
          <w:rFonts w:ascii="Times New Roman" w:hAnsi="Times New Roman" w:cs="Times New Roman"/>
          <w:color w:val="000000"/>
          <w:sz w:val="24"/>
          <w:szCs w:val="24"/>
          <w:lang w:val="ru-RU"/>
        </w:rPr>
        <w:t>1</w:t>
      </w:r>
      <w:r w:rsidRPr="004E7E3E">
        <w:rPr>
          <w:rFonts w:ascii="Times New Roman" w:hAnsi="Times New Roman" w:cs="Times New Roman"/>
          <w:color w:val="000000"/>
          <w:sz w:val="24"/>
          <w:szCs w:val="24"/>
          <w:lang w:val="ru-RU"/>
        </w:rPr>
        <w:fldChar w:fldCharType="end"/>
      </w:r>
      <w:r w:rsidRPr="004E7E3E">
        <w:rPr>
          <w:rFonts w:ascii="Times New Roman" w:hAnsi="Times New Roman" w:cs="Times New Roman"/>
          <w:color w:val="000000"/>
          <w:sz w:val="24"/>
          <w:szCs w:val="24"/>
          <w:lang w:val="ru-RU"/>
        </w:rPr>
        <w:t>]. В</w:t>
      </w:r>
      <w:r>
        <w:rPr>
          <w:rFonts w:ascii="Times New Roman" w:hAnsi="Times New Roman" w:cs="Times New Roman"/>
          <w:color w:val="000000"/>
          <w:sz w:val="24"/>
          <w:szCs w:val="24"/>
          <w:lang w:val="ru-RU"/>
        </w:rPr>
        <w:t> </w:t>
      </w:r>
      <w:r w:rsidRPr="004E7E3E">
        <w:rPr>
          <w:rFonts w:ascii="Times New Roman" w:hAnsi="Times New Roman" w:cs="Times New Roman"/>
          <w:color w:val="000000"/>
          <w:sz w:val="24"/>
          <w:szCs w:val="24"/>
          <w:lang w:val="ru-RU"/>
        </w:rPr>
        <w:t>утверждённой через год после выдвинутой инициативы «Концепции создания международного финансового центра в Российской Федерации» важность программы развития МФЦ в Москве была сформ</w:t>
      </w:r>
      <w:r>
        <w:rPr>
          <w:rFonts w:ascii="Times New Roman" w:hAnsi="Times New Roman" w:cs="Times New Roman"/>
          <w:color w:val="000000"/>
          <w:sz w:val="24"/>
          <w:szCs w:val="24"/>
          <w:lang w:val="ru-RU"/>
        </w:rPr>
        <w:t>ул</w:t>
      </w:r>
      <w:r w:rsidRPr="004E7E3E">
        <w:rPr>
          <w:rFonts w:ascii="Times New Roman" w:hAnsi="Times New Roman" w:cs="Times New Roman"/>
          <w:color w:val="000000"/>
          <w:sz w:val="24"/>
          <w:szCs w:val="24"/>
          <w:lang w:val="ru-RU"/>
        </w:rPr>
        <w:t>ирована безапелляционно: «</w:t>
      </w:r>
      <w:r w:rsidRPr="004E7E3E">
        <w:rPr>
          <w:rFonts w:ascii="Times New Roman" w:hAnsi="Times New Roman" w:cs="Times New Roman"/>
          <w:sz w:val="24"/>
          <w:szCs w:val="24"/>
          <w:lang w:val="ru-RU"/>
        </w:rPr>
        <w:t>В долгосрочной перспективе перед Россией стоит выбор между двумя альтернативами: либо формирование на основе развитого национального рынка финансового центра мирового или регионального значения, либо исчезновение национального финансового рынка как такового»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_Ref446785527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8</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xml:space="preserve">. 5]. После «рокировки» в «тандеме» в 2012 году приоритеты по развитию МФЦ в Москве сохранились и наполнились конкретным содержанием. Согласно новой Дорожной карте, утверждённой правительством РФ, Москва в рейтинге </w:t>
      </w:r>
      <w:r w:rsidRPr="004E7E3E">
        <w:rPr>
          <w:rFonts w:ascii="Times New Roman" w:hAnsi="Times New Roman" w:cs="Times New Roman"/>
          <w:sz w:val="24"/>
          <w:szCs w:val="24"/>
        </w:rPr>
        <w:t>Z</w:t>
      </w:r>
      <w:r w:rsidRPr="004E7E3E">
        <w:rPr>
          <w:rFonts w:ascii="Times New Roman" w:hAnsi="Times New Roman" w:cs="Times New Roman"/>
          <w:sz w:val="24"/>
          <w:szCs w:val="24"/>
          <w:lang w:val="ru-RU"/>
        </w:rPr>
        <w:t>/</w:t>
      </w:r>
      <w:r w:rsidRPr="004E7E3E">
        <w:rPr>
          <w:rFonts w:ascii="Times New Roman" w:hAnsi="Times New Roman" w:cs="Times New Roman"/>
          <w:sz w:val="24"/>
          <w:szCs w:val="24"/>
        </w:rPr>
        <w:t>Yen</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Long</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Finance</w:t>
      </w:r>
      <w:r w:rsidRPr="004E7E3E">
        <w:rPr>
          <w:rFonts w:ascii="Times New Roman" w:hAnsi="Times New Roman" w:cs="Times New Roman"/>
          <w:sz w:val="24"/>
          <w:szCs w:val="24"/>
          <w:lang w:val="ru-RU"/>
        </w:rPr>
        <w:t>), занимая 65-ю строчку в 2013 году, в 2014 году должна была подняться в топ-40, а в 2015 войти в топ-25</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и к 2018 году оказаться в числе пятнадцати лучших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_Ref446787400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20</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xml:space="preserve">. 18]. Однако в последнем на данный момент 22-м выпуске </w:t>
      </w:r>
      <w:r w:rsidRPr="004E7E3E">
        <w:rPr>
          <w:rFonts w:ascii="Times New Roman" w:hAnsi="Times New Roman" w:cs="Times New Roman"/>
          <w:sz w:val="24"/>
          <w:szCs w:val="24"/>
        </w:rPr>
        <w:t>GFCI</w:t>
      </w:r>
      <w:r w:rsidRPr="004E7E3E">
        <w:rPr>
          <w:rFonts w:ascii="Times New Roman" w:hAnsi="Times New Roman" w:cs="Times New Roman"/>
          <w:sz w:val="24"/>
          <w:szCs w:val="24"/>
          <w:lang w:val="ru-RU"/>
        </w:rPr>
        <w:t xml:space="preserve"> Москва занимает лишь 89</w:t>
      </w:r>
      <w:r>
        <w:rPr>
          <w:rFonts w:ascii="Times New Roman" w:hAnsi="Times New Roman" w:cs="Times New Roman"/>
          <w:sz w:val="24"/>
          <w:szCs w:val="24"/>
          <w:lang w:val="ru-RU"/>
        </w:rPr>
        <w:noBreakHyphen/>
        <w:t>ю</w:t>
      </w:r>
      <w:r w:rsidRPr="004E7E3E">
        <w:rPr>
          <w:rFonts w:ascii="Times New Roman" w:hAnsi="Times New Roman" w:cs="Times New Roman"/>
          <w:sz w:val="24"/>
          <w:szCs w:val="24"/>
          <w:lang w:val="ru-RU"/>
        </w:rPr>
        <w:t xml:space="preserve"> строчку. Давайте проанализируем причину неудачи.</w:t>
      </w:r>
    </w:p>
    <w:p w14:paraId="057D625F" w14:textId="2D462DFD"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Исторически первые разговоры о создании МФЦ начались в 2006 году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_Ref446790712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Вероятно, это было связано с выходом первой публикации агентства </w:t>
      </w:r>
      <w:r w:rsidRPr="004E7E3E">
        <w:rPr>
          <w:rFonts w:ascii="Times New Roman" w:hAnsi="Times New Roman" w:cs="Times New Roman"/>
          <w:color w:val="000000"/>
          <w:sz w:val="24"/>
          <w:szCs w:val="24"/>
          <w:shd w:val="clear" w:color="auto" w:fill="FFFFFF"/>
        </w:rPr>
        <w:t>Z</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rPr>
        <w:t>Yen</w:t>
      </w:r>
      <w:r w:rsidRPr="004E7E3E">
        <w:rPr>
          <w:rFonts w:ascii="Times New Roman" w:hAnsi="Times New Roman" w:cs="Times New Roman"/>
          <w:color w:val="000000"/>
          <w:sz w:val="24"/>
          <w:szCs w:val="24"/>
          <w:shd w:val="clear" w:color="auto" w:fill="FFFFFF"/>
          <w:lang w:val="ru-RU"/>
        </w:rPr>
        <w:t xml:space="preserve"> о финансовых центрах – «Конкурентная позиция Лондона как международного финансового центра»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_Ref446790981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229</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Когда появился рейтинг глобальных финансовых центров</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и столица страны, которая уверенно по размеру ВВП входит в 10-ку, не вошла даже в топ-50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_Ref446780226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185</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8], российские власти посчитали это вызовом. Очевидно, что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раз страна по ВВП входит в топ-10, то и её центр должен находиться не ниже 10-го места, а не в конце списка. </w:t>
      </w:r>
    </w:p>
    <w:p w14:paraId="3633930E" w14:textId="6F60F726"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Инициатива по созданию МФЦ в Москве появилась в условиях, когда в национальной банковской системе был накоплен большой запас иностранной валюты (прежде всего нефтедолларов) от экспортной выручки, к тому же нерезиденты составляли большую долю участников фондового рынка (это был спекулятивный капитал, но всё же), а в экономике наблюдался стабильный экономический рост. Перед государством встала проблема рециклирования валюты во благо своей экономики и развития национального бизнеса. Казалось, нужно было лишь усилить стабильность банковской системы, и амбиции о признании рубля в качестве средства международных расчётов (резервной валюты) претворятся в жизнь [</w:t>
      </w:r>
      <w:r w:rsidRPr="004E7E3E">
        <w:rPr>
          <w:rFonts w:ascii="Times New Roman" w:hAnsi="Times New Roman" w:cs="Times New Roman"/>
          <w:color w:val="000000"/>
          <w:sz w:val="24"/>
          <w:szCs w:val="24"/>
          <w:shd w:val="clear" w:color="auto" w:fill="FFFFFF"/>
        </w:rPr>
        <w:fldChar w:fldCharType="begin"/>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 xml:space="preserve"> _</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497916899 \</w:instrText>
      </w:r>
      <w:r w:rsidRPr="004E7E3E">
        <w:rPr>
          <w:rFonts w:ascii="Times New Roman" w:hAnsi="Times New Roman" w:cs="Times New Roman"/>
          <w:color w:val="000000"/>
          <w:sz w:val="24"/>
          <w:szCs w:val="24"/>
          <w:shd w:val="clear" w:color="auto" w:fill="FFFFFF"/>
        </w:rPr>
        <w:instrText>r</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h</w:instrText>
      </w:r>
      <w:r w:rsidRPr="004E7E3E">
        <w:rPr>
          <w:rFonts w:ascii="Times New Roman" w:hAnsi="Times New Roman" w:cs="Times New Roman"/>
          <w:color w:val="000000"/>
          <w:sz w:val="24"/>
          <w:szCs w:val="24"/>
          <w:shd w:val="clear" w:color="auto" w:fill="FFFFFF"/>
          <w:lang w:val="ru-RU"/>
        </w:rPr>
        <w:instrText xml:space="preserve">  \* </w:instrText>
      </w:r>
      <w:r w:rsidRPr="004E7E3E">
        <w:rPr>
          <w:rFonts w:ascii="Times New Roman" w:hAnsi="Times New Roman" w:cs="Times New Roman"/>
          <w:color w:val="000000"/>
          <w:sz w:val="24"/>
          <w:szCs w:val="24"/>
          <w:shd w:val="clear" w:color="auto" w:fill="FFFFFF"/>
        </w:rPr>
        <w:instrText>MERGEFORMAT</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r>
      <w:r w:rsidRPr="004E7E3E">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102</w:t>
      </w:r>
      <w:r w:rsidRPr="004E7E3E">
        <w:rPr>
          <w:rFonts w:ascii="Times New Roman" w:hAnsi="Times New Roman" w:cs="Times New Roman"/>
          <w:color w:val="000000"/>
          <w:sz w:val="24"/>
          <w:szCs w:val="24"/>
          <w:shd w:val="clear" w:color="auto" w:fill="FFFFFF"/>
        </w:rPr>
        <w:fldChar w:fldCharType="end"/>
      </w:r>
      <w:r w:rsidRPr="004E7E3E">
        <w:rPr>
          <w:rFonts w:ascii="Times New Roman" w:hAnsi="Times New Roman" w:cs="Times New Roman"/>
          <w:color w:val="000000"/>
          <w:sz w:val="24"/>
          <w:szCs w:val="24"/>
          <w:shd w:val="clear" w:color="auto" w:fill="FFFFFF"/>
          <w:lang w:val="ru-RU"/>
        </w:rPr>
        <w:t>, с. 233-224]</w:t>
      </w:r>
      <w:r>
        <w:rPr>
          <w:rFonts w:ascii="Times New Roman" w:hAnsi="Times New Roman" w:cs="Times New Roman"/>
          <w:color w:val="000000"/>
          <w:sz w:val="24"/>
          <w:szCs w:val="24"/>
          <w:shd w:val="clear" w:color="auto" w:fill="FFFFFF"/>
          <w:lang w:val="ru-RU"/>
        </w:rPr>
        <w:t>.</w:t>
      </w:r>
    </w:p>
    <w:p w14:paraId="739D50EE" w14:textId="09873A10"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Идея создания МФЦ в Москве не была основной в речи Дмитрия Медведева на Петербургском международном экономическом форуме в июне 2008 года. В ней содержался выпад против США. Президент говорил, что эта страна не должна подменять собой мировое </w:t>
      </w:r>
      <w:r w:rsidRPr="004E7E3E">
        <w:rPr>
          <w:rFonts w:ascii="Times New Roman" w:hAnsi="Times New Roman" w:cs="Times New Roman"/>
          <w:color w:val="000000"/>
          <w:sz w:val="24"/>
          <w:szCs w:val="24"/>
          <w:shd w:val="clear" w:color="auto" w:fill="FFFFFF"/>
          <w:lang w:val="ru-RU"/>
        </w:rPr>
        <w:lastRenderedPageBreak/>
        <w:t>правительство. Создание же МФЦ было лишь одним из элементов общей стратегии по созданию нового «многополярного» мира, в котором Россия должна была занять заметную роль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_Ref446790712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p>
    <w:p w14:paraId="7536BA49"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Условно историю создания и развития МФЦ в Москве можно разделить на 3 этапа: 1) «нормативно-правовой» (2008-2011), 2) «инфраструктурный» (2011-2016), 3) третий этап начался год назад, пока результаты его неясны, но, судя по заявлениям разных экспертов, он будет посвящён </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улучшению делового климата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очень условно назовём его «инвестиционным».</w:t>
      </w:r>
    </w:p>
    <w:p w14:paraId="4F957E3A" w14:textId="77777777"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Первый этап развития МФЦ в Москве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основном</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проходил в коридорах правительственных структур. Он охватывает 2008–2011 год</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xml:space="preserve"> – период действия первой рабочей карты. Начало международного финансового кризиса затормозило этот проект, но через год появилась концепция создания МФЦ в России и </w:t>
      </w:r>
      <w:r>
        <w:rPr>
          <w:rFonts w:ascii="Times New Roman" w:hAnsi="Times New Roman" w:cs="Times New Roman"/>
          <w:color w:val="000000"/>
          <w:sz w:val="24"/>
          <w:szCs w:val="24"/>
          <w:shd w:val="clear" w:color="auto" w:fill="FFFFFF"/>
          <w:lang w:val="ru-RU"/>
        </w:rPr>
        <w:t xml:space="preserve">был </w:t>
      </w:r>
      <w:r w:rsidRPr="004E7E3E">
        <w:rPr>
          <w:rFonts w:ascii="Times New Roman" w:hAnsi="Times New Roman" w:cs="Times New Roman"/>
          <w:color w:val="000000"/>
          <w:sz w:val="24"/>
          <w:szCs w:val="24"/>
          <w:shd w:val="clear" w:color="auto" w:fill="FFFFFF"/>
          <w:lang w:val="ru-RU"/>
        </w:rPr>
        <w:t xml:space="preserve">утверждён план мероприятий по </w:t>
      </w:r>
      <w:r>
        <w:rPr>
          <w:rFonts w:ascii="Times New Roman" w:hAnsi="Times New Roman" w:cs="Times New Roman"/>
          <w:color w:val="000000"/>
          <w:sz w:val="24"/>
          <w:szCs w:val="24"/>
          <w:shd w:val="clear" w:color="auto" w:fill="FFFFFF"/>
          <w:lang w:val="ru-RU"/>
        </w:rPr>
        <w:t xml:space="preserve">его </w:t>
      </w:r>
      <w:r w:rsidRPr="004E7E3E">
        <w:rPr>
          <w:rFonts w:ascii="Times New Roman" w:hAnsi="Times New Roman" w:cs="Times New Roman"/>
          <w:color w:val="000000"/>
          <w:sz w:val="24"/>
          <w:szCs w:val="24"/>
          <w:shd w:val="clear" w:color="auto" w:fill="FFFFFF"/>
          <w:lang w:val="ru-RU"/>
        </w:rPr>
        <w:t>созданию. В 2010 году был принят закон об инсайдерской информации и разработаны поправки к закону «О рынке ценных бумаг», целью которого было упрощение эмиссии ценных бумаг. Важной вехой в развитии МФЦ стало формирование на базе Федерально</w:t>
      </w:r>
      <w:r>
        <w:rPr>
          <w:rFonts w:ascii="Times New Roman" w:hAnsi="Times New Roman" w:cs="Times New Roman"/>
          <w:color w:val="000000"/>
          <w:sz w:val="24"/>
          <w:szCs w:val="24"/>
          <w:shd w:val="clear" w:color="auto" w:fill="FFFFFF"/>
          <w:lang w:val="ru-RU"/>
        </w:rPr>
        <w:t>й</w:t>
      </w:r>
      <w:r w:rsidRPr="004E7E3E">
        <w:rPr>
          <w:rFonts w:ascii="Times New Roman" w:hAnsi="Times New Roman" w:cs="Times New Roman"/>
          <w:color w:val="000000"/>
          <w:sz w:val="24"/>
          <w:szCs w:val="24"/>
          <w:shd w:val="clear" w:color="auto" w:fill="FFFFFF"/>
          <w:lang w:val="ru-RU"/>
        </w:rPr>
        <w:t xml:space="preserve"> службы по финансовым рынкам мегарегулятора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необходимого для активного развития этой сферы. В 2011 году в подчинение данной службы была передана другая структура – Федеральная служба страхового надзора. </w:t>
      </w:r>
    </w:p>
    <w:p w14:paraId="35184CB7" w14:textId="461FF258" w:rsidR="000B0CE0" w:rsidRPr="004E7E3E" w:rsidRDefault="000B0CE0" w:rsidP="000B0CE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Второй этап начался с назначением Председателем Рабочей группы по созданию МФЦ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Москве А. С. Волошина в 2010 году. </w:t>
      </w:r>
      <w:r>
        <w:rPr>
          <w:rFonts w:ascii="Times New Roman" w:hAnsi="Times New Roman" w:cs="Times New Roman"/>
          <w:color w:val="000000"/>
          <w:sz w:val="24"/>
          <w:szCs w:val="24"/>
          <w:shd w:val="clear" w:color="auto" w:fill="FFFFFF"/>
          <w:lang w:val="ru-RU"/>
        </w:rPr>
        <w:t>Рабочая группа</w:t>
      </w:r>
      <w:r w:rsidRPr="004E7E3E">
        <w:rPr>
          <w:rFonts w:ascii="Times New Roman" w:hAnsi="Times New Roman" w:cs="Times New Roman"/>
          <w:color w:val="000000"/>
          <w:sz w:val="24"/>
          <w:szCs w:val="24"/>
          <w:shd w:val="clear" w:color="auto" w:fill="FFFFFF"/>
          <w:lang w:val="ru-RU"/>
        </w:rPr>
        <w:t xml:space="preserve"> включа</w:t>
      </w:r>
      <w:r>
        <w:rPr>
          <w:rFonts w:ascii="Times New Roman" w:hAnsi="Times New Roman" w:cs="Times New Roman"/>
          <w:color w:val="000000"/>
          <w:sz w:val="24"/>
          <w:szCs w:val="24"/>
          <w:shd w:val="clear" w:color="auto" w:fill="FFFFFF"/>
          <w:lang w:val="ru-RU"/>
        </w:rPr>
        <w:t>ла</w:t>
      </w:r>
      <w:r w:rsidRPr="004E7E3E">
        <w:rPr>
          <w:rFonts w:ascii="Times New Roman" w:hAnsi="Times New Roman" w:cs="Times New Roman"/>
          <w:color w:val="000000"/>
          <w:sz w:val="24"/>
          <w:szCs w:val="24"/>
          <w:shd w:val="clear" w:color="auto" w:fill="FFFFFF"/>
          <w:lang w:val="ru-RU"/>
        </w:rPr>
        <w:t xml:space="preserve"> 7 проектных групп, руководители которых утверждаются Администрацией Президента. В это же время был </w:t>
      </w:r>
      <w:r>
        <w:rPr>
          <w:rFonts w:ascii="Times New Roman" w:hAnsi="Times New Roman" w:cs="Times New Roman"/>
          <w:color w:val="000000"/>
          <w:sz w:val="24"/>
          <w:szCs w:val="24"/>
          <w:shd w:val="clear" w:color="auto" w:fill="FFFFFF"/>
          <w:lang w:val="ru-RU"/>
        </w:rPr>
        <w:t>сформирован</w:t>
      </w:r>
      <w:r w:rsidRPr="004E7E3E">
        <w:rPr>
          <w:rFonts w:ascii="Times New Roman" w:hAnsi="Times New Roman" w:cs="Times New Roman"/>
          <w:color w:val="000000"/>
          <w:sz w:val="24"/>
          <w:szCs w:val="24"/>
          <w:shd w:val="clear" w:color="auto" w:fill="FFFFFF"/>
          <w:lang w:val="ru-RU"/>
        </w:rPr>
        <w:t xml:space="preserve"> Международный консультационный совет по созданию и развитию МФЦ (в него вошли представители международного финансового бизнеса), а также был создан некоммерческий фонд «Аналитический центр «Форум», в обязанности которого входит ведение сайта МФЦ в Москве </w:t>
      </w:r>
      <w:r>
        <w:rPr>
          <w:rFonts w:ascii="Times New Roman" w:hAnsi="Times New Roman" w:cs="Times New Roman"/>
          <w:color w:val="000000"/>
          <w:sz w:val="24"/>
          <w:szCs w:val="24"/>
          <w:shd w:val="clear" w:color="auto" w:fill="FFFFFF"/>
          <w:lang w:val="ru-RU"/>
        </w:rPr>
        <w:t>(</w:t>
      </w:r>
      <w:hyperlink r:id="rId27" w:tooltip="http://www" w:history="1">
        <w:r w:rsidRPr="004E7E3E">
          <w:rPr>
            <w:rStyle w:val="a9"/>
            <w:rFonts w:ascii="Times New Roman" w:hAnsi="Times New Roman" w:cs="Times New Roman"/>
            <w:sz w:val="24"/>
            <w:szCs w:val="24"/>
            <w:shd w:val="clear" w:color="auto" w:fill="FFFFFF"/>
            <w:lang w:val="ru-RU"/>
          </w:rPr>
          <w:t>http://www</w:t>
        </w:r>
      </w:hyperlink>
      <w:r w:rsidRPr="004E7E3E">
        <w:rPr>
          <w:rFonts w:ascii="Times New Roman" w:hAnsi="Times New Roman" w:cs="Times New Roman"/>
          <w:color w:val="000000"/>
          <w:sz w:val="24"/>
          <w:szCs w:val="24"/>
          <w:shd w:val="clear" w:color="auto" w:fill="FFFFFF"/>
          <w:lang w:val="ru-RU"/>
        </w:rPr>
        <w:t>.mfc-moscow.com). Уже при Волошине был принят закон о клиринге, «О Центральном депозитарии» (был выбран менее затратный вариант создания главного депозитария на основе депозитария ММВБ) и состоялось объединение двух крупнейших биржевых площадок – РТС и ММВБ. В 2012 году была принята новая дорожная карта по развитию МФЦ в Москве, предусматривающая более 50 конкретных мероприятий по изменению в законодательстве и совершенствованию налоговой системы и финансовой инфраструктуры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_Ref446787400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20</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Успешная деятельность ЦБ РФ по регламентированию банковского сектора была высоко оценена экспертным сообществом и повлияла на стратегию формирования мегарегулятора финансовых рынков. В 2013 году Федеральная служба по фондовым рынкам (ФСФР) была упразднена, её функции были переданы Банку России. Таким образом, ЦБ объединил функции регулятора на банковском, страховом и фондовом рынк</w:t>
      </w:r>
      <w:r>
        <w:rPr>
          <w:rFonts w:ascii="Times New Roman" w:hAnsi="Times New Roman" w:cs="Times New Roman"/>
          <w:color w:val="000000"/>
          <w:sz w:val="24"/>
          <w:szCs w:val="24"/>
          <w:shd w:val="clear" w:color="auto" w:fill="FFFFFF"/>
          <w:lang w:val="ru-RU"/>
        </w:rPr>
        <w:t>ах</w:t>
      </w:r>
      <w:r w:rsidRPr="004E7E3E">
        <w:rPr>
          <w:rFonts w:ascii="Times New Roman" w:hAnsi="Times New Roman" w:cs="Times New Roman"/>
          <w:color w:val="000000"/>
          <w:sz w:val="24"/>
          <w:szCs w:val="24"/>
          <w:shd w:val="clear" w:color="auto" w:fill="FFFFFF"/>
          <w:lang w:val="ru-RU"/>
        </w:rPr>
        <w:t xml:space="preserve">. В этом же году было утверждено место размещения МФЦ – </w:t>
      </w:r>
      <w:r>
        <w:rPr>
          <w:rFonts w:ascii="Times New Roman" w:hAnsi="Times New Roman" w:cs="Times New Roman"/>
          <w:color w:val="000000"/>
          <w:sz w:val="24"/>
          <w:szCs w:val="24"/>
          <w:shd w:val="clear" w:color="auto" w:fill="FFFFFF"/>
          <w:lang w:val="ru-RU"/>
        </w:rPr>
        <w:t xml:space="preserve">площадка </w:t>
      </w:r>
      <w:r w:rsidRPr="004E7E3E">
        <w:rPr>
          <w:rFonts w:ascii="Times New Roman" w:hAnsi="Times New Roman" w:cs="Times New Roman"/>
          <w:color w:val="000000"/>
          <w:sz w:val="24"/>
          <w:szCs w:val="24"/>
          <w:shd w:val="clear" w:color="auto" w:fill="FFFFFF"/>
          <w:lang w:val="ru-RU"/>
        </w:rPr>
        <w:t xml:space="preserve">Рублёво-Архангельское. Также </w:t>
      </w:r>
      <w:r w:rsidRPr="004E7E3E">
        <w:rPr>
          <w:rFonts w:ascii="Times New Roman" w:hAnsi="Times New Roman" w:cs="Times New Roman"/>
          <w:color w:val="000000"/>
          <w:sz w:val="24"/>
          <w:szCs w:val="24"/>
          <w:shd w:val="clear" w:color="auto" w:fill="FFFFFF"/>
          <w:lang w:val="ru-RU"/>
        </w:rPr>
        <w:lastRenderedPageBreak/>
        <w:t>с</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2012</w:t>
      </w:r>
      <w:r>
        <w:rPr>
          <w:rFonts w:ascii="Times New Roman" w:hAnsi="Times New Roman" w:cs="Times New Roman"/>
          <w:color w:val="000000"/>
          <w:sz w:val="24"/>
          <w:szCs w:val="24"/>
          <w:shd w:val="clear" w:color="auto" w:fill="FFFFFF"/>
          <w:lang w:val="ru-RU"/>
        </w:rPr>
        <w:t> года</w:t>
      </w:r>
      <w:r w:rsidRPr="004E7E3E">
        <w:rPr>
          <w:rFonts w:ascii="Times New Roman" w:hAnsi="Times New Roman" w:cs="Times New Roman"/>
          <w:color w:val="000000"/>
          <w:sz w:val="24"/>
          <w:szCs w:val="24"/>
          <w:shd w:val="clear" w:color="auto" w:fill="FFFFFF"/>
          <w:lang w:val="ru-RU"/>
        </w:rPr>
        <w:t xml:space="preserve"> и по настоящее время был принят ряд законов и поправок к Налоговому и</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Гражданскому кодексам для гармонизации отечественного законодательства с</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международными практиками в области финансовых рынков, негосударственных фондов, корпоративного управления.</w:t>
      </w:r>
    </w:p>
    <w:p w14:paraId="0043D390" w14:textId="05D8454E" w:rsidR="000B0CE0" w:rsidRPr="004E7E3E" w:rsidRDefault="000B0CE0" w:rsidP="000B0CE0">
      <w:pPr>
        <w:spacing w:after="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Завершением второго этапа можно считать момент, когда Председатель Правительства РФ Дмитрий Медведев подписал распоряжение Правительства №2085-р от 5 октября 2016 г., в</w:t>
      </w:r>
      <w:r>
        <w:rPr>
          <w:rFonts w:ascii="Times New Roman" w:hAnsi="Times New Roman" w:cs="Times New Roman"/>
          <w:sz w:val="24"/>
          <w:szCs w:val="24"/>
          <w:lang w:val="ru-RU"/>
        </w:rPr>
        <w:t> </w:t>
      </w:r>
      <w:r w:rsidRPr="004E7E3E">
        <w:rPr>
          <w:rFonts w:ascii="Times New Roman" w:hAnsi="Times New Roman" w:cs="Times New Roman"/>
          <w:sz w:val="24"/>
          <w:szCs w:val="24"/>
          <w:lang w:val="ru-RU"/>
        </w:rPr>
        <w:t>соответствии с которым признается утратившим силу распоряжение Правительства № 1012 от</w:t>
      </w:r>
      <w:r>
        <w:rPr>
          <w:rFonts w:ascii="Times New Roman" w:hAnsi="Times New Roman" w:cs="Times New Roman"/>
          <w:sz w:val="24"/>
          <w:szCs w:val="24"/>
          <w:lang w:val="ru-RU"/>
        </w:rPr>
        <w:t> </w:t>
      </w:r>
      <w:r w:rsidRPr="004E7E3E">
        <w:rPr>
          <w:rFonts w:ascii="Times New Roman" w:hAnsi="Times New Roman" w:cs="Times New Roman"/>
          <w:sz w:val="24"/>
          <w:szCs w:val="24"/>
          <w:lang w:val="ru-RU"/>
        </w:rPr>
        <w:t xml:space="preserve">19 июня 2013 г. («Об утверждении плана мероприятий (дорожной карты) «Создание международного финансового центра и улучшение инвестиционного климата в Российской Федерации»). </w:t>
      </w:r>
      <w:r w:rsidRPr="004E7E3E">
        <w:rPr>
          <w:rFonts w:ascii="Times New Roman" w:hAnsi="Times New Roman" w:cs="Times New Roman"/>
          <w:color w:val="000000"/>
          <w:sz w:val="24"/>
          <w:szCs w:val="24"/>
          <w:shd w:val="clear" w:color="auto" w:fill="FFFFFF"/>
          <w:lang w:val="ru-RU"/>
        </w:rPr>
        <w:t>А. С. Волошин подвёл итоги второго этапа следующим комментарием: «</w:t>
      </w:r>
      <w:r w:rsidRPr="004E7E3E">
        <w:rPr>
          <w:rFonts w:ascii="Times New Roman" w:hAnsi="Times New Roman" w:cs="Times New Roman"/>
          <w:sz w:val="24"/>
          <w:szCs w:val="24"/>
          <w:lang w:val="ru-RU"/>
        </w:rPr>
        <w:t>За эти три года государству и финансовой индустрии удалось серьезно продвинуться в улучшении системы регулирования на финансовом рынке, в сфере строительства конкурентоспособной финансовой инфраструктуры, в формировании качественно новых стандартов корпоративного управления, в</w:t>
      </w:r>
      <w:r>
        <w:rPr>
          <w:rFonts w:ascii="Times New Roman" w:hAnsi="Times New Roman" w:cs="Times New Roman"/>
          <w:sz w:val="24"/>
          <w:szCs w:val="24"/>
          <w:lang w:val="ru-RU"/>
        </w:rPr>
        <w:t> </w:t>
      </w:r>
      <w:r w:rsidRPr="004E7E3E">
        <w:rPr>
          <w:rFonts w:ascii="Times New Roman" w:hAnsi="Times New Roman" w:cs="Times New Roman"/>
          <w:sz w:val="24"/>
          <w:szCs w:val="24"/>
          <w:lang w:val="ru-RU"/>
        </w:rPr>
        <w:t xml:space="preserve">других сферах». </w:t>
      </w:r>
      <w:r w:rsidRPr="00616E38">
        <w:rPr>
          <w:rFonts w:ascii="Times New Roman" w:hAnsi="Times New Roman" w:cs="Times New Roman"/>
          <w:sz w:val="24"/>
          <w:szCs w:val="24"/>
          <w:lang w:val="ru-RU"/>
        </w:rPr>
        <w:t>[</w:t>
      </w:r>
      <w:r w:rsidRPr="004E7E3E">
        <w:rPr>
          <w:rFonts w:ascii="Times New Roman" w:hAnsi="Times New Roman" w:cs="Times New Roman"/>
          <w:sz w:val="24"/>
          <w:szCs w:val="24"/>
        </w:rPr>
        <w:fldChar w:fldCharType="begin"/>
      </w:r>
      <w:r w:rsidRPr="00616E38">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REF</w:instrText>
      </w:r>
      <w:r w:rsidRPr="00616E38">
        <w:rPr>
          <w:rFonts w:ascii="Times New Roman" w:hAnsi="Times New Roman" w:cs="Times New Roman"/>
          <w:sz w:val="24"/>
          <w:szCs w:val="24"/>
          <w:lang w:val="ru-RU"/>
        </w:rPr>
        <w:instrText xml:space="preserve"> _</w:instrText>
      </w:r>
      <w:r w:rsidRPr="004E7E3E">
        <w:rPr>
          <w:rFonts w:ascii="Times New Roman" w:hAnsi="Times New Roman" w:cs="Times New Roman"/>
          <w:sz w:val="24"/>
          <w:szCs w:val="24"/>
        </w:rPr>
        <w:instrText>Ref</w:instrText>
      </w:r>
      <w:r w:rsidRPr="00616E38">
        <w:rPr>
          <w:rFonts w:ascii="Times New Roman" w:hAnsi="Times New Roman" w:cs="Times New Roman"/>
          <w:sz w:val="24"/>
          <w:szCs w:val="24"/>
          <w:lang w:val="ru-RU"/>
        </w:rPr>
        <w:instrText>498100474 \</w:instrText>
      </w:r>
      <w:r w:rsidRPr="004E7E3E">
        <w:rPr>
          <w:rFonts w:ascii="Times New Roman" w:hAnsi="Times New Roman" w:cs="Times New Roman"/>
          <w:sz w:val="24"/>
          <w:szCs w:val="24"/>
        </w:rPr>
        <w:instrText>r</w:instrText>
      </w:r>
      <w:r w:rsidRPr="00616E38">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h</w:instrText>
      </w:r>
      <w:r w:rsidRPr="00616E38">
        <w:rPr>
          <w:rFonts w:ascii="Times New Roman" w:hAnsi="Times New Roman" w:cs="Times New Roman"/>
          <w:sz w:val="24"/>
          <w:szCs w:val="24"/>
          <w:lang w:val="ru-RU"/>
        </w:rPr>
        <w:instrText xml:space="preserve">  \* </w:instrText>
      </w:r>
      <w:r w:rsidRPr="004E7E3E">
        <w:rPr>
          <w:rFonts w:ascii="Times New Roman" w:hAnsi="Times New Roman" w:cs="Times New Roman"/>
          <w:sz w:val="24"/>
          <w:szCs w:val="24"/>
        </w:rPr>
        <w:instrText>MERGEFORMAT</w:instrText>
      </w:r>
      <w:r w:rsidRPr="00616E38">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r>
      <w:r w:rsidRPr="004E7E3E">
        <w:rPr>
          <w:rFonts w:ascii="Times New Roman" w:hAnsi="Times New Roman" w:cs="Times New Roman"/>
          <w:sz w:val="24"/>
          <w:szCs w:val="24"/>
        </w:rPr>
        <w:fldChar w:fldCharType="separate"/>
      </w:r>
      <w:r w:rsidR="00801D78" w:rsidRPr="00801D78">
        <w:rPr>
          <w:rFonts w:ascii="Times New Roman" w:hAnsi="Times New Roman" w:cs="Times New Roman"/>
          <w:sz w:val="24"/>
          <w:szCs w:val="24"/>
          <w:lang w:val="ru-RU"/>
        </w:rPr>
        <w:t>258</w:t>
      </w:r>
      <w:r w:rsidRPr="004E7E3E">
        <w:rPr>
          <w:rFonts w:ascii="Times New Roman" w:hAnsi="Times New Roman" w:cs="Times New Roman"/>
          <w:sz w:val="24"/>
          <w:szCs w:val="24"/>
        </w:rPr>
        <w:fldChar w:fldCharType="end"/>
      </w:r>
      <w:r w:rsidRPr="00616E38">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 xml:space="preserve">К достижения этого этапа, помимо названных, он добавил: </w:t>
      </w:r>
    </w:p>
    <w:p w14:paraId="4517EEF0" w14:textId="77777777" w:rsidR="000B0CE0" w:rsidRPr="004E7E3E" w:rsidRDefault="000B0CE0" w:rsidP="000B0CE0">
      <w:pPr>
        <w:pStyle w:val="af3"/>
        <w:numPr>
          <w:ilvl w:val="0"/>
          <w:numId w:val="8"/>
        </w:numPr>
        <w:spacing w:after="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введение в систему регулирования отраслевых саморегулируемых организаций;</w:t>
      </w:r>
    </w:p>
    <w:p w14:paraId="42364CCC" w14:textId="77777777" w:rsidR="000B0CE0" w:rsidRPr="004E7E3E" w:rsidRDefault="000B0CE0" w:rsidP="000B0CE0">
      <w:pPr>
        <w:pStyle w:val="af3"/>
        <w:numPr>
          <w:ilvl w:val="0"/>
          <w:numId w:val="8"/>
        </w:numPr>
        <w:spacing w:after="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проведение «перезагрузки» негосударственных пенсионных фондов с целью гарантирования пенсионных накоплений;</w:t>
      </w:r>
    </w:p>
    <w:p w14:paraId="382D0DA5" w14:textId="77777777" w:rsidR="000B0CE0" w:rsidRPr="004E7E3E" w:rsidRDefault="000B0CE0" w:rsidP="000B0CE0">
      <w:pPr>
        <w:pStyle w:val="af3"/>
        <w:numPr>
          <w:ilvl w:val="0"/>
          <w:numId w:val="8"/>
        </w:numPr>
        <w:spacing w:after="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создание механизма индивидуального инвестиционного счета;</w:t>
      </w:r>
    </w:p>
    <w:p w14:paraId="33713D1F" w14:textId="77777777" w:rsidR="000B0CE0" w:rsidRPr="004E7E3E" w:rsidRDefault="000B0CE0" w:rsidP="000B0CE0">
      <w:pPr>
        <w:pStyle w:val="af3"/>
        <w:numPr>
          <w:ilvl w:val="0"/>
          <w:numId w:val="8"/>
        </w:numPr>
        <w:spacing w:after="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принятие и введение в практику Кодекса корпоративного управления крупнейшими госкомпаниями;</w:t>
      </w:r>
    </w:p>
    <w:p w14:paraId="1A42A15C" w14:textId="4C0C3D2B" w:rsidR="000B0CE0" w:rsidRPr="004E7E3E" w:rsidRDefault="000B0CE0" w:rsidP="000B0CE0">
      <w:pPr>
        <w:pStyle w:val="af3"/>
        <w:numPr>
          <w:ilvl w:val="0"/>
          <w:numId w:val="8"/>
        </w:numPr>
        <w:spacing w:after="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реформу Гражданского кодекса в виде гармонизации его норм с современными мировыми стандартами. [</w:t>
      </w:r>
      <w:r w:rsidRPr="004E7E3E">
        <w:rPr>
          <w:rFonts w:ascii="Times New Roman" w:hAnsi="Times New Roman" w:cs="Times New Roman"/>
          <w:sz w:val="24"/>
          <w:szCs w:val="24"/>
        </w:rPr>
        <w:fldChar w:fldCharType="begin"/>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REF</w:instrText>
      </w:r>
      <w:r w:rsidRPr="004E7E3E">
        <w:rPr>
          <w:rFonts w:ascii="Times New Roman" w:hAnsi="Times New Roman" w:cs="Times New Roman"/>
          <w:sz w:val="24"/>
          <w:szCs w:val="24"/>
          <w:lang w:val="ru-RU"/>
        </w:rPr>
        <w:instrText xml:space="preserve"> _</w:instrText>
      </w:r>
      <w:r w:rsidRPr="004E7E3E">
        <w:rPr>
          <w:rFonts w:ascii="Times New Roman" w:hAnsi="Times New Roman" w:cs="Times New Roman"/>
          <w:sz w:val="24"/>
          <w:szCs w:val="24"/>
        </w:rPr>
        <w:instrText>Ref</w:instrText>
      </w:r>
      <w:r w:rsidRPr="004E7E3E">
        <w:rPr>
          <w:rFonts w:ascii="Times New Roman" w:hAnsi="Times New Roman" w:cs="Times New Roman"/>
          <w:sz w:val="24"/>
          <w:szCs w:val="24"/>
          <w:lang w:val="ru-RU"/>
        </w:rPr>
        <w:instrText>498100474 \</w:instrText>
      </w:r>
      <w:r w:rsidRPr="004E7E3E">
        <w:rPr>
          <w:rFonts w:ascii="Times New Roman" w:hAnsi="Times New Roman" w:cs="Times New Roman"/>
          <w:sz w:val="24"/>
          <w:szCs w:val="24"/>
        </w:rPr>
        <w:instrText>r</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h</w:instrText>
      </w:r>
      <w:r w:rsidRPr="004E7E3E">
        <w:rPr>
          <w:rFonts w:ascii="Times New Roman" w:hAnsi="Times New Roman" w:cs="Times New Roman"/>
          <w:sz w:val="24"/>
          <w:szCs w:val="24"/>
          <w:lang w:val="ru-RU"/>
        </w:rPr>
        <w:instrText xml:space="preserve">  \* </w:instrText>
      </w:r>
      <w:r w:rsidRPr="004E7E3E">
        <w:rPr>
          <w:rFonts w:ascii="Times New Roman" w:hAnsi="Times New Roman" w:cs="Times New Roman"/>
          <w:sz w:val="24"/>
          <w:szCs w:val="24"/>
        </w:rPr>
        <w:instrText>MERGEFORMAT</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r>
      <w:r w:rsidRPr="004E7E3E">
        <w:rPr>
          <w:rFonts w:ascii="Times New Roman" w:hAnsi="Times New Roman" w:cs="Times New Roman"/>
          <w:sz w:val="24"/>
          <w:szCs w:val="24"/>
        </w:rPr>
        <w:fldChar w:fldCharType="separate"/>
      </w:r>
      <w:r w:rsidR="00801D78" w:rsidRPr="00801D78">
        <w:rPr>
          <w:rFonts w:ascii="Times New Roman" w:hAnsi="Times New Roman" w:cs="Times New Roman"/>
          <w:sz w:val="24"/>
          <w:szCs w:val="24"/>
          <w:lang w:val="ru-RU"/>
        </w:rPr>
        <w:t>258</w:t>
      </w:r>
      <w:r w:rsidRPr="004E7E3E">
        <w:rPr>
          <w:rFonts w:ascii="Times New Roman" w:hAnsi="Times New Roman" w:cs="Times New Roman"/>
          <w:sz w:val="24"/>
          <w:szCs w:val="24"/>
        </w:rPr>
        <w:fldChar w:fldCharType="end"/>
      </w:r>
      <w:r w:rsidRPr="004E7E3E">
        <w:rPr>
          <w:rFonts w:ascii="Times New Roman" w:hAnsi="Times New Roman" w:cs="Times New Roman"/>
          <w:sz w:val="24"/>
          <w:szCs w:val="24"/>
          <w:lang w:val="ru-RU"/>
        </w:rPr>
        <w:t>]</w:t>
      </w:r>
    </w:p>
    <w:p w14:paraId="09350AC3" w14:textId="110157DE"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В начале третьего этапа проект МФЦ в Москве вновь переживает нелёгкие времена. Функционерам, отвечающим за его реализацию, даже приходится подтверждать его актуальность. Из заявлений зам</w:t>
      </w:r>
      <w:r>
        <w:rPr>
          <w:rFonts w:ascii="Times New Roman" w:hAnsi="Times New Roman" w:cs="Times New Roman"/>
          <w:sz w:val="24"/>
          <w:szCs w:val="24"/>
          <w:lang w:val="ru-RU"/>
        </w:rPr>
        <w:t>естителя</w:t>
      </w:r>
      <w:r w:rsidRPr="004E7E3E">
        <w:rPr>
          <w:rFonts w:ascii="Times New Roman" w:hAnsi="Times New Roman" w:cs="Times New Roman"/>
          <w:sz w:val="24"/>
          <w:szCs w:val="24"/>
          <w:lang w:val="ru-RU"/>
        </w:rPr>
        <w:t xml:space="preserve"> министра финансов А. </w:t>
      </w:r>
      <w:r>
        <w:rPr>
          <w:rFonts w:ascii="Times New Roman" w:hAnsi="Times New Roman" w:cs="Times New Roman"/>
          <w:sz w:val="24"/>
          <w:szCs w:val="24"/>
          <w:lang w:val="ru-RU"/>
        </w:rPr>
        <w:t xml:space="preserve">В. </w:t>
      </w:r>
      <w:r w:rsidRPr="004E7E3E">
        <w:rPr>
          <w:rFonts w:ascii="Times New Roman" w:hAnsi="Times New Roman" w:cs="Times New Roman"/>
          <w:sz w:val="24"/>
          <w:szCs w:val="24"/>
          <w:lang w:val="ru-RU"/>
        </w:rPr>
        <w:t xml:space="preserve">Моисеева: </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sz w:val="24"/>
          <w:szCs w:val="24"/>
          <w:lang w:val="ru-RU"/>
        </w:rPr>
        <w:t>Нет, мы не</w:t>
      </w:r>
      <w:r>
        <w:rPr>
          <w:rFonts w:ascii="Times New Roman" w:hAnsi="Times New Roman" w:cs="Times New Roman"/>
          <w:sz w:val="24"/>
          <w:szCs w:val="24"/>
          <w:lang w:val="ru-RU"/>
        </w:rPr>
        <w:t> </w:t>
      </w:r>
      <w:r w:rsidRPr="004E7E3E">
        <w:rPr>
          <w:rFonts w:ascii="Times New Roman" w:hAnsi="Times New Roman" w:cs="Times New Roman"/>
          <w:sz w:val="24"/>
          <w:szCs w:val="24"/>
          <w:lang w:val="ru-RU"/>
        </w:rPr>
        <w:t>отказались от МФЦ, мы исполнили дорожную карту. А теперь мы разрабатываем новую дорожную карту» [</w:t>
      </w:r>
      <w:r w:rsidRPr="004E7E3E">
        <w:rPr>
          <w:rFonts w:ascii="Times New Roman" w:hAnsi="Times New Roman" w:cs="Times New Roman"/>
          <w:sz w:val="24"/>
          <w:szCs w:val="24"/>
        </w:rPr>
        <w:fldChar w:fldCharType="begin"/>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REF</w:instrText>
      </w:r>
      <w:r w:rsidRPr="004E7E3E">
        <w:rPr>
          <w:rFonts w:ascii="Times New Roman" w:hAnsi="Times New Roman" w:cs="Times New Roman"/>
          <w:sz w:val="24"/>
          <w:szCs w:val="24"/>
          <w:lang w:val="ru-RU"/>
        </w:rPr>
        <w:instrText xml:space="preserve"> _</w:instrText>
      </w:r>
      <w:r w:rsidRPr="004E7E3E">
        <w:rPr>
          <w:rFonts w:ascii="Times New Roman" w:hAnsi="Times New Roman" w:cs="Times New Roman"/>
          <w:sz w:val="24"/>
          <w:szCs w:val="24"/>
        </w:rPr>
        <w:instrText>Ref</w:instrText>
      </w:r>
      <w:r w:rsidRPr="004E7E3E">
        <w:rPr>
          <w:rFonts w:ascii="Times New Roman" w:hAnsi="Times New Roman" w:cs="Times New Roman"/>
          <w:sz w:val="24"/>
          <w:szCs w:val="24"/>
          <w:lang w:val="ru-RU"/>
        </w:rPr>
        <w:instrText>498100841 \</w:instrText>
      </w:r>
      <w:r w:rsidRPr="004E7E3E">
        <w:rPr>
          <w:rFonts w:ascii="Times New Roman" w:hAnsi="Times New Roman" w:cs="Times New Roman"/>
          <w:sz w:val="24"/>
          <w:szCs w:val="24"/>
        </w:rPr>
        <w:instrText>r</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h</w:instrText>
      </w:r>
      <w:r w:rsidRPr="004E7E3E">
        <w:rPr>
          <w:rFonts w:ascii="Times New Roman" w:hAnsi="Times New Roman" w:cs="Times New Roman"/>
          <w:sz w:val="24"/>
          <w:szCs w:val="24"/>
          <w:lang w:val="ru-RU"/>
        </w:rPr>
        <w:instrText xml:space="preserve">  \* </w:instrText>
      </w:r>
      <w:r w:rsidRPr="004E7E3E">
        <w:rPr>
          <w:rFonts w:ascii="Times New Roman" w:hAnsi="Times New Roman" w:cs="Times New Roman"/>
          <w:sz w:val="24"/>
          <w:szCs w:val="24"/>
        </w:rPr>
        <w:instrText>MERGEFORMAT</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r>
      <w:r w:rsidRPr="004E7E3E">
        <w:rPr>
          <w:rFonts w:ascii="Times New Roman" w:hAnsi="Times New Roman" w:cs="Times New Roman"/>
          <w:sz w:val="24"/>
          <w:szCs w:val="24"/>
        </w:rPr>
        <w:fldChar w:fldCharType="separate"/>
      </w:r>
      <w:r w:rsidR="00801D78" w:rsidRPr="00801D78">
        <w:rPr>
          <w:rFonts w:ascii="Times New Roman" w:hAnsi="Times New Roman" w:cs="Times New Roman"/>
          <w:sz w:val="24"/>
          <w:szCs w:val="24"/>
          <w:lang w:val="ru-RU"/>
        </w:rPr>
        <w:t>253</w:t>
      </w:r>
      <w:r w:rsidRPr="004E7E3E">
        <w:rPr>
          <w:rFonts w:ascii="Times New Roman" w:hAnsi="Times New Roman" w:cs="Times New Roman"/>
          <w:sz w:val="24"/>
          <w:szCs w:val="24"/>
        </w:rPr>
        <w:fldChar w:fldCharType="end"/>
      </w:r>
      <w:r w:rsidRPr="004E7E3E">
        <w:rPr>
          <w:rFonts w:ascii="Times New Roman" w:hAnsi="Times New Roman" w:cs="Times New Roman"/>
          <w:sz w:val="24"/>
          <w:szCs w:val="24"/>
          <w:lang w:val="ru-RU"/>
        </w:rPr>
        <w:t>]</w:t>
      </w:r>
      <w:r>
        <w:rPr>
          <w:rFonts w:ascii="Times New Roman" w:hAnsi="Times New Roman" w:cs="Times New Roman"/>
          <w:sz w:val="24"/>
          <w:szCs w:val="24"/>
          <w:lang w:val="ru-RU"/>
        </w:rPr>
        <w:t>.</w:t>
      </w:r>
    </w:p>
    <w:p w14:paraId="52EA8121" w14:textId="77777777"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Начало третьего этапа (с конца 2016 – первой половин</w:t>
      </w:r>
      <w:r>
        <w:rPr>
          <w:rFonts w:ascii="Times New Roman" w:hAnsi="Times New Roman" w:cs="Times New Roman"/>
          <w:sz w:val="24"/>
          <w:szCs w:val="24"/>
          <w:lang w:val="ru-RU"/>
        </w:rPr>
        <w:t>ы</w:t>
      </w:r>
      <w:r w:rsidRPr="004E7E3E">
        <w:rPr>
          <w:rFonts w:ascii="Times New Roman" w:hAnsi="Times New Roman" w:cs="Times New Roman"/>
          <w:sz w:val="24"/>
          <w:szCs w:val="24"/>
          <w:lang w:val="ru-RU"/>
        </w:rPr>
        <w:t xml:space="preserve"> 2017 года) было связано </w:t>
      </w:r>
      <w:r>
        <w:rPr>
          <w:rFonts w:ascii="Times New Roman" w:hAnsi="Times New Roman" w:cs="Times New Roman"/>
          <w:sz w:val="24"/>
          <w:szCs w:val="24"/>
          <w:lang w:val="ru-RU"/>
        </w:rPr>
        <w:t>с</w:t>
      </w:r>
      <w:r w:rsidRPr="004E7E3E">
        <w:rPr>
          <w:rFonts w:ascii="Times New Roman" w:hAnsi="Times New Roman" w:cs="Times New Roman"/>
          <w:sz w:val="24"/>
          <w:szCs w:val="24"/>
          <w:lang w:val="ru-RU"/>
        </w:rPr>
        <w:t> завершением инфраструктурных преобразований, начатых ранее: создание</w:t>
      </w:r>
      <w:r>
        <w:rPr>
          <w:rFonts w:ascii="Times New Roman" w:hAnsi="Times New Roman" w:cs="Times New Roman"/>
          <w:sz w:val="24"/>
          <w:szCs w:val="24"/>
          <w:lang w:val="ru-RU"/>
        </w:rPr>
        <w:t>м</w:t>
      </w:r>
      <w:r w:rsidRPr="004E7E3E">
        <w:rPr>
          <w:rFonts w:ascii="Times New Roman" w:hAnsi="Times New Roman" w:cs="Times New Roman"/>
          <w:sz w:val="24"/>
          <w:szCs w:val="24"/>
          <w:lang w:val="ru-RU"/>
        </w:rPr>
        <w:t xml:space="preserve"> национального рейтингового агентства АКРА, результаты работы которого влияют на доступность государственных денег для коммерческих банков и деятельность негосударственных пенсионных фондов. Продолжилась работа над инструментом индивидуального </w:t>
      </w:r>
      <w:r w:rsidRPr="004E7E3E">
        <w:rPr>
          <w:rFonts w:ascii="Times New Roman" w:hAnsi="Times New Roman" w:cs="Times New Roman"/>
          <w:sz w:val="24"/>
          <w:szCs w:val="24"/>
          <w:lang w:val="ru-RU"/>
        </w:rPr>
        <w:lastRenderedPageBreak/>
        <w:t xml:space="preserve">институционного счёта, ЦБ РФ распространил практику, принятую для санаций банковского сектора, также на страховые компании. </w:t>
      </w:r>
    </w:p>
    <w:p w14:paraId="0968A1DD" w14:textId="49C70EB2"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eastAsia="zh-CN"/>
        </w:rPr>
      </w:pPr>
      <w:r w:rsidRPr="004E7E3E">
        <w:rPr>
          <w:rFonts w:ascii="Times New Roman" w:hAnsi="Times New Roman" w:cs="Times New Roman"/>
          <w:sz w:val="24"/>
          <w:szCs w:val="24"/>
          <w:lang w:val="ru-RU"/>
        </w:rPr>
        <w:t>По мнению А. С. Волошин</w:t>
      </w:r>
      <w:r>
        <w:rPr>
          <w:rFonts w:ascii="Times New Roman" w:hAnsi="Times New Roman" w:cs="Times New Roman"/>
          <w:sz w:val="24"/>
          <w:szCs w:val="24"/>
          <w:lang w:val="ru-RU"/>
        </w:rPr>
        <w:t>а</w:t>
      </w:r>
      <w:r w:rsidRPr="004E7E3E">
        <w:rPr>
          <w:rFonts w:ascii="Times New Roman" w:hAnsi="Times New Roman" w:cs="Times New Roman"/>
          <w:sz w:val="24"/>
          <w:szCs w:val="24"/>
          <w:lang w:val="ru-RU"/>
        </w:rPr>
        <w:t>, на новом этапе центр принятия решений по проведению политики по созданию МФЦ должен сместиться из правительства, правительственных организаций и парламента в сторону Банка России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_Ref498100474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258</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В данный момент формируется третья Дорожная карта, но это должна быть не тактическая программа действий, какими были предыдущие две карты. У ЦБ РФ есть собственная стратегия по развитию финансовых рынков. Возглавляемый Волошиным </w:t>
      </w:r>
      <w:r w:rsidRPr="004E7E3E">
        <w:rPr>
          <w:rFonts w:ascii="Times New Roman" w:hAnsi="Times New Roman" w:cs="Times New Roman"/>
          <w:sz w:val="24"/>
          <w:szCs w:val="24"/>
        </w:rPr>
        <w:t>think</w:t>
      </w:r>
      <w:r w:rsidRPr="004E7E3E">
        <w:rPr>
          <w:rFonts w:ascii="Times New Roman" w:hAnsi="Times New Roman" w:cs="Times New Roman"/>
          <w:sz w:val="24"/>
          <w:szCs w:val="24"/>
          <w:lang w:val="ru-RU"/>
        </w:rPr>
        <w:t>-</w:t>
      </w:r>
      <w:r w:rsidRPr="004E7E3E">
        <w:rPr>
          <w:rFonts w:ascii="Times New Roman" w:hAnsi="Times New Roman" w:cs="Times New Roman"/>
          <w:sz w:val="24"/>
          <w:szCs w:val="24"/>
        </w:rPr>
        <w:t>tank</w:t>
      </w:r>
      <w:r w:rsidRPr="004E7E3E">
        <w:rPr>
          <w:rFonts w:ascii="Times New Roman" w:hAnsi="Times New Roman" w:cs="Times New Roman"/>
          <w:sz w:val="24"/>
          <w:szCs w:val="24"/>
          <w:lang w:val="ru-RU"/>
        </w:rPr>
        <w:t xml:space="preserve"> – </w:t>
      </w:r>
      <w:r>
        <w:rPr>
          <w:rFonts w:ascii="Times New Roman" w:hAnsi="Times New Roman" w:cs="Times New Roman"/>
          <w:sz w:val="24"/>
          <w:szCs w:val="24"/>
          <w:lang w:val="ru-RU"/>
        </w:rPr>
        <w:t>р</w:t>
      </w:r>
      <w:r w:rsidRPr="004E7E3E">
        <w:rPr>
          <w:rFonts w:ascii="Times New Roman" w:hAnsi="Times New Roman" w:cs="Times New Roman"/>
          <w:sz w:val="24"/>
          <w:szCs w:val="24"/>
          <w:lang w:val="ru-RU"/>
        </w:rPr>
        <w:t>абочая группа по развитию МФЦ в Москве – должна заняться стратегией развития и создать программу на ближайшие 10</w:t>
      </w:r>
      <w:r w:rsidRPr="004E7E3E">
        <w:rPr>
          <w:rFonts w:ascii="Times New Roman" w:hAnsi="Times New Roman" w:cs="Times New Roman"/>
          <w:sz w:val="24"/>
          <w:szCs w:val="24"/>
          <w:lang w:val="ru-RU"/>
        </w:rPr>
        <w:noBreakHyphen/>
        <w:t>15 лет. Руководитель группы определяет временные рамки для проекта МФЦ следующим образом: «Безусловно, этот проект стратегический, он не был рассчитан на три года. Мы можем посмотреть на пример германских коллег, которые примерно три десятка лет занимались формированием финансового центра во Франкфурте. За это время страна пережила многочисленные кризисы и смены правительств. И такой целеустремленности я бы хотел пожелать и нам. Конечно, нынешняя сложная ситуация (и экономическая, и геополитическая) не способствует продвижению нашего проекта, но она не является непреодолимой и, безусловно, этот проект стратегический, и им нужно заниматься»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_Ref498099599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248</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w:t>
      </w:r>
      <w:r w:rsidRPr="004E7E3E">
        <w:rPr>
          <w:rFonts w:ascii="Times New Roman" w:hAnsi="Times New Roman" w:cs="Times New Roman"/>
          <w:color w:val="000000"/>
          <w:sz w:val="24"/>
          <w:szCs w:val="24"/>
          <w:shd w:val="clear" w:color="auto" w:fill="FFFFFF"/>
          <w:lang w:val="ru-RU" w:eastAsia="zh-CN"/>
        </w:rPr>
        <w:t xml:space="preserve">Дорожная карта ещё формируется, но из </w:t>
      </w:r>
      <w:r>
        <w:rPr>
          <w:rFonts w:ascii="Times New Roman" w:hAnsi="Times New Roman" w:cs="Times New Roman"/>
          <w:color w:val="000000"/>
          <w:sz w:val="24"/>
          <w:szCs w:val="24"/>
          <w:shd w:val="clear" w:color="auto" w:fill="FFFFFF"/>
          <w:lang w:val="ru-RU" w:eastAsia="zh-CN"/>
        </w:rPr>
        <w:t>комментариев</w:t>
      </w:r>
      <w:r w:rsidRPr="004E7E3E">
        <w:rPr>
          <w:rFonts w:ascii="Times New Roman" w:hAnsi="Times New Roman" w:cs="Times New Roman"/>
          <w:color w:val="000000"/>
          <w:sz w:val="24"/>
          <w:szCs w:val="24"/>
          <w:shd w:val="clear" w:color="auto" w:fill="FFFFFF"/>
          <w:lang w:val="ru-RU" w:eastAsia="zh-CN"/>
        </w:rPr>
        <w:t xml:space="preserve"> экспертов можно понять, что основной целью новой программы будет улучшение делового климата в России с фокусом на участников финансового рынка, инвесторов</w:t>
      </w:r>
      <w:r>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_Ref498101656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248</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 [</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_Ref498100841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253</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w:t>
      </w:r>
      <w:r>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eastAsia="zh-CN"/>
        </w:rPr>
        <w:t xml:space="preserve"> </w:t>
      </w:r>
    </w:p>
    <w:p w14:paraId="0E164AB8" w14:textId="77777777"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Мы в самых общих чертах </w:t>
      </w:r>
      <w:r>
        <w:rPr>
          <w:rFonts w:ascii="Times New Roman" w:hAnsi="Times New Roman" w:cs="Times New Roman"/>
          <w:color w:val="000000"/>
          <w:sz w:val="24"/>
          <w:szCs w:val="24"/>
          <w:shd w:val="clear" w:color="auto" w:fill="FFFFFF"/>
          <w:lang w:val="ru-RU"/>
        </w:rPr>
        <w:t>рассмотрели</w:t>
      </w:r>
      <w:r w:rsidRPr="004E7E3E">
        <w:rPr>
          <w:rFonts w:ascii="Times New Roman" w:hAnsi="Times New Roman" w:cs="Times New Roman"/>
          <w:color w:val="000000"/>
          <w:sz w:val="24"/>
          <w:szCs w:val="24"/>
          <w:shd w:val="clear" w:color="auto" w:fill="FFFFFF"/>
          <w:lang w:val="ru-RU"/>
        </w:rPr>
        <w:t xml:space="preserve"> ключевы</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вех</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развития МФЦ в Москве, которое ещё не закончено. Для выявления особенностей будет целесообразно остановить</w:t>
      </w:r>
      <w:r>
        <w:rPr>
          <w:rFonts w:ascii="Times New Roman" w:hAnsi="Times New Roman" w:cs="Times New Roman"/>
          <w:color w:val="000000"/>
          <w:sz w:val="24"/>
          <w:szCs w:val="24"/>
          <w:shd w:val="clear" w:color="auto" w:fill="FFFFFF"/>
          <w:lang w:val="ru-RU"/>
        </w:rPr>
        <w:t>ся</w:t>
      </w:r>
      <w:r w:rsidRPr="004E7E3E">
        <w:rPr>
          <w:rFonts w:ascii="Times New Roman" w:hAnsi="Times New Roman" w:cs="Times New Roman"/>
          <w:color w:val="000000"/>
          <w:sz w:val="24"/>
          <w:szCs w:val="24"/>
          <w:shd w:val="clear" w:color="auto" w:fill="FFFFFF"/>
          <w:lang w:val="ru-RU"/>
        </w:rPr>
        <w:t xml:space="preserve"> на деталях реформирования некоторых ключевых институтов, таких как центральный депозитарий, Московская биржа, клиринговая служб</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и национальное рейтинговое агентство. </w:t>
      </w:r>
    </w:p>
    <w:p w14:paraId="083D2780" w14:textId="516A0D91"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eastAsia="zh-CN"/>
        </w:rPr>
        <w:t xml:space="preserve">Начнём с самого эпохального события – создания Московской биржи на основе бирж ММВБ и РТС. </w:t>
      </w:r>
      <w:r>
        <w:rPr>
          <w:rFonts w:ascii="Times New Roman" w:hAnsi="Times New Roman" w:cs="Times New Roman"/>
          <w:color w:val="000000"/>
          <w:sz w:val="24"/>
          <w:szCs w:val="24"/>
          <w:shd w:val="clear" w:color="auto" w:fill="FFFFFF"/>
          <w:lang w:val="ru-RU" w:eastAsia="zh-CN"/>
        </w:rPr>
        <w:t>Д</w:t>
      </w:r>
      <w:r w:rsidRPr="004E7E3E">
        <w:rPr>
          <w:rFonts w:ascii="Times New Roman" w:hAnsi="Times New Roman" w:cs="Times New Roman"/>
          <w:color w:val="000000"/>
          <w:sz w:val="24"/>
          <w:szCs w:val="24"/>
          <w:shd w:val="clear" w:color="auto" w:fill="FFFFFF"/>
          <w:lang w:val="ru-RU" w:eastAsia="zh-CN"/>
        </w:rPr>
        <w:t xml:space="preserve">о последнего момента </w:t>
      </w:r>
      <w:r w:rsidRPr="004E7E3E">
        <w:rPr>
          <w:rFonts w:ascii="Times New Roman" w:hAnsi="Times New Roman" w:cs="Times New Roman"/>
          <w:sz w:val="24"/>
          <w:szCs w:val="24"/>
          <w:shd w:val="clear" w:color="auto" w:fill="FFFFFF"/>
          <w:lang w:val="ru-RU"/>
        </w:rPr>
        <w:t xml:space="preserve">вопрос о какой-то единой модели построения инфраструктуры рынка ценных бумаг никогда системно не поднимался. Крупнейшие российские биржевые группы строились под задачи тех, кто становился их ключевыми владельцами и пользователями. Акционерами ММВБ были крупнейшие банки, включая ЦБ (около трети акций), </w:t>
      </w:r>
      <w:r w:rsidR="002F50A0" w:rsidRPr="004E7E3E">
        <w:rPr>
          <w:rFonts w:ascii="Times New Roman" w:hAnsi="Times New Roman" w:cs="Times New Roman"/>
          <w:sz w:val="24"/>
          <w:szCs w:val="24"/>
          <w:shd w:val="clear" w:color="auto" w:fill="FFFFFF"/>
          <w:lang w:val="ru-RU"/>
        </w:rPr>
        <w:t>ЮниКредит</w:t>
      </w:r>
      <w:r w:rsidRPr="004E7E3E">
        <w:rPr>
          <w:rFonts w:ascii="Times New Roman" w:hAnsi="Times New Roman" w:cs="Times New Roman"/>
          <w:sz w:val="24"/>
          <w:szCs w:val="24"/>
          <w:shd w:val="clear" w:color="auto" w:fill="FFFFFF"/>
          <w:lang w:val="ru-RU"/>
        </w:rPr>
        <w:t>, ВТБ, Сбербанк, ВЭБ, Газпромбанк, Банк «Санкт-Петербург» и т. д. Структура управления группы представляла собой смешение горизонтальной и вертикальной интеграции. Наиболее сильными были секторы торговли государственными ценными бумагами и</w:t>
      </w:r>
      <w:r>
        <w:rPr>
          <w:rFonts w:ascii="Times New Roman" w:hAnsi="Times New Roman" w:cs="Times New Roman"/>
          <w:sz w:val="24"/>
          <w:szCs w:val="24"/>
          <w:shd w:val="clear" w:color="auto" w:fill="FFFFFF"/>
          <w:lang w:val="ru-RU"/>
        </w:rPr>
        <w:t> </w:t>
      </w:r>
      <w:r w:rsidRPr="004E7E3E">
        <w:rPr>
          <w:rFonts w:ascii="Times New Roman" w:hAnsi="Times New Roman" w:cs="Times New Roman"/>
          <w:sz w:val="24"/>
          <w:szCs w:val="24"/>
          <w:shd w:val="clear" w:color="auto" w:fill="FFFFFF"/>
          <w:lang w:val="ru-RU"/>
        </w:rPr>
        <w:t>иностранной валютой. ММВБ также имел развитый фондовый рынок (режим торговли с</w:t>
      </w:r>
      <w:r>
        <w:rPr>
          <w:rFonts w:ascii="Times New Roman" w:hAnsi="Times New Roman" w:cs="Times New Roman"/>
          <w:sz w:val="24"/>
          <w:szCs w:val="24"/>
          <w:shd w:val="clear" w:color="auto" w:fill="FFFFFF"/>
          <w:lang w:val="ru-RU"/>
        </w:rPr>
        <w:t> </w:t>
      </w:r>
      <w:r w:rsidRPr="004E7E3E">
        <w:rPr>
          <w:rFonts w:ascii="Times New Roman" w:hAnsi="Times New Roman" w:cs="Times New Roman"/>
          <w:sz w:val="24"/>
          <w:szCs w:val="24"/>
          <w:shd w:val="clear" w:color="auto" w:fill="FFFFFF"/>
          <w:lang w:val="ru-RU"/>
        </w:rPr>
        <w:t>проведением расчётов в тот же день с полным обеспечением «Т0»), который стал основным местом торговли многочисленных клиентов интернет</w:t>
      </w:r>
      <w:r>
        <w:rPr>
          <w:rFonts w:ascii="Times New Roman" w:hAnsi="Times New Roman" w:cs="Times New Roman"/>
          <w:sz w:val="24"/>
          <w:szCs w:val="24"/>
          <w:shd w:val="clear" w:color="auto" w:fill="FFFFFF"/>
          <w:lang w:val="ru-RU"/>
        </w:rPr>
        <w:t>-</w:t>
      </w:r>
      <w:r w:rsidRPr="004E7E3E">
        <w:rPr>
          <w:rFonts w:ascii="Times New Roman" w:hAnsi="Times New Roman" w:cs="Times New Roman"/>
          <w:sz w:val="24"/>
          <w:szCs w:val="24"/>
          <w:shd w:val="clear" w:color="auto" w:fill="FFFFFF"/>
          <w:lang w:val="ru-RU"/>
        </w:rPr>
        <w:t xml:space="preserve">брокеров. На этом рынке торговали тысячи </w:t>
      </w:r>
      <w:r w:rsidRPr="004E7E3E">
        <w:rPr>
          <w:rFonts w:ascii="Times New Roman" w:hAnsi="Times New Roman" w:cs="Times New Roman"/>
          <w:sz w:val="24"/>
          <w:szCs w:val="24"/>
          <w:shd w:val="clear" w:color="auto" w:fill="FFFFFF"/>
          <w:lang w:val="ru-RU"/>
        </w:rPr>
        <w:lastRenderedPageBreak/>
        <w:t>мелких и средних участников, которые, естественно, не знали друг друга и нуждались в</w:t>
      </w:r>
      <w:r>
        <w:rPr>
          <w:rFonts w:ascii="Times New Roman" w:hAnsi="Times New Roman" w:cs="Times New Roman"/>
          <w:sz w:val="24"/>
          <w:szCs w:val="24"/>
          <w:shd w:val="clear" w:color="auto" w:fill="FFFFFF"/>
          <w:lang w:val="ru-RU"/>
        </w:rPr>
        <w:t> </w:t>
      </w:r>
      <w:r w:rsidRPr="004E7E3E">
        <w:rPr>
          <w:rFonts w:ascii="Times New Roman" w:hAnsi="Times New Roman" w:cs="Times New Roman"/>
          <w:sz w:val="24"/>
          <w:szCs w:val="24"/>
          <w:shd w:val="clear" w:color="auto" w:fill="FFFFFF"/>
          <w:lang w:val="ru-RU"/>
        </w:rPr>
        <w:t xml:space="preserve">гарантированном обеспечении расчетов по сделкам со стороны ММВБ (которая </w:t>
      </w:r>
      <w:r>
        <w:rPr>
          <w:rFonts w:ascii="Times New Roman" w:hAnsi="Times New Roman" w:cs="Times New Roman"/>
          <w:sz w:val="24"/>
          <w:szCs w:val="24"/>
          <w:shd w:val="clear" w:color="auto" w:fill="FFFFFF"/>
          <w:lang w:val="ru-RU"/>
        </w:rPr>
        <w:t>гарантировала</w:t>
      </w:r>
      <w:r w:rsidRPr="004E7E3E">
        <w:rPr>
          <w:rFonts w:ascii="Times New Roman" w:hAnsi="Times New Roman" w:cs="Times New Roman"/>
          <w:sz w:val="24"/>
          <w:szCs w:val="24"/>
          <w:shd w:val="clear" w:color="auto" w:fill="FFFFFF"/>
          <w:lang w:val="ru-RU"/>
        </w:rPr>
        <w:t xml:space="preserve"> режим «Т0» с </w:t>
      </w:r>
      <w:r w:rsidRPr="00616E38">
        <w:rPr>
          <w:rFonts w:ascii="Times New Roman" w:hAnsi="Times New Roman" w:cs="Times New Roman"/>
          <w:sz w:val="24"/>
          <w:szCs w:val="24"/>
          <w:shd w:val="clear" w:color="auto" w:fill="FFFFFF"/>
          <w:lang w:val="ru-RU"/>
        </w:rPr>
        <w:t>полным обеспечением</w:t>
      </w:r>
      <w:r w:rsidRPr="004E7E3E">
        <w:rPr>
          <w:rFonts w:ascii="Times New Roman" w:hAnsi="Times New Roman" w:cs="Times New Roman"/>
          <w:sz w:val="24"/>
          <w:szCs w:val="24"/>
          <w:shd w:val="clear" w:color="auto" w:fill="FFFFFF"/>
          <w:lang w:val="ru-RU"/>
        </w:rPr>
        <w:t>). [</w:t>
      </w:r>
      <w:r w:rsidRPr="004E7E3E">
        <w:rPr>
          <w:rFonts w:ascii="Times New Roman" w:hAnsi="Times New Roman" w:cs="Times New Roman"/>
          <w:sz w:val="24"/>
          <w:szCs w:val="24"/>
          <w:shd w:val="clear" w:color="auto" w:fill="FFFFFF"/>
        </w:rPr>
        <w:fldChar w:fldCharType="begin"/>
      </w:r>
      <w:r w:rsidRPr="004E7E3E">
        <w:rPr>
          <w:rFonts w:ascii="Times New Roman" w:hAnsi="Times New Roman" w:cs="Times New Roman"/>
          <w:sz w:val="24"/>
          <w:szCs w:val="24"/>
          <w:shd w:val="clear" w:color="auto" w:fill="FFFFFF"/>
          <w:lang w:val="ru-RU"/>
        </w:rPr>
        <w:instrText xml:space="preserve"> REF _Ref497916899 \r \h  \* </w:instrText>
      </w:r>
      <w:r w:rsidRPr="004E7E3E">
        <w:rPr>
          <w:rFonts w:ascii="Times New Roman" w:hAnsi="Times New Roman" w:cs="Times New Roman"/>
          <w:sz w:val="24"/>
          <w:szCs w:val="24"/>
          <w:shd w:val="clear" w:color="auto" w:fill="FFFFFF"/>
        </w:rPr>
        <w:instrText>MERGEFORMAT</w:instrText>
      </w:r>
      <w:r w:rsidRPr="004E7E3E">
        <w:rPr>
          <w:rFonts w:ascii="Times New Roman" w:hAnsi="Times New Roman" w:cs="Times New Roman"/>
          <w:sz w:val="24"/>
          <w:szCs w:val="24"/>
          <w:shd w:val="clear" w:color="auto" w:fill="FFFFFF"/>
          <w:lang w:val="ru-RU"/>
        </w:rPr>
        <w:instrText xml:space="preserve"> </w:instrText>
      </w:r>
      <w:r w:rsidRPr="004E7E3E">
        <w:rPr>
          <w:rFonts w:ascii="Times New Roman" w:hAnsi="Times New Roman" w:cs="Times New Roman"/>
          <w:sz w:val="24"/>
          <w:szCs w:val="24"/>
          <w:shd w:val="clear" w:color="auto" w:fill="FFFFFF"/>
        </w:rPr>
      </w:r>
      <w:r w:rsidRPr="004E7E3E">
        <w:rPr>
          <w:rFonts w:ascii="Times New Roman" w:hAnsi="Times New Roman" w:cs="Times New Roman"/>
          <w:sz w:val="24"/>
          <w:szCs w:val="24"/>
          <w:shd w:val="clear" w:color="auto" w:fill="FFFFFF"/>
        </w:rPr>
        <w:fldChar w:fldCharType="separate"/>
      </w:r>
      <w:r w:rsidR="00801D78">
        <w:rPr>
          <w:rFonts w:ascii="Times New Roman" w:hAnsi="Times New Roman" w:cs="Times New Roman"/>
          <w:sz w:val="24"/>
          <w:szCs w:val="24"/>
          <w:shd w:val="clear" w:color="auto" w:fill="FFFFFF"/>
          <w:lang w:val="ru-RU"/>
        </w:rPr>
        <w:t>102</w:t>
      </w:r>
      <w:r w:rsidRPr="004E7E3E">
        <w:rPr>
          <w:rFonts w:ascii="Times New Roman" w:hAnsi="Times New Roman" w:cs="Times New Roman"/>
          <w:sz w:val="24"/>
          <w:szCs w:val="24"/>
          <w:shd w:val="clear" w:color="auto" w:fill="FFFFFF"/>
        </w:rPr>
        <w:fldChar w:fldCharType="end"/>
      </w:r>
      <w:r w:rsidRPr="004E7E3E">
        <w:rPr>
          <w:rFonts w:ascii="Times New Roman" w:hAnsi="Times New Roman" w:cs="Times New Roman"/>
          <w:sz w:val="24"/>
          <w:szCs w:val="24"/>
          <w:shd w:val="clear" w:color="auto" w:fill="FFFFFF"/>
          <w:lang w:val="ru-RU"/>
        </w:rPr>
        <w:t>, с. 230-231]</w:t>
      </w:r>
    </w:p>
    <w:p w14:paraId="2D2104E3" w14:textId="09E706CE"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sidRPr="004E7E3E">
        <w:rPr>
          <w:rFonts w:ascii="Times New Roman" w:hAnsi="Times New Roman" w:cs="Times New Roman"/>
          <w:sz w:val="24"/>
          <w:szCs w:val="24"/>
          <w:shd w:val="clear" w:color="auto" w:fill="FFFFFF"/>
          <w:lang w:val="ru-RU"/>
        </w:rPr>
        <w:t xml:space="preserve">Группа РТС была создана ведущими </w:t>
      </w:r>
      <w:r w:rsidRPr="00E62C62">
        <w:rPr>
          <w:rFonts w:ascii="Times New Roman" w:hAnsi="Times New Roman" w:cs="Times New Roman"/>
          <w:sz w:val="24"/>
          <w:szCs w:val="24"/>
          <w:shd w:val="clear" w:color="auto" w:fill="FFFFFF"/>
          <w:lang w:val="ru-RU"/>
        </w:rPr>
        <w:t>профессиональными участниками рынка</w:t>
      </w:r>
      <w:r w:rsidRPr="004E7E3E">
        <w:rPr>
          <w:rFonts w:ascii="Times New Roman" w:hAnsi="Times New Roman" w:cs="Times New Roman"/>
          <w:sz w:val="24"/>
          <w:szCs w:val="24"/>
          <w:shd w:val="clear" w:color="auto" w:fill="FFFFFF"/>
          <w:lang w:val="ru-RU"/>
        </w:rPr>
        <w:t xml:space="preserve"> ценных бумаг, образуя вертикально интегрированную структуру управления. В состав акционеров входили такие компании, как ООО «Атон» (9,4%), ООО «Ренессанс Брокер» (7,9%), ЗАО «Ситибанк» (5,4%), ЗАО «Тройка Диалог» (9,6%), ОАО «Альфа Банк» (9,2%), ЗАО «Дойче Секьюритиз» (8,6%), ИНГ Банк (Евразия) (ЗАО) (11%) и др. Модель фондового рынка РТС очень сильно отличалась от модели фондового рынка ММВБ. Основными сфера</w:t>
      </w:r>
      <w:r>
        <w:rPr>
          <w:rFonts w:ascii="Times New Roman" w:hAnsi="Times New Roman" w:cs="Times New Roman"/>
          <w:sz w:val="24"/>
          <w:szCs w:val="24"/>
          <w:shd w:val="clear" w:color="auto" w:fill="FFFFFF"/>
          <w:lang w:val="ru-RU"/>
        </w:rPr>
        <w:t>ми</w:t>
      </w:r>
      <w:r w:rsidRPr="004E7E3E">
        <w:rPr>
          <w:rFonts w:ascii="Times New Roman" w:hAnsi="Times New Roman" w:cs="Times New Roman"/>
          <w:sz w:val="24"/>
          <w:szCs w:val="24"/>
          <w:shd w:val="clear" w:color="auto" w:fill="FFFFFF"/>
          <w:lang w:val="ru-RU"/>
        </w:rPr>
        <w:t xml:space="preserve"> компетенции РТС являлись тесно интегрированные друг с другом срочный и фондовый рынки. Основной оборот на рынках РТС формировали крупные профессиональные участники. Они совершали как собственные (дилерские) операции, так и операции по поручениям своих клиентов. Именно на этой платформе вели свои сделки западные участники рынка (через брокеров или свои дочерние подразделения) [</w:t>
      </w:r>
      <w:r w:rsidRPr="004E7E3E">
        <w:rPr>
          <w:rFonts w:ascii="Times New Roman" w:hAnsi="Times New Roman" w:cs="Times New Roman"/>
          <w:sz w:val="24"/>
          <w:szCs w:val="24"/>
          <w:shd w:val="clear" w:color="auto" w:fill="FFFFFF"/>
        </w:rPr>
        <w:fldChar w:fldCharType="begin"/>
      </w:r>
      <w:r w:rsidRPr="004E7E3E">
        <w:rPr>
          <w:rFonts w:ascii="Times New Roman" w:hAnsi="Times New Roman" w:cs="Times New Roman"/>
          <w:sz w:val="24"/>
          <w:szCs w:val="24"/>
          <w:shd w:val="clear" w:color="auto" w:fill="FFFFFF"/>
          <w:lang w:val="ru-RU"/>
        </w:rPr>
        <w:instrText xml:space="preserve"> REF _Ref497916899 \r \h  \* </w:instrText>
      </w:r>
      <w:r w:rsidRPr="004E7E3E">
        <w:rPr>
          <w:rFonts w:ascii="Times New Roman" w:hAnsi="Times New Roman" w:cs="Times New Roman"/>
          <w:sz w:val="24"/>
          <w:szCs w:val="24"/>
          <w:shd w:val="clear" w:color="auto" w:fill="FFFFFF"/>
        </w:rPr>
        <w:instrText>MERGEFORMAT</w:instrText>
      </w:r>
      <w:r w:rsidRPr="004E7E3E">
        <w:rPr>
          <w:rFonts w:ascii="Times New Roman" w:hAnsi="Times New Roman" w:cs="Times New Roman"/>
          <w:sz w:val="24"/>
          <w:szCs w:val="24"/>
          <w:shd w:val="clear" w:color="auto" w:fill="FFFFFF"/>
          <w:lang w:val="ru-RU"/>
        </w:rPr>
        <w:instrText xml:space="preserve"> </w:instrText>
      </w:r>
      <w:r w:rsidRPr="004E7E3E">
        <w:rPr>
          <w:rFonts w:ascii="Times New Roman" w:hAnsi="Times New Roman" w:cs="Times New Roman"/>
          <w:sz w:val="24"/>
          <w:szCs w:val="24"/>
          <w:shd w:val="clear" w:color="auto" w:fill="FFFFFF"/>
        </w:rPr>
      </w:r>
      <w:r w:rsidRPr="004E7E3E">
        <w:rPr>
          <w:rFonts w:ascii="Times New Roman" w:hAnsi="Times New Roman" w:cs="Times New Roman"/>
          <w:sz w:val="24"/>
          <w:szCs w:val="24"/>
          <w:shd w:val="clear" w:color="auto" w:fill="FFFFFF"/>
        </w:rPr>
        <w:fldChar w:fldCharType="separate"/>
      </w:r>
      <w:r w:rsidR="00801D78">
        <w:rPr>
          <w:rFonts w:ascii="Times New Roman" w:hAnsi="Times New Roman" w:cs="Times New Roman"/>
          <w:sz w:val="24"/>
          <w:szCs w:val="24"/>
          <w:shd w:val="clear" w:color="auto" w:fill="FFFFFF"/>
          <w:lang w:val="ru-RU"/>
        </w:rPr>
        <w:t>102</w:t>
      </w:r>
      <w:r w:rsidRPr="004E7E3E">
        <w:rPr>
          <w:rFonts w:ascii="Times New Roman" w:hAnsi="Times New Roman" w:cs="Times New Roman"/>
          <w:sz w:val="24"/>
          <w:szCs w:val="24"/>
          <w:shd w:val="clear" w:color="auto" w:fill="FFFFFF"/>
        </w:rPr>
        <w:fldChar w:fldCharType="end"/>
      </w:r>
      <w:r w:rsidRPr="004E7E3E">
        <w:rPr>
          <w:rFonts w:ascii="Times New Roman" w:hAnsi="Times New Roman" w:cs="Times New Roman"/>
          <w:sz w:val="24"/>
          <w:szCs w:val="24"/>
          <w:shd w:val="clear" w:color="auto" w:fill="FFFFFF"/>
          <w:lang w:val="ru-RU"/>
        </w:rPr>
        <w:t>, с. 232]</w:t>
      </w:r>
      <w:r>
        <w:rPr>
          <w:rFonts w:ascii="Times New Roman" w:hAnsi="Times New Roman" w:cs="Times New Roman"/>
          <w:sz w:val="24"/>
          <w:szCs w:val="24"/>
          <w:shd w:val="clear" w:color="auto" w:fill="FFFFFF"/>
          <w:lang w:val="ru-RU"/>
        </w:rPr>
        <w:t>.</w:t>
      </w:r>
    </w:p>
    <w:p w14:paraId="66C53275" w14:textId="77777777"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sidRPr="004E7E3E">
        <w:rPr>
          <w:rFonts w:ascii="Times New Roman" w:hAnsi="Times New Roman" w:cs="Times New Roman"/>
          <w:sz w:val="24"/>
          <w:szCs w:val="24"/>
          <w:shd w:val="clear" w:color="auto" w:fill="FFFFFF"/>
          <w:lang w:val="ru-RU"/>
        </w:rPr>
        <w:t>Традиционно на российском рынке ММВБ лидировал</w:t>
      </w:r>
      <w:r>
        <w:rPr>
          <w:rFonts w:ascii="Times New Roman" w:hAnsi="Times New Roman" w:cs="Times New Roman"/>
          <w:sz w:val="24"/>
          <w:szCs w:val="24"/>
          <w:shd w:val="clear" w:color="auto" w:fill="FFFFFF"/>
          <w:lang w:val="ru-RU"/>
        </w:rPr>
        <w:t>а</w:t>
      </w:r>
      <w:r w:rsidRPr="004E7E3E">
        <w:rPr>
          <w:rFonts w:ascii="Times New Roman" w:hAnsi="Times New Roman" w:cs="Times New Roman"/>
          <w:sz w:val="24"/>
          <w:szCs w:val="24"/>
          <w:shd w:val="clear" w:color="auto" w:fill="FFFFFF"/>
          <w:lang w:val="ru-RU"/>
        </w:rPr>
        <w:t xml:space="preserve"> на спот</w:t>
      </w:r>
      <w:r>
        <w:rPr>
          <w:rFonts w:ascii="Times New Roman" w:hAnsi="Times New Roman" w:cs="Times New Roman"/>
          <w:sz w:val="24"/>
          <w:szCs w:val="24"/>
          <w:shd w:val="clear" w:color="auto" w:fill="FFFFFF"/>
          <w:lang w:val="ru-RU"/>
        </w:rPr>
        <w:t>-</w:t>
      </w:r>
      <w:r w:rsidRPr="004E7E3E">
        <w:rPr>
          <w:rFonts w:ascii="Times New Roman" w:hAnsi="Times New Roman" w:cs="Times New Roman"/>
          <w:sz w:val="24"/>
          <w:szCs w:val="24"/>
          <w:shd w:val="clear" w:color="auto" w:fill="FFFFFF"/>
          <w:lang w:val="ru-RU"/>
        </w:rPr>
        <w:t>рынке как в отношении обыкновенных акций, так и в отношении продуктов с фиксированным доходом, в то время как РТС контролировал рынок деривативов. До начала объединения ММБВ не собиралась уступать рынок государственных долговых обязательств и спот</w:t>
      </w:r>
      <w:r>
        <w:rPr>
          <w:rFonts w:ascii="Times New Roman" w:hAnsi="Times New Roman" w:cs="Times New Roman"/>
          <w:sz w:val="24"/>
          <w:szCs w:val="24"/>
          <w:shd w:val="clear" w:color="auto" w:fill="FFFFFF"/>
          <w:lang w:val="ru-RU"/>
        </w:rPr>
        <w:t>-</w:t>
      </w:r>
      <w:r w:rsidRPr="004E7E3E">
        <w:rPr>
          <w:rFonts w:ascii="Times New Roman" w:hAnsi="Times New Roman" w:cs="Times New Roman"/>
          <w:sz w:val="24"/>
          <w:szCs w:val="24"/>
          <w:shd w:val="clear" w:color="auto" w:fill="FFFFFF"/>
          <w:lang w:val="ru-RU"/>
        </w:rPr>
        <w:t>рынок акций. В свою очередь РТС не</w:t>
      </w:r>
      <w:r>
        <w:rPr>
          <w:rFonts w:ascii="Times New Roman" w:hAnsi="Times New Roman" w:cs="Times New Roman"/>
          <w:sz w:val="24"/>
          <w:szCs w:val="24"/>
          <w:shd w:val="clear" w:color="auto" w:fill="FFFFFF"/>
          <w:lang w:val="ru-RU"/>
        </w:rPr>
        <w:t> </w:t>
      </w:r>
      <w:r w:rsidRPr="004E7E3E">
        <w:rPr>
          <w:rFonts w:ascii="Times New Roman" w:hAnsi="Times New Roman" w:cs="Times New Roman"/>
          <w:sz w:val="24"/>
          <w:szCs w:val="24"/>
          <w:shd w:val="clear" w:color="auto" w:fill="FFFFFF"/>
          <w:lang w:val="ru-RU"/>
        </w:rPr>
        <w:t>собиралась уступать ММВБ свою франшизу деривативов.</w:t>
      </w:r>
    </w:p>
    <w:p w14:paraId="362DA2F9" w14:textId="42F73CE3"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sidRPr="004E7E3E">
        <w:rPr>
          <w:rFonts w:ascii="Times New Roman" w:hAnsi="Times New Roman" w:cs="Times New Roman"/>
          <w:sz w:val="24"/>
          <w:szCs w:val="24"/>
          <w:shd w:val="clear" w:color="auto" w:fill="FFFFFF"/>
          <w:lang w:val="ru-RU"/>
        </w:rPr>
        <w:t>Основным доводом в пользу сохранения статуса кво на биржевом рынке было поддержание конкуренции между площадками, которая должна была стимулировать низкие цены и содействовать эффективности работы организаций. По мнению некоторых исследователей, подобные аргументы оказывались несостоятельными из-за отсутствия реальной возможности выбора по техническим причинам. Даже пример существования двух крупнейших клиринговых служб: Euroclear и Clearstream – они считают ошибочным, так как видимая олигополия на практике характеризуется только имитацией конкуренции. На их взгляд, только сокращение операционных издержек за счёт эффекта масштаба позволит поддерживать цены на биржевые услуги на низком уровне. Многие на рынке предпочли бы слияние двух этих компаний в целях снижения операционных затрат, так как они имеют огромное количество дублирующих расходов [</w:t>
      </w:r>
      <w:r w:rsidRPr="004E7E3E">
        <w:rPr>
          <w:rFonts w:ascii="Times New Roman" w:hAnsi="Times New Roman" w:cs="Times New Roman"/>
          <w:sz w:val="24"/>
          <w:szCs w:val="24"/>
          <w:shd w:val="clear" w:color="auto" w:fill="FFFFFF"/>
          <w:lang w:val="ru-RU"/>
        </w:rPr>
        <w:fldChar w:fldCharType="begin"/>
      </w:r>
      <w:r w:rsidRPr="004E7E3E">
        <w:rPr>
          <w:rFonts w:ascii="Times New Roman" w:hAnsi="Times New Roman" w:cs="Times New Roman"/>
          <w:sz w:val="24"/>
          <w:szCs w:val="24"/>
          <w:shd w:val="clear" w:color="auto" w:fill="FFFFFF"/>
          <w:lang w:val="ru-RU"/>
        </w:rPr>
        <w:instrText xml:space="preserve"> REF _Ref497916899 \r \h  \* MERGEFORMAT </w:instrText>
      </w:r>
      <w:r w:rsidRPr="004E7E3E">
        <w:rPr>
          <w:rFonts w:ascii="Times New Roman" w:hAnsi="Times New Roman" w:cs="Times New Roman"/>
          <w:sz w:val="24"/>
          <w:szCs w:val="24"/>
          <w:shd w:val="clear" w:color="auto" w:fill="FFFFFF"/>
          <w:lang w:val="ru-RU"/>
        </w:rPr>
      </w:r>
      <w:r w:rsidRPr="004E7E3E">
        <w:rPr>
          <w:rFonts w:ascii="Times New Roman" w:hAnsi="Times New Roman" w:cs="Times New Roman"/>
          <w:sz w:val="24"/>
          <w:szCs w:val="24"/>
          <w:shd w:val="clear" w:color="auto" w:fill="FFFFFF"/>
          <w:lang w:val="ru-RU"/>
        </w:rPr>
        <w:fldChar w:fldCharType="separate"/>
      </w:r>
      <w:r w:rsidR="00801D78">
        <w:rPr>
          <w:rFonts w:ascii="Times New Roman" w:hAnsi="Times New Roman" w:cs="Times New Roman"/>
          <w:sz w:val="24"/>
          <w:szCs w:val="24"/>
          <w:shd w:val="clear" w:color="auto" w:fill="FFFFFF"/>
          <w:lang w:val="ru-RU"/>
        </w:rPr>
        <w:t>102</w:t>
      </w:r>
      <w:r w:rsidRPr="004E7E3E">
        <w:rPr>
          <w:rFonts w:ascii="Times New Roman" w:hAnsi="Times New Roman" w:cs="Times New Roman"/>
          <w:sz w:val="24"/>
          <w:szCs w:val="24"/>
          <w:shd w:val="clear" w:color="auto" w:fill="FFFFFF"/>
          <w:lang w:val="ru-RU"/>
        </w:rPr>
        <w:fldChar w:fldCharType="end"/>
      </w:r>
      <w:r w:rsidRPr="004E7E3E">
        <w:rPr>
          <w:rFonts w:ascii="Times New Roman" w:hAnsi="Times New Roman" w:cs="Times New Roman"/>
          <w:sz w:val="24"/>
          <w:szCs w:val="24"/>
          <w:shd w:val="clear" w:color="auto" w:fill="FFFFFF"/>
          <w:lang w:val="ru-RU"/>
        </w:rPr>
        <w:t xml:space="preserve">, </w:t>
      </w:r>
      <w:r w:rsidRPr="004E7E3E">
        <w:rPr>
          <w:rFonts w:ascii="Times New Roman" w:hAnsi="Times New Roman" w:cs="Times New Roman"/>
          <w:sz w:val="24"/>
          <w:szCs w:val="24"/>
          <w:shd w:val="clear" w:color="auto" w:fill="FFFFFF"/>
        </w:rPr>
        <w:t>c</w:t>
      </w:r>
      <w:r w:rsidRPr="004E7E3E">
        <w:rPr>
          <w:rFonts w:ascii="Times New Roman" w:hAnsi="Times New Roman" w:cs="Times New Roman"/>
          <w:sz w:val="24"/>
          <w:szCs w:val="24"/>
          <w:shd w:val="clear" w:color="auto" w:fill="FFFFFF"/>
          <w:lang w:val="ru-RU"/>
        </w:rPr>
        <w:t>. 256]</w:t>
      </w:r>
      <w:r>
        <w:rPr>
          <w:rFonts w:ascii="Times New Roman" w:hAnsi="Times New Roman" w:cs="Times New Roman"/>
          <w:sz w:val="24"/>
          <w:szCs w:val="24"/>
          <w:shd w:val="clear" w:color="auto" w:fill="FFFFFF"/>
          <w:lang w:val="ru-RU"/>
        </w:rPr>
        <w:t>.</w:t>
      </w:r>
    </w:p>
    <w:p w14:paraId="0FD1F696" w14:textId="77777777"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sidRPr="004E7E3E">
        <w:rPr>
          <w:rFonts w:ascii="Times New Roman" w:hAnsi="Times New Roman" w:cs="Times New Roman"/>
          <w:sz w:val="24"/>
          <w:szCs w:val="24"/>
          <w:shd w:val="clear" w:color="auto" w:fill="FFFFFF"/>
          <w:lang w:val="ru-RU"/>
        </w:rPr>
        <w:t xml:space="preserve">На фоне аргумента о необходимости конкуренции в сфере клиринга эксперты из Финансового Университета выделяют следующие преимущества от создания единой общероссийского фондовой биржи: </w:t>
      </w:r>
    </w:p>
    <w:p w14:paraId="04EDA0F4" w14:textId="77777777" w:rsidR="000B0CE0" w:rsidRPr="004E7E3E" w:rsidRDefault="000B0CE0" w:rsidP="000B0CE0">
      <w:pPr>
        <w:pStyle w:val="af3"/>
        <w:numPr>
          <w:ilvl w:val="0"/>
          <w:numId w:val="12"/>
        </w:numPr>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lastRenderedPageBreak/>
        <w:t>П</w:t>
      </w:r>
      <w:r w:rsidRPr="004E7E3E">
        <w:rPr>
          <w:rFonts w:ascii="Times New Roman" w:hAnsi="Times New Roman" w:cs="Times New Roman"/>
          <w:sz w:val="24"/>
          <w:szCs w:val="24"/>
          <w:shd w:val="clear" w:color="auto" w:fill="FFFFFF"/>
          <w:lang w:val="ru-RU"/>
        </w:rPr>
        <w:t xml:space="preserve">овышение капитализации тех организаций, которые отвечают за исполнение обязательств по сделкам и принимают на себя соответствующие риски. </w:t>
      </w:r>
    </w:p>
    <w:p w14:paraId="2B44568E" w14:textId="77777777" w:rsidR="000B0CE0" w:rsidRPr="004E7E3E" w:rsidRDefault="000B0CE0" w:rsidP="000B0CE0">
      <w:pPr>
        <w:pStyle w:val="af3"/>
        <w:numPr>
          <w:ilvl w:val="0"/>
          <w:numId w:val="12"/>
        </w:numPr>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sidRPr="004E7E3E">
        <w:rPr>
          <w:rFonts w:ascii="Times New Roman" w:hAnsi="Times New Roman" w:cs="Times New Roman"/>
          <w:sz w:val="24"/>
          <w:szCs w:val="24"/>
          <w:shd w:val="clear" w:color="auto" w:fill="FFFFFF"/>
          <w:lang w:val="ru-RU"/>
        </w:rPr>
        <w:t xml:space="preserve">Снижение транзакционных издержек участников торгов за счет использования одних и тех же счетов и позиций, унификация операционного взаимодействия в процессе клиринга и расчетов по обязательствам, а также за счет формирования единых обязательств или требований по всем секторам финансового рынка с применением неттинга. </w:t>
      </w:r>
    </w:p>
    <w:p w14:paraId="77B95BFA" w14:textId="506EB925" w:rsidR="000B0CE0" w:rsidRPr="004E7E3E" w:rsidRDefault="000B0CE0" w:rsidP="000B0CE0">
      <w:pPr>
        <w:pStyle w:val="af3"/>
        <w:numPr>
          <w:ilvl w:val="0"/>
          <w:numId w:val="12"/>
        </w:numPr>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sidRPr="004E7E3E">
        <w:rPr>
          <w:rFonts w:ascii="Times New Roman" w:hAnsi="Times New Roman" w:cs="Times New Roman"/>
          <w:sz w:val="24"/>
          <w:szCs w:val="24"/>
          <w:shd w:val="clear" w:color="auto" w:fill="FFFFFF"/>
          <w:lang w:val="ru-RU"/>
        </w:rPr>
        <w:t>Появление возможности использовать различные торговые стратеги</w:t>
      </w:r>
      <w:r>
        <w:rPr>
          <w:rFonts w:ascii="Times New Roman" w:hAnsi="Times New Roman" w:cs="Times New Roman"/>
          <w:sz w:val="24"/>
          <w:szCs w:val="24"/>
          <w:shd w:val="clear" w:color="auto" w:fill="FFFFFF"/>
          <w:lang w:val="ru-RU"/>
        </w:rPr>
        <w:t>и</w:t>
      </w:r>
      <w:r w:rsidRPr="004E7E3E">
        <w:rPr>
          <w:rFonts w:ascii="Times New Roman" w:hAnsi="Times New Roman" w:cs="Times New Roman"/>
          <w:sz w:val="24"/>
          <w:szCs w:val="24"/>
          <w:shd w:val="clear" w:color="auto" w:fill="FFFFFF"/>
          <w:lang w:val="ru-RU"/>
        </w:rPr>
        <w:t xml:space="preserve"> за счет увеличения количества торгуемых инструментов, клиринга и единых принципов проведения расчётов [</w:t>
      </w:r>
      <w:r w:rsidRPr="004E7E3E">
        <w:rPr>
          <w:rFonts w:ascii="Times New Roman" w:hAnsi="Times New Roman" w:cs="Times New Roman"/>
          <w:sz w:val="24"/>
          <w:szCs w:val="24"/>
          <w:shd w:val="clear" w:color="auto" w:fill="FFFFFF"/>
          <w:lang w:val="ru-RU"/>
        </w:rPr>
        <w:fldChar w:fldCharType="begin"/>
      </w:r>
      <w:r w:rsidRPr="004E7E3E">
        <w:rPr>
          <w:rFonts w:ascii="Times New Roman" w:hAnsi="Times New Roman" w:cs="Times New Roman"/>
          <w:sz w:val="24"/>
          <w:szCs w:val="24"/>
          <w:shd w:val="clear" w:color="auto" w:fill="FFFFFF"/>
          <w:lang w:val="ru-RU"/>
        </w:rPr>
        <w:instrText xml:space="preserve"> REF _Ref497916899 \r \h  \* MERGEFORMAT </w:instrText>
      </w:r>
      <w:r w:rsidRPr="004E7E3E">
        <w:rPr>
          <w:rFonts w:ascii="Times New Roman" w:hAnsi="Times New Roman" w:cs="Times New Roman"/>
          <w:sz w:val="24"/>
          <w:szCs w:val="24"/>
          <w:shd w:val="clear" w:color="auto" w:fill="FFFFFF"/>
          <w:lang w:val="ru-RU"/>
        </w:rPr>
      </w:r>
      <w:r w:rsidRPr="004E7E3E">
        <w:rPr>
          <w:rFonts w:ascii="Times New Roman" w:hAnsi="Times New Roman" w:cs="Times New Roman"/>
          <w:sz w:val="24"/>
          <w:szCs w:val="24"/>
          <w:shd w:val="clear" w:color="auto" w:fill="FFFFFF"/>
          <w:lang w:val="ru-RU"/>
        </w:rPr>
        <w:fldChar w:fldCharType="separate"/>
      </w:r>
      <w:r w:rsidR="00801D78">
        <w:rPr>
          <w:rFonts w:ascii="Times New Roman" w:hAnsi="Times New Roman" w:cs="Times New Roman"/>
          <w:sz w:val="24"/>
          <w:szCs w:val="24"/>
          <w:shd w:val="clear" w:color="auto" w:fill="FFFFFF"/>
          <w:lang w:val="ru-RU"/>
        </w:rPr>
        <w:t>102</w:t>
      </w:r>
      <w:r w:rsidRPr="004E7E3E">
        <w:rPr>
          <w:rFonts w:ascii="Times New Roman" w:hAnsi="Times New Roman" w:cs="Times New Roman"/>
          <w:sz w:val="24"/>
          <w:szCs w:val="24"/>
          <w:shd w:val="clear" w:color="auto" w:fill="FFFFFF"/>
          <w:lang w:val="ru-RU"/>
        </w:rPr>
        <w:fldChar w:fldCharType="end"/>
      </w:r>
      <w:r w:rsidRPr="004E7E3E">
        <w:rPr>
          <w:rFonts w:ascii="Times New Roman" w:hAnsi="Times New Roman" w:cs="Times New Roman"/>
          <w:sz w:val="24"/>
          <w:szCs w:val="24"/>
          <w:shd w:val="clear" w:color="auto" w:fill="FFFFFF"/>
          <w:lang w:val="ru-RU"/>
        </w:rPr>
        <w:t xml:space="preserve">, </w:t>
      </w:r>
      <w:r w:rsidRPr="004E7E3E">
        <w:rPr>
          <w:rFonts w:ascii="Times New Roman" w:hAnsi="Times New Roman" w:cs="Times New Roman"/>
          <w:sz w:val="24"/>
          <w:szCs w:val="24"/>
          <w:shd w:val="clear" w:color="auto" w:fill="FFFFFF"/>
        </w:rPr>
        <w:t>c</w:t>
      </w:r>
      <w:r w:rsidRPr="004E7E3E">
        <w:rPr>
          <w:rFonts w:ascii="Times New Roman" w:hAnsi="Times New Roman" w:cs="Times New Roman"/>
          <w:sz w:val="24"/>
          <w:szCs w:val="24"/>
          <w:shd w:val="clear" w:color="auto" w:fill="FFFFFF"/>
          <w:lang w:val="ru-RU"/>
        </w:rPr>
        <w:t>. 257]</w:t>
      </w:r>
      <w:r>
        <w:rPr>
          <w:rFonts w:ascii="Times New Roman" w:hAnsi="Times New Roman" w:cs="Times New Roman"/>
          <w:sz w:val="24"/>
          <w:szCs w:val="24"/>
          <w:shd w:val="clear" w:color="auto" w:fill="FFFFFF"/>
          <w:lang w:val="ru-RU"/>
        </w:rPr>
        <w:t>.</w:t>
      </w:r>
    </w:p>
    <w:p w14:paraId="1D0A7039" w14:textId="1814D029"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sidRPr="004E7E3E">
        <w:rPr>
          <w:rFonts w:ascii="Times New Roman" w:hAnsi="Times New Roman" w:cs="Times New Roman"/>
          <w:sz w:val="24"/>
          <w:szCs w:val="24"/>
          <w:shd w:val="clear" w:color="auto" w:fill="FFFFFF"/>
          <w:lang w:val="ru-RU"/>
        </w:rPr>
        <w:t xml:space="preserve">В пользу консолидации </w:t>
      </w:r>
      <w:r>
        <w:rPr>
          <w:rFonts w:ascii="Times New Roman" w:hAnsi="Times New Roman" w:cs="Times New Roman"/>
          <w:sz w:val="24"/>
          <w:szCs w:val="24"/>
          <w:shd w:val="clear" w:color="auto" w:fill="FFFFFF"/>
          <w:lang w:val="ru-RU"/>
        </w:rPr>
        <w:t>указывают</w:t>
      </w:r>
      <w:r w:rsidRPr="004E7E3E">
        <w:rPr>
          <w:rFonts w:ascii="Times New Roman" w:hAnsi="Times New Roman" w:cs="Times New Roman"/>
          <w:sz w:val="24"/>
          <w:szCs w:val="24"/>
          <w:shd w:val="clear" w:color="auto" w:fill="FFFFFF"/>
          <w:lang w:val="ru-RU"/>
        </w:rPr>
        <w:t xml:space="preserve"> не только экономические аргументы, но и технические. Проведение торгов по акциям на спот-рынке ММВБ и проведение торгов производны</w:t>
      </w:r>
      <w:r>
        <w:rPr>
          <w:rFonts w:ascii="Times New Roman" w:hAnsi="Times New Roman" w:cs="Times New Roman"/>
          <w:sz w:val="24"/>
          <w:szCs w:val="24"/>
          <w:shd w:val="clear" w:color="auto" w:fill="FFFFFF"/>
          <w:lang w:val="ru-RU"/>
        </w:rPr>
        <w:t>ми от тех же акций</w:t>
      </w:r>
      <w:r w:rsidRPr="004E7E3E">
        <w:rPr>
          <w:rFonts w:ascii="Times New Roman" w:hAnsi="Times New Roman" w:cs="Times New Roman"/>
          <w:sz w:val="24"/>
          <w:szCs w:val="24"/>
          <w:shd w:val="clear" w:color="auto" w:fill="FFFFFF"/>
          <w:lang w:val="ru-RU"/>
        </w:rPr>
        <w:t xml:space="preserve"> на РТС с технической точки зрения</w:t>
      </w:r>
      <w:r>
        <w:rPr>
          <w:rFonts w:ascii="Times New Roman" w:hAnsi="Times New Roman" w:cs="Times New Roman"/>
          <w:sz w:val="24"/>
          <w:szCs w:val="24"/>
          <w:shd w:val="clear" w:color="auto" w:fill="FFFFFF"/>
          <w:lang w:val="ru-RU"/>
        </w:rPr>
        <w:t xml:space="preserve"> нерационально</w:t>
      </w:r>
      <w:r w:rsidRPr="004E7E3E">
        <w:rPr>
          <w:rFonts w:ascii="Times New Roman" w:hAnsi="Times New Roman" w:cs="Times New Roman"/>
          <w:sz w:val="24"/>
          <w:szCs w:val="24"/>
          <w:shd w:val="clear" w:color="auto" w:fill="FFFFFF"/>
          <w:lang w:val="ru-RU"/>
        </w:rPr>
        <w:t xml:space="preserve">, поскольку участники торгов вынуждены </w:t>
      </w:r>
      <w:r>
        <w:rPr>
          <w:rFonts w:ascii="Times New Roman" w:hAnsi="Times New Roman" w:cs="Times New Roman"/>
          <w:sz w:val="24"/>
          <w:szCs w:val="24"/>
          <w:shd w:val="clear" w:color="auto" w:fill="FFFFFF"/>
          <w:lang w:val="ru-RU"/>
        </w:rPr>
        <w:t xml:space="preserve">присутствовать </w:t>
      </w:r>
      <w:r w:rsidRPr="004E7E3E">
        <w:rPr>
          <w:rFonts w:ascii="Times New Roman" w:hAnsi="Times New Roman" w:cs="Times New Roman"/>
          <w:sz w:val="24"/>
          <w:szCs w:val="24"/>
          <w:shd w:val="clear" w:color="auto" w:fill="FFFFFF"/>
          <w:lang w:val="ru-RU"/>
        </w:rPr>
        <w:t>на двух площадках одновременно. Для многих специалистов было очевидно, что внедрение единой платформы, где участники торгов могли бы размещать комбинированные заказы на инструменты спот-рынка и деривативы, было бы естественным. Работа с двумя входящими каналами (или экранами) для заказов по спот-рынку и по рынку деривативов является неприемлемым вариантом. Поддержание объективных цен на рынке деривативов зависит от возможности доступа к спот-рынку в режиме реального времени. Ликвидность биржи будет строиться на предложении привлекательных цен на биржевые продукты, сочетая позиции по спот-рынку и по рынку деривативов. Подобная стратегия позволяет добиться ликвидности с различными опционными инструментами, но подобная схема невозможна, если продукты разделены между двумя конкурирующими биржами [</w:t>
      </w:r>
      <w:r w:rsidRPr="004E7E3E">
        <w:rPr>
          <w:rFonts w:ascii="Times New Roman" w:hAnsi="Times New Roman" w:cs="Times New Roman"/>
          <w:sz w:val="24"/>
          <w:szCs w:val="24"/>
          <w:shd w:val="clear" w:color="auto" w:fill="FFFFFF"/>
          <w:lang w:val="ru-RU"/>
        </w:rPr>
        <w:fldChar w:fldCharType="begin"/>
      </w:r>
      <w:r w:rsidRPr="004E7E3E">
        <w:rPr>
          <w:rFonts w:ascii="Times New Roman" w:hAnsi="Times New Roman" w:cs="Times New Roman"/>
          <w:sz w:val="24"/>
          <w:szCs w:val="24"/>
          <w:shd w:val="clear" w:color="auto" w:fill="FFFFFF"/>
          <w:lang w:val="ru-RU"/>
        </w:rPr>
        <w:instrText xml:space="preserve"> REF _Ref497916899 \r \h  \* MERGEFORMAT </w:instrText>
      </w:r>
      <w:r w:rsidRPr="004E7E3E">
        <w:rPr>
          <w:rFonts w:ascii="Times New Roman" w:hAnsi="Times New Roman" w:cs="Times New Roman"/>
          <w:sz w:val="24"/>
          <w:szCs w:val="24"/>
          <w:shd w:val="clear" w:color="auto" w:fill="FFFFFF"/>
          <w:lang w:val="ru-RU"/>
        </w:rPr>
      </w:r>
      <w:r w:rsidRPr="004E7E3E">
        <w:rPr>
          <w:rFonts w:ascii="Times New Roman" w:hAnsi="Times New Roman" w:cs="Times New Roman"/>
          <w:sz w:val="24"/>
          <w:szCs w:val="24"/>
          <w:shd w:val="clear" w:color="auto" w:fill="FFFFFF"/>
          <w:lang w:val="ru-RU"/>
        </w:rPr>
        <w:fldChar w:fldCharType="separate"/>
      </w:r>
      <w:r w:rsidR="00801D78">
        <w:rPr>
          <w:rFonts w:ascii="Times New Roman" w:hAnsi="Times New Roman" w:cs="Times New Roman"/>
          <w:sz w:val="24"/>
          <w:szCs w:val="24"/>
          <w:shd w:val="clear" w:color="auto" w:fill="FFFFFF"/>
          <w:lang w:val="ru-RU"/>
        </w:rPr>
        <w:t>102</w:t>
      </w:r>
      <w:r w:rsidRPr="004E7E3E">
        <w:rPr>
          <w:rFonts w:ascii="Times New Roman" w:hAnsi="Times New Roman" w:cs="Times New Roman"/>
          <w:sz w:val="24"/>
          <w:szCs w:val="24"/>
          <w:shd w:val="clear" w:color="auto" w:fill="FFFFFF"/>
          <w:lang w:val="ru-RU"/>
        </w:rPr>
        <w:fldChar w:fldCharType="end"/>
      </w:r>
      <w:r w:rsidRPr="004E7E3E">
        <w:rPr>
          <w:rFonts w:ascii="Times New Roman" w:hAnsi="Times New Roman" w:cs="Times New Roman"/>
          <w:sz w:val="24"/>
          <w:szCs w:val="24"/>
          <w:shd w:val="clear" w:color="auto" w:fill="FFFFFF"/>
          <w:lang w:val="ru-RU"/>
        </w:rPr>
        <w:t xml:space="preserve">, </w:t>
      </w:r>
      <w:r w:rsidRPr="004E7E3E">
        <w:rPr>
          <w:rFonts w:ascii="Times New Roman" w:hAnsi="Times New Roman" w:cs="Times New Roman"/>
          <w:sz w:val="24"/>
          <w:szCs w:val="24"/>
          <w:shd w:val="clear" w:color="auto" w:fill="FFFFFF"/>
        </w:rPr>
        <w:t>c</w:t>
      </w:r>
      <w:r w:rsidRPr="004E7E3E">
        <w:rPr>
          <w:rFonts w:ascii="Times New Roman" w:hAnsi="Times New Roman" w:cs="Times New Roman"/>
          <w:sz w:val="24"/>
          <w:szCs w:val="24"/>
          <w:shd w:val="clear" w:color="auto" w:fill="FFFFFF"/>
          <w:lang w:val="ru-RU"/>
        </w:rPr>
        <w:t>. 257]</w:t>
      </w:r>
      <w:r>
        <w:rPr>
          <w:rFonts w:ascii="Times New Roman" w:hAnsi="Times New Roman" w:cs="Times New Roman"/>
          <w:sz w:val="24"/>
          <w:szCs w:val="24"/>
          <w:shd w:val="clear" w:color="auto" w:fill="FFFFFF"/>
          <w:lang w:val="ru-RU"/>
        </w:rPr>
        <w:t>.</w:t>
      </w:r>
    </w:p>
    <w:p w14:paraId="347FEB7D" w14:textId="3277DB5C"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sidRPr="004E7E3E">
        <w:rPr>
          <w:rFonts w:ascii="Times New Roman" w:hAnsi="Times New Roman" w:cs="Times New Roman"/>
          <w:sz w:val="24"/>
          <w:szCs w:val="24"/>
          <w:shd w:val="clear" w:color="auto" w:fill="FFFFFF"/>
          <w:lang w:val="ru-RU"/>
        </w:rPr>
        <w:t>Международный опыт также подсказывал необходимость объединения. Позиционная война между NYSE и NASDAQ не идет на пользу США, поскольку она лишь способствует росту цены бирж и ослабляет позиции NASDAQ, которая не в состоянии вести ценовую войну и поэтому вынуждена обращаться за помощью на Ближний Восток. Ещё один пример важности консолидации национальных площадок обычно приводится из британской практики. В свое время Лондону не удалось добиться слияния Лондонской Международной бирж</w:t>
      </w:r>
      <w:r>
        <w:rPr>
          <w:rFonts w:ascii="Times New Roman" w:hAnsi="Times New Roman" w:cs="Times New Roman"/>
          <w:sz w:val="24"/>
          <w:szCs w:val="24"/>
          <w:shd w:val="clear" w:color="auto" w:fill="FFFFFF"/>
          <w:lang w:val="ru-RU"/>
        </w:rPr>
        <w:t>и</w:t>
      </w:r>
      <w:r w:rsidRPr="004E7E3E">
        <w:rPr>
          <w:rFonts w:ascii="Times New Roman" w:hAnsi="Times New Roman" w:cs="Times New Roman"/>
          <w:sz w:val="24"/>
          <w:szCs w:val="24"/>
          <w:shd w:val="clear" w:color="auto" w:fill="FFFFFF"/>
          <w:lang w:val="ru-RU"/>
        </w:rPr>
        <w:t xml:space="preserve"> финансовых фьючерсов и опционов (LIFFE) с Лондонской Фондовой Биржей (что было бы наилучшим решением) исключительно по причинам личного характера. Впоследствии Лондонская международная биржа финансовых фьючерсов и опционов была продана и слилась с Euronext [</w:t>
      </w:r>
      <w:r w:rsidRPr="004E7E3E">
        <w:rPr>
          <w:rFonts w:ascii="Times New Roman" w:hAnsi="Times New Roman" w:cs="Times New Roman"/>
          <w:sz w:val="24"/>
          <w:szCs w:val="24"/>
          <w:shd w:val="clear" w:color="auto" w:fill="FFFFFF"/>
          <w:lang w:val="ru-RU"/>
        </w:rPr>
        <w:fldChar w:fldCharType="begin"/>
      </w:r>
      <w:r w:rsidRPr="004E7E3E">
        <w:rPr>
          <w:rFonts w:ascii="Times New Roman" w:hAnsi="Times New Roman" w:cs="Times New Roman"/>
          <w:sz w:val="24"/>
          <w:szCs w:val="24"/>
          <w:shd w:val="clear" w:color="auto" w:fill="FFFFFF"/>
          <w:lang w:val="ru-RU"/>
        </w:rPr>
        <w:instrText xml:space="preserve"> REF _Ref497916899 \r \h  \* MERGEFORMAT </w:instrText>
      </w:r>
      <w:r w:rsidRPr="004E7E3E">
        <w:rPr>
          <w:rFonts w:ascii="Times New Roman" w:hAnsi="Times New Roman" w:cs="Times New Roman"/>
          <w:sz w:val="24"/>
          <w:szCs w:val="24"/>
          <w:shd w:val="clear" w:color="auto" w:fill="FFFFFF"/>
          <w:lang w:val="ru-RU"/>
        </w:rPr>
      </w:r>
      <w:r w:rsidRPr="004E7E3E">
        <w:rPr>
          <w:rFonts w:ascii="Times New Roman" w:hAnsi="Times New Roman" w:cs="Times New Roman"/>
          <w:sz w:val="24"/>
          <w:szCs w:val="24"/>
          <w:shd w:val="clear" w:color="auto" w:fill="FFFFFF"/>
          <w:lang w:val="ru-RU"/>
        </w:rPr>
        <w:fldChar w:fldCharType="separate"/>
      </w:r>
      <w:r w:rsidR="00801D78">
        <w:rPr>
          <w:rFonts w:ascii="Times New Roman" w:hAnsi="Times New Roman" w:cs="Times New Roman"/>
          <w:sz w:val="24"/>
          <w:szCs w:val="24"/>
          <w:shd w:val="clear" w:color="auto" w:fill="FFFFFF"/>
          <w:lang w:val="ru-RU"/>
        </w:rPr>
        <w:t>102</w:t>
      </w:r>
      <w:r w:rsidRPr="004E7E3E">
        <w:rPr>
          <w:rFonts w:ascii="Times New Roman" w:hAnsi="Times New Roman" w:cs="Times New Roman"/>
          <w:sz w:val="24"/>
          <w:szCs w:val="24"/>
          <w:shd w:val="clear" w:color="auto" w:fill="FFFFFF"/>
          <w:lang w:val="ru-RU"/>
        </w:rPr>
        <w:fldChar w:fldCharType="end"/>
      </w:r>
      <w:r w:rsidRPr="004E7E3E">
        <w:rPr>
          <w:rFonts w:ascii="Times New Roman" w:hAnsi="Times New Roman" w:cs="Times New Roman"/>
          <w:sz w:val="24"/>
          <w:szCs w:val="24"/>
          <w:shd w:val="clear" w:color="auto" w:fill="FFFFFF"/>
          <w:lang w:val="ru-RU"/>
        </w:rPr>
        <w:t xml:space="preserve">, </w:t>
      </w:r>
      <w:r w:rsidRPr="004E7E3E">
        <w:rPr>
          <w:rFonts w:ascii="Times New Roman" w:hAnsi="Times New Roman" w:cs="Times New Roman"/>
          <w:sz w:val="24"/>
          <w:szCs w:val="24"/>
          <w:shd w:val="clear" w:color="auto" w:fill="FFFFFF"/>
        </w:rPr>
        <w:t>c</w:t>
      </w:r>
      <w:r w:rsidRPr="004E7E3E">
        <w:rPr>
          <w:rFonts w:ascii="Times New Roman" w:hAnsi="Times New Roman" w:cs="Times New Roman"/>
          <w:sz w:val="24"/>
          <w:szCs w:val="24"/>
          <w:shd w:val="clear" w:color="auto" w:fill="FFFFFF"/>
          <w:lang w:val="ru-RU"/>
        </w:rPr>
        <w:t>. 256]</w:t>
      </w:r>
      <w:r>
        <w:rPr>
          <w:rFonts w:ascii="Times New Roman" w:hAnsi="Times New Roman" w:cs="Times New Roman"/>
          <w:sz w:val="24"/>
          <w:szCs w:val="24"/>
          <w:shd w:val="clear" w:color="auto" w:fill="FFFFFF"/>
          <w:lang w:val="ru-RU"/>
        </w:rPr>
        <w:t>.</w:t>
      </w:r>
    </w:p>
    <w:p w14:paraId="2A79D767" w14:textId="65A9B516"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sidRPr="004E7E3E">
        <w:rPr>
          <w:rFonts w:ascii="Times New Roman" w:hAnsi="Times New Roman" w:cs="Times New Roman"/>
          <w:sz w:val="24"/>
          <w:szCs w:val="24"/>
          <w:shd w:val="clear" w:color="auto" w:fill="FFFFFF"/>
          <w:lang w:val="ru-RU"/>
        </w:rPr>
        <w:lastRenderedPageBreak/>
        <w:t>В итоге эксперты и правительство пришло к мнению, что российским биржевым группам необходимо конкурировать не на внутреннем рынке, а на международной арене. Эффективная конкуренция на международном уровне невозможна при наличии в стране двух конкурирующих групп. России необходимо консолидировать свою собственную инфраструктуру и лишь затем проводить переговоры на международной арене, имея сильные переговорные позиции</w:t>
      </w:r>
      <w:r>
        <w:rPr>
          <w:rFonts w:ascii="Times New Roman" w:hAnsi="Times New Roman" w:cs="Times New Roman"/>
          <w:sz w:val="24"/>
          <w:szCs w:val="24"/>
          <w:shd w:val="clear" w:color="auto" w:fill="FFFFFF"/>
          <w:lang w:val="ru-RU"/>
        </w:rPr>
        <w:t>. В</w:t>
      </w:r>
      <w:r w:rsidRPr="004E7E3E">
        <w:rPr>
          <w:rFonts w:ascii="Times New Roman" w:hAnsi="Times New Roman" w:cs="Times New Roman"/>
          <w:sz w:val="24"/>
          <w:szCs w:val="24"/>
          <w:shd w:val="clear" w:color="auto" w:fill="FFFFFF"/>
          <w:lang w:val="ru-RU"/>
        </w:rPr>
        <w:t xml:space="preserve"> противном случае потенциальные партнеры могут начать действовать по принципу: «разделяй и властвуй». Когда зайдет речь о выходе страны на международный уровень, это обстоятельство будет большим преимуществом [</w:t>
      </w:r>
      <w:r w:rsidRPr="004E7E3E">
        <w:rPr>
          <w:rFonts w:ascii="Times New Roman" w:hAnsi="Times New Roman" w:cs="Times New Roman"/>
          <w:sz w:val="24"/>
          <w:szCs w:val="24"/>
          <w:shd w:val="clear" w:color="auto" w:fill="FFFFFF"/>
          <w:lang w:val="ru-RU"/>
        </w:rPr>
        <w:fldChar w:fldCharType="begin"/>
      </w:r>
      <w:r w:rsidRPr="004E7E3E">
        <w:rPr>
          <w:rFonts w:ascii="Times New Roman" w:hAnsi="Times New Roman" w:cs="Times New Roman"/>
          <w:sz w:val="24"/>
          <w:szCs w:val="24"/>
          <w:shd w:val="clear" w:color="auto" w:fill="FFFFFF"/>
          <w:lang w:val="ru-RU"/>
        </w:rPr>
        <w:instrText xml:space="preserve"> REF _Ref497916899 \r \h  \* MERGEFORMAT </w:instrText>
      </w:r>
      <w:r w:rsidRPr="004E7E3E">
        <w:rPr>
          <w:rFonts w:ascii="Times New Roman" w:hAnsi="Times New Roman" w:cs="Times New Roman"/>
          <w:sz w:val="24"/>
          <w:szCs w:val="24"/>
          <w:shd w:val="clear" w:color="auto" w:fill="FFFFFF"/>
          <w:lang w:val="ru-RU"/>
        </w:rPr>
      </w:r>
      <w:r w:rsidRPr="004E7E3E">
        <w:rPr>
          <w:rFonts w:ascii="Times New Roman" w:hAnsi="Times New Roman" w:cs="Times New Roman"/>
          <w:sz w:val="24"/>
          <w:szCs w:val="24"/>
          <w:shd w:val="clear" w:color="auto" w:fill="FFFFFF"/>
          <w:lang w:val="ru-RU"/>
        </w:rPr>
        <w:fldChar w:fldCharType="separate"/>
      </w:r>
      <w:r w:rsidR="00801D78">
        <w:rPr>
          <w:rFonts w:ascii="Times New Roman" w:hAnsi="Times New Roman" w:cs="Times New Roman"/>
          <w:sz w:val="24"/>
          <w:szCs w:val="24"/>
          <w:shd w:val="clear" w:color="auto" w:fill="FFFFFF"/>
          <w:lang w:val="ru-RU"/>
        </w:rPr>
        <w:t>102</w:t>
      </w:r>
      <w:r w:rsidRPr="004E7E3E">
        <w:rPr>
          <w:rFonts w:ascii="Times New Roman" w:hAnsi="Times New Roman" w:cs="Times New Roman"/>
          <w:sz w:val="24"/>
          <w:szCs w:val="24"/>
          <w:shd w:val="clear" w:color="auto" w:fill="FFFFFF"/>
          <w:lang w:val="ru-RU"/>
        </w:rPr>
        <w:fldChar w:fldCharType="end"/>
      </w:r>
      <w:r w:rsidRPr="004E7E3E">
        <w:rPr>
          <w:rFonts w:ascii="Times New Roman" w:hAnsi="Times New Roman" w:cs="Times New Roman"/>
          <w:sz w:val="24"/>
          <w:szCs w:val="24"/>
          <w:shd w:val="clear" w:color="auto" w:fill="FFFFFF"/>
          <w:lang w:val="ru-RU"/>
        </w:rPr>
        <w:t xml:space="preserve">, </w:t>
      </w:r>
      <w:r w:rsidRPr="004E7E3E">
        <w:rPr>
          <w:rFonts w:ascii="Times New Roman" w:hAnsi="Times New Roman" w:cs="Times New Roman"/>
          <w:sz w:val="24"/>
          <w:szCs w:val="24"/>
          <w:shd w:val="clear" w:color="auto" w:fill="FFFFFF"/>
        </w:rPr>
        <w:t>c</w:t>
      </w:r>
      <w:r w:rsidRPr="004E7E3E">
        <w:rPr>
          <w:rFonts w:ascii="Times New Roman" w:hAnsi="Times New Roman" w:cs="Times New Roman"/>
          <w:sz w:val="24"/>
          <w:szCs w:val="24"/>
          <w:shd w:val="clear" w:color="auto" w:fill="FFFFFF"/>
          <w:lang w:val="ru-RU"/>
        </w:rPr>
        <w:t>. 258]</w:t>
      </w:r>
      <w:r>
        <w:rPr>
          <w:rFonts w:ascii="Times New Roman" w:hAnsi="Times New Roman" w:cs="Times New Roman"/>
          <w:sz w:val="24"/>
          <w:szCs w:val="24"/>
          <w:shd w:val="clear" w:color="auto" w:fill="FFFFFF"/>
          <w:lang w:val="ru-RU"/>
        </w:rPr>
        <w:t>.</w:t>
      </w:r>
    </w:p>
    <w:p w14:paraId="1F495EB7" w14:textId="77777777"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shd w:val="clear" w:color="auto" w:fill="FFFFFF"/>
          <w:lang w:val="ru-RU"/>
        </w:rPr>
      </w:pPr>
      <w:r w:rsidRPr="004E7E3E">
        <w:rPr>
          <w:rFonts w:ascii="Times New Roman" w:hAnsi="Times New Roman" w:cs="Times New Roman"/>
          <w:sz w:val="24"/>
          <w:szCs w:val="24"/>
          <w:shd w:val="clear" w:color="auto" w:fill="FFFFFF"/>
          <w:lang w:val="ru-RU"/>
        </w:rPr>
        <w:t xml:space="preserve">В период кризиса 2008 </w:t>
      </w:r>
      <w:r>
        <w:rPr>
          <w:rFonts w:ascii="Times New Roman" w:hAnsi="Times New Roman" w:cs="Times New Roman"/>
          <w:sz w:val="24"/>
          <w:szCs w:val="24"/>
          <w:shd w:val="clear" w:color="auto" w:fill="FFFFFF"/>
          <w:lang w:val="ru-RU"/>
        </w:rPr>
        <w:t xml:space="preserve">года </w:t>
      </w:r>
      <w:r w:rsidRPr="004E7E3E">
        <w:rPr>
          <w:rFonts w:ascii="Times New Roman" w:hAnsi="Times New Roman" w:cs="Times New Roman"/>
          <w:sz w:val="24"/>
          <w:szCs w:val="24"/>
          <w:shd w:val="clear" w:color="auto" w:fill="FFFFFF"/>
          <w:lang w:val="ru-RU"/>
        </w:rPr>
        <w:t xml:space="preserve">наметилось падение доходов инфраструктурных институтов и снижение капитализации российского фондового рынка. Крупным игрокам приходилось заводить два разных аккаунта для отслеживания тенденций на обеих площадках. Российский фондовый рынок и так не отличался глубиной, а из-за раздробленности на несколько площадок его фрагментарность усиливалась, как и подверженность спекулятивным атакам. В итоге российские власти решили объединить под одной вывеской «коня и трепетную лань». Надо признать, что объединение проходило вполне деликатно. Ответственным за объединение стал Рубен Варданян, известный предприниматель, бывший владелец брокерской компании «Тройка-Диалог», удачно продавший её Сбербанку. Были слиты воедино лишь офисы поддержки, </w:t>
      </w:r>
      <w:r w:rsidRPr="004E7E3E">
        <w:rPr>
          <w:rFonts w:ascii="Times New Roman" w:hAnsi="Times New Roman" w:cs="Times New Roman"/>
          <w:sz w:val="24"/>
          <w:szCs w:val="24"/>
          <w:shd w:val="clear" w:color="auto" w:fill="FFFFFF"/>
        </w:rPr>
        <w:t>IT</w:t>
      </w:r>
      <w:r w:rsidRPr="004E7E3E">
        <w:rPr>
          <w:rFonts w:ascii="Times New Roman" w:hAnsi="Times New Roman" w:cs="Times New Roman"/>
          <w:sz w:val="24"/>
          <w:szCs w:val="24"/>
          <w:shd w:val="clear" w:color="auto" w:fill="FFFFFF"/>
          <w:lang w:val="ru-RU"/>
        </w:rPr>
        <w:t xml:space="preserve">-службы и пр., но сохранены даже индексы РТС и ММВБ. Данное объединение, несмотря на всю критику, можно считать успешным. </w:t>
      </w:r>
    </w:p>
    <w:p w14:paraId="5CC35338" w14:textId="24B18F2A" w:rsidR="000B0CE0" w:rsidRPr="004E7E3E" w:rsidRDefault="000B0CE0" w:rsidP="000B0CE0">
      <w:pPr>
        <w:pStyle w:val="af3"/>
        <w:spacing w:before="100" w:beforeAutospacing="1" w:after="100" w:line="360" w:lineRule="auto"/>
        <w:ind w:left="0" w:firstLine="709"/>
        <w:jc w:val="both"/>
        <w:rPr>
          <w:rFonts w:ascii="Times New Roman" w:eastAsia="Times New Roman" w:hAnsi="Times New Roman" w:cs="Times New Roman"/>
          <w:color w:val="000000"/>
          <w:sz w:val="24"/>
          <w:szCs w:val="24"/>
          <w:lang w:val="ru-RU" w:eastAsia="ru-RU" w:bidi="ar-SA"/>
        </w:rPr>
      </w:pPr>
      <w:r w:rsidRPr="004E7E3E">
        <w:rPr>
          <w:rFonts w:ascii="Times New Roman" w:hAnsi="Times New Roman" w:cs="Times New Roman"/>
          <w:sz w:val="24"/>
          <w:szCs w:val="24"/>
          <w:shd w:val="clear" w:color="auto" w:fill="FFFFFF"/>
          <w:lang w:val="ru-RU"/>
        </w:rPr>
        <w:t>Относительно общего депозитария и клиринговой службы, которые требовались для эффективной работы фондового рынка была принята стратегия по формированию независимых от западных фондовых рынков структур, но по самому незатратному способу – на базе депозитария и клиринговой службы ММВБ. Создание единого сервиса позволило перевести рынок на режим торговли Т+2 (расчёты в течение 2-х дней после совершения сделки), при этом риски контролируются АО Банк «Национальный клиринговый центр» (далее НКЦ)</w:t>
      </w:r>
      <w:r>
        <w:rPr>
          <w:rFonts w:ascii="Times New Roman" w:hAnsi="Times New Roman" w:cs="Times New Roman"/>
          <w:sz w:val="24"/>
          <w:szCs w:val="24"/>
          <w:shd w:val="clear" w:color="auto" w:fill="FFFFFF"/>
          <w:lang w:val="ru-RU"/>
        </w:rPr>
        <w:t xml:space="preserve">, </w:t>
      </w:r>
      <w:r w:rsidRPr="004E7E3E">
        <w:rPr>
          <w:rFonts w:ascii="Times New Roman" w:hAnsi="Times New Roman" w:cs="Times New Roman"/>
          <w:sz w:val="24"/>
          <w:szCs w:val="24"/>
          <w:shd w:val="clear" w:color="auto" w:fill="FFFFFF"/>
          <w:lang w:val="ru-RU"/>
        </w:rPr>
        <w:t>дочерней компани</w:t>
      </w:r>
      <w:r>
        <w:rPr>
          <w:rFonts w:ascii="Times New Roman" w:hAnsi="Times New Roman" w:cs="Times New Roman"/>
          <w:sz w:val="24"/>
          <w:szCs w:val="24"/>
          <w:shd w:val="clear" w:color="auto" w:fill="FFFFFF"/>
          <w:lang w:val="ru-RU"/>
        </w:rPr>
        <w:t>ей</w:t>
      </w:r>
      <w:r w:rsidRPr="004E7E3E">
        <w:rPr>
          <w:rFonts w:ascii="Times New Roman" w:hAnsi="Times New Roman" w:cs="Times New Roman"/>
          <w:sz w:val="24"/>
          <w:szCs w:val="24"/>
          <w:shd w:val="clear" w:color="auto" w:fill="FFFFFF"/>
          <w:lang w:val="ru-RU"/>
        </w:rPr>
        <w:t xml:space="preserve"> Московской биржи</w:t>
      </w:r>
      <w:r>
        <w:rPr>
          <w:rFonts w:ascii="Times New Roman" w:hAnsi="Times New Roman" w:cs="Times New Roman"/>
          <w:sz w:val="24"/>
          <w:szCs w:val="24"/>
          <w:shd w:val="clear" w:color="auto" w:fill="FFFFFF"/>
          <w:lang w:val="ru-RU"/>
        </w:rPr>
        <w:t xml:space="preserve"> со стопроцентным участием</w:t>
      </w:r>
      <w:r w:rsidRPr="004E7E3E">
        <w:rPr>
          <w:rFonts w:ascii="Times New Roman" w:hAnsi="Times New Roman" w:cs="Times New Roman"/>
          <w:sz w:val="24"/>
          <w:szCs w:val="24"/>
          <w:shd w:val="clear" w:color="auto" w:fill="FFFFFF"/>
          <w:lang w:val="ru-RU"/>
        </w:rPr>
        <w:t>. Согласно Fitch, рейтинговый уровень НКЦ соответствует рейтинговым уровням российских суверенных финансов в</w:t>
      </w:r>
      <w:r>
        <w:rPr>
          <w:rFonts w:ascii="Times New Roman" w:hAnsi="Times New Roman" w:cs="Times New Roman"/>
          <w:sz w:val="24"/>
          <w:szCs w:val="24"/>
          <w:shd w:val="clear" w:color="auto" w:fill="FFFFFF"/>
          <w:lang w:val="ru-RU"/>
        </w:rPr>
        <w:t> </w:t>
      </w:r>
      <w:r w:rsidRPr="004E7E3E">
        <w:rPr>
          <w:rFonts w:ascii="Times New Roman" w:hAnsi="Times New Roman" w:cs="Times New Roman"/>
          <w:sz w:val="24"/>
          <w:szCs w:val="24"/>
          <w:shd w:val="clear" w:color="auto" w:fill="FFFFFF"/>
          <w:lang w:val="ru-RU"/>
        </w:rPr>
        <w:t>иностранной валюте и на одну ступень выше суверенного рейтинга в национальной валюте [</w:t>
      </w:r>
      <w:r w:rsidRPr="004E7E3E">
        <w:rPr>
          <w:rFonts w:ascii="Times New Roman" w:hAnsi="Times New Roman" w:cs="Times New Roman"/>
          <w:sz w:val="24"/>
          <w:szCs w:val="24"/>
          <w:shd w:val="clear" w:color="auto" w:fill="FFFFFF"/>
          <w:lang w:val="ru-RU"/>
        </w:rPr>
        <w:fldChar w:fldCharType="begin"/>
      </w:r>
      <w:r w:rsidRPr="004E7E3E">
        <w:rPr>
          <w:rFonts w:ascii="Times New Roman" w:hAnsi="Times New Roman" w:cs="Times New Roman"/>
          <w:sz w:val="24"/>
          <w:szCs w:val="24"/>
          <w:shd w:val="clear" w:color="auto" w:fill="FFFFFF"/>
          <w:lang w:val="ru-RU"/>
        </w:rPr>
        <w:instrText xml:space="preserve"> REF _Ref498176488 \r \h  \* MERGEFORMAT </w:instrText>
      </w:r>
      <w:r w:rsidRPr="004E7E3E">
        <w:rPr>
          <w:rFonts w:ascii="Times New Roman" w:hAnsi="Times New Roman" w:cs="Times New Roman"/>
          <w:sz w:val="24"/>
          <w:szCs w:val="24"/>
          <w:shd w:val="clear" w:color="auto" w:fill="FFFFFF"/>
          <w:lang w:val="ru-RU"/>
        </w:rPr>
      </w:r>
      <w:r w:rsidRPr="004E7E3E">
        <w:rPr>
          <w:rFonts w:ascii="Times New Roman" w:hAnsi="Times New Roman" w:cs="Times New Roman"/>
          <w:sz w:val="24"/>
          <w:szCs w:val="24"/>
          <w:shd w:val="clear" w:color="auto" w:fill="FFFFFF"/>
          <w:lang w:val="ru-RU"/>
        </w:rPr>
        <w:fldChar w:fldCharType="separate"/>
      </w:r>
      <w:r w:rsidR="00801D78">
        <w:rPr>
          <w:rFonts w:ascii="Times New Roman" w:hAnsi="Times New Roman" w:cs="Times New Roman"/>
          <w:sz w:val="24"/>
          <w:szCs w:val="24"/>
          <w:shd w:val="clear" w:color="auto" w:fill="FFFFFF"/>
          <w:lang w:val="ru-RU"/>
        </w:rPr>
        <w:t>284</w:t>
      </w:r>
      <w:r w:rsidRPr="004E7E3E">
        <w:rPr>
          <w:rFonts w:ascii="Times New Roman" w:hAnsi="Times New Roman" w:cs="Times New Roman"/>
          <w:sz w:val="24"/>
          <w:szCs w:val="24"/>
          <w:shd w:val="clear" w:color="auto" w:fill="FFFFFF"/>
          <w:lang w:val="ru-RU"/>
        </w:rPr>
        <w:fldChar w:fldCharType="end"/>
      </w:r>
      <w:r w:rsidRPr="004E7E3E">
        <w:rPr>
          <w:rFonts w:ascii="Times New Roman" w:hAnsi="Times New Roman" w:cs="Times New Roman"/>
          <w:sz w:val="24"/>
          <w:szCs w:val="24"/>
          <w:shd w:val="clear" w:color="auto" w:fill="FFFFFF"/>
          <w:lang w:val="ru-RU"/>
        </w:rPr>
        <w:t xml:space="preserve">]. Он выполняет функции клиринговой организации и центрального контрагента (ЦК), то есть </w:t>
      </w:r>
      <w:r w:rsidRPr="004E7E3E">
        <w:rPr>
          <w:rFonts w:ascii="Times New Roman" w:hAnsi="Times New Roman" w:cs="Times New Roman"/>
          <w:color w:val="000000"/>
          <w:sz w:val="24"/>
          <w:szCs w:val="24"/>
          <w:lang w:val="ru-RU"/>
        </w:rPr>
        <w:t xml:space="preserve">берет на себя риски по заключаемым торговым биржевым сделкам, выступая посредником между сторонами, становясь продавцом для каждого покупателя и покупателем для каждого продавца. Участники торгов заменяют свои договорные отношения друг с другом соответствующими договорными обязательствами с ЦК. Функция ЦК позволяет отделить биржевые риски от клиринговых рисков. Размер уставного капитала Банка составляет 16,7 млрд. </w:t>
      </w:r>
      <w:r w:rsidRPr="004E7E3E">
        <w:rPr>
          <w:rFonts w:ascii="Times New Roman" w:hAnsi="Times New Roman" w:cs="Times New Roman"/>
          <w:color w:val="000000"/>
          <w:sz w:val="24"/>
          <w:szCs w:val="24"/>
          <w:lang w:val="ru-RU"/>
        </w:rPr>
        <w:lastRenderedPageBreak/>
        <w:t>рублей. Банк видит своей стратегической задачей</w:t>
      </w:r>
      <w:r w:rsidRPr="004E7E3E">
        <w:rPr>
          <w:rFonts w:ascii="Times New Roman" w:eastAsia="Times New Roman" w:hAnsi="Times New Roman" w:cs="Times New Roman"/>
          <w:color w:val="000000"/>
          <w:sz w:val="24"/>
          <w:szCs w:val="24"/>
          <w:lang w:val="ru-RU" w:eastAsia="ru-RU" w:bidi="ar-SA"/>
        </w:rPr>
        <w:t xml:space="preserve"> «предоставление участникам различных сегментов финансового рынка интегрированного клирингового обслуживания, предусматривающего использование единого обеспечения и ведение единых позиций (лимитов) участников в процессе их обслуживания на всех биржевых рынках Группы Московская Биржа и внебиржевых рынках». </w:t>
      </w:r>
      <w:r w:rsidRPr="004E7E3E">
        <w:rPr>
          <w:rFonts w:ascii="Times New Roman" w:eastAsia="Times New Roman" w:hAnsi="Times New Roman" w:cs="Times New Roman"/>
          <w:color w:val="000000"/>
          <w:sz w:val="24"/>
          <w:szCs w:val="24"/>
          <w:lang w:val="ru-RU" w:eastAsia="ru-RU" w:bidi="ar-SA"/>
        </w:rPr>
        <w:fldChar w:fldCharType="begin"/>
      </w:r>
      <w:r w:rsidRPr="004E7E3E">
        <w:rPr>
          <w:rFonts w:ascii="Times New Roman" w:eastAsia="Times New Roman" w:hAnsi="Times New Roman" w:cs="Times New Roman"/>
          <w:color w:val="000000"/>
          <w:sz w:val="24"/>
          <w:szCs w:val="24"/>
          <w:lang w:val="ru-RU" w:eastAsia="ru-RU" w:bidi="ar-SA"/>
        </w:rPr>
        <w:instrText xml:space="preserve"> REF _Ref131437019 \r \h  \* MERGEFORMAT </w:instrText>
      </w:r>
      <w:r w:rsidRPr="004E7E3E">
        <w:rPr>
          <w:rFonts w:ascii="Times New Roman" w:eastAsia="Times New Roman" w:hAnsi="Times New Roman" w:cs="Times New Roman"/>
          <w:color w:val="000000"/>
          <w:sz w:val="24"/>
          <w:szCs w:val="24"/>
          <w:lang w:val="ru-RU" w:eastAsia="ru-RU" w:bidi="ar-SA"/>
        </w:rPr>
      </w:r>
      <w:r w:rsidRPr="004E7E3E">
        <w:rPr>
          <w:rFonts w:ascii="Times New Roman" w:eastAsia="Times New Roman" w:hAnsi="Times New Roman" w:cs="Times New Roman"/>
          <w:color w:val="000000"/>
          <w:sz w:val="24"/>
          <w:szCs w:val="24"/>
          <w:lang w:val="ru-RU" w:eastAsia="ru-RU" w:bidi="ar-SA"/>
        </w:rPr>
        <w:fldChar w:fldCharType="separate"/>
      </w:r>
      <w:r w:rsidR="00801D78">
        <w:rPr>
          <w:rFonts w:ascii="Times New Roman" w:eastAsia="Times New Roman" w:hAnsi="Times New Roman" w:cs="Times New Roman"/>
          <w:color w:val="000000"/>
          <w:sz w:val="24"/>
          <w:szCs w:val="24"/>
          <w:lang w:val="ru-RU" w:eastAsia="ru-RU" w:bidi="ar-SA"/>
        </w:rPr>
        <w:t>285</w:t>
      </w:r>
      <w:r w:rsidRPr="004E7E3E">
        <w:rPr>
          <w:rFonts w:ascii="Times New Roman" w:eastAsia="Times New Roman" w:hAnsi="Times New Roman" w:cs="Times New Roman"/>
          <w:color w:val="000000"/>
          <w:sz w:val="24"/>
          <w:szCs w:val="24"/>
          <w:lang w:val="ru-RU" w:eastAsia="ru-RU" w:bidi="ar-SA"/>
        </w:rPr>
        <w:fldChar w:fldCharType="end"/>
      </w:r>
      <w:r w:rsidRPr="004E7E3E">
        <w:rPr>
          <w:rFonts w:ascii="Times New Roman" w:hAnsi="Times New Roman" w:cs="Times New Roman"/>
          <w:color w:val="000000"/>
          <w:sz w:val="24"/>
          <w:szCs w:val="24"/>
          <w:lang w:val="ru-RU"/>
        </w:rPr>
        <w:t xml:space="preserve"> </w:t>
      </w:r>
      <w:r w:rsidRPr="004E7E3E">
        <w:rPr>
          <w:rFonts w:ascii="Times New Roman" w:eastAsia="Times New Roman" w:hAnsi="Times New Roman" w:cs="Times New Roman"/>
          <w:color w:val="000000"/>
          <w:sz w:val="24"/>
          <w:szCs w:val="24"/>
          <w:lang w:val="ru-RU" w:eastAsia="ru-RU" w:bidi="ar-SA"/>
        </w:rPr>
        <w:t>НКЦ с 2009 года явля</w:t>
      </w:r>
      <w:r>
        <w:rPr>
          <w:rFonts w:ascii="Times New Roman" w:eastAsia="Times New Roman" w:hAnsi="Times New Roman" w:cs="Times New Roman"/>
          <w:color w:val="000000"/>
          <w:sz w:val="24"/>
          <w:szCs w:val="24"/>
          <w:lang w:val="ru-RU" w:eastAsia="ru-RU" w:bidi="ar-SA"/>
        </w:rPr>
        <w:t>ю</w:t>
      </w:r>
      <w:r w:rsidRPr="004E7E3E">
        <w:rPr>
          <w:rFonts w:ascii="Times New Roman" w:eastAsia="Times New Roman" w:hAnsi="Times New Roman" w:cs="Times New Roman"/>
          <w:color w:val="000000"/>
          <w:sz w:val="24"/>
          <w:szCs w:val="24"/>
          <w:lang w:val="ru-RU" w:eastAsia="ru-RU" w:bidi="ar-SA"/>
        </w:rPr>
        <w:t>тся член</w:t>
      </w:r>
      <w:r>
        <w:rPr>
          <w:rFonts w:ascii="Times New Roman" w:eastAsia="Times New Roman" w:hAnsi="Times New Roman" w:cs="Times New Roman"/>
          <w:color w:val="000000"/>
          <w:sz w:val="24"/>
          <w:szCs w:val="24"/>
          <w:lang w:val="ru-RU" w:eastAsia="ru-RU" w:bidi="ar-SA"/>
        </w:rPr>
        <w:t>ами</w:t>
      </w:r>
      <w:r w:rsidRPr="004E7E3E">
        <w:rPr>
          <w:rFonts w:ascii="Times New Roman" w:eastAsia="Times New Roman" w:hAnsi="Times New Roman" w:cs="Times New Roman"/>
          <w:color w:val="000000"/>
          <w:sz w:val="24"/>
          <w:szCs w:val="24"/>
          <w:lang w:val="ru-RU" w:eastAsia="ru-RU" w:bidi="ar-SA"/>
        </w:rPr>
        <w:t xml:space="preserve"> Европейской ассоциации клиринговых домов-центральных контрагентов (EACH), с 2011 года – член</w:t>
      </w:r>
      <w:r>
        <w:rPr>
          <w:rFonts w:ascii="Times New Roman" w:eastAsia="Times New Roman" w:hAnsi="Times New Roman" w:cs="Times New Roman"/>
          <w:color w:val="000000"/>
          <w:sz w:val="24"/>
          <w:szCs w:val="24"/>
          <w:lang w:val="ru-RU" w:eastAsia="ru-RU" w:bidi="ar-SA"/>
        </w:rPr>
        <w:t>ами</w:t>
      </w:r>
      <w:r w:rsidRPr="004E7E3E">
        <w:rPr>
          <w:rFonts w:ascii="Times New Roman" w:eastAsia="Times New Roman" w:hAnsi="Times New Roman" w:cs="Times New Roman"/>
          <w:color w:val="000000"/>
          <w:sz w:val="24"/>
          <w:szCs w:val="24"/>
          <w:lang w:val="ru-RU" w:eastAsia="ru-RU" w:bidi="ar-SA"/>
        </w:rPr>
        <w:t xml:space="preserve"> Всемирной ассоциации центральных контрагентов – CCP12, </w:t>
      </w:r>
      <w:r w:rsidRPr="004E7E3E">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w:t>
      </w:r>
      <w:r w:rsidRPr="004E7E3E">
        <w:rPr>
          <w:rFonts w:ascii="Times New Roman" w:eastAsia="Times New Roman" w:hAnsi="Times New Roman" w:cs="Times New Roman"/>
          <w:color w:val="000000"/>
          <w:sz w:val="24"/>
          <w:szCs w:val="24"/>
          <w:lang w:val="ru-RU" w:eastAsia="ru-RU" w:bidi="ar-SA"/>
        </w:rPr>
        <w:t xml:space="preserve">что свидетельствует о признании соответствия деятельности НКЦ международным стандартам. </w:t>
      </w:r>
    </w:p>
    <w:p w14:paraId="4C5C62C9" w14:textId="5D2963A7"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color w:val="000000"/>
          <w:sz w:val="24"/>
          <w:szCs w:val="24"/>
          <w:lang w:val="ru-RU"/>
        </w:rPr>
      </w:pPr>
      <w:r w:rsidRPr="004E7E3E">
        <w:rPr>
          <w:rFonts w:ascii="Times New Roman" w:hAnsi="Times New Roman" w:cs="Times New Roman"/>
          <w:color w:val="000000" w:themeColor="text1"/>
          <w:sz w:val="24"/>
          <w:szCs w:val="24"/>
          <w:lang w:val="ru-RU"/>
        </w:rPr>
        <w:t>Согласно официальному сайту организации, небанковская кредитная организация акционерное общество «Национальный расчетный депозитарий» (далее НРД) является инфраструктурным институтом финансового рынка Российской Федерации, выполняющим широкий спектр видов деятельности, включая функции центрального депозитария, системы расчетов по ценным бумагам, системно и национально значимой платежной системы, торгового репозитария. Его работа соответствует «Принцип</w:t>
      </w:r>
      <w:r>
        <w:rPr>
          <w:rFonts w:ascii="Times New Roman" w:hAnsi="Times New Roman" w:cs="Times New Roman"/>
          <w:color w:val="000000" w:themeColor="text1"/>
          <w:sz w:val="24"/>
          <w:szCs w:val="24"/>
          <w:lang w:val="ru-RU"/>
        </w:rPr>
        <w:t>ам</w:t>
      </w:r>
      <w:r w:rsidRPr="004E7E3E">
        <w:rPr>
          <w:rFonts w:ascii="Times New Roman" w:hAnsi="Times New Roman" w:cs="Times New Roman"/>
          <w:color w:val="000000" w:themeColor="text1"/>
          <w:sz w:val="24"/>
          <w:szCs w:val="24"/>
          <w:lang w:val="ru-RU"/>
        </w:rPr>
        <w:t xml:space="preserve"> для инфраструктур финансового рынка»</w:t>
      </w:r>
      <w:r>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lang w:val="ru-RU"/>
        </w:rPr>
        <w:t xml:space="preserve"> разработанны</w:t>
      </w:r>
      <w:r>
        <w:rPr>
          <w:rFonts w:ascii="Times New Roman" w:hAnsi="Times New Roman" w:cs="Times New Roman"/>
          <w:color w:val="000000" w:themeColor="text1"/>
          <w:sz w:val="24"/>
          <w:szCs w:val="24"/>
          <w:lang w:val="ru-RU"/>
        </w:rPr>
        <w:t>м</w:t>
      </w:r>
      <w:r w:rsidRPr="004E7E3E">
        <w:rPr>
          <w:rFonts w:ascii="Times New Roman" w:hAnsi="Times New Roman" w:cs="Times New Roman"/>
          <w:color w:val="000000" w:themeColor="text1"/>
          <w:sz w:val="24"/>
          <w:szCs w:val="24"/>
          <w:lang w:val="ru-RU"/>
        </w:rPr>
        <w:t xml:space="preserve"> Банком международных расчетов и Международной организацией комиссий по ценным бумагам (</w:t>
      </w:r>
      <w:r w:rsidRPr="004E7E3E">
        <w:rPr>
          <w:rFonts w:ascii="Times New Roman" w:hAnsi="Times New Roman" w:cs="Times New Roman"/>
          <w:color w:val="000000" w:themeColor="text1"/>
          <w:sz w:val="24"/>
          <w:szCs w:val="24"/>
        </w:rPr>
        <w:t>Committee</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on</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Payment</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and</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Settlement</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Systems</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Principles</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for</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Financial</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Market</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Infrastructures</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April</w:t>
      </w:r>
      <w:r w:rsidRPr="004E7E3E">
        <w:rPr>
          <w:rFonts w:ascii="Times New Roman" w:hAnsi="Times New Roman" w:cs="Times New Roman"/>
          <w:color w:val="000000" w:themeColor="text1"/>
          <w:sz w:val="24"/>
          <w:szCs w:val="24"/>
          <w:lang w:val="ru-RU"/>
        </w:rPr>
        <w:t xml:space="preserve"> 2012). 99,997% акций НРД принадлежит группе Московской Биржи, но среди акционеров также числятся крупнейшие мировые клиринговые службы </w:t>
      </w:r>
      <w:r w:rsidRPr="004E7E3E">
        <w:rPr>
          <w:rFonts w:ascii="Times New Roman" w:hAnsi="Times New Roman" w:cs="Times New Roman"/>
          <w:color w:val="000000" w:themeColor="text1"/>
          <w:sz w:val="24"/>
          <w:szCs w:val="24"/>
        </w:rPr>
        <w:t>Clearstream</w:t>
      </w:r>
      <w:r w:rsidRPr="004E7E3E">
        <w:rPr>
          <w:rFonts w:ascii="Times New Roman" w:hAnsi="Times New Roman" w:cs="Times New Roman"/>
          <w:color w:val="000000" w:themeColor="text1"/>
          <w:sz w:val="24"/>
          <w:szCs w:val="24"/>
          <w:lang w:val="ru-RU"/>
        </w:rPr>
        <w:t xml:space="preserve"> и </w:t>
      </w:r>
      <w:r w:rsidRPr="004E7E3E">
        <w:rPr>
          <w:rFonts w:ascii="Times New Roman" w:hAnsi="Times New Roman" w:cs="Times New Roman"/>
          <w:color w:val="000000" w:themeColor="text1"/>
          <w:sz w:val="24"/>
          <w:szCs w:val="24"/>
        </w:rPr>
        <w:t>Euroclear</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fldChar w:fldCharType="begin"/>
      </w:r>
      <w:r w:rsidRPr="004E7E3E">
        <w:rPr>
          <w:rFonts w:ascii="Times New Roman" w:hAnsi="Times New Roman" w:cs="Times New Roman"/>
          <w:color w:val="000000" w:themeColor="text1"/>
          <w:sz w:val="24"/>
          <w:szCs w:val="24"/>
          <w:lang w:val="ru-RU"/>
        </w:rPr>
        <w:instrText xml:space="preserve"> REF _Ref501281036 \r \h  \* </w:instrText>
      </w:r>
      <w:r w:rsidRPr="004E7E3E">
        <w:rPr>
          <w:rFonts w:ascii="Times New Roman" w:hAnsi="Times New Roman" w:cs="Times New Roman"/>
          <w:color w:val="000000" w:themeColor="text1"/>
          <w:sz w:val="24"/>
          <w:szCs w:val="24"/>
        </w:rPr>
        <w:instrText>MERGEFORMAT</w:instrText>
      </w:r>
      <w:r w:rsidRPr="004E7E3E">
        <w:rPr>
          <w:rFonts w:ascii="Times New Roman" w:hAnsi="Times New Roman" w:cs="Times New Roman"/>
          <w:color w:val="000000" w:themeColor="text1"/>
          <w:sz w:val="24"/>
          <w:szCs w:val="24"/>
          <w:lang w:val="ru-RU"/>
        </w:rPr>
        <w:instrText xml:space="preserve"> </w:instrText>
      </w:r>
      <w:r w:rsidRPr="004E7E3E">
        <w:rPr>
          <w:rFonts w:ascii="Times New Roman" w:hAnsi="Times New Roman" w:cs="Times New Roman"/>
          <w:color w:val="000000" w:themeColor="text1"/>
          <w:sz w:val="24"/>
          <w:szCs w:val="24"/>
        </w:rPr>
      </w:r>
      <w:r w:rsidRPr="004E7E3E">
        <w:rPr>
          <w:rFonts w:ascii="Times New Roman" w:hAnsi="Times New Roman" w:cs="Times New Roman"/>
          <w:color w:val="000000" w:themeColor="text1"/>
          <w:sz w:val="24"/>
          <w:szCs w:val="24"/>
        </w:rPr>
        <w:fldChar w:fldCharType="separate"/>
      </w:r>
      <w:r w:rsidR="00801D78">
        <w:rPr>
          <w:rFonts w:ascii="Times New Roman" w:hAnsi="Times New Roman" w:cs="Times New Roman"/>
          <w:color w:val="000000" w:themeColor="text1"/>
          <w:sz w:val="24"/>
          <w:szCs w:val="24"/>
          <w:lang w:val="ru-RU"/>
        </w:rPr>
        <w:t>267</w:t>
      </w:r>
      <w:r w:rsidRPr="004E7E3E">
        <w:rPr>
          <w:rFonts w:ascii="Times New Roman" w:hAnsi="Times New Roman" w:cs="Times New Roman"/>
          <w:color w:val="000000" w:themeColor="text1"/>
          <w:sz w:val="24"/>
          <w:szCs w:val="24"/>
        </w:rPr>
        <w:fldChar w:fldCharType="end"/>
      </w:r>
      <w:r w:rsidRPr="004E7E3E">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w:t>
      </w:r>
    </w:p>
    <w:p w14:paraId="0F4691E3" w14:textId="29A111EA" w:rsidR="000B0CE0" w:rsidRPr="004E7E3E" w:rsidRDefault="000B0CE0" w:rsidP="000B0CE0">
      <w:pPr>
        <w:pStyle w:val="af3"/>
        <w:spacing w:before="100" w:beforeAutospacing="1" w:after="100" w:line="360" w:lineRule="auto"/>
        <w:ind w:left="0" w:firstLine="709"/>
        <w:jc w:val="both"/>
        <w:rPr>
          <w:rFonts w:ascii="Times New Roman" w:eastAsia="Times New Roman" w:hAnsi="Times New Roman" w:cs="Times New Roman"/>
          <w:color w:val="000000"/>
          <w:sz w:val="24"/>
          <w:szCs w:val="24"/>
          <w:lang w:val="ru-RU" w:eastAsia="ru-RU" w:bidi="ar-SA"/>
        </w:rPr>
      </w:pPr>
      <w:r w:rsidRPr="004E7E3E">
        <w:rPr>
          <w:rFonts w:ascii="Times New Roman" w:hAnsi="Times New Roman" w:cs="Times New Roman"/>
          <w:color w:val="000000" w:themeColor="text1"/>
          <w:sz w:val="24"/>
          <w:szCs w:val="24"/>
          <w:lang w:val="ru-RU"/>
        </w:rPr>
        <w:t>Деятельность работы НКД также высоко оценивается национальным рейтинговым агентством АКРА (рейтинг «</w:t>
      </w:r>
      <w:r w:rsidRPr="004E7E3E">
        <w:rPr>
          <w:rFonts w:ascii="Times New Roman" w:hAnsi="Times New Roman" w:cs="Times New Roman"/>
          <w:color w:val="000000" w:themeColor="text1"/>
          <w:sz w:val="24"/>
          <w:szCs w:val="24"/>
        </w:rPr>
        <w:t>AAA</w:t>
      </w:r>
      <w:r w:rsidRPr="004E7E3E">
        <w:rPr>
          <w:rFonts w:ascii="Times New Roman" w:hAnsi="Times New Roman" w:cs="Times New Roman"/>
          <w:color w:val="000000" w:themeColor="text1"/>
          <w:sz w:val="24"/>
          <w:szCs w:val="24"/>
          <w:lang w:val="ru-RU"/>
        </w:rPr>
        <w:t xml:space="preserve"> – Стабильный») [</w:t>
      </w:r>
      <w:r w:rsidRPr="004E7E3E">
        <w:rPr>
          <w:rFonts w:ascii="Times New Roman" w:hAnsi="Times New Roman" w:cs="Times New Roman"/>
          <w:color w:val="000000" w:themeColor="text1"/>
          <w:sz w:val="24"/>
          <w:szCs w:val="24"/>
          <w:lang w:val="ru-RU"/>
        </w:rPr>
        <w:fldChar w:fldCharType="begin"/>
      </w:r>
      <w:r w:rsidRPr="004E7E3E">
        <w:rPr>
          <w:rFonts w:ascii="Times New Roman" w:hAnsi="Times New Roman" w:cs="Times New Roman"/>
          <w:color w:val="000000" w:themeColor="text1"/>
          <w:sz w:val="24"/>
          <w:szCs w:val="24"/>
          <w:lang w:val="ru-RU"/>
        </w:rPr>
        <w:instrText xml:space="preserve"> REF _Ref498178182 \r \h  \* MERGEFORMAT </w:instrText>
      </w:r>
      <w:r w:rsidRPr="004E7E3E">
        <w:rPr>
          <w:rFonts w:ascii="Times New Roman" w:hAnsi="Times New Roman" w:cs="Times New Roman"/>
          <w:color w:val="000000" w:themeColor="text1"/>
          <w:sz w:val="24"/>
          <w:szCs w:val="24"/>
          <w:lang w:val="ru-RU"/>
        </w:rPr>
      </w:r>
      <w:r w:rsidRPr="004E7E3E">
        <w:rPr>
          <w:rFonts w:ascii="Times New Roman" w:hAnsi="Times New Roman" w:cs="Times New Roman"/>
          <w:color w:val="000000" w:themeColor="text1"/>
          <w:sz w:val="24"/>
          <w:szCs w:val="24"/>
          <w:lang w:val="ru-RU"/>
        </w:rPr>
        <w:fldChar w:fldCharType="separate"/>
      </w:r>
      <w:r w:rsidR="00801D78">
        <w:rPr>
          <w:rFonts w:ascii="Times New Roman" w:hAnsi="Times New Roman" w:cs="Times New Roman"/>
          <w:color w:val="000000" w:themeColor="text1"/>
          <w:sz w:val="24"/>
          <w:szCs w:val="24"/>
          <w:lang w:val="ru-RU"/>
        </w:rPr>
        <w:t>246</w:t>
      </w:r>
      <w:r w:rsidRPr="004E7E3E">
        <w:rPr>
          <w:rFonts w:ascii="Times New Roman" w:hAnsi="Times New Roman" w:cs="Times New Roman"/>
          <w:color w:val="000000" w:themeColor="text1"/>
          <w:sz w:val="24"/>
          <w:szCs w:val="24"/>
          <w:lang w:val="ru-RU"/>
        </w:rPr>
        <w:fldChar w:fldCharType="end"/>
      </w:r>
      <w:r w:rsidRPr="004E7E3E">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w:t>
      </w:r>
      <w:r w:rsidRPr="004E7E3E">
        <w:rPr>
          <w:rFonts w:ascii="Times New Roman" w:eastAsia="Times New Roman" w:hAnsi="Times New Roman" w:cs="Times New Roman"/>
          <w:color w:val="000000" w:themeColor="text1"/>
          <w:sz w:val="24"/>
          <w:szCs w:val="24"/>
          <w:lang w:val="ru-RU" w:eastAsia="ru-RU" w:bidi="ar-SA"/>
        </w:rPr>
        <w:t xml:space="preserve"> </w:t>
      </w:r>
    </w:p>
    <w:p w14:paraId="21577547" w14:textId="5EC2439C"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color w:val="000000" w:themeColor="text1"/>
          <w:sz w:val="24"/>
          <w:szCs w:val="24"/>
          <w:shd w:val="clear" w:color="auto" w:fill="FFFFFF"/>
          <w:lang w:val="ru-RU"/>
        </w:rPr>
        <w:t xml:space="preserve">Работы по созданию национального рейтингового </w:t>
      </w:r>
      <w:r w:rsidRPr="004E7E3E">
        <w:rPr>
          <w:rFonts w:ascii="Times New Roman" w:hAnsi="Times New Roman" w:cs="Times New Roman"/>
          <w:color w:val="000000"/>
          <w:sz w:val="24"/>
          <w:szCs w:val="24"/>
          <w:shd w:val="clear" w:color="auto" w:fill="FFFFFF"/>
          <w:lang w:val="ru-RU"/>
        </w:rPr>
        <w:t>агентств</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начались с середины 2015 года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_Ref498102190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246</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Вопрос о его создании поднимался с момента появления идеи о создании МФЦ</w:t>
      </w:r>
      <w:r w:rsidRPr="004E7E3E">
        <w:rPr>
          <w:rFonts w:ascii="Times New Roman" w:hAnsi="Times New Roman" w:cs="Times New Roman"/>
          <w:sz w:val="24"/>
          <w:szCs w:val="24"/>
          <w:lang w:val="ru-RU"/>
        </w:rPr>
        <w:t>, но воплощение в жизнь ускорилось только после введени</w:t>
      </w:r>
      <w:r>
        <w:rPr>
          <w:rFonts w:ascii="Times New Roman" w:hAnsi="Times New Roman" w:cs="Times New Roman"/>
          <w:sz w:val="24"/>
          <w:szCs w:val="24"/>
          <w:lang w:val="ru-RU"/>
        </w:rPr>
        <w:t>я</w:t>
      </w:r>
      <w:r w:rsidRPr="004E7E3E">
        <w:rPr>
          <w:rFonts w:ascii="Times New Roman" w:hAnsi="Times New Roman" w:cs="Times New Roman"/>
          <w:sz w:val="24"/>
          <w:szCs w:val="24"/>
          <w:lang w:val="ru-RU"/>
        </w:rPr>
        <w:t xml:space="preserve"> санкций со стороны стран Запада. До 2014 года финансовые рынки и рынок капитала развитых стран были открыты для российских финансовых игроков, «большая тройка» рейтинговых агентств (</w:t>
      </w:r>
      <w:r w:rsidRPr="004E7E3E">
        <w:rPr>
          <w:rFonts w:ascii="Times New Roman" w:hAnsi="Times New Roman" w:cs="Times New Roman"/>
          <w:sz w:val="24"/>
          <w:szCs w:val="24"/>
        </w:rPr>
        <w:t>S</w:t>
      </w:r>
      <w:r w:rsidRPr="004E7E3E">
        <w:rPr>
          <w:rFonts w:ascii="Times New Roman" w:hAnsi="Times New Roman" w:cs="Times New Roman"/>
          <w:sz w:val="24"/>
          <w:szCs w:val="24"/>
          <w:lang w:val="ru-RU"/>
        </w:rPr>
        <w:t>&amp;</w:t>
      </w:r>
      <w:r w:rsidRPr="004E7E3E">
        <w:rPr>
          <w:rFonts w:ascii="Times New Roman" w:hAnsi="Times New Roman" w:cs="Times New Roman"/>
          <w:sz w:val="24"/>
          <w:szCs w:val="24"/>
        </w:rPr>
        <w:t>P</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Moody</w:t>
      </w:r>
      <w:r w:rsidRPr="004E7E3E">
        <w:rPr>
          <w:rFonts w:ascii="Times New Roman" w:hAnsi="Times New Roman" w:cs="Times New Roman"/>
          <w:sz w:val="24"/>
          <w:szCs w:val="24"/>
          <w:lang w:val="ru-RU"/>
        </w:rPr>
        <w:t>’</w:t>
      </w:r>
      <w:r w:rsidRPr="004E7E3E">
        <w:rPr>
          <w:rFonts w:ascii="Times New Roman" w:hAnsi="Times New Roman" w:cs="Times New Roman"/>
          <w:sz w:val="24"/>
          <w:szCs w:val="24"/>
        </w:rPr>
        <w:t>s</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Fitch</w:t>
      </w:r>
      <w:r w:rsidRPr="004E7E3E">
        <w:rPr>
          <w:rFonts w:ascii="Times New Roman" w:hAnsi="Times New Roman" w:cs="Times New Roman"/>
          <w:sz w:val="24"/>
          <w:szCs w:val="24"/>
          <w:lang w:val="ru-RU"/>
        </w:rPr>
        <w:t xml:space="preserve">) не замечала крупных политических рисков в России. После введения санкций кредитные рейтинги российских финансовых институтов скатились до </w:t>
      </w:r>
      <w:r>
        <w:rPr>
          <w:rFonts w:ascii="Times New Roman" w:hAnsi="Times New Roman" w:cs="Times New Roman"/>
          <w:sz w:val="24"/>
          <w:szCs w:val="24"/>
          <w:lang w:val="ru-RU"/>
        </w:rPr>
        <w:t>уровня «</w:t>
      </w:r>
      <w:r w:rsidRPr="004E7E3E">
        <w:rPr>
          <w:rFonts w:ascii="Times New Roman" w:hAnsi="Times New Roman" w:cs="Times New Roman"/>
          <w:sz w:val="24"/>
          <w:szCs w:val="24"/>
          <w:lang w:val="ru-RU"/>
        </w:rPr>
        <w:t>мусорных</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Можно было бы продолжать пользоваться этими рейтингами для внутреннего рынка, но сначала просто национальная гордость, а потом уже исполнительная необходимость внесли данный вопрос в</w:t>
      </w:r>
      <w:r>
        <w:rPr>
          <w:rFonts w:ascii="Times New Roman" w:hAnsi="Times New Roman" w:cs="Times New Roman"/>
          <w:sz w:val="24"/>
          <w:szCs w:val="24"/>
          <w:lang w:val="ru-RU"/>
        </w:rPr>
        <w:t> </w:t>
      </w:r>
      <w:r w:rsidRPr="004E7E3E">
        <w:rPr>
          <w:rFonts w:ascii="Times New Roman" w:hAnsi="Times New Roman" w:cs="Times New Roman"/>
          <w:sz w:val="24"/>
          <w:szCs w:val="24"/>
          <w:lang w:val="ru-RU"/>
        </w:rPr>
        <w:t>повестку дня.</w:t>
      </w:r>
    </w:p>
    <w:p w14:paraId="333AE708" w14:textId="77777777"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В России существовал</w:t>
      </w:r>
      <w:r>
        <w:rPr>
          <w:rFonts w:ascii="Times New Roman" w:hAnsi="Times New Roman" w:cs="Times New Roman"/>
          <w:sz w:val="24"/>
          <w:szCs w:val="24"/>
          <w:lang w:val="ru-RU"/>
        </w:rPr>
        <w:t>о</w:t>
      </w:r>
      <w:r w:rsidRPr="004E7E3E">
        <w:rPr>
          <w:rFonts w:ascii="Times New Roman" w:hAnsi="Times New Roman" w:cs="Times New Roman"/>
          <w:sz w:val="24"/>
          <w:szCs w:val="24"/>
          <w:lang w:val="ru-RU"/>
        </w:rPr>
        <w:t xml:space="preserve"> три основных рейтинговых агентства: Эксперт РА, Рус-Рейтинг, АК&amp;</w:t>
      </w:r>
      <w:r w:rsidRPr="004E7E3E">
        <w:rPr>
          <w:rFonts w:ascii="Times New Roman" w:hAnsi="Times New Roman" w:cs="Times New Roman"/>
          <w:sz w:val="24"/>
          <w:szCs w:val="24"/>
        </w:rPr>
        <w:t>M</w:t>
      </w:r>
      <w:r w:rsidRPr="004E7E3E">
        <w:rPr>
          <w:rFonts w:ascii="Times New Roman" w:hAnsi="Times New Roman" w:cs="Times New Roman"/>
          <w:sz w:val="24"/>
          <w:szCs w:val="24"/>
          <w:lang w:val="ru-RU"/>
        </w:rPr>
        <w:t xml:space="preserve">. Но рейтинговый бизнес непростой: </w:t>
      </w:r>
      <w:r>
        <w:rPr>
          <w:rFonts w:ascii="Times New Roman" w:hAnsi="Times New Roman" w:cs="Times New Roman"/>
          <w:sz w:val="24"/>
          <w:szCs w:val="24"/>
          <w:lang w:val="ru-RU"/>
        </w:rPr>
        <w:t xml:space="preserve">он </w:t>
      </w:r>
      <w:r w:rsidRPr="004E7E3E">
        <w:rPr>
          <w:rFonts w:ascii="Times New Roman" w:hAnsi="Times New Roman" w:cs="Times New Roman"/>
          <w:sz w:val="24"/>
          <w:szCs w:val="24"/>
          <w:lang w:val="ru-RU"/>
        </w:rPr>
        <w:t xml:space="preserve">требует безупречной репутации, желательно подкреплённой на международном уровне, прозрачности процедур и применяемых методик. </w:t>
      </w:r>
      <w:r w:rsidRPr="004E7E3E">
        <w:rPr>
          <w:rFonts w:ascii="Times New Roman" w:hAnsi="Times New Roman" w:cs="Times New Roman"/>
          <w:sz w:val="24"/>
          <w:szCs w:val="24"/>
          <w:lang w:val="ru-RU"/>
        </w:rPr>
        <w:lastRenderedPageBreak/>
        <w:t xml:space="preserve">Рейтинговые службы создавались, как правило, на базе информационных или маркетинговых агентств. Например, </w:t>
      </w:r>
      <w:r w:rsidRPr="004E7E3E">
        <w:rPr>
          <w:rFonts w:ascii="Times New Roman" w:hAnsi="Times New Roman" w:cs="Times New Roman"/>
          <w:sz w:val="24"/>
          <w:szCs w:val="24"/>
        </w:rPr>
        <w:t>Moody</w:t>
      </w:r>
      <w:r w:rsidRPr="004E7E3E">
        <w:rPr>
          <w:rFonts w:ascii="Times New Roman" w:hAnsi="Times New Roman" w:cs="Times New Roman"/>
          <w:sz w:val="24"/>
          <w:szCs w:val="24"/>
          <w:lang w:val="ru-RU"/>
        </w:rPr>
        <w:t>’</w:t>
      </w:r>
      <w:r w:rsidRPr="004E7E3E">
        <w:rPr>
          <w:rFonts w:ascii="Times New Roman" w:hAnsi="Times New Roman" w:cs="Times New Roman"/>
          <w:sz w:val="24"/>
          <w:szCs w:val="24"/>
        </w:rPr>
        <w:t>s</w:t>
      </w:r>
      <w:r w:rsidRPr="004E7E3E">
        <w:rPr>
          <w:rFonts w:ascii="Times New Roman" w:hAnsi="Times New Roman" w:cs="Times New Roman"/>
          <w:sz w:val="24"/>
          <w:szCs w:val="24"/>
          <w:lang w:val="ru-RU"/>
        </w:rPr>
        <w:t xml:space="preserve"> создали </w:t>
      </w:r>
      <w:r w:rsidRPr="00616E38">
        <w:rPr>
          <w:rFonts w:ascii="Times New Roman" w:hAnsi="Times New Roman" w:cs="Times New Roman"/>
          <w:sz w:val="24"/>
          <w:szCs w:val="24"/>
          <w:lang w:val="ru-RU"/>
        </w:rPr>
        <w:t>совместное</w:t>
      </w:r>
      <w:r w:rsidRPr="004E7E3E">
        <w:rPr>
          <w:rFonts w:ascii="Times New Roman" w:hAnsi="Times New Roman" w:cs="Times New Roman"/>
          <w:sz w:val="24"/>
          <w:szCs w:val="24"/>
          <w:lang w:val="ru-RU"/>
        </w:rPr>
        <w:t xml:space="preserve"> предприятие с Интерфаксом. </w:t>
      </w:r>
    </w:p>
    <w:p w14:paraId="75BDE742" w14:textId="77777777"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В 2015 году началась реформа индустрии рейтинговых агентств. Международные рейтинговые агентства не проявили достаточной лояльности российским властям, поэтому были оттеснены на второй план. Не все российские агентства смогли соответствовать новым требованиям. Агентство АК&amp;</w:t>
      </w:r>
      <w:r w:rsidRPr="004E7E3E">
        <w:rPr>
          <w:rFonts w:ascii="Times New Roman" w:hAnsi="Times New Roman" w:cs="Times New Roman"/>
          <w:sz w:val="24"/>
          <w:szCs w:val="24"/>
        </w:rPr>
        <w:t>M</w:t>
      </w:r>
      <w:r w:rsidRPr="004E7E3E">
        <w:rPr>
          <w:rFonts w:ascii="Times New Roman" w:hAnsi="Times New Roman" w:cs="Times New Roman"/>
          <w:sz w:val="24"/>
          <w:szCs w:val="24"/>
          <w:lang w:val="ru-RU"/>
        </w:rPr>
        <w:t xml:space="preserve"> в 2017 году не смогло получить лицензию на выдачу кредитных рейтингов. Агентство Рус-Рейтинг пыталось заручиться международной поддержкой и искал</w:t>
      </w:r>
      <w:r>
        <w:rPr>
          <w:rFonts w:ascii="Times New Roman" w:hAnsi="Times New Roman" w:cs="Times New Roman"/>
          <w:sz w:val="24"/>
          <w:szCs w:val="24"/>
          <w:lang w:val="ru-RU"/>
        </w:rPr>
        <w:t>о</w:t>
      </w:r>
      <w:r w:rsidRPr="004E7E3E">
        <w:rPr>
          <w:rFonts w:ascii="Times New Roman" w:hAnsi="Times New Roman" w:cs="Times New Roman"/>
          <w:sz w:val="24"/>
          <w:szCs w:val="24"/>
          <w:lang w:val="ru-RU"/>
        </w:rPr>
        <w:t xml:space="preserve"> эту поддержку на Востоке</w:t>
      </w:r>
      <w:r>
        <w:rPr>
          <w:rFonts w:ascii="Times New Roman" w:hAnsi="Times New Roman" w:cs="Times New Roman"/>
          <w:sz w:val="24"/>
          <w:szCs w:val="24"/>
          <w:lang w:val="ru-RU"/>
        </w:rPr>
        <w:t>, н</w:t>
      </w:r>
      <w:r w:rsidRPr="004E7E3E">
        <w:rPr>
          <w:rFonts w:ascii="Times New Roman" w:hAnsi="Times New Roman" w:cs="Times New Roman"/>
          <w:sz w:val="24"/>
          <w:szCs w:val="24"/>
          <w:lang w:val="ru-RU"/>
        </w:rPr>
        <w:t>о этот опыт нельзя назвать успешным. Оно объединилось с гонконгски</w:t>
      </w:r>
      <w:r>
        <w:rPr>
          <w:rFonts w:ascii="Times New Roman" w:hAnsi="Times New Roman" w:cs="Times New Roman"/>
          <w:sz w:val="24"/>
          <w:szCs w:val="24"/>
          <w:lang w:val="ru-RU"/>
        </w:rPr>
        <w:t>м</w:t>
      </w:r>
      <w:r w:rsidRPr="004E7E3E">
        <w:rPr>
          <w:rFonts w:ascii="Times New Roman" w:hAnsi="Times New Roman" w:cs="Times New Roman"/>
          <w:sz w:val="24"/>
          <w:szCs w:val="24"/>
          <w:lang w:val="ru-RU"/>
        </w:rPr>
        <w:t xml:space="preserve"> агентством Дагон Глоубл Кредит Рейтинг (</w:t>
      </w:r>
      <w:r w:rsidRPr="004E7E3E">
        <w:rPr>
          <w:rFonts w:ascii="Times New Roman" w:hAnsi="Times New Roman" w:cs="Times New Roman"/>
          <w:sz w:val="24"/>
          <w:szCs w:val="24"/>
        </w:rPr>
        <w:t>Dagon</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Global</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Credit</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Rating</w:t>
      </w:r>
      <w:r w:rsidRPr="004E7E3E">
        <w:rPr>
          <w:rFonts w:ascii="Times New Roman" w:hAnsi="Times New Roman" w:cs="Times New Roman"/>
          <w:sz w:val="24"/>
          <w:szCs w:val="24"/>
          <w:lang w:val="ru-RU"/>
        </w:rPr>
        <w:t>), которое через некоторое время выпустило рейтинг, оценивавш</w:t>
      </w:r>
      <w:r>
        <w:rPr>
          <w:rFonts w:ascii="Times New Roman" w:hAnsi="Times New Roman" w:cs="Times New Roman"/>
          <w:sz w:val="24"/>
          <w:szCs w:val="24"/>
          <w:lang w:val="ru-RU"/>
        </w:rPr>
        <w:t>ий</w:t>
      </w:r>
      <w:r w:rsidRPr="004E7E3E">
        <w:rPr>
          <w:rFonts w:ascii="Times New Roman" w:hAnsi="Times New Roman" w:cs="Times New Roman"/>
          <w:sz w:val="24"/>
          <w:szCs w:val="24"/>
          <w:lang w:val="ru-RU"/>
        </w:rPr>
        <w:t xml:space="preserve"> кредитоспособност</w:t>
      </w:r>
      <w:r>
        <w:rPr>
          <w:rFonts w:ascii="Times New Roman" w:hAnsi="Times New Roman" w:cs="Times New Roman"/>
          <w:sz w:val="24"/>
          <w:szCs w:val="24"/>
          <w:lang w:val="ru-RU"/>
        </w:rPr>
        <w:t>ь</w:t>
      </w:r>
      <w:r w:rsidRPr="004E7E3E">
        <w:rPr>
          <w:rFonts w:ascii="Times New Roman" w:hAnsi="Times New Roman" w:cs="Times New Roman"/>
          <w:sz w:val="24"/>
          <w:szCs w:val="24"/>
          <w:lang w:val="ru-RU"/>
        </w:rPr>
        <w:t xml:space="preserve"> России выше, чем кредитоспособность США. Как </w:t>
      </w:r>
      <w:r>
        <w:rPr>
          <w:rFonts w:ascii="Times New Roman" w:hAnsi="Times New Roman" w:cs="Times New Roman"/>
          <w:sz w:val="24"/>
          <w:szCs w:val="24"/>
          <w:lang w:val="ru-RU"/>
        </w:rPr>
        <w:t xml:space="preserve">бы </w:t>
      </w:r>
      <w:r w:rsidRPr="004E7E3E">
        <w:rPr>
          <w:rFonts w:ascii="Times New Roman" w:hAnsi="Times New Roman" w:cs="Times New Roman"/>
          <w:sz w:val="24"/>
          <w:szCs w:val="24"/>
          <w:lang w:val="ru-RU"/>
        </w:rPr>
        <w:t xml:space="preserve">китайские аналитики не пытались найти оснований для таких заявлений, достаточных причин не нашлось. </w:t>
      </w:r>
    </w:p>
    <w:p w14:paraId="115DC883" w14:textId="37C14D4D"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Создание Аналитического кредитного агентства (АКРА) стало одним их ключевых моментов реформы индустрии кредитных рейтингов. АКРА не искала напрямую международного партнёра, который бы мог поделиться сво</w:t>
      </w:r>
      <w:r>
        <w:rPr>
          <w:rFonts w:ascii="Times New Roman" w:hAnsi="Times New Roman" w:cs="Times New Roman"/>
          <w:sz w:val="24"/>
          <w:szCs w:val="24"/>
          <w:lang w:val="ru-RU"/>
        </w:rPr>
        <w:t>им</w:t>
      </w:r>
      <w:r w:rsidRPr="004E7E3E">
        <w:rPr>
          <w:rFonts w:ascii="Times New Roman" w:hAnsi="Times New Roman" w:cs="Times New Roman"/>
          <w:sz w:val="24"/>
          <w:szCs w:val="24"/>
          <w:lang w:val="ru-RU"/>
        </w:rPr>
        <w:t xml:space="preserve"> репутационным капиталом с вновь создаваемым агентством. АКРА учреждалось с уставным капиталом </w:t>
      </w:r>
      <w:r>
        <w:rPr>
          <w:rFonts w:ascii="Times New Roman" w:hAnsi="Times New Roman" w:cs="Times New Roman"/>
          <w:sz w:val="24"/>
          <w:szCs w:val="24"/>
          <w:lang w:val="ru-RU"/>
        </w:rPr>
        <w:t xml:space="preserve">в </w:t>
      </w:r>
      <w:r w:rsidRPr="004E7E3E">
        <w:rPr>
          <w:rFonts w:ascii="Times New Roman" w:hAnsi="Times New Roman" w:cs="Times New Roman"/>
          <w:sz w:val="24"/>
          <w:szCs w:val="24"/>
          <w:lang w:val="ru-RU"/>
        </w:rPr>
        <w:t>3 млрд. рублей. В его формировании приняло участие 37 российских корпораций, чья доля участия не превышала 4</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Всё руководство агентства состоит либо из иностранных экспертов с большим опытом работы </w:t>
      </w:r>
      <w:r w:rsidR="002F50A0" w:rsidRPr="004E7E3E">
        <w:rPr>
          <w:rFonts w:ascii="Times New Roman" w:hAnsi="Times New Roman" w:cs="Times New Roman"/>
          <w:sz w:val="24"/>
          <w:szCs w:val="24"/>
          <w:lang w:val="ru-RU"/>
        </w:rPr>
        <w:t>в международных</w:t>
      </w:r>
      <w:r w:rsidRPr="004E7E3E">
        <w:rPr>
          <w:rFonts w:ascii="Times New Roman" w:hAnsi="Times New Roman" w:cs="Times New Roman"/>
          <w:sz w:val="24"/>
          <w:szCs w:val="24"/>
          <w:lang w:val="ru-RU"/>
        </w:rPr>
        <w:t xml:space="preserve"> консалтинговых организациях (как правило, из большой аудиторской тройки), либо российских экспертов с большим опытом работы за рубежом опять же в больших финансовых институтах.</w:t>
      </w:r>
    </w:p>
    <w:p w14:paraId="55E2150B" w14:textId="77777777"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С 14 июля 2017 </w:t>
      </w:r>
      <w:r>
        <w:rPr>
          <w:rFonts w:ascii="Times New Roman" w:hAnsi="Times New Roman" w:cs="Times New Roman"/>
          <w:sz w:val="24"/>
          <w:szCs w:val="24"/>
          <w:lang w:val="ru-RU"/>
        </w:rPr>
        <w:t xml:space="preserve">года </w:t>
      </w:r>
      <w:r w:rsidRPr="004E7E3E">
        <w:rPr>
          <w:rFonts w:ascii="Times New Roman" w:hAnsi="Times New Roman" w:cs="Times New Roman"/>
          <w:sz w:val="24"/>
          <w:szCs w:val="24"/>
          <w:lang w:val="ru-RU"/>
        </w:rPr>
        <w:t>рейтинг АКРА определяет, сможет ли банк или иная финансовая организация получить кредиты и деньги государственных организаций. Эта прерогатива тут же сказал</w:t>
      </w:r>
      <w:r>
        <w:rPr>
          <w:rFonts w:ascii="Times New Roman" w:hAnsi="Times New Roman" w:cs="Times New Roman"/>
          <w:sz w:val="24"/>
          <w:szCs w:val="24"/>
          <w:lang w:val="ru-RU"/>
        </w:rPr>
        <w:t>а</w:t>
      </w:r>
      <w:r w:rsidRPr="004E7E3E">
        <w:rPr>
          <w:rFonts w:ascii="Times New Roman" w:hAnsi="Times New Roman" w:cs="Times New Roman"/>
          <w:sz w:val="24"/>
          <w:szCs w:val="24"/>
          <w:lang w:val="ru-RU"/>
        </w:rPr>
        <w:t>сь на деятельности нескольких институционально значимых банков. Например, ФК</w:t>
      </w:r>
      <w:r>
        <w:rPr>
          <w:rFonts w:ascii="Times New Roman" w:hAnsi="Times New Roman" w:cs="Times New Roman"/>
          <w:sz w:val="24"/>
          <w:szCs w:val="24"/>
          <w:lang w:val="ru-RU"/>
        </w:rPr>
        <w:t> </w:t>
      </w:r>
      <w:r w:rsidRPr="004E7E3E">
        <w:rPr>
          <w:rFonts w:ascii="Times New Roman" w:hAnsi="Times New Roman" w:cs="Times New Roman"/>
          <w:sz w:val="24"/>
          <w:szCs w:val="24"/>
          <w:lang w:val="ru-RU"/>
        </w:rPr>
        <w:t xml:space="preserve">Открытие. </w:t>
      </w:r>
    </w:p>
    <w:p w14:paraId="5D4E1D76" w14:textId="77777777" w:rsidR="000B0CE0" w:rsidRPr="004E7E3E" w:rsidRDefault="000B0CE0" w:rsidP="000B0CE0">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На момент осени-зимы 2017 года в Ломбардном списке ЦБ фигурируют только два рейтинговых агентства: АКРА и </w:t>
      </w:r>
      <w:r w:rsidRPr="004E7E3E">
        <w:rPr>
          <w:rFonts w:ascii="Times New Roman" w:hAnsi="Times New Roman" w:cs="Times New Roman"/>
          <w:sz w:val="24"/>
          <w:szCs w:val="24"/>
        </w:rPr>
        <w:t>RAEX</w:t>
      </w:r>
      <w:r w:rsidRPr="004E7E3E">
        <w:rPr>
          <w:rFonts w:ascii="Times New Roman" w:hAnsi="Times New Roman" w:cs="Times New Roman"/>
          <w:sz w:val="24"/>
          <w:szCs w:val="24"/>
          <w:lang w:val="ru-RU"/>
        </w:rPr>
        <w:t xml:space="preserve"> (бывший «Эксперт РА»). При этом возможность размещать средства НПФ на депозитах банкам позволяет лишь рейтинг АКРА. </w:t>
      </w:r>
    </w:p>
    <w:p w14:paraId="18CD293D" w14:textId="270B5E74" w:rsidR="000B0CE0" w:rsidRDefault="000B0CE0" w:rsidP="000B0CE0">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Эксперты считают, что в основе третьего этапа развития МФЦ в Москве будет улучшение делового климата в России. Исследователи А. И. Болванчев и К. В. Екимова посвятили этому вопросу целую статью об элементах делового климата и способах его диагностирования с</w:t>
      </w:r>
      <w:r>
        <w:rPr>
          <w:rFonts w:ascii="Times New Roman" w:hAnsi="Times New Roman" w:cs="Times New Roman"/>
          <w:sz w:val="24"/>
          <w:szCs w:val="24"/>
          <w:lang w:val="ru-RU"/>
        </w:rPr>
        <w:t> </w:t>
      </w:r>
      <w:r w:rsidRPr="004E7E3E">
        <w:rPr>
          <w:rFonts w:ascii="Times New Roman" w:hAnsi="Times New Roman" w:cs="Times New Roman"/>
          <w:sz w:val="24"/>
          <w:szCs w:val="24"/>
          <w:lang w:val="ru-RU"/>
        </w:rPr>
        <w:t>акцентом на региональном уровне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_Ref499035048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63</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c. 54-55]</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w:t>
      </w:r>
    </w:p>
    <w:p w14:paraId="105A4FBE" w14:textId="383C392F" w:rsidR="000B0CE0" w:rsidRPr="000B0CE0" w:rsidRDefault="000B0CE0" w:rsidP="000B0CE0">
      <w:pPr>
        <w:pStyle w:val="af3"/>
        <w:spacing w:before="100" w:beforeAutospacing="1" w:after="100" w:line="360" w:lineRule="auto"/>
        <w:ind w:left="0" w:firstLine="709"/>
        <w:jc w:val="both"/>
        <w:rPr>
          <w:lang w:val="ru-RU"/>
        </w:rPr>
      </w:pPr>
      <w:r w:rsidRPr="004E7E3E">
        <w:rPr>
          <w:rFonts w:ascii="Times New Roman" w:hAnsi="Times New Roman" w:cs="Times New Roman"/>
          <w:sz w:val="24"/>
          <w:szCs w:val="24"/>
          <w:lang w:val="ru-RU"/>
        </w:rPr>
        <w:t xml:space="preserve">Мы также остановимся на ключевых проблемах, влияющих на экономическое развитие нашей страны. </w:t>
      </w:r>
    </w:p>
    <w:p w14:paraId="5CBD3290" w14:textId="7A3717FE" w:rsidR="00DC5025" w:rsidRPr="004E7E3E" w:rsidRDefault="00DC5025" w:rsidP="00DC5025">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b/>
          <w:sz w:val="24"/>
          <w:szCs w:val="24"/>
          <w:lang w:val="ru-RU"/>
        </w:rPr>
        <w:lastRenderedPageBreak/>
        <w:t xml:space="preserve">Политические риски. </w:t>
      </w:r>
      <w:r w:rsidRPr="004E7E3E">
        <w:rPr>
          <w:rFonts w:ascii="Times New Roman" w:hAnsi="Times New Roman" w:cs="Times New Roman"/>
          <w:sz w:val="24"/>
          <w:szCs w:val="24"/>
          <w:lang w:val="ru-RU"/>
        </w:rPr>
        <w:t xml:space="preserve">Очевидно, что это главные риски для современной России. Наша страна играет слишком заметную роль в мире по сравнению с уровнем развития её экономики. Вероятно, США также слишком заметны на мировой </w:t>
      </w:r>
      <w:r>
        <w:rPr>
          <w:rFonts w:ascii="Times New Roman" w:hAnsi="Times New Roman" w:cs="Times New Roman"/>
          <w:sz w:val="24"/>
          <w:szCs w:val="24"/>
          <w:lang w:val="ru-RU"/>
        </w:rPr>
        <w:t>арене</w:t>
      </w:r>
      <w:r w:rsidRPr="004E7E3E">
        <w:rPr>
          <w:rFonts w:ascii="Times New Roman" w:hAnsi="Times New Roman" w:cs="Times New Roman"/>
          <w:sz w:val="24"/>
          <w:szCs w:val="24"/>
          <w:lang w:val="ru-RU"/>
        </w:rPr>
        <w:t xml:space="preserve">, если брать во внимание удалённость их территории от наиболее заселённых уголков планеты, но экономически и технологически это действительно самая сильная держава на сегодняшний день, даже по сравнению с многонациональной Европой или стремительно развивающимся миллиардным Китаем. Причём политические риски можно разделить на </w:t>
      </w:r>
      <w:r w:rsidRPr="004E7E3E">
        <w:rPr>
          <w:rFonts w:ascii="Times New Roman" w:hAnsi="Times New Roman" w:cs="Times New Roman"/>
          <w:b/>
          <w:sz w:val="24"/>
          <w:szCs w:val="24"/>
          <w:lang w:val="ru-RU"/>
        </w:rPr>
        <w:t>внешние</w:t>
      </w:r>
      <w:r w:rsidRPr="004E7E3E">
        <w:rPr>
          <w:rFonts w:ascii="Times New Roman" w:hAnsi="Times New Roman" w:cs="Times New Roman"/>
          <w:sz w:val="24"/>
          <w:szCs w:val="24"/>
          <w:lang w:val="ru-RU"/>
        </w:rPr>
        <w:t xml:space="preserve">, о которых знает каждый телезритель федеральных каналов, и на </w:t>
      </w:r>
      <w:r w:rsidRPr="004E7E3E">
        <w:rPr>
          <w:rFonts w:ascii="Times New Roman" w:hAnsi="Times New Roman" w:cs="Times New Roman"/>
          <w:b/>
          <w:sz w:val="24"/>
          <w:szCs w:val="24"/>
          <w:lang w:val="ru-RU"/>
        </w:rPr>
        <w:t>внутренние</w:t>
      </w:r>
      <w:r w:rsidRPr="004E7E3E">
        <w:rPr>
          <w:rFonts w:ascii="Times New Roman" w:hAnsi="Times New Roman" w:cs="Times New Roman"/>
          <w:sz w:val="24"/>
          <w:szCs w:val="24"/>
          <w:lang w:val="ru-RU"/>
        </w:rPr>
        <w:t>, реже упоминаемые в СМИ, но о которы</w:t>
      </w:r>
      <w:r>
        <w:rPr>
          <w:rFonts w:ascii="Times New Roman" w:hAnsi="Times New Roman" w:cs="Times New Roman"/>
          <w:sz w:val="24"/>
          <w:szCs w:val="24"/>
          <w:lang w:val="ru-RU"/>
        </w:rPr>
        <w:t>х</w:t>
      </w:r>
      <w:r w:rsidRPr="004E7E3E">
        <w:rPr>
          <w:rFonts w:ascii="Times New Roman" w:hAnsi="Times New Roman" w:cs="Times New Roman"/>
          <w:sz w:val="24"/>
          <w:szCs w:val="24"/>
          <w:lang w:val="ru-RU"/>
        </w:rPr>
        <w:t xml:space="preserve"> любое руководство должно помнить </w:t>
      </w:r>
      <w:r w:rsidR="000537C1">
        <w:rPr>
          <w:rFonts w:ascii="Times New Roman" w:hAnsi="Times New Roman" w:cs="Times New Roman"/>
          <w:sz w:val="24"/>
          <w:szCs w:val="24"/>
          <w:lang w:val="ru-RU"/>
        </w:rPr>
        <w:t xml:space="preserve">и </w:t>
      </w:r>
      <w:r>
        <w:rPr>
          <w:rFonts w:ascii="Times New Roman" w:hAnsi="Times New Roman" w:cs="Times New Roman"/>
          <w:sz w:val="24"/>
          <w:szCs w:val="24"/>
          <w:lang w:val="ru-RU"/>
        </w:rPr>
        <w:t>через сто лет после</w:t>
      </w:r>
      <w:r w:rsidRPr="004E7E3E">
        <w:rPr>
          <w:rFonts w:ascii="Times New Roman" w:hAnsi="Times New Roman" w:cs="Times New Roman"/>
          <w:sz w:val="24"/>
          <w:szCs w:val="24"/>
          <w:lang w:val="ru-RU"/>
        </w:rPr>
        <w:t xml:space="preserve"> Великой Октябрьской революции. </w:t>
      </w:r>
    </w:p>
    <w:p w14:paraId="6149B43F" w14:textId="77777777" w:rsidR="00DC5025" w:rsidRPr="004E7E3E" w:rsidRDefault="00DC5025" w:rsidP="00DC5025">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Здесь разумно сделать небольшое отступление о благоприятном влиянии санкций на российскую финансовую систему. Вероятно, российские финансовые институты так не зависели от российских властей с 1991 года, как </w:t>
      </w:r>
      <w:r>
        <w:rPr>
          <w:rFonts w:ascii="Times New Roman" w:hAnsi="Times New Roman" w:cs="Times New Roman"/>
          <w:sz w:val="24"/>
          <w:szCs w:val="24"/>
          <w:lang w:val="ru-RU"/>
        </w:rPr>
        <w:t>с 2014 года</w:t>
      </w:r>
      <w:r w:rsidRPr="004E7E3E">
        <w:rPr>
          <w:rFonts w:ascii="Times New Roman" w:hAnsi="Times New Roman" w:cs="Times New Roman"/>
          <w:sz w:val="24"/>
          <w:szCs w:val="24"/>
          <w:lang w:val="ru-RU"/>
        </w:rPr>
        <w:t>. И власти пользуются этой возможностью для выстраивания транспарентной финансовой системы. К тому же появилась необходимость увеличения базы для фискальных поступлений в условиях сокращения обычных источников поступлений (падения мировых цен на сырьё, в первую очередь нефть, газ, металлы и т. д.) В</w:t>
      </w:r>
      <w:r>
        <w:rPr>
          <w:rFonts w:ascii="Times New Roman" w:hAnsi="Times New Roman" w:cs="Times New Roman"/>
          <w:sz w:val="24"/>
          <w:szCs w:val="24"/>
          <w:lang w:val="ru-RU"/>
        </w:rPr>
        <w:t> </w:t>
      </w:r>
      <w:r w:rsidRPr="004E7E3E">
        <w:rPr>
          <w:rFonts w:ascii="Times New Roman" w:hAnsi="Times New Roman" w:cs="Times New Roman"/>
          <w:sz w:val="24"/>
          <w:szCs w:val="24"/>
          <w:lang w:val="ru-RU"/>
        </w:rPr>
        <w:t>последний год говорят о росте импорта в Россию как о показателе восстановления экономики. Но судя по опыту автора, работающего в сфере импортных поставок, значительный рост поступлений в бюджет от Федеральной таможенной службы связан</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в первую очередь</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с</w:t>
      </w:r>
      <w:r>
        <w:rPr>
          <w:rFonts w:ascii="Times New Roman" w:hAnsi="Times New Roman" w:cs="Times New Roman"/>
          <w:sz w:val="24"/>
          <w:szCs w:val="24"/>
          <w:lang w:val="ru-RU"/>
        </w:rPr>
        <w:t> </w:t>
      </w:r>
      <w:r w:rsidRPr="004E7E3E">
        <w:rPr>
          <w:rFonts w:ascii="Times New Roman" w:hAnsi="Times New Roman" w:cs="Times New Roman"/>
          <w:sz w:val="24"/>
          <w:szCs w:val="24"/>
          <w:lang w:val="ru-RU"/>
        </w:rPr>
        <w:t xml:space="preserve">невозможностью работать по «серым» схемам в новых условиях. </w:t>
      </w:r>
    </w:p>
    <w:p w14:paraId="6394D157" w14:textId="77777777" w:rsidR="00DC5025" w:rsidRPr="004E7E3E" w:rsidRDefault="00DC5025" w:rsidP="00DC5025">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Российским чиновникам сейчас живётся неплохо: привычная стабильность государственной службы дополняется относительно высокой зарплатой в исполнительной ветви власти. Вероятно, эти социальные обязательства государству удаётся выполнять за счёт «национализации» некоторых активов в начале 2000-х. Но государство хуже выполняет управленческие функции, чем частный сектор. Следовательно, вероятно</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всё</w:t>
      </w:r>
      <w:r w:rsidRPr="004E7E3E">
        <w:rPr>
          <w:rFonts w:ascii="Times New Roman" w:hAnsi="Times New Roman" w:cs="Times New Roman"/>
          <w:sz w:val="24"/>
          <w:szCs w:val="24"/>
          <w:lang w:val="ru-RU"/>
        </w:rPr>
        <w:noBreakHyphen/>
        <w:t xml:space="preserve">таки стоит переходить от функции прямого управления к функции независимого арбитра. Таким образом легче можно будет снизить следующий риск, присущий системе государственного капитализма – </w:t>
      </w:r>
      <w:r w:rsidRPr="004E7E3E">
        <w:rPr>
          <w:rFonts w:ascii="Times New Roman" w:hAnsi="Times New Roman" w:cs="Times New Roman"/>
          <w:b/>
          <w:sz w:val="24"/>
          <w:szCs w:val="24"/>
          <w:lang w:val="ru-RU"/>
        </w:rPr>
        <w:t>коррупции.</w:t>
      </w:r>
      <w:r w:rsidRPr="004E7E3E">
        <w:rPr>
          <w:rFonts w:ascii="Times New Roman" w:hAnsi="Times New Roman" w:cs="Times New Roman"/>
          <w:sz w:val="24"/>
          <w:szCs w:val="24"/>
          <w:lang w:val="ru-RU"/>
        </w:rPr>
        <w:t xml:space="preserve"> </w:t>
      </w:r>
    </w:p>
    <w:p w14:paraId="5F2FEB7E" w14:textId="1D4BCE00" w:rsidR="00DC5025" w:rsidRPr="004E7E3E" w:rsidRDefault="00DC5025" w:rsidP="00DC5025">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Судя по коллективному исследованию преподавателей ГУ-ВШЭ от 2005 года об эволюции институтов в современной России, не следует коррумпированность власти ассоциировать с «путинской» эпохой. Вот как описывается российская система управления после падения советского режима: «</w:t>
      </w:r>
      <w:r w:rsidRPr="004E7E3E">
        <w:rPr>
          <w:rFonts w:ascii="Times New Roman" w:hAnsi="Times New Roman" w:cs="Times New Roman"/>
          <w:color w:val="000000"/>
          <w:sz w:val="24"/>
          <w:szCs w:val="24"/>
          <w:shd w:val="clear" w:color="auto" w:fill="FFFFFF"/>
          <w:lang w:val="ru-RU"/>
        </w:rPr>
        <w:t xml:space="preserve">Каждый чиновник (агент государства), не имея адекватных стимулов для работы на государство, мог воспользоваться значительной свободой и отсутствием сдерживающих механизмов. В результате Россия 1990-х гг. заняла одно из последних мест в рейтингах прозрачности и эффективности государственного управления, выступая настоящим </w:t>
      </w:r>
      <w:r w:rsidRPr="004E7E3E">
        <w:rPr>
          <w:rFonts w:ascii="Times New Roman" w:hAnsi="Times New Roman" w:cs="Times New Roman"/>
          <w:color w:val="000000"/>
          <w:sz w:val="24"/>
          <w:szCs w:val="24"/>
          <w:shd w:val="clear" w:color="auto" w:fill="FFFFFF"/>
          <w:lang w:val="ru-RU"/>
        </w:rPr>
        <w:lastRenderedPageBreak/>
        <w:t xml:space="preserve">полигоном коррупции. Основные формы коррупции, сложившиеся в это время,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чиновничье предпринимательство, «крышевание», взяточничество, «десантирование» крупными заинтересованными фирмами своих представителей на ответственные должности в госаппарате. Последнее нередко совершалось с ведома и даже по инициативе руководителей соответствующих органов, которые пытались таким образом получить более эффективных сотрудников. В результате вектор принимаемых решений в каждом случае представлял собой равнодействующую интересов государства и некоторой частной фирмы или группы интересов. Коррупция, как мы отмечали еще в 1998 г., приобрела в это время системный характер. Это значи</w:t>
      </w:r>
      <w:r>
        <w:rPr>
          <w:rFonts w:ascii="Times New Roman" w:hAnsi="Times New Roman" w:cs="Times New Roman"/>
          <w:color w:val="000000"/>
          <w:sz w:val="24"/>
          <w:szCs w:val="24"/>
          <w:shd w:val="clear" w:color="auto" w:fill="FFFFFF"/>
          <w:lang w:val="ru-RU"/>
        </w:rPr>
        <w:t>т</w:t>
      </w:r>
      <w:r w:rsidRPr="004E7E3E">
        <w:rPr>
          <w:rFonts w:ascii="Times New Roman" w:hAnsi="Times New Roman" w:cs="Times New Roman"/>
          <w:color w:val="000000"/>
          <w:sz w:val="24"/>
          <w:szCs w:val="24"/>
          <w:shd w:val="clear" w:color="auto" w:fill="FFFFFF"/>
          <w:lang w:val="ru-RU"/>
        </w:rPr>
        <w:t>, что коррупционные издержки должны были закладываться в расчет затрат практически при любой сделке или инвестиционном проекте. По расчетам российских исследователей (например, Г. Сатарова), объем коррупционных издержек в российской экономике в начале 2000-х гг. составлял до 10% ВВП. Такие издержки объективно ведут к потерям в общенациональном масштабе, а характер таких потерь можно увидеть на примере любой конкурсной продажи, осуществленной по предварительному сговору. Если в экономике страны в массовом масштабе отбираются для реализации заведомо менее эффективные проекты, мы можем считать 10</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15% недополученных доходов (эффектов) достаточно умеренным предположением. Другой вид потерь, связанных с неэффективностью государства,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отказ потенциальных инвесторов от капиталовложений. Эффект макроэкономической стабилизации на две трети уничтожается высокими рисками от</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незащищенной собственности. Таким образом, институт исполнительной власти в России уже сформировался как извращенный, переродившийся по отношению как к общенациональным интересам, которые он призван обеспечивать, так и к интересам политической власти, чью волю он должен воплощать. Силы противодействия нормальному функционированию государственных институтов изначально доминировали. В период 1994</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1998 гг. носители политической власти в России были вынуждены сначала культивировать (любыми средствами) крупный бизнес, а потом опираться на «особые отношения» с крупным бизнесом просто для того, чтобы удержаться у власти. Соблазн для владельцев бизнеса, «близко расположенных» к носителям власти, использовать эту власть для укрепления своих рыночных позиций или просто извлечения доходов в 1990-е гг. просто ничем не ограничивался. А это приводило к теневой приватизации государства. Практики (неформальные институты) использования государства, сложившиеся в России, оказались нацелены на выборочное использование госаппарата в частных целях, а не как гаранта собственности и сделок, источника информации или арбитра»</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fldChar w:fldCharType="begin"/>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REF</w:instrText>
      </w:r>
      <w:r w:rsidRPr="004E7E3E">
        <w:rPr>
          <w:rFonts w:ascii="Times New Roman" w:hAnsi="Times New Roman" w:cs="Times New Roman"/>
          <w:sz w:val="24"/>
          <w:szCs w:val="24"/>
          <w:lang w:val="ru-RU"/>
        </w:rPr>
        <w:instrText xml:space="preserve"> _</w:instrText>
      </w:r>
      <w:r w:rsidRPr="004E7E3E">
        <w:rPr>
          <w:rFonts w:ascii="Times New Roman" w:hAnsi="Times New Roman" w:cs="Times New Roman"/>
          <w:sz w:val="24"/>
          <w:szCs w:val="24"/>
        </w:rPr>
        <w:instrText>Ref</w:instrText>
      </w:r>
      <w:r w:rsidRPr="004E7E3E">
        <w:rPr>
          <w:rFonts w:ascii="Times New Roman" w:hAnsi="Times New Roman" w:cs="Times New Roman"/>
          <w:sz w:val="24"/>
          <w:szCs w:val="24"/>
          <w:lang w:val="ru-RU"/>
        </w:rPr>
        <w:instrText>497924853 \</w:instrText>
      </w:r>
      <w:r w:rsidRPr="004E7E3E">
        <w:rPr>
          <w:rFonts w:ascii="Times New Roman" w:hAnsi="Times New Roman" w:cs="Times New Roman"/>
          <w:sz w:val="24"/>
          <w:szCs w:val="24"/>
        </w:rPr>
        <w:instrText>r</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instrText>h</w:instrText>
      </w:r>
      <w:r w:rsidRPr="004E7E3E">
        <w:rPr>
          <w:rFonts w:ascii="Times New Roman" w:hAnsi="Times New Roman" w:cs="Times New Roman"/>
          <w:sz w:val="24"/>
          <w:szCs w:val="24"/>
          <w:lang w:val="ru-RU"/>
        </w:rPr>
        <w:instrText xml:space="preserve">  \* </w:instrText>
      </w:r>
      <w:r w:rsidRPr="004E7E3E">
        <w:rPr>
          <w:rFonts w:ascii="Times New Roman" w:hAnsi="Times New Roman" w:cs="Times New Roman"/>
          <w:sz w:val="24"/>
          <w:szCs w:val="24"/>
        </w:rPr>
        <w:instrText>MERGEFORMAT</w:instrText>
      </w:r>
      <w:r w:rsidRPr="004E7E3E">
        <w:rPr>
          <w:rFonts w:ascii="Times New Roman" w:hAnsi="Times New Roman" w:cs="Times New Roman"/>
          <w:sz w:val="24"/>
          <w:szCs w:val="24"/>
          <w:lang w:val="ru-RU"/>
        </w:rPr>
        <w:instrText xml:space="preserve"> </w:instrText>
      </w:r>
      <w:r w:rsidRPr="004E7E3E">
        <w:rPr>
          <w:rFonts w:ascii="Times New Roman" w:hAnsi="Times New Roman" w:cs="Times New Roman"/>
          <w:sz w:val="24"/>
          <w:szCs w:val="24"/>
        </w:rPr>
      </w:r>
      <w:r w:rsidRPr="004E7E3E">
        <w:rPr>
          <w:rFonts w:ascii="Times New Roman" w:hAnsi="Times New Roman" w:cs="Times New Roman"/>
          <w:sz w:val="24"/>
          <w:szCs w:val="24"/>
        </w:rPr>
        <w:fldChar w:fldCharType="separate"/>
      </w:r>
      <w:r w:rsidR="00801D78" w:rsidRPr="00801D78">
        <w:rPr>
          <w:rFonts w:ascii="Times New Roman" w:hAnsi="Times New Roman" w:cs="Times New Roman"/>
          <w:sz w:val="24"/>
          <w:szCs w:val="24"/>
          <w:lang w:val="ru-RU"/>
        </w:rPr>
        <w:t>91</w:t>
      </w:r>
      <w:r w:rsidRPr="004E7E3E">
        <w:rPr>
          <w:rFonts w:ascii="Times New Roman" w:hAnsi="Times New Roman" w:cs="Times New Roman"/>
          <w:sz w:val="24"/>
          <w:szCs w:val="24"/>
        </w:rPr>
        <w:fldChar w:fldCharType="end"/>
      </w:r>
      <w:r w:rsidRPr="004E7E3E">
        <w:rPr>
          <w:rFonts w:ascii="Times New Roman" w:hAnsi="Times New Roman" w:cs="Times New Roman"/>
          <w:sz w:val="24"/>
          <w:szCs w:val="24"/>
          <w:lang w:val="ru-RU"/>
        </w:rPr>
        <w:t>, с. 36-37]</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w:t>
      </w:r>
    </w:p>
    <w:p w14:paraId="4C6A2866" w14:textId="77777777" w:rsidR="00DC5025" w:rsidRPr="004E7E3E" w:rsidRDefault="00DC5025" w:rsidP="00DC5025">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Вопросы коррупции не следует связывать с отсутствием политической конкуренции. Отцу сингапурского экономического чуда Ли Куан Ю отсутствие политического плюрализма не </w:t>
      </w:r>
      <w:r w:rsidRPr="004E7E3E">
        <w:rPr>
          <w:rFonts w:ascii="Times New Roman" w:hAnsi="Times New Roman" w:cs="Times New Roman"/>
          <w:sz w:val="24"/>
          <w:szCs w:val="24"/>
          <w:lang w:val="ru-RU"/>
        </w:rPr>
        <w:lastRenderedPageBreak/>
        <w:t xml:space="preserve">помешало избавиться от коррупции в азиатских условиях. Нашему руководству пока не удалось решить этот вопрос в евроазиатских условиях. </w:t>
      </w:r>
    </w:p>
    <w:p w14:paraId="1F9CB2EA" w14:textId="77777777" w:rsidR="00DC5025" w:rsidRDefault="00DC5025" w:rsidP="00DC5025">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В русской литературе обычно выделяют дв</w:t>
      </w:r>
      <w:r>
        <w:rPr>
          <w:rFonts w:ascii="Times New Roman" w:hAnsi="Times New Roman" w:cs="Times New Roman"/>
          <w:sz w:val="24"/>
          <w:szCs w:val="24"/>
          <w:lang w:val="ru-RU"/>
        </w:rPr>
        <w:t>е</w:t>
      </w:r>
      <w:r w:rsidRPr="004E7E3E">
        <w:rPr>
          <w:rFonts w:ascii="Times New Roman" w:hAnsi="Times New Roman" w:cs="Times New Roman"/>
          <w:sz w:val="24"/>
          <w:szCs w:val="24"/>
          <w:lang w:val="ru-RU"/>
        </w:rPr>
        <w:t xml:space="preserve"> проблемы: дураки и дороги. На наш взгляд, эти проблемы не стоят уже так остро. </w:t>
      </w:r>
      <w:r w:rsidRPr="004E7E3E">
        <w:rPr>
          <w:rFonts w:ascii="Times New Roman" w:hAnsi="Times New Roman" w:cs="Times New Roman"/>
          <w:sz w:val="24"/>
          <w:szCs w:val="24"/>
          <w:u w:val="single"/>
          <w:lang w:val="ru-RU"/>
        </w:rPr>
        <w:t>Самой острой институциональной проблемой</w:t>
      </w:r>
      <w:r w:rsidRPr="004E7E3E">
        <w:rPr>
          <w:rFonts w:ascii="Times New Roman" w:hAnsi="Times New Roman" w:cs="Times New Roman"/>
          <w:sz w:val="24"/>
          <w:szCs w:val="24"/>
          <w:lang w:val="ru-RU"/>
        </w:rPr>
        <w:t xml:space="preserve"> мы бы сейчас назвали </w:t>
      </w:r>
      <w:r w:rsidRPr="004E7E3E">
        <w:rPr>
          <w:rFonts w:ascii="Times New Roman" w:hAnsi="Times New Roman" w:cs="Times New Roman"/>
          <w:b/>
          <w:sz w:val="24"/>
          <w:szCs w:val="24"/>
          <w:lang w:val="ru-RU"/>
        </w:rPr>
        <w:t>судебную реформу</w:t>
      </w:r>
      <w:r w:rsidRPr="004E7E3E">
        <w:rPr>
          <w:rFonts w:ascii="Times New Roman" w:hAnsi="Times New Roman" w:cs="Times New Roman"/>
          <w:sz w:val="24"/>
          <w:szCs w:val="24"/>
          <w:lang w:val="ru-RU"/>
        </w:rPr>
        <w:t xml:space="preserve">. При таком количестве юристов в правительстве и в оппозиции отсутствие независимой судебной системы является одной из главных преград на пути улучшения инвестиционного климата России. В России невозможно выиграть суд у государства, а государственная экономика так разрослась в последнее время, что даже самые талантливые менеджеры не могут решить вопрос государственного управления. </w:t>
      </w:r>
    </w:p>
    <w:p w14:paraId="59887706" w14:textId="7CEE47B6" w:rsidR="00DC5025" w:rsidRDefault="00DC5025" w:rsidP="00DC5025">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sz w:val="24"/>
          <w:szCs w:val="24"/>
          <w:lang w:val="ru-RU"/>
        </w:rPr>
        <w:t>Вновь обратимся к работе сотрудников ГУ-ВШЭ: «</w:t>
      </w:r>
      <w:r w:rsidRPr="004E7E3E">
        <w:rPr>
          <w:rFonts w:ascii="Times New Roman" w:hAnsi="Times New Roman" w:cs="Times New Roman"/>
          <w:color w:val="000000"/>
          <w:sz w:val="24"/>
          <w:szCs w:val="24"/>
          <w:shd w:val="clear" w:color="auto" w:fill="FFFFFF"/>
          <w:lang w:val="ru-RU"/>
        </w:rPr>
        <w:t xml:space="preserve">После начала реформы в 1991 г. прошло уже 14 лет, но мы и по сей день не имеем независимой судебной власти, которая вызывала бы доверие бизнеса и населения. Причины этого достаточно серьезны и заслуживают самостоятельного исследования, тем более оправданного, что речь идет об одном из самых важных институтов правового демократического государства. Но некоторые соображения по этому поводу мы можем высказать. Во-первых, исполнительная власть продолжает доминировать, идеи разделения властей не реализованы. При этом исполнительная власть создает широко известные негативные прецеденты скрытого влияния на работу суда и прокуратуры. То обстоятельство, что это не вызывает активного противодействия со стороны общества, в котором живы традиции терпимости к произволу и недоверия к суду, только усугубляет ситуацию. Во-вторых, консерватизм юридической корпорации, ее нежелание поступаться корпоративными интересами, как и стремление сохранить контроль над важными судебными решениями, препятствуют все эти годы распространению и эффективной работе суда присяжных. Главный аргумент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мягкость приговоров. Анализ показывает, что в самом начале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действительно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практике суда присяжных обвинительные приговоры составляли всего 24%, тогда как по судебной системе в целом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98%. Но сейчас соотношение обвинительных и оправдательных приговоров в суде присяжных и в обычном суде, по некоторым сведениям, сравнялось и составляет 85:15. Однако дело движется медленно, хотя новое законодательство подтвердило курс на распространение суда присяжных. При этом множатся случаи незаконного давления на присяжных заседателей со стороны отдельных работников суда и прокуратуры. Период адаптации этого института затягивается. По сути, на первом этапе (до 2002 г.) имело место отторжение института присяжных, сейчас скорее наблюдаются попытки его извращения» [</w:t>
      </w:r>
      <w:r w:rsidRPr="004E7E3E">
        <w:rPr>
          <w:rFonts w:ascii="Times New Roman" w:hAnsi="Times New Roman" w:cs="Times New Roman"/>
          <w:color w:val="000000"/>
          <w:sz w:val="24"/>
          <w:szCs w:val="24"/>
          <w:shd w:val="clear" w:color="auto" w:fill="FFFFFF"/>
        </w:rPr>
        <w:fldChar w:fldCharType="begin"/>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 xml:space="preserve"> _</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497924853 \</w:instrText>
      </w:r>
      <w:r w:rsidRPr="004E7E3E">
        <w:rPr>
          <w:rFonts w:ascii="Times New Roman" w:hAnsi="Times New Roman" w:cs="Times New Roman"/>
          <w:color w:val="000000"/>
          <w:sz w:val="24"/>
          <w:szCs w:val="24"/>
          <w:shd w:val="clear" w:color="auto" w:fill="FFFFFF"/>
        </w:rPr>
        <w:instrText>r</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h</w:instrText>
      </w:r>
      <w:r w:rsidRPr="004E7E3E">
        <w:rPr>
          <w:rFonts w:ascii="Times New Roman" w:hAnsi="Times New Roman" w:cs="Times New Roman"/>
          <w:color w:val="000000"/>
          <w:sz w:val="24"/>
          <w:szCs w:val="24"/>
          <w:shd w:val="clear" w:color="auto" w:fill="FFFFFF"/>
          <w:lang w:val="ru-RU"/>
        </w:rPr>
        <w:instrText xml:space="preserve">  \* </w:instrText>
      </w:r>
      <w:r w:rsidRPr="004E7E3E">
        <w:rPr>
          <w:rFonts w:ascii="Times New Roman" w:hAnsi="Times New Roman" w:cs="Times New Roman"/>
          <w:color w:val="000000"/>
          <w:sz w:val="24"/>
          <w:szCs w:val="24"/>
          <w:shd w:val="clear" w:color="auto" w:fill="FFFFFF"/>
        </w:rPr>
        <w:instrText>MERGEFORMAT</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r>
      <w:r w:rsidRPr="004E7E3E">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91</w:t>
      </w:r>
      <w:r w:rsidRPr="004E7E3E">
        <w:rPr>
          <w:rFonts w:ascii="Times New Roman" w:hAnsi="Times New Roman" w:cs="Times New Roman"/>
          <w:color w:val="000000"/>
          <w:sz w:val="24"/>
          <w:szCs w:val="24"/>
          <w:shd w:val="clear" w:color="auto" w:fill="FFFFFF"/>
        </w:rPr>
        <w:fldChar w:fldCharType="end"/>
      </w:r>
      <w:r w:rsidRPr="004E7E3E">
        <w:rPr>
          <w:rFonts w:ascii="Times New Roman" w:hAnsi="Times New Roman" w:cs="Times New Roman"/>
          <w:color w:val="000000"/>
          <w:sz w:val="24"/>
          <w:szCs w:val="24"/>
          <w:shd w:val="clear" w:color="auto" w:fill="FFFFFF"/>
          <w:lang w:val="ru-RU"/>
        </w:rPr>
        <w:t>, с. 26-27]</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p>
    <w:p w14:paraId="634B0DF9" w14:textId="77777777" w:rsidR="00DC5025" w:rsidRPr="004E7E3E" w:rsidRDefault="00DC5025" w:rsidP="00DC5025">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Все крупнейшие сделки (выше 100 млн. долларов) в России проводятся по английскому праву с использованием Стокгольмского арбитража. И такая система работает. Вспомним для </w:t>
      </w:r>
      <w:r w:rsidRPr="004E7E3E">
        <w:rPr>
          <w:rFonts w:ascii="Times New Roman" w:hAnsi="Times New Roman" w:cs="Times New Roman"/>
          <w:color w:val="000000"/>
          <w:sz w:val="24"/>
          <w:szCs w:val="24"/>
          <w:shd w:val="clear" w:color="auto" w:fill="FFFFFF"/>
          <w:lang w:val="ru-RU"/>
        </w:rPr>
        <w:lastRenderedPageBreak/>
        <w:t>примера удачны</w:t>
      </w:r>
      <w:r>
        <w:rPr>
          <w:rFonts w:ascii="Times New Roman" w:hAnsi="Times New Roman" w:cs="Times New Roman"/>
          <w:color w:val="000000"/>
          <w:sz w:val="24"/>
          <w:szCs w:val="24"/>
          <w:shd w:val="clear" w:color="auto" w:fill="FFFFFF"/>
          <w:lang w:val="ru-RU"/>
        </w:rPr>
        <w:t>й</w:t>
      </w:r>
      <w:r w:rsidRPr="004E7E3E">
        <w:rPr>
          <w:rFonts w:ascii="Times New Roman" w:hAnsi="Times New Roman" w:cs="Times New Roman"/>
          <w:color w:val="000000"/>
          <w:sz w:val="24"/>
          <w:szCs w:val="24"/>
          <w:shd w:val="clear" w:color="auto" w:fill="FFFFFF"/>
          <w:lang w:val="ru-RU"/>
        </w:rPr>
        <w:t xml:space="preserve"> опыт отстаивания своих интересов группой Альфа Групп-Ренова</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бывших акционеров ТНК-</w:t>
      </w:r>
      <w:r w:rsidRPr="004E7E3E">
        <w:rPr>
          <w:rFonts w:ascii="Times New Roman" w:hAnsi="Times New Roman" w:cs="Times New Roman"/>
          <w:color w:val="000000"/>
          <w:sz w:val="24"/>
          <w:szCs w:val="24"/>
          <w:shd w:val="clear" w:color="auto" w:fill="FFFFFF"/>
        </w:rPr>
        <w:t>BP</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деле покупки акций этой компании Роснефтью. Попытка провести </w:t>
      </w:r>
      <w:r w:rsidRPr="004E7E3E">
        <w:rPr>
          <w:rFonts w:ascii="Times New Roman" w:hAnsi="Times New Roman" w:cs="Times New Roman"/>
          <w:color w:val="000000"/>
          <w:sz w:val="24"/>
          <w:szCs w:val="24"/>
          <w:shd w:val="clear" w:color="auto" w:fill="FFFFFF"/>
        </w:rPr>
        <w:t>BP</w:t>
      </w:r>
      <w:r w:rsidRPr="004E7E3E">
        <w:rPr>
          <w:rFonts w:ascii="Times New Roman" w:hAnsi="Times New Roman" w:cs="Times New Roman"/>
          <w:color w:val="000000"/>
          <w:sz w:val="24"/>
          <w:szCs w:val="24"/>
          <w:shd w:val="clear" w:color="auto" w:fill="FFFFFF"/>
          <w:lang w:val="ru-RU"/>
        </w:rPr>
        <w:t xml:space="preserve"> сделку с Роснефтью была признана в британском суде незаконной. Но в случае, когда вопрос нельзя было реш</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ть с помощью английского права и Стокгольмского арбитража (например, в споре той же Роснефти и АФК-Системы по вопросу приватизации Башнефти), пришлось привлечь президента страны в качестве арбитра для того, чтобы война двух корпораций, имеющих значительное влияние в политических круга</w:t>
      </w:r>
      <w:r>
        <w:rPr>
          <w:rFonts w:ascii="Times New Roman" w:hAnsi="Times New Roman" w:cs="Times New Roman"/>
          <w:color w:val="000000"/>
          <w:sz w:val="24"/>
          <w:szCs w:val="24"/>
          <w:shd w:val="clear" w:color="auto" w:fill="FFFFFF"/>
          <w:lang w:val="ru-RU"/>
        </w:rPr>
        <w:t>х</w:t>
      </w:r>
      <w:r w:rsidRPr="004E7E3E">
        <w:rPr>
          <w:rFonts w:ascii="Times New Roman" w:hAnsi="Times New Roman" w:cs="Times New Roman"/>
          <w:color w:val="000000"/>
          <w:sz w:val="24"/>
          <w:szCs w:val="24"/>
          <w:shd w:val="clear" w:color="auto" w:fill="FFFFFF"/>
          <w:lang w:val="ru-RU"/>
        </w:rPr>
        <w:t>, не ухудшил</w:t>
      </w:r>
      <w:r>
        <w:rPr>
          <w:rFonts w:ascii="Times New Roman" w:hAnsi="Times New Roman" w:cs="Times New Roman"/>
          <w:color w:val="000000"/>
          <w:sz w:val="24"/>
          <w:szCs w:val="24"/>
          <w:shd w:val="clear" w:color="auto" w:fill="FFFFFF"/>
          <w:lang w:val="ru-RU"/>
        </w:rPr>
        <w:t>а</w:t>
      </w:r>
      <w:r w:rsidRPr="004E7E3E">
        <w:rPr>
          <w:rFonts w:ascii="Times New Roman" w:hAnsi="Times New Roman" w:cs="Times New Roman"/>
          <w:color w:val="000000"/>
          <w:sz w:val="24"/>
          <w:szCs w:val="24"/>
          <w:shd w:val="clear" w:color="auto" w:fill="FFFFFF"/>
          <w:lang w:val="ru-RU"/>
        </w:rPr>
        <w:t xml:space="preserve"> деловой климат.</w:t>
      </w:r>
    </w:p>
    <w:p w14:paraId="5163FFC5" w14:textId="77777777" w:rsidR="00DC5025" w:rsidRPr="004E7E3E" w:rsidRDefault="00DC5025" w:rsidP="00DC5025">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Следующий блок рисков связан с </w:t>
      </w:r>
      <w:r w:rsidRPr="004E7E3E">
        <w:rPr>
          <w:rFonts w:ascii="Times New Roman" w:hAnsi="Times New Roman" w:cs="Times New Roman"/>
          <w:b/>
          <w:color w:val="000000"/>
          <w:sz w:val="24"/>
          <w:szCs w:val="24"/>
          <w:shd w:val="clear" w:color="auto" w:fill="FFFFFF"/>
          <w:lang w:val="ru-RU"/>
        </w:rPr>
        <w:t>демографической ситуацией</w:t>
      </w:r>
      <w:r w:rsidRPr="004E7E3E">
        <w:rPr>
          <w:rFonts w:ascii="Times New Roman" w:hAnsi="Times New Roman" w:cs="Times New Roman"/>
          <w:color w:val="000000"/>
          <w:sz w:val="24"/>
          <w:szCs w:val="24"/>
          <w:shd w:val="clear" w:color="auto" w:fill="FFFFFF"/>
          <w:lang w:val="ru-RU"/>
        </w:rPr>
        <w:t xml:space="preserve"> в России. В первую очередь, это старение населени</w:t>
      </w:r>
      <w:r>
        <w:rPr>
          <w:rFonts w:ascii="Times New Roman" w:hAnsi="Times New Roman" w:cs="Times New Roman"/>
          <w:color w:val="000000"/>
          <w:sz w:val="24"/>
          <w:szCs w:val="24"/>
          <w:shd w:val="clear" w:color="auto" w:fill="FFFFFF"/>
          <w:lang w:val="ru-RU"/>
        </w:rPr>
        <w:t>я</w:t>
      </w:r>
      <w:r w:rsidRPr="004E7E3E">
        <w:rPr>
          <w:rFonts w:ascii="Times New Roman" w:hAnsi="Times New Roman" w:cs="Times New Roman"/>
          <w:color w:val="000000"/>
          <w:sz w:val="24"/>
          <w:szCs w:val="24"/>
          <w:shd w:val="clear" w:color="auto" w:fill="FFFFFF"/>
          <w:lang w:val="ru-RU"/>
        </w:rPr>
        <w:t xml:space="preserve">, замедляющийся рост воспроизводства и, наконец, необходимость привлечения мигрантов для поддержания экономического роста. Экономически это сводится к необходимости активизации проведения пенсионной реформы и увеличения производительности труда за счёт инновационной экономики. </w:t>
      </w:r>
    </w:p>
    <w:p w14:paraId="0457FB24" w14:textId="0DBF5AF1" w:rsidR="00DC5025" w:rsidRPr="004E7E3E" w:rsidRDefault="00DC5025" w:rsidP="00DC5025">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Остановимся на </w:t>
      </w:r>
      <w:r w:rsidRPr="004E7E3E">
        <w:rPr>
          <w:rFonts w:ascii="Times New Roman" w:hAnsi="Times New Roman" w:cs="Times New Roman"/>
          <w:i/>
          <w:color w:val="000000"/>
          <w:sz w:val="24"/>
          <w:szCs w:val="24"/>
          <w:u w:val="single"/>
          <w:shd w:val="clear" w:color="auto" w:fill="FFFFFF"/>
          <w:lang w:val="ru-RU"/>
        </w:rPr>
        <w:t>пенсионной реформе</w:t>
      </w:r>
      <w:r w:rsidRPr="004E7E3E">
        <w:rPr>
          <w:rFonts w:ascii="Times New Roman" w:hAnsi="Times New Roman" w:cs="Times New Roman"/>
          <w:color w:val="000000"/>
          <w:sz w:val="24"/>
          <w:szCs w:val="24"/>
          <w:shd w:val="clear" w:color="auto" w:fill="FFFFFF"/>
          <w:lang w:val="ru-RU"/>
        </w:rPr>
        <w:t xml:space="preserve">. Напомним основные факты, которые делают проблемы пенсионного обеспечения в России исключительно острыми и неуклонно обостряющимися: 1) в России </w:t>
      </w:r>
      <w:r>
        <w:rPr>
          <w:rFonts w:ascii="Times New Roman" w:hAnsi="Times New Roman" w:cs="Times New Roman"/>
          <w:color w:val="000000"/>
          <w:sz w:val="24"/>
          <w:szCs w:val="24"/>
          <w:shd w:val="clear" w:color="auto" w:fill="FFFFFF"/>
          <w:lang w:val="ru-RU"/>
        </w:rPr>
        <w:t xml:space="preserve">был </w:t>
      </w:r>
      <w:r w:rsidRPr="004E7E3E">
        <w:rPr>
          <w:rFonts w:ascii="Times New Roman" w:hAnsi="Times New Roman" w:cs="Times New Roman"/>
          <w:color w:val="000000"/>
          <w:sz w:val="24"/>
          <w:szCs w:val="24"/>
          <w:shd w:val="clear" w:color="auto" w:fill="FFFFFF"/>
          <w:lang w:val="ru-RU"/>
        </w:rPr>
        <w:t>один из самых низких в мире пенсионных возрастов</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Ниже только в Боливии (55 и 50 лет) и в Сингапуре (55 лет). 2) Население страны быстро стареет. В 1939 г. доля лиц пенсионного возраста в общей численности населения составляла 8,6%, в 1953 г.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11,7</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1970 г.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15,4</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а в 2004 г. уже 20,3%. По прогнозам демографов, при нынешних тенденциях изменения возрастной структуры населения в 2025 г</w:t>
      </w:r>
      <w:r>
        <w:rPr>
          <w:rFonts w:ascii="Times New Roman" w:hAnsi="Times New Roman" w:cs="Times New Roman"/>
          <w:color w:val="000000"/>
          <w:sz w:val="24"/>
          <w:szCs w:val="24"/>
          <w:shd w:val="clear" w:color="auto" w:fill="FFFFFF"/>
          <w:lang w:val="ru-RU"/>
        </w:rPr>
        <w:t>оду</w:t>
      </w:r>
      <w:r w:rsidRPr="004E7E3E">
        <w:rPr>
          <w:rFonts w:ascii="Times New Roman" w:hAnsi="Times New Roman" w:cs="Times New Roman"/>
          <w:color w:val="000000"/>
          <w:sz w:val="24"/>
          <w:szCs w:val="24"/>
          <w:shd w:val="clear" w:color="auto" w:fill="FFFFFF"/>
          <w:lang w:val="ru-RU"/>
        </w:rPr>
        <w:t xml:space="preserve"> этот показатель составит 27,6%, </w:t>
      </w:r>
      <w:r>
        <w:rPr>
          <w:rFonts w:ascii="Times New Roman" w:hAnsi="Times New Roman" w:cs="Times New Roman"/>
          <w:color w:val="000000"/>
          <w:sz w:val="24"/>
          <w:szCs w:val="24"/>
          <w:shd w:val="clear" w:color="auto" w:fill="FFFFFF"/>
          <w:lang w:val="ru-RU"/>
        </w:rPr>
        <w:t xml:space="preserve">а </w:t>
      </w:r>
      <w:r w:rsidRPr="004E7E3E">
        <w:rPr>
          <w:rFonts w:ascii="Times New Roman" w:hAnsi="Times New Roman" w:cs="Times New Roman"/>
          <w:color w:val="000000"/>
          <w:sz w:val="24"/>
          <w:szCs w:val="24"/>
          <w:shd w:val="clear" w:color="auto" w:fill="FFFFFF"/>
          <w:lang w:val="ru-RU"/>
        </w:rPr>
        <w:t xml:space="preserve">в 2050 г.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36,1%. Число лиц пенсионного возраста на 1000 трудоспособных </w:t>
      </w:r>
      <w:r>
        <w:rPr>
          <w:rFonts w:ascii="Times New Roman" w:hAnsi="Times New Roman" w:cs="Times New Roman"/>
          <w:color w:val="000000"/>
          <w:sz w:val="24"/>
          <w:szCs w:val="24"/>
          <w:shd w:val="clear" w:color="auto" w:fill="FFFFFF"/>
          <w:lang w:val="ru-RU"/>
        </w:rPr>
        <w:t xml:space="preserve">граждан </w:t>
      </w:r>
      <w:r w:rsidRPr="004E7E3E">
        <w:rPr>
          <w:rFonts w:ascii="Times New Roman" w:hAnsi="Times New Roman" w:cs="Times New Roman"/>
          <w:color w:val="000000"/>
          <w:sz w:val="24"/>
          <w:szCs w:val="24"/>
          <w:shd w:val="clear" w:color="auto" w:fill="FFFFFF"/>
          <w:lang w:val="ru-RU"/>
        </w:rPr>
        <w:t xml:space="preserve">увеличится с 346 человек в 2000 г. до 465 в 2020 г. и 741 человек в 2050 г. Если брать международный стандарт пенсионного возраста (65 лет), то этот же показатель составит 181, 216 и 341 человек. При этом надо учесть среднюю продолжительность жизни после выхода на пенсию. Отношение средней пенсии к средней зарплате (коэффициент замещения) </w:t>
      </w:r>
      <w:r>
        <w:rPr>
          <w:rFonts w:ascii="Times New Roman" w:hAnsi="Times New Roman" w:cs="Times New Roman"/>
          <w:color w:val="000000"/>
          <w:sz w:val="24"/>
          <w:szCs w:val="24"/>
          <w:shd w:val="clear" w:color="auto" w:fill="FFFFFF"/>
          <w:lang w:val="ru-RU"/>
        </w:rPr>
        <w:t>в России</w:t>
      </w:r>
      <w:r w:rsidRPr="004E7E3E">
        <w:rPr>
          <w:rFonts w:ascii="Times New Roman" w:hAnsi="Times New Roman" w:cs="Times New Roman"/>
          <w:color w:val="000000"/>
          <w:sz w:val="24"/>
          <w:szCs w:val="24"/>
          <w:shd w:val="clear" w:color="auto" w:fill="FFFFFF"/>
          <w:lang w:val="ru-RU"/>
        </w:rPr>
        <w:t xml:space="preserve"> быстро уменьшается (1992 г. </w:t>
      </w:r>
      <w:r w:rsidRPr="004E7E3E">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26,0%; 1998 г. – 37,9%; 2001 г. – 31,6%; 2004 г. – 28,0%). Сохранение коэффициента замещения на нынешнем уровне требует увеличения бюджетных расходов. Чтобы люди, которым предстоит выйти на пенсию через 10</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15 лет, могли сформировать более или менее приличные пенсионные накопления, действовать надо было вчера. В России практически нет «длинных» денег, которые можно привлекать для реализации масштабных долгосрочных проектов. Всюду в мире главным источником таких денег являются пенсионные фонды. Они же наращивают пенсионные накопления через вложения на финансовых рынках. Итак, ситуация обостряется. Между тем реформа фактически встала. Напомним, что активные дискуссии по</w:t>
      </w:r>
      <w:r>
        <w:rPr>
          <w:rFonts w:ascii="Times New Roman" w:hAnsi="Times New Roman" w:cs="Times New Roman"/>
          <w:color w:val="000000"/>
          <w:sz w:val="24"/>
          <w:szCs w:val="24"/>
          <w:shd w:val="clear" w:color="auto" w:fill="FFFFFF"/>
          <w:lang w:val="ru-RU"/>
        </w:rPr>
        <w:t xml:space="preserve"> вопросу</w:t>
      </w:r>
      <w:r w:rsidRPr="004E7E3E">
        <w:rPr>
          <w:rFonts w:ascii="Times New Roman" w:hAnsi="Times New Roman" w:cs="Times New Roman"/>
          <w:color w:val="000000"/>
          <w:sz w:val="24"/>
          <w:szCs w:val="24"/>
          <w:shd w:val="clear" w:color="auto" w:fill="FFFFFF"/>
          <w:lang w:val="ru-RU"/>
        </w:rPr>
        <w:t xml:space="preserve"> пенсионной реформ</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xml:space="preserve"> начались в 1997 г. Тогда признали, что лучшая мировая практика, каковой считалась пенсионная система Чили, построенная на </w:t>
      </w:r>
      <w:r w:rsidRPr="004E7E3E">
        <w:rPr>
          <w:rFonts w:ascii="Times New Roman" w:hAnsi="Times New Roman" w:cs="Times New Roman"/>
          <w:color w:val="000000"/>
          <w:sz w:val="24"/>
          <w:szCs w:val="24"/>
          <w:shd w:val="clear" w:color="auto" w:fill="FFFFFF"/>
          <w:lang w:val="ru-RU"/>
        </w:rPr>
        <w:lastRenderedPageBreak/>
        <w:t xml:space="preserve">негосударственных пенсионных фондах, конкурирующих между собой, в России напрямую не пройдет. В 2001 г. был принят пакет пенсионных законов, определивших законодательную базу реформы, после чего началась ее технологическая подготовка. В 2003 г. развернулись дебаты между ПФР и управляющими компаниями, рассчитывавшими привлечь пенсионные накопления, по поводу того, как должны распределяться </w:t>
      </w:r>
      <w:r>
        <w:rPr>
          <w:rFonts w:ascii="Times New Roman" w:hAnsi="Times New Roman" w:cs="Times New Roman"/>
          <w:color w:val="000000"/>
          <w:sz w:val="24"/>
          <w:szCs w:val="24"/>
          <w:shd w:val="clear" w:color="auto" w:fill="FFFFFF"/>
          <w:lang w:val="ru-RU"/>
        </w:rPr>
        <w:t xml:space="preserve">их </w:t>
      </w:r>
      <w:r w:rsidRPr="004E7E3E">
        <w:rPr>
          <w:rFonts w:ascii="Times New Roman" w:hAnsi="Times New Roman" w:cs="Times New Roman"/>
          <w:color w:val="000000"/>
          <w:sz w:val="24"/>
          <w:szCs w:val="24"/>
          <w:shd w:val="clear" w:color="auto" w:fill="FFFFFF"/>
          <w:lang w:val="ru-RU"/>
        </w:rPr>
        <w:t>роли в управлении. В итоге только около 5% всех владельцев накопительных пенсионных счетов согласились отдать свои деньги в управление частным компаниям, остальные средства ПФР были переданы в управление государственному Внешэкономбанку. И это при том, что государственные учреждения вправе вкладывать средства только в низкодоходные государственные бумаги, что при нынешнем уровне инфляции в России принесет прямые потери будущим пенсионерам. Тем не менее, активность всех участников процесса, казалось, обещала быстрый прогресс. Но во всех этих дискуссиях, в том числе в принятом пенсионном законодательстве, не учитывались некоторые обстоятельства: 1) возможность изменения доходной базы ПФР</w:t>
      </w:r>
      <w:r>
        <w:rPr>
          <w:rFonts w:ascii="Times New Roman" w:hAnsi="Times New Roman" w:cs="Times New Roman"/>
          <w:color w:val="000000"/>
          <w:sz w:val="24"/>
          <w:szCs w:val="24"/>
          <w:shd w:val="clear" w:color="auto" w:fill="FFFFFF"/>
          <w:lang w:val="ru-RU"/>
        </w:rPr>
        <w:t xml:space="preserve"> и увеличения</w:t>
      </w:r>
      <w:r w:rsidRPr="004E7E3E">
        <w:rPr>
          <w:rFonts w:ascii="Times New Roman" w:hAnsi="Times New Roman" w:cs="Times New Roman"/>
          <w:color w:val="000000"/>
          <w:sz w:val="24"/>
          <w:szCs w:val="24"/>
          <w:shd w:val="clear" w:color="auto" w:fill="FFFFFF"/>
          <w:lang w:val="ru-RU"/>
        </w:rPr>
        <w:t xml:space="preserve"> пенсионного возраста; </w:t>
      </w:r>
      <w:r>
        <w:rPr>
          <w:rFonts w:ascii="Times New Roman" w:hAnsi="Times New Roman" w:cs="Times New Roman"/>
          <w:color w:val="000000"/>
          <w:sz w:val="24"/>
          <w:szCs w:val="24"/>
          <w:shd w:val="clear" w:color="auto" w:fill="FFFFFF"/>
          <w:lang w:val="ru-RU"/>
        </w:rPr>
        <w:t>2</w:t>
      </w:r>
      <w:r w:rsidRPr="004E7E3E">
        <w:rPr>
          <w:rFonts w:ascii="Times New Roman" w:hAnsi="Times New Roman" w:cs="Times New Roman"/>
          <w:color w:val="000000"/>
          <w:sz w:val="24"/>
          <w:szCs w:val="24"/>
          <w:shd w:val="clear" w:color="auto" w:fill="FFFFFF"/>
          <w:lang w:val="ru-RU"/>
        </w:rPr>
        <w:t xml:space="preserve">) необходимость заметного вклада граждан в собственные пенсионные накопления (наряду с работодателями и государством, как в других странах), без чего формирование пенсионных накоплений в приемлемых суммах вряд ли было возможным, либо становилось чересчур обременительным для экономики. Иными словами, предполагалось, что граждане с 1953 по 1967 годы рождения будут вносить на свои счета 2% от зарплаты, а лица, родившиеся после 1967 г.,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6%. Когда вышеуказанные факты пришлось принять во внимание, группа лиц 1953</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1967 годов рождения была исключена из программы пенсионных накоплений, вследствие чего вся реформа оказалась под вопросом. В мае 2004 г. на объединенной коллегии Минэкономразвития и Минфина России было сделано важное заявление о «мягком» варианте повышения пенсионного возраста и о перечислении наемными работниками на свои пенсионные счета средств в размере 4% от заработка. Но затем процесс монетизации льгот, вызвавший волну протестных настроений, парализовал пенсионную реформу, как и ряд других возможных институциональных преобразований, создав тем самым негативный прецедент, усиливающий недоверие населения и во многом сводящий на нет результаты предшествующей работы [</w:t>
      </w:r>
      <w:r w:rsidRPr="004E7E3E">
        <w:rPr>
          <w:rFonts w:ascii="Times New Roman" w:hAnsi="Times New Roman" w:cs="Times New Roman"/>
          <w:color w:val="000000"/>
          <w:sz w:val="24"/>
          <w:szCs w:val="24"/>
          <w:shd w:val="clear" w:color="auto" w:fill="FFFFFF"/>
        </w:rPr>
        <w:fldChar w:fldCharType="begin"/>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 xml:space="preserve"> _</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497924853 \</w:instrText>
      </w:r>
      <w:r w:rsidRPr="004E7E3E">
        <w:rPr>
          <w:rFonts w:ascii="Times New Roman" w:hAnsi="Times New Roman" w:cs="Times New Roman"/>
          <w:color w:val="000000"/>
          <w:sz w:val="24"/>
          <w:szCs w:val="24"/>
          <w:shd w:val="clear" w:color="auto" w:fill="FFFFFF"/>
        </w:rPr>
        <w:instrText>r</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h</w:instrText>
      </w:r>
      <w:r w:rsidRPr="004E7E3E">
        <w:rPr>
          <w:rFonts w:ascii="Times New Roman" w:hAnsi="Times New Roman" w:cs="Times New Roman"/>
          <w:color w:val="000000"/>
          <w:sz w:val="24"/>
          <w:szCs w:val="24"/>
          <w:shd w:val="clear" w:color="auto" w:fill="FFFFFF"/>
          <w:lang w:val="ru-RU"/>
        </w:rPr>
        <w:instrText xml:space="preserve">  \* </w:instrText>
      </w:r>
      <w:r w:rsidRPr="004E7E3E">
        <w:rPr>
          <w:rFonts w:ascii="Times New Roman" w:hAnsi="Times New Roman" w:cs="Times New Roman"/>
          <w:color w:val="000000"/>
          <w:sz w:val="24"/>
          <w:szCs w:val="24"/>
          <w:shd w:val="clear" w:color="auto" w:fill="FFFFFF"/>
        </w:rPr>
        <w:instrText>MERGEFORMAT</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r>
      <w:r w:rsidRPr="004E7E3E">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91</w:t>
      </w:r>
      <w:r w:rsidRPr="004E7E3E">
        <w:rPr>
          <w:rFonts w:ascii="Times New Roman" w:hAnsi="Times New Roman" w:cs="Times New Roman"/>
          <w:color w:val="000000"/>
          <w:sz w:val="24"/>
          <w:szCs w:val="24"/>
          <w:shd w:val="clear" w:color="auto" w:fill="FFFFFF"/>
        </w:rPr>
        <w:fldChar w:fldCharType="end"/>
      </w:r>
      <w:r w:rsidRPr="004E7E3E">
        <w:rPr>
          <w:rFonts w:ascii="Times New Roman" w:hAnsi="Times New Roman" w:cs="Times New Roman"/>
          <w:color w:val="000000"/>
          <w:sz w:val="24"/>
          <w:szCs w:val="24"/>
          <w:shd w:val="clear" w:color="auto" w:fill="FFFFFF"/>
          <w:lang w:val="ru-RU"/>
        </w:rPr>
        <w:t>, с. 32-34]</w:t>
      </w:r>
      <w:r>
        <w:rPr>
          <w:rFonts w:ascii="Times New Roman" w:hAnsi="Times New Roman" w:cs="Times New Roman"/>
          <w:color w:val="000000"/>
          <w:sz w:val="24"/>
          <w:szCs w:val="24"/>
          <w:shd w:val="clear" w:color="auto" w:fill="FFFFFF"/>
          <w:lang w:val="ru-RU"/>
        </w:rPr>
        <w:t>.</w:t>
      </w:r>
    </w:p>
    <w:p w14:paraId="3E4A4E00" w14:textId="0868B699" w:rsidR="00DC5025" w:rsidRPr="004E7E3E" w:rsidRDefault="00DC5025" w:rsidP="00DC5025">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И, наконец, </w:t>
      </w:r>
      <w:r w:rsidRPr="004E7E3E">
        <w:rPr>
          <w:rFonts w:ascii="Times New Roman" w:hAnsi="Times New Roman" w:cs="Times New Roman"/>
          <w:b/>
          <w:color w:val="000000"/>
          <w:sz w:val="24"/>
          <w:szCs w:val="24"/>
          <w:shd w:val="clear" w:color="auto" w:fill="FFFFFF"/>
          <w:lang w:val="ru-RU"/>
        </w:rPr>
        <w:t>инновационная политика</w:t>
      </w:r>
      <w:r w:rsidRPr="004E7E3E">
        <w:rPr>
          <w:rFonts w:ascii="Times New Roman" w:hAnsi="Times New Roman" w:cs="Times New Roman"/>
          <w:color w:val="000000"/>
          <w:sz w:val="24"/>
          <w:szCs w:val="24"/>
          <w:shd w:val="clear" w:color="auto" w:fill="FFFFFF"/>
          <w:lang w:val="ru-RU"/>
        </w:rPr>
        <w:t xml:space="preserve"> и примыкающая к этому блоку </w:t>
      </w:r>
      <w:r w:rsidRPr="004E7E3E">
        <w:rPr>
          <w:rFonts w:ascii="Times New Roman" w:hAnsi="Times New Roman" w:cs="Times New Roman"/>
          <w:b/>
          <w:color w:val="000000"/>
          <w:sz w:val="24"/>
          <w:szCs w:val="24"/>
          <w:shd w:val="clear" w:color="auto" w:fill="FFFFFF"/>
          <w:lang w:val="ru-RU"/>
        </w:rPr>
        <w:t>проблема диверсификации экономки</w:t>
      </w:r>
      <w:r w:rsidRPr="004E7E3E">
        <w:rPr>
          <w:rFonts w:ascii="Times New Roman" w:hAnsi="Times New Roman" w:cs="Times New Roman"/>
          <w:color w:val="000000"/>
          <w:sz w:val="24"/>
          <w:szCs w:val="24"/>
          <w:shd w:val="clear" w:color="auto" w:fill="FFFFFF"/>
          <w:lang w:val="ru-RU"/>
        </w:rPr>
        <w:t>. Китайский подход развития МФЦ наводит на мысль, что мировые финансы – это лишь одна из отраслей, включенных китайским руководством в </w:t>
      </w:r>
      <w:r w:rsidR="002F50A0" w:rsidRPr="004E7E3E">
        <w:rPr>
          <w:rFonts w:ascii="Times New Roman" w:hAnsi="Times New Roman" w:cs="Times New Roman"/>
          <w:color w:val="000000"/>
          <w:sz w:val="24"/>
          <w:szCs w:val="24"/>
          <w:shd w:val="clear" w:color="auto" w:fill="FFFFFF"/>
          <w:lang w:val="ru-RU"/>
        </w:rPr>
        <w:t>перечень</w:t>
      </w:r>
      <w:r w:rsidRPr="004E7E3E">
        <w:rPr>
          <w:rFonts w:ascii="Times New Roman" w:hAnsi="Times New Roman" w:cs="Times New Roman"/>
          <w:color w:val="000000"/>
          <w:sz w:val="24"/>
          <w:szCs w:val="24"/>
          <w:shd w:val="clear" w:color="auto" w:fill="FFFFFF"/>
          <w:lang w:val="ru-RU"/>
        </w:rPr>
        <w:t xml:space="preserve"> для опережающего развития. В Китае есть зоны по биотехнологиям, электронике, другие центры инновационной экономики. Но это лишь одна из нескольких отраслей, поддерживаемых правительством. И в рамках Шанхайского кластера для финансовых экспериментов будет разрабатываться модель для всей страны в будущем. Возможно, нашему руководству стоило бы </w:t>
      </w:r>
      <w:r w:rsidRPr="004E7E3E">
        <w:rPr>
          <w:rFonts w:ascii="Times New Roman" w:hAnsi="Times New Roman" w:cs="Times New Roman"/>
          <w:color w:val="000000"/>
          <w:sz w:val="24"/>
          <w:szCs w:val="24"/>
          <w:shd w:val="clear" w:color="auto" w:fill="FFFFFF"/>
          <w:lang w:val="ru-RU"/>
        </w:rPr>
        <w:lastRenderedPageBreak/>
        <w:t xml:space="preserve">перевести несколько пилотных проектов финтеха из Сколково в МФЦ, добавить туда исламский банкинг, инфраструктурные проекты с государственно-частным партнёрством, а также включить в программу следующей рабочей карты разработку законопроектов по развитию законодательной базы о синдицированных кредитов, рынку облигаций, скорринга и т. д. </w:t>
      </w:r>
      <w:r>
        <w:rPr>
          <w:rFonts w:ascii="Times New Roman" w:hAnsi="Times New Roman" w:cs="Times New Roman"/>
          <w:color w:val="000000"/>
          <w:sz w:val="24"/>
          <w:szCs w:val="24"/>
          <w:shd w:val="clear" w:color="auto" w:fill="FFFFFF"/>
          <w:lang w:val="ru-RU"/>
        </w:rPr>
        <w:t>А. С. </w:t>
      </w:r>
      <w:r w:rsidRPr="004E7E3E">
        <w:rPr>
          <w:rFonts w:ascii="Times New Roman" w:hAnsi="Times New Roman" w:cs="Times New Roman"/>
          <w:color w:val="000000"/>
          <w:sz w:val="24"/>
          <w:szCs w:val="24"/>
          <w:shd w:val="clear" w:color="auto" w:fill="FFFFFF"/>
          <w:lang w:val="ru-RU"/>
        </w:rPr>
        <w:t>Волошин считает, что исламский банкинг можно реализовать в рамках существующего законодательства, но практика показывает, что некоторые российские финансовые структуры отказываются от таких схем из-за сложности документационной поддержки [</w:t>
      </w:r>
      <w:r w:rsidRPr="004E7E3E">
        <w:rPr>
          <w:rFonts w:ascii="Times New Roman" w:hAnsi="Times New Roman" w:cs="Times New Roman"/>
          <w:color w:val="000000"/>
          <w:sz w:val="24"/>
          <w:szCs w:val="24"/>
          <w:shd w:val="clear" w:color="auto" w:fill="FFFFFF"/>
        </w:rPr>
        <w:fldChar w:fldCharType="begin"/>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 xml:space="preserve"> _</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501574290 \</w:instrText>
      </w:r>
      <w:r w:rsidRPr="004E7E3E">
        <w:rPr>
          <w:rFonts w:ascii="Times New Roman" w:hAnsi="Times New Roman" w:cs="Times New Roman"/>
          <w:color w:val="000000"/>
          <w:sz w:val="24"/>
          <w:szCs w:val="24"/>
          <w:shd w:val="clear" w:color="auto" w:fill="FFFFFF"/>
        </w:rPr>
        <w:instrText>r</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h</w:instrText>
      </w:r>
      <w:r w:rsidRPr="004E7E3E">
        <w:rPr>
          <w:rFonts w:ascii="Times New Roman" w:hAnsi="Times New Roman" w:cs="Times New Roman"/>
          <w:color w:val="000000"/>
          <w:sz w:val="24"/>
          <w:szCs w:val="24"/>
          <w:shd w:val="clear" w:color="auto" w:fill="FFFFFF"/>
          <w:lang w:val="ru-RU"/>
        </w:rPr>
        <w:instrText xml:space="preserve">  \* </w:instrText>
      </w:r>
      <w:r w:rsidRPr="004E7E3E">
        <w:rPr>
          <w:rFonts w:ascii="Times New Roman" w:hAnsi="Times New Roman" w:cs="Times New Roman"/>
          <w:color w:val="000000"/>
          <w:sz w:val="24"/>
          <w:szCs w:val="24"/>
          <w:shd w:val="clear" w:color="auto" w:fill="FFFFFF"/>
        </w:rPr>
        <w:instrText>MERGEFORMAT</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r>
      <w:r w:rsidRPr="004E7E3E">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251</w:t>
      </w:r>
      <w:r w:rsidRPr="004E7E3E">
        <w:rPr>
          <w:rFonts w:ascii="Times New Roman" w:hAnsi="Times New Roman" w:cs="Times New Roman"/>
          <w:color w:val="000000"/>
          <w:sz w:val="24"/>
          <w:szCs w:val="24"/>
          <w:shd w:val="clear" w:color="auto" w:fill="FFFFFF"/>
        </w:rPr>
        <w:fldChar w:fldCharType="end"/>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Как сообщает исследователь исламского банкинга Р. И. Беккин, ранее специалисты Альфа-Банка изучали возможности выхода на исламские рынки капитала, но посчитали механизм предоставления средств, используемый в работе исламских банков, невыгодным для себя</w:t>
      </w:r>
      <w:r>
        <w:rPr>
          <w:rFonts w:ascii="Times New Roman" w:hAnsi="Times New Roman" w:cs="Times New Roman"/>
          <w:color w:val="000000"/>
          <w:sz w:val="24"/>
          <w:szCs w:val="24"/>
          <w:shd w:val="clear" w:color="auto" w:fill="FFFFFF"/>
          <w:lang w:val="ru-RU"/>
        </w:rPr>
        <w:t>. В</w:t>
      </w:r>
      <w:r w:rsidRPr="004E7E3E">
        <w:rPr>
          <w:rFonts w:ascii="Times New Roman" w:hAnsi="Times New Roman" w:cs="Times New Roman"/>
          <w:color w:val="000000"/>
          <w:sz w:val="24"/>
          <w:szCs w:val="24"/>
          <w:shd w:val="clear" w:color="auto" w:fill="FFFFFF"/>
          <w:lang w:val="ru-RU"/>
        </w:rPr>
        <w:t xml:space="preserve"> частности, одним из главных недостатков были названы большие сроки для оформления сделок [</w:t>
      </w:r>
      <w:r w:rsidRPr="004E7E3E">
        <w:rPr>
          <w:rFonts w:ascii="Times New Roman" w:hAnsi="Times New Roman" w:cs="Times New Roman"/>
          <w:color w:val="000000"/>
          <w:sz w:val="24"/>
          <w:szCs w:val="24"/>
          <w:shd w:val="clear" w:color="auto" w:fill="FFFFFF"/>
        </w:rPr>
        <w:fldChar w:fldCharType="begin"/>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 xml:space="preserve"> _</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499038428 \</w:instrText>
      </w:r>
      <w:r w:rsidRPr="004E7E3E">
        <w:rPr>
          <w:rFonts w:ascii="Times New Roman" w:hAnsi="Times New Roman" w:cs="Times New Roman"/>
          <w:color w:val="000000"/>
          <w:sz w:val="24"/>
          <w:szCs w:val="24"/>
          <w:shd w:val="clear" w:color="auto" w:fill="FFFFFF"/>
        </w:rPr>
        <w:instrText>r</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h</w:instrText>
      </w:r>
      <w:r w:rsidRPr="004E7E3E">
        <w:rPr>
          <w:rFonts w:ascii="Times New Roman" w:hAnsi="Times New Roman" w:cs="Times New Roman"/>
          <w:color w:val="000000"/>
          <w:sz w:val="24"/>
          <w:szCs w:val="24"/>
          <w:shd w:val="clear" w:color="auto" w:fill="FFFFFF"/>
          <w:lang w:val="ru-RU"/>
        </w:rPr>
        <w:instrText xml:space="preserve">  \* </w:instrText>
      </w:r>
      <w:r w:rsidRPr="004E7E3E">
        <w:rPr>
          <w:rFonts w:ascii="Times New Roman" w:hAnsi="Times New Roman" w:cs="Times New Roman"/>
          <w:color w:val="000000"/>
          <w:sz w:val="24"/>
          <w:szCs w:val="24"/>
          <w:shd w:val="clear" w:color="auto" w:fill="FFFFFF"/>
        </w:rPr>
        <w:instrText>MERGEFORMAT</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r>
      <w:r w:rsidRPr="004E7E3E">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60</w:t>
      </w:r>
      <w:r w:rsidRPr="004E7E3E">
        <w:rPr>
          <w:rFonts w:ascii="Times New Roman" w:hAnsi="Times New Roman" w:cs="Times New Roman"/>
          <w:color w:val="000000"/>
          <w:sz w:val="24"/>
          <w:szCs w:val="24"/>
          <w:shd w:val="clear" w:color="auto" w:fill="FFFFFF"/>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20]</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Это особенно актуально после совершения ряда крупных инвестиционных покупок представителями капитала из Персидского залива в российской экономик</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(например, приобретение крупного пакета акций Роснефти). Может быть, исламские деньги смогут на время удовлетворить инвестиционный голод во время отсутствия западных капиталов на рынке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раз сотрудничество с Китаем в финансовой сфере пока не стало успешным. </w:t>
      </w:r>
    </w:p>
    <w:p w14:paraId="439F1923" w14:textId="164C9CD3" w:rsidR="00DC5025" w:rsidRDefault="00DC5025" w:rsidP="00DC5025">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color w:val="000000"/>
          <w:sz w:val="24"/>
          <w:szCs w:val="24"/>
          <w:shd w:val="clear" w:color="auto" w:fill="FFFFFF"/>
          <w:lang w:val="ru-RU"/>
        </w:rPr>
        <w:t>Наш</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исследование было бы неполным, если бы мы не проанализировали возможности Санкт-Петербурга стать ещё одним МФЦ в России. Для иностранных исследователей (в частности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составителей рейтинга </w:t>
      </w:r>
      <w:r w:rsidRPr="004E7E3E">
        <w:rPr>
          <w:rFonts w:ascii="Times New Roman" w:hAnsi="Times New Roman" w:cs="Times New Roman"/>
          <w:color w:val="000000"/>
          <w:sz w:val="24"/>
          <w:szCs w:val="24"/>
          <w:shd w:val="clear" w:color="auto" w:fill="FFFFFF"/>
          <w:lang w:eastAsia="zh-CN"/>
        </w:rPr>
        <w:t>Z</w:t>
      </w:r>
      <w:r w:rsidRPr="004E7E3E">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eastAsia="zh-CN"/>
        </w:rPr>
        <w:t>Yen</w:t>
      </w:r>
      <w:r w:rsidRPr="004E7E3E">
        <w:rPr>
          <w:rFonts w:ascii="Times New Roman" w:hAnsi="Times New Roman" w:cs="Times New Roman"/>
          <w:color w:val="000000"/>
          <w:sz w:val="24"/>
          <w:szCs w:val="24"/>
          <w:shd w:val="clear" w:color="auto" w:fill="FFFFFF"/>
          <w:lang w:val="ru-RU" w:eastAsia="zh-CN"/>
        </w:rPr>
        <w:t>) этот вопрос уже решён: Санкт</w:t>
      </w:r>
      <w:r w:rsidRPr="004E7E3E">
        <w:rPr>
          <w:rFonts w:ascii="Times New Roman" w:hAnsi="Times New Roman" w:cs="Times New Roman"/>
          <w:color w:val="000000"/>
          <w:sz w:val="24"/>
          <w:szCs w:val="24"/>
          <w:shd w:val="clear" w:color="auto" w:fill="FFFFFF"/>
          <w:lang w:val="ru-RU" w:eastAsia="zh-CN"/>
        </w:rPr>
        <w:noBreakHyphen/>
        <w:t>Петербург также является МФЦ. Причём его позиции кардинально не отличаются от показателей Москвы. Когда в выпусках появилась многомерная матричная классификация на основе признаков «специализаци</w:t>
      </w:r>
      <w:r>
        <w:rPr>
          <w:rFonts w:ascii="Times New Roman" w:hAnsi="Times New Roman" w:cs="Times New Roman"/>
          <w:color w:val="000000"/>
          <w:sz w:val="24"/>
          <w:szCs w:val="24"/>
          <w:shd w:val="clear" w:color="auto" w:fill="FFFFFF"/>
          <w:lang w:val="ru-RU" w:eastAsia="zh-CN"/>
        </w:rPr>
        <w:t>я</w:t>
      </w:r>
      <w:r w:rsidRPr="004E7E3E">
        <w:rPr>
          <w:rFonts w:ascii="Times New Roman" w:hAnsi="Times New Roman" w:cs="Times New Roman"/>
          <w:color w:val="000000"/>
          <w:sz w:val="24"/>
          <w:szCs w:val="24"/>
          <w:shd w:val="clear" w:color="auto" w:fill="FFFFFF"/>
          <w:lang w:val="ru-RU" w:eastAsia="zh-CN"/>
        </w:rPr>
        <w:t>», «узнаваемост</w:t>
      </w:r>
      <w:r>
        <w:rPr>
          <w:rFonts w:ascii="Times New Roman" w:hAnsi="Times New Roman" w:cs="Times New Roman"/>
          <w:color w:val="000000"/>
          <w:sz w:val="24"/>
          <w:szCs w:val="24"/>
          <w:shd w:val="clear" w:color="auto" w:fill="FFFFFF"/>
          <w:lang w:val="ru-RU" w:eastAsia="zh-CN"/>
        </w:rPr>
        <w:t>ь</w:t>
      </w:r>
      <w:r w:rsidRPr="004E7E3E">
        <w:rPr>
          <w:rFonts w:ascii="Times New Roman" w:hAnsi="Times New Roman" w:cs="Times New Roman"/>
          <w:color w:val="000000"/>
          <w:sz w:val="24"/>
          <w:szCs w:val="24"/>
          <w:shd w:val="clear" w:color="auto" w:fill="FFFFFF"/>
          <w:lang w:val="ru-RU" w:eastAsia="zh-CN"/>
        </w:rPr>
        <w:t xml:space="preserve">», «уровни глобальности», </w:t>
      </w:r>
      <w:r w:rsidRPr="004E7E3E">
        <w:rPr>
          <w:rFonts w:ascii="Times New Roman" w:hAnsi="Times New Roman" w:cs="Times New Roman"/>
          <w:color w:val="000000"/>
          <w:sz w:val="24"/>
          <w:szCs w:val="24"/>
          <w:shd w:val="clear" w:color="auto" w:fill="FFFFFF"/>
          <w:lang w:val="ru-RU"/>
        </w:rPr>
        <w:t>Москва попала в категорию «глобальных претендентов», её соседями в группе стали Дубай, Шанхай и Пекин. Санкт-Петербург был причислен к «эволюционирующим центрам», что соответствовало той же степени глубины специализации и диверсификации финансовых услуг, что и у Москвы, только на локальном уровне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xml:space="preserve">. 5]. Интересно, что в 16-м выпуске на сентябрь 2014 Санкт-Петербург (72 место) опередил Москву (80 место) в рейтинге МФЦ </w:t>
      </w:r>
      <w:r w:rsidRPr="004E7E3E">
        <w:rPr>
          <w:rFonts w:ascii="Times New Roman" w:hAnsi="Times New Roman" w:cs="Times New Roman"/>
          <w:color w:val="000000"/>
          <w:sz w:val="24"/>
          <w:szCs w:val="24"/>
          <w:shd w:val="clear" w:color="auto" w:fill="FFFFFF"/>
        </w:rPr>
        <w:t>Z</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rPr>
        <w:t>Y</w:t>
      </w:r>
      <w:r w:rsidRPr="004E7E3E">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rPr>
        <w:t>n</w:t>
      </w:r>
      <w:r w:rsidRPr="004E7E3E">
        <w:rPr>
          <w:rFonts w:ascii="Times New Roman" w:hAnsi="Times New Roman" w:cs="Times New Roman"/>
          <w:color w:val="000000"/>
          <w:sz w:val="24"/>
          <w:szCs w:val="24"/>
          <w:shd w:val="clear" w:color="auto" w:fill="FFFFFF"/>
          <w:lang w:val="ru-RU"/>
        </w:rPr>
        <w:t>, правда, и до Алма-Аты (43 место) обеим российским столицам было далеко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_Ref130564109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233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xml:space="preserve">. 8]. Вряд ли этому способствовал только переезд офисов Газпрома в Северную столицу. Очевидно, что политическая ангажированность в данном случае сыграла против первой столицы, репутационные издержки от активной внешней политики России отразились на городе, где располагается правительство страны. </w:t>
      </w:r>
      <w:r w:rsidRPr="004E7E3E">
        <w:rPr>
          <w:rFonts w:ascii="Times New Roman" w:hAnsi="Times New Roman" w:cs="Times New Roman"/>
          <w:color w:val="000000"/>
          <w:sz w:val="24"/>
          <w:szCs w:val="24"/>
          <w:shd w:val="clear" w:color="auto" w:fill="FFFFFF"/>
          <w:lang w:val="ru-RU" w:eastAsia="zh-CN"/>
        </w:rPr>
        <w:t xml:space="preserve">Некоторые важные российские финансовые институты располагаются в Северной столице. Например, Санкт-Петербургская международная торгово-сырьевая биржа, которая может стать основной площадкой торгов фьючерса на российскую марку нефти </w:t>
      </w:r>
      <w:r w:rsidRPr="004E7E3E">
        <w:rPr>
          <w:rFonts w:ascii="Times New Roman" w:hAnsi="Times New Roman" w:cs="Times New Roman"/>
          <w:color w:val="000000"/>
          <w:sz w:val="24"/>
          <w:szCs w:val="24"/>
          <w:shd w:val="clear" w:color="auto" w:fill="FFFFFF"/>
          <w:lang w:eastAsia="zh-CN"/>
        </w:rPr>
        <w:t>Urals</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val="ru-RU" w:eastAsia="zh-CN"/>
        </w:rPr>
        <w:fldChar w:fldCharType="begin"/>
      </w:r>
      <w:r w:rsidRPr="004E7E3E">
        <w:rPr>
          <w:rFonts w:ascii="Times New Roman" w:hAnsi="Times New Roman" w:cs="Times New Roman"/>
          <w:color w:val="000000"/>
          <w:sz w:val="24"/>
          <w:szCs w:val="24"/>
          <w:shd w:val="clear" w:color="auto" w:fill="FFFFFF"/>
          <w:lang w:val="ru-RU" w:eastAsia="zh-CN"/>
        </w:rPr>
        <w:instrText xml:space="preserve"> REF _Ref459375708 \r \h  \* MERGEFORMAT </w:instrText>
      </w:r>
      <w:r w:rsidRPr="004E7E3E">
        <w:rPr>
          <w:rFonts w:ascii="Times New Roman" w:hAnsi="Times New Roman" w:cs="Times New Roman"/>
          <w:color w:val="000000"/>
          <w:sz w:val="24"/>
          <w:szCs w:val="24"/>
          <w:shd w:val="clear" w:color="auto" w:fill="FFFFFF"/>
          <w:lang w:val="ru-RU" w:eastAsia="zh-CN"/>
        </w:rPr>
      </w:r>
      <w:r w:rsidRPr="004E7E3E">
        <w:rPr>
          <w:rFonts w:ascii="Times New Roman" w:hAnsi="Times New Roman" w:cs="Times New Roman"/>
          <w:color w:val="000000"/>
          <w:sz w:val="24"/>
          <w:szCs w:val="24"/>
          <w:shd w:val="clear" w:color="auto" w:fill="FFFFFF"/>
          <w:lang w:val="ru-RU" w:eastAsia="zh-CN"/>
        </w:rPr>
        <w:fldChar w:fldCharType="separate"/>
      </w:r>
      <w:r w:rsidR="00801D78">
        <w:rPr>
          <w:rFonts w:ascii="Times New Roman" w:hAnsi="Times New Roman" w:cs="Times New Roman"/>
          <w:color w:val="000000"/>
          <w:sz w:val="24"/>
          <w:szCs w:val="24"/>
          <w:shd w:val="clear" w:color="auto" w:fill="FFFFFF"/>
          <w:lang w:val="ru-RU" w:eastAsia="zh-CN"/>
        </w:rPr>
        <w:t>271</w:t>
      </w:r>
      <w:r w:rsidRPr="004E7E3E">
        <w:rPr>
          <w:rFonts w:ascii="Times New Roman" w:hAnsi="Times New Roman" w:cs="Times New Roman"/>
          <w:color w:val="000000"/>
          <w:sz w:val="24"/>
          <w:szCs w:val="24"/>
          <w:shd w:val="clear" w:color="auto" w:fill="FFFFFF"/>
          <w:lang w:val="ru-RU" w:eastAsia="zh-CN"/>
        </w:rPr>
        <w:fldChar w:fldCharType="end"/>
      </w:r>
      <w:r w:rsidRPr="004E7E3E">
        <w:rPr>
          <w:rFonts w:ascii="Times New Roman" w:hAnsi="Times New Roman" w:cs="Times New Roman"/>
          <w:color w:val="000000"/>
          <w:sz w:val="24"/>
          <w:szCs w:val="24"/>
          <w:shd w:val="clear" w:color="auto" w:fill="FFFFFF"/>
          <w:lang w:val="ru-RU" w:eastAsia="zh-CN"/>
        </w:rPr>
        <w:t xml:space="preserve">]. </w:t>
      </w:r>
    </w:p>
    <w:p w14:paraId="499423F6" w14:textId="548FD6EA" w:rsidR="00DC5025" w:rsidRDefault="00DC5025" w:rsidP="00DC5025">
      <w:pPr>
        <w:spacing w:before="100" w:beforeAutospacing="1" w:after="100" w:line="360" w:lineRule="auto"/>
        <w:contextualSpacing/>
        <w:jc w:val="center"/>
        <w:rPr>
          <w:rFonts w:ascii="Times New Roman" w:hAnsi="Times New Roman" w:cs="Times New Roman"/>
          <w:sz w:val="24"/>
          <w:szCs w:val="24"/>
          <w:lang w:val="ru-RU"/>
        </w:rPr>
      </w:pPr>
    </w:p>
    <w:p w14:paraId="2BCB64A7" w14:textId="638AF9DA" w:rsidR="00B26B58" w:rsidRPr="004E7E3E" w:rsidRDefault="00B26B58" w:rsidP="00DC5025">
      <w:pPr>
        <w:spacing w:before="100" w:beforeAutospacing="1" w:after="100" w:line="360" w:lineRule="auto"/>
        <w:contextualSpacing/>
        <w:jc w:val="cente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621F893E" wp14:editId="51A57BEB">
            <wp:extent cx="5709414" cy="2599899"/>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8567" cy="2608621"/>
                    </a:xfrm>
                    <a:prstGeom prst="rect">
                      <a:avLst/>
                    </a:prstGeom>
                    <a:noFill/>
                    <a:ln>
                      <a:noFill/>
                    </a:ln>
                  </pic:spPr>
                </pic:pic>
              </a:graphicData>
            </a:graphic>
          </wp:inline>
        </w:drawing>
      </w:r>
    </w:p>
    <w:p w14:paraId="533482D0" w14:textId="77777777" w:rsidR="00DC5025" w:rsidRPr="004E7E3E" w:rsidRDefault="00DC5025" w:rsidP="00DC5025">
      <w:pPr>
        <w:spacing w:before="100" w:beforeAutospacing="1" w:after="100" w:line="360" w:lineRule="auto"/>
        <w:ind w:firstLine="709"/>
        <w:contextualSpacing/>
        <w:rPr>
          <w:rFonts w:ascii="Times New Roman" w:hAnsi="Times New Roman" w:cs="Times New Roman"/>
          <w:sz w:val="24"/>
          <w:szCs w:val="24"/>
          <w:lang w:val="ru-RU" w:eastAsia="zh-CN"/>
        </w:rPr>
      </w:pPr>
      <w:r w:rsidRPr="00BB196B">
        <w:rPr>
          <w:rStyle w:val="16"/>
        </w:rPr>
        <w:t xml:space="preserve">Рис. </w:t>
      </w:r>
      <w:r>
        <w:rPr>
          <w:rStyle w:val="16"/>
        </w:rPr>
        <w:t>12.</w:t>
      </w:r>
      <w:r w:rsidRPr="004E7E3E">
        <w:rPr>
          <w:rFonts w:ascii="Times New Roman" w:hAnsi="Times New Roman" w:cs="Times New Roman"/>
          <w:sz w:val="24"/>
          <w:szCs w:val="24"/>
          <w:lang w:val="ru-RU"/>
        </w:rPr>
        <w:t xml:space="preserve"> Сравнение показателей Москвы и Санкт-Петербурга в </w:t>
      </w:r>
      <w:r w:rsidRPr="004E7E3E">
        <w:rPr>
          <w:rFonts w:ascii="Times New Roman" w:hAnsi="Times New Roman" w:cs="Times New Roman"/>
          <w:sz w:val="24"/>
          <w:szCs w:val="24"/>
          <w:lang w:eastAsia="zh-CN"/>
        </w:rPr>
        <w:t>GFCI</w:t>
      </w:r>
      <w:r w:rsidRPr="004E7E3E">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1</w:t>
      </w:r>
      <w:r w:rsidRPr="004E7E3E">
        <w:rPr>
          <w:rFonts w:ascii="Times New Roman" w:hAnsi="Times New Roman" w:cs="Times New Roman"/>
          <w:sz w:val="24"/>
          <w:szCs w:val="24"/>
          <w:lang w:val="ru-RU" w:eastAsia="zh-CN"/>
        </w:rPr>
        <w:t>-</w:t>
      </w:r>
      <w:r>
        <w:rPr>
          <w:rFonts w:ascii="Times New Roman" w:hAnsi="Times New Roman" w:cs="Times New Roman"/>
          <w:sz w:val="24"/>
          <w:szCs w:val="24"/>
          <w:lang w:val="ru-RU" w:eastAsia="zh-CN"/>
        </w:rPr>
        <w:t>33</w:t>
      </w:r>
      <w:r w:rsidRPr="004E7E3E">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 xml:space="preserve">рейтинг, </w:t>
      </w:r>
      <w:r w:rsidRPr="004E7E3E">
        <w:rPr>
          <w:rFonts w:ascii="Times New Roman" w:hAnsi="Times New Roman" w:cs="Times New Roman"/>
          <w:sz w:val="24"/>
          <w:szCs w:val="24"/>
          <w:lang w:val="ru-RU" w:eastAsia="zh-CN"/>
        </w:rPr>
        <w:t>баллы)</w:t>
      </w:r>
      <w:r>
        <w:rPr>
          <w:rFonts w:ascii="Times New Roman" w:hAnsi="Times New Roman" w:cs="Times New Roman"/>
          <w:sz w:val="24"/>
          <w:szCs w:val="24"/>
          <w:lang w:val="ru-RU" w:eastAsia="zh-CN"/>
        </w:rPr>
        <w:t>.</w:t>
      </w:r>
    </w:p>
    <w:p w14:paraId="208B355D" w14:textId="03930AB3" w:rsidR="00DC5025" w:rsidRPr="004E7E3E" w:rsidRDefault="00DC5025" w:rsidP="00DC5025">
      <w:pPr>
        <w:spacing w:before="100" w:beforeAutospacing="1" w:after="100" w:line="360" w:lineRule="auto"/>
        <w:ind w:firstLine="709"/>
        <w:contextualSpacing/>
        <w:rPr>
          <w:rFonts w:ascii="Times New Roman" w:hAnsi="Times New Roman" w:cs="Times New Roman"/>
          <w:color w:val="000000"/>
          <w:sz w:val="24"/>
          <w:szCs w:val="24"/>
          <w:lang w:val="ru-RU" w:eastAsia="zh-CN" w:bidi="ar-SA"/>
        </w:rPr>
      </w:pPr>
      <w:r w:rsidRPr="004E7E3E">
        <w:rPr>
          <w:rFonts w:ascii="Times New Roman" w:eastAsia="Times New Roman" w:hAnsi="Times New Roman" w:cs="Times New Roman"/>
          <w:color w:val="000000"/>
          <w:sz w:val="24"/>
          <w:szCs w:val="24"/>
          <w:lang w:val="ru-RU" w:eastAsia="zh-CN" w:bidi="ar-SA"/>
        </w:rPr>
        <w:t xml:space="preserve">Источник: составлено автором на основе материалов </w:t>
      </w:r>
      <w:r w:rsidRPr="004E7E3E">
        <w:rPr>
          <w:rFonts w:ascii="Times New Roman" w:hAnsi="Times New Roman" w:cs="Times New Roman"/>
          <w:color w:val="000000"/>
          <w:sz w:val="24"/>
          <w:szCs w:val="24"/>
          <w:lang w:val="ru-RU" w:eastAsia="zh-CN" w:bidi="ar-SA"/>
        </w:rPr>
        <w:t>[</w:t>
      </w:r>
      <w:r w:rsidRPr="004E7E3E">
        <w:rPr>
          <w:rFonts w:ascii="Times New Roman" w:hAnsi="Times New Roman" w:cs="Times New Roman"/>
          <w:color w:val="000000"/>
          <w:sz w:val="24"/>
          <w:szCs w:val="24"/>
          <w:lang w:eastAsia="zh-CN" w:bidi="ar-SA"/>
        </w:rPr>
        <w:fldChar w:fldCharType="begin"/>
      </w:r>
      <w:r w:rsidRPr="004E7E3E">
        <w:rPr>
          <w:rFonts w:ascii="Times New Roman" w:hAnsi="Times New Roman" w:cs="Times New Roman"/>
          <w:color w:val="000000"/>
          <w:sz w:val="24"/>
          <w:szCs w:val="24"/>
          <w:lang w:val="ru-RU" w:eastAsia="zh-CN" w:bidi="ar-SA"/>
        </w:rPr>
        <w:instrText xml:space="preserve"> REF _Ref130564109 \r \h  \* </w:instrText>
      </w:r>
      <w:r w:rsidRPr="004E7E3E">
        <w:rPr>
          <w:rFonts w:ascii="Times New Roman" w:hAnsi="Times New Roman" w:cs="Times New Roman"/>
          <w:color w:val="000000"/>
          <w:sz w:val="24"/>
          <w:szCs w:val="24"/>
          <w:lang w:eastAsia="zh-CN" w:bidi="ar-SA"/>
        </w:rPr>
        <w:instrText>MERGEFORMAT</w:instrText>
      </w:r>
      <w:r w:rsidRPr="004E7E3E">
        <w:rPr>
          <w:rFonts w:ascii="Times New Roman" w:hAnsi="Times New Roman" w:cs="Times New Roman"/>
          <w:color w:val="000000"/>
          <w:sz w:val="24"/>
          <w:szCs w:val="24"/>
          <w:lang w:val="ru-RU" w:eastAsia="zh-CN" w:bidi="ar-SA"/>
        </w:rPr>
        <w:instrText xml:space="preserve"> </w:instrText>
      </w:r>
      <w:r w:rsidRPr="004E7E3E">
        <w:rPr>
          <w:rFonts w:ascii="Times New Roman" w:hAnsi="Times New Roman" w:cs="Times New Roman"/>
          <w:color w:val="000000"/>
          <w:sz w:val="24"/>
          <w:szCs w:val="24"/>
          <w:lang w:eastAsia="zh-CN" w:bidi="ar-SA"/>
        </w:rPr>
      </w:r>
      <w:r w:rsidRPr="004E7E3E">
        <w:rPr>
          <w:rFonts w:ascii="Times New Roman" w:hAnsi="Times New Roman" w:cs="Times New Roman"/>
          <w:color w:val="000000"/>
          <w:sz w:val="24"/>
          <w:szCs w:val="24"/>
          <w:lang w:eastAsia="zh-CN" w:bidi="ar-SA"/>
        </w:rPr>
        <w:fldChar w:fldCharType="separate"/>
      </w:r>
      <w:r w:rsidR="00801D78">
        <w:rPr>
          <w:rFonts w:ascii="Times New Roman" w:hAnsi="Times New Roman" w:cs="Times New Roman"/>
          <w:color w:val="000000"/>
          <w:sz w:val="24"/>
          <w:szCs w:val="24"/>
          <w:lang w:val="ru-RU" w:eastAsia="zh-CN" w:bidi="ar-SA"/>
        </w:rPr>
        <w:t>233</w:t>
      </w:r>
      <w:r w:rsidRPr="004E7E3E">
        <w:rPr>
          <w:rFonts w:ascii="Times New Roman" w:hAnsi="Times New Roman" w:cs="Times New Roman"/>
          <w:color w:val="000000"/>
          <w:sz w:val="24"/>
          <w:szCs w:val="24"/>
          <w:lang w:eastAsia="zh-CN" w:bidi="ar-SA"/>
        </w:rPr>
        <w:fldChar w:fldCharType="end"/>
      </w:r>
      <w:r w:rsidRPr="004E7E3E">
        <w:rPr>
          <w:rFonts w:ascii="Times New Roman" w:hAnsi="Times New Roman" w:cs="Times New Roman"/>
          <w:color w:val="000000"/>
          <w:sz w:val="24"/>
          <w:szCs w:val="24"/>
          <w:lang w:val="ru-RU" w:eastAsia="zh-CN" w:bidi="ar-SA"/>
        </w:rPr>
        <w:t>]</w:t>
      </w:r>
      <w:r>
        <w:rPr>
          <w:rFonts w:ascii="Times New Roman" w:hAnsi="Times New Roman" w:cs="Times New Roman"/>
          <w:color w:val="000000"/>
          <w:sz w:val="24"/>
          <w:szCs w:val="24"/>
          <w:lang w:val="ru-RU" w:eastAsia="zh-CN" w:bidi="ar-SA"/>
        </w:rPr>
        <w:t>.</w:t>
      </w:r>
    </w:p>
    <w:p w14:paraId="1A5045E6" w14:textId="28BBCDCE"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color w:val="000000"/>
          <w:sz w:val="24"/>
          <w:szCs w:val="24"/>
          <w:shd w:val="clear" w:color="auto" w:fill="FFFFFF"/>
          <w:lang w:val="ru-RU" w:eastAsia="zh-CN"/>
        </w:rPr>
        <w:t>По подсчётам экспертов, Санкт-Петербург концентрирует по различным показателям от 3</w:t>
      </w:r>
      <w:r>
        <w:rPr>
          <w:rFonts w:ascii="Times New Roman" w:hAnsi="Times New Roman" w:cs="Times New Roman"/>
          <w:color w:val="000000"/>
          <w:sz w:val="24"/>
          <w:szCs w:val="24"/>
          <w:shd w:val="clear" w:color="auto" w:fill="FFFFFF"/>
          <w:lang w:val="ru-RU" w:eastAsia="zh-CN"/>
        </w:rPr>
        <w:t>%</w:t>
      </w:r>
      <w:r w:rsidRPr="004E7E3E">
        <w:rPr>
          <w:rFonts w:ascii="Times New Roman" w:hAnsi="Times New Roman" w:cs="Times New Roman"/>
          <w:color w:val="000000"/>
          <w:sz w:val="24"/>
          <w:szCs w:val="24"/>
          <w:shd w:val="clear" w:color="auto" w:fill="FFFFFF"/>
          <w:lang w:val="ru-RU" w:eastAsia="zh-CN"/>
        </w:rPr>
        <w:t xml:space="preserve"> до 10% </w:t>
      </w:r>
      <w:r w:rsidRPr="004E7E3E">
        <w:rPr>
          <w:rFonts w:ascii="Times New Roman" w:hAnsi="Times New Roman" w:cs="Times New Roman"/>
          <w:sz w:val="24"/>
          <w:szCs w:val="24"/>
          <w:lang w:val="ru-RU"/>
        </w:rPr>
        <w:t xml:space="preserve">финансового рынка России: </w:t>
      </w:r>
      <w:r w:rsidRPr="004E7E3E">
        <w:rPr>
          <w:rFonts w:ascii="Times New Roman" w:hAnsi="Times New Roman" w:cs="Times New Roman"/>
          <w:sz w:val="24"/>
          <w:szCs w:val="24"/>
          <w:lang w:val="ru-RU" w:bidi="ar-SA"/>
        </w:rPr>
        <w:t>3,7% кредитных организаций</w:t>
      </w:r>
      <w:r>
        <w:rPr>
          <w:rFonts w:ascii="Times New Roman" w:hAnsi="Times New Roman" w:cs="Times New Roman"/>
          <w:sz w:val="24"/>
          <w:szCs w:val="24"/>
          <w:lang w:val="ru-RU" w:bidi="ar-SA"/>
        </w:rPr>
        <w:t>;</w:t>
      </w:r>
      <w:r w:rsidRPr="004E7E3E">
        <w:rPr>
          <w:rFonts w:ascii="Times New Roman" w:hAnsi="Times New Roman" w:cs="Times New Roman"/>
          <w:sz w:val="24"/>
          <w:szCs w:val="24"/>
          <w:lang w:val="ru-RU" w:bidi="ar-SA"/>
        </w:rPr>
        <w:t xml:space="preserve"> 7,7% всего объема выданных кредитов в России; 11,9% депозитов физических и юридических лиц, средств на счетах организаций в рублях и в иностранной валюте; 5,2% лицензий на осуществление брокерской деятельности, 5,3% дилерской деятельности, 6,3% деятельности по доверительному управлению, 5,3% депозитарной деятельности, 5,1% на ведение реестров ценных бумаг; 5 из 8 выданных лицензий фондовых бирж</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_Ref498686162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137</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с. 127]</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После объединения двух российских бирж ММВБ и РТС в конце 2011 года биржевая торговля перестала рассматриваться в региональной привязке к Москве и Санкт-Петербургу. Однако специфика Санкт-Петербурга как финансового центра стала поддерживаться в рамках развития товарной биржевой торговли на базе ЗАО «Биржа Санкт-Петербург» (создана 31 января 1991 года) и ЗАО «СПбМТСБ» (создана в мае 2008 г</w:t>
      </w:r>
      <w:r>
        <w:rPr>
          <w:rFonts w:ascii="Times New Roman" w:hAnsi="Times New Roman" w:cs="Times New Roman"/>
          <w:sz w:val="24"/>
          <w:szCs w:val="24"/>
          <w:lang w:val="ru-RU"/>
        </w:rPr>
        <w:t>ода</w:t>
      </w:r>
      <w:r w:rsidRPr="004E7E3E">
        <w:rPr>
          <w:rFonts w:ascii="Times New Roman" w:hAnsi="Times New Roman" w:cs="Times New Roman"/>
          <w:sz w:val="24"/>
          <w:szCs w:val="24"/>
          <w:lang w:val="ru-RU"/>
        </w:rPr>
        <w:t>). По данным 2013 г. на долю бирж, составляющих группу Московской биржи, приходилось 9,6% торгового оборота города, на долю бирж Санкт-Петербурга – 90,4%. При этом прослеживается специализация последних на нефтепродуктах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_Ref131437527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112</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w:t>
      </w:r>
      <w:r w:rsidRPr="004E7E3E">
        <w:rPr>
          <w:rFonts w:ascii="Times New Roman" w:hAnsi="Times New Roman" w:cs="Times New Roman"/>
          <w:sz w:val="24"/>
          <w:szCs w:val="24"/>
          <w:lang w:val="ru-RU"/>
        </w:rPr>
        <w:t>. 106]</w:t>
      </w:r>
      <w:r>
        <w:rPr>
          <w:rFonts w:ascii="Times New Roman" w:hAnsi="Times New Roman" w:cs="Times New Roman"/>
          <w:sz w:val="24"/>
          <w:szCs w:val="24"/>
          <w:lang w:val="ru-RU"/>
        </w:rPr>
        <w:t>.</w:t>
      </w:r>
      <w:r w:rsidRPr="004E7E3E">
        <w:rPr>
          <w:rFonts w:ascii="Times New Roman" w:hAnsi="Times New Roman" w:cs="Times New Roman"/>
          <w:sz w:val="24"/>
          <w:szCs w:val="24"/>
          <w:lang w:val="ru-RU"/>
        </w:rPr>
        <w:t xml:space="preserve"> Также на территории Санкт</w:t>
      </w:r>
      <w:r w:rsidRPr="004E7E3E">
        <w:rPr>
          <w:rFonts w:ascii="Times New Roman" w:hAnsi="Times New Roman" w:cs="Times New Roman"/>
          <w:sz w:val="24"/>
          <w:szCs w:val="24"/>
          <w:lang w:val="ru-RU"/>
        </w:rPr>
        <w:noBreakHyphen/>
        <w:t>Петербурга наблюдается более высокая концентрация банковского капитала, чем в среднем по России: по состоянию на 24 апрел</w:t>
      </w:r>
      <w:r w:rsidRPr="004E7E3E">
        <w:rPr>
          <w:rFonts w:ascii="Times New Roman" w:hAnsi="Times New Roman" w:cs="Times New Roman"/>
          <w:color w:val="000000" w:themeColor="text1"/>
          <w:sz w:val="24"/>
          <w:szCs w:val="24"/>
          <w:lang w:val="ru-RU"/>
        </w:rPr>
        <w:t xml:space="preserve">я 2015 г. было зарегистрировано 3,7% кредитных организаций, по данным на </w:t>
      </w:r>
      <w:r>
        <w:rPr>
          <w:rFonts w:ascii="Times New Roman" w:hAnsi="Times New Roman" w:cs="Times New Roman"/>
          <w:color w:val="000000" w:themeColor="text1"/>
          <w:sz w:val="24"/>
          <w:szCs w:val="24"/>
          <w:lang w:val="ru-RU"/>
        </w:rPr>
        <w:t>0</w:t>
      </w:r>
      <w:r w:rsidRPr="004E7E3E">
        <w:rPr>
          <w:rFonts w:ascii="Times New Roman" w:hAnsi="Times New Roman" w:cs="Times New Roman"/>
          <w:color w:val="000000" w:themeColor="text1"/>
          <w:sz w:val="24"/>
          <w:szCs w:val="24"/>
          <w:lang w:val="ru-RU"/>
        </w:rPr>
        <w:t xml:space="preserve">1.03.2015 г. они обеспечивали 7,7% всего объема выданных кредитов в России </w:t>
      </w:r>
      <w:r>
        <w:rPr>
          <w:rFonts w:ascii="Times New Roman" w:hAnsi="Times New Roman" w:cs="Times New Roman"/>
          <w:color w:val="000000" w:themeColor="text1"/>
          <w:sz w:val="24"/>
          <w:szCs w:val="24"/>
          <w:lang w:val="ru-RU"/>
        </w:rPr>
        <w:t>по</w:t>
      </w:r>
      <w:r w:rsidRPr="004E7E3E">
        <w:rPr>
          <w:rFonts w:ascii="Times New Roman" w:hAnsi="Times New Roman" w:cs="Times New Roman"/>
          <w:color w:val="000000" w:themeColor="text1"/>
          <w:sz w:val="24"/>
          <w:szCs w:val="24"/>
          <w:lang w:val="ru-RU"/>
        </w:rPr>
        <w:t xml:space="preserve"> большей части в рублях (8,2%)</w:t>
      </w:r>
      <w:r>
        <w:rPr>
          <w:rFonts w:ascii="Times New Roman" w:hAnsi="Times New Roman" w:cs="Times New Roman"/>
          <w:color w:val="000000" w:themeColor="text1"/>
          <w:sz w:val="24"/>
          <w:szCs w:val="24"/>
          <w:lang w:val="ru-RU"/>
        </w:rPr>
        <w:t xml:space="preserve"> и</w:t>
      </w:r>
      <w:r w:rsidRPr="004E7E3E">
        <w:rPr>
          <w:rFonts w:ascii="Times New Roman" w:hAnsi="Times New Roman" w:cs="Times New Roman"/>
          <w:color w:val="000000" w:themeColor="text1"/>
          <w:sz w:val="24"/>
          <w:szCs w:val="24"/>
          <w:lang w:val="ru-RU"/>
        </w:rPr>
        <w:t xml:space="preserve"> в меньшей степени в иностранной валюте (4,1%). По объему привлеченных средств в составе депозитов физических и юридических лиц, </w:t>
      </w:r>
      <w:r w:rsidRPr="004E7E3E">
        <w:rPr>
          <w:rFonts w:ascii="Times New Roman" w:hAnsi="Times New Roman" w:cs="Times New Roman"/>
          <w:color w:val="000000" w:themeColor="text1"/>
          <w:sz w:val="24"/>
          <w:szCs w:val="24"/>
          <w:lang w:val="ru-RU"/>
        </w:rPr>
        <w:lastRenderedPageBreak/>
        <w:t>средств на счетах организаций в целом в рублях и в иностранной валюте – 11,9% от общероссийских показателей, в том числе почти 7% в рублях и 5% в иностранной валюте [</w:t>
      </w:r>
      <w:r w:rsidRPr="004E7E3E">
        <w:rPr>
          <w:rFonts w:ascii="Times New Roman" w:hAnsi="Times New Roman" w:cs="Times New Roman"/>
          <w:color w:val="000000" w:themeColor="text1"/>
          <w:sz w:val="24"/>
          <w:szCs w:val="24"/>
          <w:lang w:val="ru-RU"/>
        </w:rPr>
        <w:fldChar w:fldCharType="begin"/>
      </w:r>
      <w:r w:rsidRPr="004E7E3E">
        <w:rPr>
          <w:rFonts w:ascii="Times New Roman" w:hAnsi="Times New Roman" w:cs="Times New Roman"/>
          <w:color w:val="000000" w:themeColor="text1"/>
          <w:sz w:val="24"/>
          <w:szCs w:val="24"/>
          <w:lang w:val="ru-RU"/>
        </w:rPr>
        <w:instrText xml:space="preserve"> REF _Ref131437527 \r \h  \* MERGEFORMAT </w:instrText>
      </w:r>
      <w:r w:rsidRPr="004E7E3E">
        <w:rPr>
          <w:rFonts w:ascii="Times New Roman" w:hAnsi="Times New Roman" w:cs="Times New Roman"/>
          <w:color w:val="000000" w:themeColor="text1"/>
          <w:sz w:val="24"/>
          <w:szCs w:val="24"/>
          <w:lang w:val="ru-RU"/>
        </w:rPr>
      </w:r>
      <w:r w:rsidRPr="004E7E3E">
        <w:rPr>
          <w:rFonts w:ascii="Times New Roman" w:hAnsi="Times New Roman" w:cs="Times New Roman"/>
          <w:color w:val="000000" w:themeColor="text1"/>
          <w:sz w:val="24"/>
          <w:szCs w:val="24"/>
          <w:lang w:val="ru-RU"/>
        </w:rPr>
        <w:fldChar w:fldCharType="separate"/>
      </w:r>
      <w:r w:rsidR="00801D78">
        <w:rPr>
          <w:rFonts w:ascii="Times New Roman" w:hAnsi="Times New Roman" w:cs="Times New Roman"/>
          <w:color w:val="000000" w:themeColor="text1"/>
          <w:sz w:val="24"/>
          <w:szCs w:val="24"/>
          <w:lang w:val="ru-RU"/>
        </w:rPr>
        <w:t>112</w:t>
      </w:r>
      <w:r w:rsidRPr="004E7E3E">
        <w:rPr>
          <w:rFonts w:ascii="Times New Roman" w:hAnsi="Times New Roman" w:cs="Times New Roman"/>
          <w:color w:val="000000" w:themeColor="text1"/>
          <w:sz w:val="24"/>
          <w:szCs w:val="24"/>
          <w:lang w:val="ru-RU"/>
        </w:rPr>
        <w:fldChar w:fldCharType="end"/>
      </w:r>
      <w:r w:rsidRPr="004E7E3E">
        <w:rPr>
          <w:rFonts w:ascii="Times New Roman" w:hAnsi="Times New Roman" w:cs="Times New Roman"/>
          <w:color w:val="000000" w:themeColor="text1"/>
          <w:sz w:val="24"/>
          <w:szCs w:val="24"/>
          <w:lang w:val="ru-RU"/>
        </w:rPr>
        <w:t>, с. 106]</w:t>
      </w:r>
      <w:r>
        <w:rPr>
          <w:rFonts w:ascii="Times New Roman" w:hAnsi="Times New Roman" w:cs="Times New Roman"/>
          <w:color w:val="000000" w:themeColor="text1"/>
          <w:sz w:val="24"/>
          <w:szCs w:val="24"/>
          <w:lang w:val="ru-RU"/>
        </w:rPr>
        <w:t>.</w:t>
      </w:r>
    </w:p>
    <w:p w14:paraId="1496549C" w14:textId="60548E2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themeColor="text1"/>
          <w:sz w:val="24"/>
          <w:szCs w:val="24"/>
          <w:shd w:val="clear" w:color="auto" w:fill="FFFFFF"/>
          <w:lang w:val="ru-RU"/>
        </w:rPr>
        <w:t xml:space="preserve">Как правило, </w:t>
      </w:r>
      <w:r w:rsidRPr="004E7E3E">
        <w:rPr>
          <w:rFonts w:ascii="Times New Roman" w:hAnsi="Times New Roman" w:cs="Times New Roman"/>
          <w:b/>
          <w:color w:val="000000" w:themeColor="text1"/>
          <w:sz w:val="24"/>
          <w:szCs w:val="24"/>
          <w:shd w:val="clear" w:color="auto" w:fill="FFFFFF"/>
          <w:lang w:val="ru-RU"/>
        </w:rPr>
        <w:t>критика МФЦ</w:t>
      </w:r>
      <w:r w:rsidRPr="004E7E3E">
        <w:rPr>
          <w:rFonts w:ascii="Times New Roman" w:hAnsi="Times New Roman" w:cs="Times New Roman"/>
          <w:color w:val="000000" w:themeColor="text1"/>
          <w:sz w:val="24"/>
          <w:szCs w:val="24"/>
          <w:shd w:val="clear" w:color="auto" w:fill="FFFFFF"/>
          <w:lang w:val="ru-RU"/>
        </w:rPr>
        <w:t xml:space="preserve"> связана с общей критикой российской финансовой систем</w:t>
      </w:r>
      <w:r>
        <w:rPr>
          <w:rFonts w:ascii="Times New Roman" w:hAnsi="Times New Roman" w:cs="Times New Roman"/>
          <w:color w:val="000000" w:themeColor="text1"/>
          <w:sz w:val="24"/>
          <w:szCs w:val="24"/>
          <w:shd w:val="clear" w:color="auto" w:fill="FFFFFF"/>
          <w:lang w:val="ru-RU"/>
        </w:rPr>
        <w:t>ы</w:t>
      </w:r>
      <w:r w:rsidRPr="004E7E3E">
        <w:rPr>
          <w:rFonts w:ascii="Times New Roman" w:hAnsi="Times New Roman" w:cs="Times New Roman"/>
          <w:color w:val="000000" w:themeColor="text1"/>
          <w:sz w:val="24"/>
          <w:szCs w:val="24"/>
          <w:shd w:val="clear" w:color="auto" w:fill="FFFFFF"/>
          <w:lang w:val="ru-RU"/>
        </w:rPr>
        <w:t xml:space="preserve">: «Дитя посткризисных надежд, он [МФЦ в Москве] пытается вырасти в российской мелкой финансовой машине, на рынке, покинутом глобальными инвесторами, в экономике, придавленной налогами и регулятивными издержками. Что такое «мы»? Низкая финансиализация (денежная масса </w:t>
      </w:r>
      <w:r w:rsidRPr="004E7E3E">
        <w:rPr>
          <w:rFonts w:ascii="Times New Roman" w:hAnsi="Times New Roman" w:cs="Times New Roman"/>
          <w:color w:val="000000" w:themeColor="text1"/>
          <w:sz w:val="24"/>
          <w:szCs w:val="24"/>
          <w:shd w:val="clear" w:color="auto" w:fill="FFFFFF"/>
        </w:rPr>
        <w:t>M</w:t>
      </w:r>
      <w:r w:rsidRPr="004E7E3E">
        <w:rPr>
          <w:rFonts w:ascii="Times New Roman" w:hAnsi="Times New Roman" w:cs="Times New Roman"/>
          <w:color w:val="000000" w:themeColor="text1"/>
          <w:sz w:val="24"/>
          <w:szCs w:val="24"/>
          <w:shd w:val="clear" w:color="auto" w:fill="FFFFFF"/>
          <w:lang w:val="ru-RU"/>
        </w:rPr>
        <w:t xml:space="preserve">2/ВВП – 40–45%), сверхконцентрация (банки – более 90% финансовых активов, 5 банков – выше 50% активов банковского сектора, более 80% банковской ликвидности – в Московском регионе). Доля рубля и его финансовых активов – примерно 0,8–1% глобальных финансов, хотя вклад России в мировой ВВП составляет 2,9% (по данным МВФ, </w:t>
      </w:r>
      <w:r w:rsidRPr="004E7E3E">
        <w:rPr>
          <w:rFonts w:ascii="Times New Roman" w:hAnsi="Times New Roman" w:cs="Times New Roman"/>
          <w:color w:val="000000" w:themeColor="text1"/>
          <w:sz w:val="24"/>
          <w:szCs w:val="24"/>
          <w:shd w:val="clear" w:color="auto" w:fill="FFFFFF"/>
        </w:rPr>
        <w:t>BIS</w:t>
      </w:r>
      <w:r w:rsidRPr="004E7E3E">
        <w:rPr>
          <w:rFonts w:ascii="Times New Roman" w:hAnsi="Times New Roman" w:cs="Times New Roman"/>
          <w:color w:val="000000" w:themeColor="text1"/>
          <w:sz w:val="24"/>
          <w:szCs w:val="24"/>
          <w:shd w:val="clear" w:color="auto" w:fill="FFFFFF"/>
          <w:lang w:val="ru-RU"/>
        </w:rPr>
        <w:t>, 2013). Это МФЦ, растущий в стране чистого вывоза капитала, идущего уже двадцать лет подряд (за исключением 2006–2007 годов). В стране, создавшей уникальную офшорную экономику, в которой пять крупнейших стран, откуда идут прямые инвестиции – офшоры… МФЦ пытается вырасти на финансовом рынке, прямо зависящем от мировых цен на сырье, складывающихся на биржах деривативов в Нью</w:t>
      </w:r>
      <w:r w:rsidRPr="004E7E3E">
        <w:rPr>
          <w:rFonts w:ascii="Times New Roman" w:hAnsi="Times New Roman" w:cs="Times New Roman"/>
          <w:color w:val="000000" w:themeColor="text1"/>
          <w:sz w:val="24"/>
          <w:szCs w:val="24"/>
          <w:shd w:val="clear" w:color="auto" w:fill="FFFFFF"/>
          <w:lang w:val="ru-RU"/>
        </w:rPr>
        <w:noBreakHyphen/>
        <w:t xml:space="preserve">Йорке, Лондоне, Чикаго. Внутренний рынок по-прежнему </w:t>
      </w:r>
      <w:r w:rsidRPr="004E7E3E">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xml:space="preserve"> </w:t>
      </w:r>
      <w:r w:rsidRPr="004E7E3E">
        <w:rPr>
          <w:rFonts w:ascii="Times New Roman" w:hAnsi="Times New Roman" w:cs="Times New Roman"/>
          <w:color w:val="000000" w:themeColor="text1"/>
          <w:sz w:val="24"/>
          <w:szCs w:val="24"/>
          <w:shd w:val="clear" w:color="auto" w:fill="FFFFFF"/>
          <w:lang w:val="ru-RU"/>
        </w:rPr>
        <w:t xml:space="preserve">во многом функция от нерезидентов. Доля иностранцев в номинальном объеме ОФЗ в мае 2014 года достигла примерно 25%. Доля нерезидентов во владении российскими еврооблигациями – 70%, рублевыми корпоративными облигациями – 10%. 70% </w:t>
      </w:r>
      <w:r w:rsidRPr="004E7E3E">
        <w:rPr>
          <w:rFonts w:ascii="Times New Roman" w:hAnsi="Times New Roman" w:cs="Times New Roman"/>
          <w:color w:val="000000" w:themeColor="text1"/>
          <w:sz w:val="24"/>
          <w:szCs w:val="24"/>
          <w:shd w:val="clear" w:color="auto" w:fill="FFFFFF"/>
        </w:rPr>
        <w:t>free</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float</w:t>
      </w:r>
      <w:r w:rsidRPr="004E7E3E">
        <w:rPr>
          <w:rFonts w:ascii="Times New Roman" w:hAnsi="Times New Roman" w:cs="Times New Roman"/>
          <w:color w:val="000000" w:themeColor="text1"/>
          <w:sz w:val="24"/>
          <w:szCs w:val="24"/>
          <w:shd w:val="clear" w:color="auto" w:fill="FFFFFF"/>
          <w:lang w:val="ru-RU"/>
        </w:rPr>
        <w:t xml:space="preserve"> российских акций владеют иностранцы (по оценке, это 15–20% капитала крупнейших компаний – биржевых эмитентов). Доля нерезидентов в торгах акциями на Московской бирже доходит до 45–47% (январь 2014 года)» [</w:t>
      </w:r>
      <w:r w:rsidRPr="004E7E3E">
        <w:rPr>
          <w:rFonts w:ascii="Times New Roman" w:hAnsi="Times New Roman" w:cs="Times New Roman"/>
          <w:color w:val="000000" w:themeColor="text1"/>
          <w:sz w:val="24"/>
          <w:szCs w:val="24"/>
          <w:shd w:val="clear" w:color="auto" w:fill="FFFFFF"/>
          <w:lang w:val="ru-RU"/>
        </w:rPr>
        <w:fldChar w:fldCharType="begin"/>
      </w:r>
      <w:r w:rsidRPr="004E7E3E">
        <w:rPr>
          <w:rFonts w:ascii="Times New Roman" w:hAnsi="Times New Roman" w:cs="Times New Roman"/>
          <w:color w:val="000000" w:themeColor="text1"/>
          <w:sz w:val="24"/>
          <w:szCs w:val="24"/>
          <w:shd w:val="clear" w:color="auto" w:fill="FFFFFF"/>
          <w:lang w:val="ru-RU"/>
        </w:rPr>
        <w:instrText xml:space="preserve"> REF _Ref446791181 \r \h  \* MERGEFORMAT </w:instrText>
      </w:r>
      <w:r w:rsidRPr="004E7E3E">
        <w:rPr>
          <w:rFonts w:ascii="Times New Roman" w:hAnsi="Times New Roman" w:cs="Times New Roman"/>
          <w:color w:val="000000" w:themeColor="text1"/>
          <w:sz w:val="24"/>
          <w:szCs w:val="24"/>
          <w:shd w:val="clear" w:color="auto" w:fill="FFFFFF"/>
          <w:lang w:val="ru-RU"/>
        </w:rPr>
      </w:r>
      <w:r w:rsidRPr="004E7E3E">
        <w:rPr>
          <w:rFonts w:ascii="Times New Roman" w:hAnsi="Times New Roman" w:cs="Times New Roman"/>
          <w:color w:val="000000" w:themeColor="text1"/>
          <w:sz w:val="24"/>
          <w:szCs w:val="24"/>
          <w:shd w:val="clear" w:color="auto" w:fill="FFFFFF"/>
          <w:lang w:val="ru-RU"/>
        </w:rPr>
        <w:fldChar w:fldCharType="separate"/>
      </w:r>
      <w:r w:rsidR="00801D78">
        <w:rPr>
          <w:rFonts w:ascii="Times New Roman" w:hAnsi="Times New Roman" w:cs="Times New Roman"/>
          <w:color w:val="000000" w:themeColor="text1"/>
          <w:sz w:val="24"/>
          <w:szCs w:val="24"/>
          <w:shd w:val="clear" w:color="auto" w:fill="FFFFFF"/>
          <w:lang w:val="ru-RU"/>
        </w:rPr>
        <w:t>262</w:t>
      </w:r>
      <w:r w:rsidRPr="004E7E3E">
        <w:rPr>
          <w:rFonts w:ascii="Times New Roman" w:hAnsi="Times New Roman" w:cs="Times New Roman"/>
          <w:color w:val="000000" w:themeColor="text1"/>
          <w:sz w:val="24"/>
          <w:szCs w:val="24"/>
          <w:shd w:val="clear" w:color="auto" w:fill="FFFFFF"/>
          <w:lang w:val="ru-RU"/>
        </w:rPr>
        <w:fldChar w:fldCharType="end"/>
      </w:r>
      <w:r w:rsidRPr="004E7E3E">
        <w:rPr>
          <w:rFonts w:ascii="Times New Roman" w:hAnsi="Times New Roman" w:cs="Times New Roman"/>
          <w:color w:val="000000" w:themeColor="text1"/>
          <w:sz w:val="24"/>
          <w:szCs w:val="24"/>
          <w:shd w:val="clear" w:color="auto" w:fill="FFFFFF"/>
          <w:lang w:val="ru-RU"/>
        </w:rPr>
        <w:t>]. В дополнени</w:t>
      </w:r>
      <w:r>
        <w:rPr>
          <w:rFonts w:ascii="Times New Roman" w:hAnsi="Times New Roman" w:cs="Times New Roman"/>
          <w:color w:val="000000" w:themeColor="text1"/>
          <w:sz w:val="24"/>
          <w:szCs w:val="24"/>
          <w:shd w:val="clear" w:color="auto" w:fill="FFFFFF"/>
          <w:lang w:val="ru-RU"/>
        </w:rPr>
        <w:t>е</w:t>
      </w:r>
      <w:r w:rsidRPr="004E7E3E">
        <w:rPr>
          <w:rFonts w:ascii="Times New Roman" w:hAnsi="Times New Roman" w:cs="Times New Roman"/>
          <w:color w:val="000000" w:themeColor="text1"/>
          <w:sz w:val="24"/>
          <w:szCs w:val="24"/>
          <w:shd w:val="clear" w:color="auto" w:fill="FFFFFF"/>
          <w:lang w:val="ru-RU"/>
        </w:rPr>
        <w:t xml:space="preserve"> к данной картине можно также добавить тот факт, что при ситуации, когда 90% финансовых активов принадлежат банкам, доля участия государства напрямую (принадлежат Росимуществу) в банковском секторе (Сбербанк, ВТБ, Связьбанк, НКЦ и т. д.) через блокирующие или контрольные пакеты акций, а также косвенно через участие государственных компаний (Роснефть, Газпром) в капитале банков достигает по различным оценкам более 60% [</w:t>
      </w:r>
      <w:r w:rsidRPr="004E7E3E">
        <w:rPr>
          <w:rFonts w:ascii="Times New Roman" w:hAnsi="Times New Roman" w:cs="Times New Roman"/>
          <w:color w:val="000000" w:themeColor="text1"/>
          <w:sz w:val="24"/>
          <w:szCs w:val="24"/>
          <w:shd w:val="clear" w:color="auto" w:fill="FFFFFF"/>
          <w:lang w:val="ru-RU"/>
        </w:rPr>
        <w:fldChar w:fldCharType="begin"/>
      </w:r>
      <w:r w:rsidRPr="004E7E3E">
        <w:rPr>
          <w:rFonts w:ascii="Times New Roman" w:hAnsi="Times New Roman" w:cs="Times New Roman"/>
          <w:color w:val="000000" w:themeColor="text1"/>
          <w:sz w:val="24"/>
          <w:szCs w:val="24"/>
          <w:shd w:val="clear" w:color="auto" w:fill="FFFFFF"/>
          <w:lang w:val="ru-RU"/>
        </w:rPr>
        <w:instrText xml:space="preserve"> REF _Ref131437527 \r \h  \* MERGEFORMAT </w:instrText>
      </w:r>
      <w:r w:rsidRPr="004E7E3E">
        <w:rPr>
          <w:rFonts w:ascii="Times New Roman" w:hAnsi="Times New Roman" w:cs="Times New Roman"/>
          <w:color w:val="000000" w:themeColor="text1"/>
          <w:sz w:val="24"/>
          <w:szCs w:val="24"/>
          <w:shd w:val="clear" w:color="auto" w:fill="FFFFFF"/>
          <w:lang w:val="ru-RU"/>
        </w:rPr>
      </w:r>
      <w:r w:rsidRPr="004E7E3E">
        <w:rPr>
          <w:rFonts w:ascii="Times New Roman" w:hAnsi="Times New Roman" w:cs="Times New Roman"/>
          <w:color w:val="000000" w:themeColor="text1"/>
          <w:sz w:val="24"/>
          <w:szCs w:val="24"/>
          <w:shd w:val="clear" w:color="auto" w:fill="FFFFFF"/>
          <w:lang w:val="ru-RU"/>
        </w:rPr>
        <w:fldChar w:fldCharType="separate"/>
      </w:r>
      <w:r w:rsidR="00801D78">
        <w:rPr>
          <w:rFonts w:ascii="Times New Roman" w:hAnsi="Times New Roman" w:cs="Times New Roman"/>
          <w:color w:val="000000" w:themeColor="text1"/>
          <w:sz w:val="24"/>
          <w:szCs w:val="24"/>
          <w:shd w:val="clear" w:color="auto" w:fill="FFFFFF"/>
          <w:lang w:val="ru-RU"/>
        </w:rPr>
        <w:t>112</w:t>
      </w:r>
      <w:r w:rsidRPr="004E7E3E">
        <w:rPr>
          <w:rFonts w:ascii="Times New Roman" w:hAnsi="Times New Roman" w:cs="Times New Roman"/>
          <w:color w:val="000000" w:themeColor="text1"/>
          <w:sz w:val="24"/>
          <w:szCs w:val="24"/>
          <w:shd w:val="clear" w:color="auto" w:fill="FFFFFF"/>
          <w:lang w:val="ru-RU"/>
        </w:rPr>
        <w:fldChar w:fldCharType="end"/>
      </w:r>
      <w:r w:rsidRPr="004E7E3E">
        <w:rPr>
          <w:rFonts w:ascii="Times New Roman" w:hAnsi="Times New Roman" w:cs="Times New Roman"/>
          <w:color w:val="000000" w:themeColor="text1"/>
          <w:sz w:val="24"/>
          <w:szCs w:val="24"/>
          <w:shd w:val="clear" w:color="auto" w:fill="FFFFFF"/>
          <w:lang w:val="ru-RU"/>
        </w:rPr>
        <w:t xml:space="preserve">, </w:t>
      </w:r>
      <w:r w:rsidRPr="004E7E3E">
        <w:rPr>
          <w:rFonts w:ascii="Times New Roman" w:hAnsi="Times New Roman" w:cs="Times New Roman"/>
          <w:color w:val="000000" w:themeColor="text1"/>
          <w:sz w:val="24"/>
          <w:szCs w:val="24"/>
          <w:shd w:val="clear" w:color="auto" w:fill="FFFFFF"/>
        </w:rPr>
        <w:t>c</w:t>
      </w:r>
      <w:r w:rsidRPr="004E7E3E">
        <w:rPr>
          <w:rFonts w:ascii="Times New Roman" w:hAnsi="Times New Roman" w:cs="Times New Roman"/>
          <w:color w:val="000000" w:themeColor="text1"/>
          <w:sz w:val="24"/>
          <w:szCs w:val="24"/>
          <w:shd w:val="clear" w:color="auto" w:fill="FFFFFF"/>
          <w:lang w:val="ru-RU"/>
        </w:rPr>
        <w:t>. 243-244]</w:t>
      </w:r>
      <w:r>
        <w:rPr>
          <w:rFonts w:ascii="Times New Roman" w:hAnsi="Times New Roman" w:cs="Times New Roman"/>
          <w:color w:val="000000" w:themeColor="text1"/>
          <w:sz w:val="24"/>
          <w:szCs w:val="24"/>
          <w:shd w:val="clear" w:color="auto" w:fill="FFFFFF"/>
          <w:lang w:val="ru-RU"/>
        </w:rPr>
        <w:t>.</w:t>
      </w:r>
    </w:p>
    <w:p w14:paraId="6638A628" w14:textId="3AAAED4F"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themeColor="text1"/>
          <w:sz w:val="24"/>
          <w:szCs w:val="24"/>
          <w:shd w:val="clear" w:color="auto" w:fill="FFFFFF"/>
          <w:lang w:val="ru-RU"/>
        </w:rPr>
        <w:t>А. С. Волошин утверждает, что «</w:t>
      </w:r>
      <w:r w:rsidRPr="004E7E3E">
        <w:rPr>
          <w:rFonts w:ascii="Times New Roman" w:hAnsi="Times New Roman" w:cs="Times New Roman"/>
          <w:sz w:val="24"/>
          <w:szCs w:val="24"/>
          <w:lang w:val="ru-RU"/>
        </w:rPr>
        <w:t>на постсоветско</w:t>
      </w:r>
      <w:r>
        <w:rPr>
          <w:rFonts w:ascii="Times New Roman" w:hAnsi="Times New Roman" w:cs="Times New Roman"/>
          <w:sz w:val="24"/>
          <w:szCs w:val="24"/>
          <w:lang w:val="ru-RU"/>
        </w:rPr>
        <w:t>м</w:t>
      </w:r>
      <w:r w:rsidRPr="004E7E3E">
        <w:rPr>
          <w:rFonts w:ascii="Times New Roman" w:hAnsi="Times New Roman" w:cs="Times New Roman"/>
          <w:sz w:val="24"/>
          <w:szCs w:val="24"/>
          <w:lang w:val="ru-RU"/>
        </w:rPr>
        <w:t xml:space="preserve"> пространстве &lt;…&gt; три четверти финансов находится в Москве. В этом смысле на постсоветском пространстве Москва — международный финансовой центр».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_Ref498101656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248</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Столица – бесспорный лидер России, но вопрос стоит не в концентрации финансового сектора, которая и так была чрезмерна даже в советский период, а в «увеличении глубины» финансового сектора. </w:t>
      </w:r>
    </w:p>
    <w:p w14:paraId="264B434B" w14:textId="369771C0"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color w:val="000000" w:themeColor="text1"/>
          <w:sz w:val="24"/>
          <w:szCs w:val="24"/>
          <w:lang w:val="ru-RU"/>
        </w:rPr>
        <w:t xml:space="preserve">К сожалению, приходится констатировать, что проект </w:t>
      </w:r>
      <w:r w:rsidRPr="004E7E3E">
        <w:rPr>
          <w:rFonts w:ascii="Times New Roman" w:hAnsi="Times New Roman" w:cs="Times New Roman"/>
          <w:b/>
          <w:color w:val="000000" w:themeColor="text1"/>
          <w:sz w:val="24"/>
          <w:szCs w:val="24"/>
          <w:lang w:val="ru-RU"/>
        </w:rPr>
        <w:t xml:space="preserve">МФЦ, </w:t>
      </w:r>
      <w:r w:rsidRPr="004E7E3E">
        <w:rPr>
          <w:rFonts w:ascii="Times New Roman" w:hAnsi="Times New Roman" w:cs="Times New Roman"/>
          <w:color w:val="000000" w:themeColor="text1"/>
          <w:sz w:val="24"/>
          <w:szCs w:val="24"/>
          <w:lang w:val="ru-RU"/>
        </w:rPr>
        <w:t>начавшийся в 2008 год</w:t>
      </w:r>
      <w:r>
        <w:rPr>
          <w:rFonts w:ascii="Times New Roman" w:hAnsi="Times New Roman" w:cs="Times New Roman"/>
          <w:color w:val="000000" w:themeColor="text1"/>
          <w:sz w:val="24"/>
          <w:szCs w:val="24"/>
          <w:lang w:val="ru-RU"/>
        </w:rPr>
        <w:t>у</w:t>
      </w:r>
      <w:r w:rsidRPr="004E7E3E">
        <w:rPr>
          <w:rFonts w:ascii="Times New Roman" w:hAnsi="Times New Roman" w:cs="Times New Roman"/>
          <w:color w:val="000000" w:themeColor="text1"/>
          <w:sz w:val="24"/>
          <w:szCs w:val="24"/>
          <w:lang w:val="ru-RU"/>
        </w:rPr>
        <w:t>, к 2017 году</w:t>
      </w:r>
      <w:r w:rsidRPr="004E7E3E">
        <w:rPr>
          <w:rFonts w:ascii="Times New Roman" w:hAnsi="Times New Roman" w:cs="Times New Roman"/>
          <w:b/>
          <w:color w:val="000000" w:themeColor="text1"/>
          <w:sz w:val="24"/>
          <w:szCs w:val="24"/>
          <w:lang w:val="ru-RU"/>
        </w:rPr>
        <w:t xml:space="preserve"> не стал драйвером роста </w:t>
      </w:r>
      <w:r w:rsidRPr="004E7E3E">
        <w:rPr>
          <w:rFonts w:ascii="Times New Roman" w:hAnsi="Times New Roman" w:cs="Times New Roman"/>
          <w:color w:val="000000" w:themeColor="text1"/>
          <w:sz w:val="24"/>
          <w:szCs w:val="24"/>
          <w:lang w:val="ru-RU"/>
        </w:rPr>
        <w:t xml:space="preserve">для экономики. Либерализацию курса рубля можно </w:t>
      </w:r>
      <w:r w:rsidRPr="004E7E3E">
        <w:rPr>
          <w:rFonts w:ascii="Times New Roman" w:hAnsi="Times New Roman" w:cs="Times New Roman"/>
          <w:color w:val="000000" w:themeColor="text1"/>
          <w:sz w:val="24"/>
          <w:szCs w:val="24"/>
          <w:lang w:val="ru-RU"/>
        </w:rPr>
        <w:lastRenderedPageBreak/>
        <w:t xml:space="preserve">причислить к достижениям этого проекта. Между тем, для Шанхая либерализация курса юаня является одной из двух важнейших целей (вторая важнейшая – превращения юаня в мировую резервную валюту), и пока Китай ближе к реализации скорее второй цели, чем первой. А в </w:t>
      </w:r>
      <w:r w:rsidR="002F50A0" w:rsidRPr="004E7E3E">
        <w:rPr>
          <w:rFonts w:ascii="Times New Roman" w:hAnsi="Times New Roman" w:cs="Times New Roman"/>
          <w:color w:val="000000" w:themeColor="text1"/>
          <w:sz w:val="24"/>
          <w:szCs w:val="24"/>
          <w:lang w:val="ru-RU"/>
        </w:rPr>
        <w:t>России,</w:t>
      </w:r>
      <w:r w:rsidRPr="004E7E3E">
        <w:rPr>
          <w:rFonts w:ascii="Times New Roman" w:hAnsi="Times New Roman" w:cs="Times New Roman"/>
          <w:color w:val="000000" w:themeColor="text1"/>
          <w:sz w:val="24"/>
          <w:szCs w:val="24"/>
          <w:lang w:val="ru-RU"/>
        </w:rPr>
        <w:t xml:space="preserve"> наоборот.</w:t>
      </w:r>
      <w:r w:rsidRPr="004E7E3E">
        <w:rPr>
          <w:rFonts w:ascii="Times New Roman" w:hAnsi="Times New Roman" w:cs="Times New Roman"/>
          <w:b/>
          <w:color w:val="000000" w:themeColor="text1"/>
          <w:sz w:val="24"/>
          <w:szCs w:val="24"/>
          <w:lang w:val="ru-RU"/>
        </w:rPr>
        <w:t xml:space="preserve"> </w:t>
      </w:r>
      <w:r w:rsidRPr="004E7E3E">
        <w:rPr>
          <w:rFonts w:ascii="Times New Roman" w:hAnsi="Times New Roman" w:cs="Times New Roman"/>
          <w:color w:val="000000" w:themeColor="text1"/>
          <w:sz w:val="24"/>
          <w:szCs w:val="24"/>
          <w:lang w:val="ru-RU"/>
        </w:rPr>
        <w:t xml:space="preserve">Возможно, ситуация при другой внешнеполитической </w:t>
      </w:r>
      <w:r w:rsidRPr="004E7E3E">
        <w:rPr>
          <w:rFonts w:ascii="Times New Roman" w:hAnsi="Times New Roman" w:cs="Times New Roman"/>
          <w:sz w:val="24"/>
          <w:szCs w:val="24"/>
          <w:lang w:val="ru-RU"/>
        </w:rPr>
        <w:t xml:space="preserve">конъюнктуре была бы лучше, но стоит обратить внимание также на </w:t>
      </w:r>
      <w:r w:rsidRPr="004E7E3E">
        <w:rPr>
          <w:rFonts w:ascii="Times New Roman" w:hAnsi="Times New Roman" w:cs="Times New Roman"/>
          <w:b/>
          <w:sz w:val="24"/>
          <w:szCs w:val="24"/>
          <w:lang w:val="ru-RU"/>
        </w:rPr>
        <w:t>просчёты:</w:t>
      </w:r>
      <w:r w:rsidRPr="004E7E3E">
        <w:rPr>
          <w:rFonts w:ascii="Times New Roman" w:hAnsi="Times New Roman" w:cs="Times New Roman"/>
          <w:sz w:val="24"/>
          <w:szCs w:val="24"/>
          <w:lang w:val="ru-RU"/>
        </w:rPr>
        <w:t xml:space="preserve">  </w:t>
      </w:r>
    </w:p>
    <w:p w14:paraId="30616A44"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b/>
          <w:sz w:val="24"/>
          <w:szCs w:val="24"/>
          <w:lang w:val="ru-RU"/>
        </w:rPr>
      </w:pPr>
      <w:r w:rsidRPr="004E7E3E">
        <w:rPr>
          <w:rFonts w:ascii="Times New Roman" w:hAnsi="Times New Roman" w:cs="Times New Roman"/>
          <w:b/>
          <w:sz w:val="24"/>
          <w:szCs w:val="24"/>
          <w:lang w:val="ru-RU"/>
        </w:rPr>
        <w:t>Подмена понятий «развитие МФЦ в Москве» на «государственную политику в</w:t>
      </w:r>
      <w:r>
        <w:rPr>
          <w:rFonts w:ascii="Times New Roman" w:hAnsi="Times New Roman" w:cs="Times New Roman"/>
          <w:b/>
          <w:sz w:val="24"/>
          <w:szCs w:val="24"/>
          <w:lang w:val="ru-RU"/>
        </w:rPr>
        <w:t> </w:t>
      </w:r>
      <w:r w:rsidRPr="004E7E3E">
        <w:rPr>
          <w:rFonts w:ascii="Times New Roman" w:hAnsi="Times New Roman" w:cs="Times New Roman"/>
          <w:b/>
          <w:sz w:val="24"/>
          <w:szCs w:val="24"/>
          <w:lang w:val="ru-RU"/>
        </w:rPr>
        <w:t>области финансовых рынков»</w:t>
      </w:r>
    </w:p>
    <w:p w14:paraId="24367A43"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В российской практике госуправления все идеи часто сводятся к очередному инфраструктурному проекту: развитие инновационной экономики –</w:t>
      </w:r>
      <w:r>
        <w:rPr>
          <w:rFonts w:ascii="Times New Roman" w:hAnsi="Times New Roman" w:cs="Times New Roman"/>
          <w:color w:val="000000"/>
          <w:sz w:val="24"/>
          <w:szCs w:val="24"/>
          <w:shd w:val="clear" w:color="auto" w:fill="FFFFFF"/>
          <w:lang w:val="ru-RU"/>
        </w:rPr>
        <w:t xml:space="preserve"> к</w:t>
      </w:r>
      <w:r w:rsidRPr="004E7E3E">
        <w:rPr>
          <w:rFonts w:ascii="Times New Roman" w:hAnsi="Times New Roman" w:cs="Times New Roman"/>
          <w:color w:val="000000"/>
          <w:sz w:val="24"/>
          <w:szCs w:val="24"/>
          <w:shd w:val="clear" w:color="auto" w:fill="FFFFFF"/>
          <w:lang w:val="ru-RU"/>
        </w:rPr>
        <w:t xml:space="preserve"> Сколково, развитие спорта и туризма –</w:t>
      </w:r>
      <w:r>
        <w:rPr>
          <w:rFonts w:ascii="Times New Roman" w:hAnsi="Times New Roman" w:cs="Times New Roman"/>
          <w:color w:val="000000"/>
          <w:sz w:val="24"/>
          <w:szCs w:val="24"/>
          <w:shd w:val="clear" w:color="auto" w:fill="FFFFFF"/>
          <w:lang w:val="ru-RU"/>
        </w:rPr>
        <w:t xml:space="preserve"> к</w:t>
      </w:r>
      <w:r w:rsidRPr="004E7E3E">
        <w:rPr>
          <w:rFonts w:ascii="Times New Roman" w:hAnsi="Times New Roman" w:cs="Times New Roman"/>
          <w:color w:val="000000"/>
          <w:sz w:val="24"/>
          <w:szCs w:val="24"/>
          <w:shd w:val="clear" w:color="auto" w:fill="FFFFFF"/>
          <w:lang w:val="ru-RU"/>
        </w:rPr>
        <w:t xml:space="preserve"> Олимпиад</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в Сочи. Так и МФЦ, по сути, инфраструктурный проект, стал началом государственной политики в сфере регулирования финансового сектора. Нельзя сказать, что такой подход характерен только для современной российской власти. На протяжении всей истории можно проследить такие мегапроекты, которые из «стройки» вылились в «перестройку» всей системы. И эта «перестройка» далеко не всегда имела разрушительные последствия. Конечно, можно вспомнить «Потёмкинские деревни», которые являются одним из примеров коррупции, или БАМ и освоение целины, значение которых, возможно, ещё рано оценивать. Но можно обратиться и к более ранней истории – основанию Санкт-Петербурга, который стал символом новой «петровской» России. </w:t>
      </w:r>
    </w:p>
    <w:p w14:paraId="58FD21B9"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Вряд ли петровские реформы можно оценивать по их символу – Санкт-Петербургу, но город прекрасен. Будет ли МФЦ символом России </w:t>
      </w:r>
      <w:r w:rsidRPr="004E7E3E">
        <w:rPr>
          <w:rFonts w:ascii="Times New Roman" w:hAnsi="Times New Roman" w:cs="Times New Roman"/>
          <w:color w:val="000000"/>
          <w:sz w:val="24"/>
          <w:szCs w:val="24"/>
          <w:shd w:val="clear" w:color="auto" w:fill="FFFFFF"/>
        </w:rPr>
        <w:t>XXI</w:t>
      </w:r>
      <w:r w:rsidRPr="004E7E3E">
        <w:rPr>
          <w:rFonts w:ascii="Times New Roman" w:hAnsi="Times New Roman" w:cs="Times New Roman"/>
          <w:color w:val="000000"/>
          <w:sz w:val="24"/>
          <w:szCs w:val="24"/>
          <w:shd w:val="clear" w:color="auto" w:fill="FFFFFF"/>
          <w:lang w:val="ru-RU"/>
        </w:rPr>
        <w:t xml:space="preserve"> века? Опять же, пока рано судить. Но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судя по уровню, на котором обсуждается этот проект</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и размеру инвестиций, замыслы весьма амбициозны. </w:t>
      </w:r>
    </w:p>
    <w:p w14:paraId="020397B1" w14:textId="3240FAFA"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Таким образом, можно сделать вывод, что создание МФЦ в Москве, формально являясь инфраструктурным проектом, по сути, ознаменовало начало государственной политики по развити</w:t>
      </w:r>
      <w:r>
        <w:rPr>
          <w:rFonts w:ascii="Times New Roman" w:hAnsi="Times New Roman" w:cs="Times New Roman"/>
          <w:color w:val="000000"/>
          <w:sz w:val="24"/>
          <w:szCs w:val="24"/>
          <w:shd w:val="clear" w:color="auto" w:fill="FFFFFF"/>
          <w:lang w:val="ru-RU"/>
        </w:rPr>
        <w:t>ю</w:t>
      </w:r>
      <w:r w:rsidRPr="004E7E3E">
        <w:rPr>
          <w:rFonts w:ascii="Times New Roman" w:hAnsi="Times New Roman" w:cs="Times New Roman"/>
          <w:color w:val="000000"/>
          <w:sz w:val="24"/>
          <w:szCs w:val="24"/>
          <w:shd w:val="clear" w:color="auto" w:fill="FFFFFF"/>
          <w:lang w:val="ru-RU"/>
        </w:rPr>
        <w:t xml:space="preserve"> отечественной финансовой системы</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особенно в сфере рынка ценных бумаг. Российская программа не является уникальной. Например, схожая программа была запущена Госсоветом КНР в марте 2009 года и направлена на превращение Шанхая в международный финансовый центр, а юаня в мировую резервную валюту к 2020 г. Но</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отличи</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от Китая, где МФЦ формируется в особой экономической зоне – Шанхайской зоне свободной торговли (ШЗСТ), в ра</w:t>
      </w:r>
      <w:r>
        <w:rPr>
          <w:rFonts w:ascii="Times New Roman" w:hAnsi="Times New Roman" w:cs="Times New Roman"/>
          <w:color w:val="000000"/>
          <w:sz w:val="24"/>
          <w:szCs w:val="24"/>
          <w:shd w:val="clear" w:color="auto" w:fill="FFFFFF"/>
          <w:lang w:val="ru-RU"/>
        </w:rPr>
        <w:t>м</w:t>
      </w:r>
      <w:r w:rsidRPr="004E7E3E">
        <w:rPr>
          <w:rFonts w:ascii="Times New Roman" w:hAnsi="Times New Roman" w:cs="Times New Roman"/>
          <w:color w:val="000000"/>
          <w:sz w:val="24"/>
          <w:szCs w:val="24"/>
          <w:shd w:val="clear" w:color="auto" w:fill="FFFFFF"/>
          <w:lang w:val="ru-RU"/>
        </w:rPr>
        <w:t>ках которой допускаются исключени</w:t>
      </w:r>
      <w:r>
        <w:rPr>
          <w:rFonts w:ascii="Times New Roman" w:hAnsi="Times New Roman" w:cs="Times New Roman"/>
          <w:color w:val="000000"/>
          <w:sz w:val="24"/>
          <w:szCs w:val="24"/>
          <w:shd w:val="clear" w:color="auto" w:fill="FFFFFF"/>
          <w:lang w:val="ru-RU"/>
        </w:rPr>
        <w:t>я</w:t>
      </w:r>
      <w:r w:rsidRPr="004E7E3E">
        <w:rPr>
          <w:rFonts w:ascii="Times New Roman" w:hAnsi="Times New Roman" w:cs="Times New Roman"/>
          <w:color w:val="000000"/>
          <w:sz w:val="24"/>
          <w:szCs w:val="24"/>
          <w:shd w:val="clear" w:color="auto" w:fill="FFFFFF"/>
          <w:lang w:val="ru-RU"/>
        </w:rPr>
        <w:t xml:space="preserve"> из </w:t>
      </w:r>
      <w:r>
        <w:rPr>
          <w:rFonts w:ascii="Times New Roman" w:hAnsi="Times New Roman" w:cs="Times New Roman"/>
          <w:color w:val="000000"/>
          <w:sz w:val="24"/>
          <w:szCs w:val="24"/>
          <w:shd w:val="clear" w:color="auto" w:fill="FFFFFF"/>
          <w:lang w:val="ru-RU"/>
        </w:rPr>
        <w:t xml:space="preserve">национальных </w:t>
      </w:r>
      <w:r w:rsidRPr="004E7E3E">
        <w:rPr>
          <w:rFonts w:ascii="Times New Roman" w:hAnsi="Times New Roman" w:cs="Times New Roman"/>
          <w:color w:val="000000"/>
          <w:sz w:val="24"/>
          <w:szCs w:val="24"/>
          <w:shd w:val="clear" w:color="auto" w:fill="FFFFFF"/>
          <w:lang w:val="ru-RU"/>
        </w:rPr>
        <w:t>правил</w:t>
      </w:r>
      <w:r>
        <w:rPr>
          <w:rFonts w:ascii="Times New Roman" w:hAnsi="Times New Roman" w:cs="Times New Roman"/>
          <w:color w:val="000000"/>
          <w:sz w:val="24"/>
          <w:szCs w:val="24"/>
          <w:shd w:val="clear" w:color="auto" w:fill="FFFFFF"/>
          <w:lang w:val="ru-RU"/>
        </w:rPr>
        <w:t>, в</w:t>
      </w:r>
      <w:r w:rsidRPr="004E7E3E">
        <w:rPr>
          <w:rFonts w:ascii="Times New Roman" w:hAnsi="Times New Roman" w:cs="Times New Roman"/>
          <w:color w:val="000000"/>
          <w:sz w:val="24"/>
          <w:szCs w:val="24"/>
          <w:shd w:val="clear" w:color="auto" w:fill="FFFFFF"/>
          <w:lang w:val="ru-RU"/>
        </w:rPr>
        <w:t xml:space="preserve"> российском варианте такие эксперименты не допускаются Шанхай должен быть экспериментальной площадкой для апробирования новых способов государственного регулирования международной торговли, иностранных инвестиций, финансового сектора.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_Ref446788987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219</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Тем не менее, </w:t>
      </w:r>
      <w:r w:rsidRPr="004E7E3E">
        <w:rPr>
          <w:rFonts w:ascii="Times New Roman" w:hAnsi="Times New Roman" w:cs="Times New Roman"/>
          <w:color w:val="000000"/>
          <w:sz w:val="24"/>
          <w:szCs w:val="24"/>
          <w:shd w:val="clear" w:color="auto" w:fill="FFFFFF"/>
          <w:lang w:val="ru-RU"/>
        </w:rPr>
        <w:lastRenderedPageBreak/>
        <w:t xml:space="preserve">МФЦ в Москве также должен стать локомотивом, двигающим российских финансовый рынок к мировым высотам.  </w:t>
      </w:r>
    </w:p>
    <w:p w14:paraId="5EDF20D7"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Одно время прорабатывался проект внутреннего офшора в Калининграде, Сочи или Владивостоке, но сейчас наметилась тенденция к деофшоризации. МФЦ должен быть немного «иностранцем» в своей стране, использовать международный опыт, применять новые практики.</w:t>
      </w:r>
    </w:p>
    <w:p w14:paraId="30FBB326"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Мы считаем, что список потенциальных внутренних офшоров можно было бы расширить новым субъектом РФ с 2014 – Республикой Крым. Конечно, там нет соответствующей инфраструктур</w:t>
      </w:r>
      <w:r>
        <w:rPr>
          <w:rFonts w:ascii="Times New Roman" w:hAnsi="Times New Roman" w:cs="Times New Roman"/>
          <w:color w:val="000000"/>
          <w:sz w:val="24"/>
          <w:szCs w:val="24"/>
          <w:shd w:val="clear" w:color="auto" w:fill="FFFFFF"/>
          <w:lang w:val="ru-RU"/>
        </w:rPr>
        <w:t>ы</w:t>
      </w:r>
      <w:r w:rsidRPr="004E7E3E">
        <w:rPr>
          <w:rFonts w:ascii="Times New Roman" w:hAnsi="Times New Roman" w:cs="Times New Roman"/>
          <w:color w:val="000000"/>
          <w:sz w:val="24"/>
          <w:szCs w:val="24"/>
          <w:shd w:val="clear" w:color="auto" w:fill="FFFFFF"/>
          <w:lang w:val="ru-RU"/>
        </w:rPr>
        <w:t>, жизненно важно интегрировать этот регион в политически-правовое поле страны, но было бы разумно скрывать владельцев компаний, инвестирующих в республику, чтобы защитить их от угроз санкций, ввести налоговые каникулы сроком на 5 лет для стратегических инвесторов</w:t>
      </w:r>
      <w:r>
        <w:rPr>
          <w:rFonts w:ascii="Times New Roman" w:hAnsi="Times New Roman" w:cs="Times New Roman"/>
          <w:color w:val="000000"/>
          <w:sz w:val="24"/>
          <w:szCs w:val="24"/>
          <w:shd w:val="clear" w:color="auto" w:fill="FFFFFF"/>
          <w:lang w:val="ru-RU"/>
        </w:rPr>
        <w:t xml:space="preserve"> и</w:t>
      </w:r>
      <w:r w:rsidRPr="004E7E3E">
        <w:rPr>
          <w:rFonts w:ascii="Times New Roman" w:hAnsi="Times New Roman" w:cs="Times New Roman"/>
          <w:color w:val="000000"/>
          <w:sz w:val="24"/>
          <w:szCs w:val="24"/>
          <w:shd w:val="clear" w:color="auto" w:fill="FFFFFF"/>
          <w:lang w:val="ru-RU"/>
        </w:rPr>
        <w:t xml:space="preserve">, наконец, привлечь иностранных инвесторов, если не из стран Запада напрямую, так хотя бы через другие офшоры.  </w:t>
      </w:r>
    </w:p>
    <w:p w14:paraId="43147785"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Угроза распада страны была ещё совсем недавно. Нынешнее руководство страны само занималось решением этого вопроса. К тому же опыт создани</w:t>
      </w:r>
      <w:r>
        <w:rPr>
          <w:rFonts w:ascii="Times New Roman" w:hAnsi="Times New Roman" w:cs="Times New Roman"/>
          <w:color w:val="000000"/>
          <w:sz w:val="24"/>
          <w:szCs w:val="24"/>
          <w:shd w:val="clear" w:color="auto" w:fill="FFFFFF"/>
          <w:lang w:val="ru-RU"/>
        </w:rPr>
        <w:t>я</w:t>
      </w:r>
      <w:r w:rsidRPr="004E7E3E">
        <w:rPr>
          <w:rFonts w:ascii="Times New Roman" w:hAnsi="Times New Roman" w:cs="Times New Roman"/>
          <w:color w:val="000000"/>
          <w:sz w:val="24"/>
          <w:szCs w:val="24"/>
          <w:shd w:val="clear" w:color="auto" w:fill="FFFFFF"/>
          <w:lang w:val="ru-RU"/>
        </w:rPr>
        <w:t xml:space="preserve"> особых экономических зон в конце </w:t>
      </w:r>
      <w:r w:rsidRPr="004E7E3E">
        <w:rPr>
          <w:rFonts w:ascii="Times New Roman" w:hAnsi="Times New Roman" w:cs="Times New Roman"/>
          <w:color w:val="000000"/>
          <w:sz w:val="24"/>
          <w:szCs w:val="24"/>
          <w:shd w:val="clear" w:color="auto" w:fill="FFFFFF"/>
        </w:rPr>
        <w:t>XX</w:t>
      </w:r>
      <w:r w:rsidRPr="004E7E3E">
        <w:rPr>
          <w:rFonts w:ascii="Times New Roman" w:hAnsi="Times New Roman" w:cs="Times New Roman"/>
          <w:color w:val="000000"/>
          <w:sz w:val="24"/>
          <w:szCs w:val="24"/>
          <w:shd w:val="clear" w:color="auto" w:fill="FFFFFF"/>
          <w:lang w:val="ru-RU"/>
        </w:rPr>
        <w:t xml:space="preserve"> века можно считать неудачным. Поэтому без изменений состава истеблишмента вряд ли можно рассчитывать на какой-то специальный центр с особыми полномочиями в области финансовой политики. </w:t>
      </w:r>
    </w:p>
    <w:p w14:paraId="033A046F" w14:textId="66E0CAB4"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У нас нет своего Гонконга, но русские являются одной из самых распылённых наций </w:t>
      </w:r>
      <w:r>
        <w:rPr>
          <w:rFonts w:ascii="Times New Roman" w:hAnsi="Times New Roman" w:cs="Times New Roman"/>
          <w:color w:val="000000"/>
          <w:sz w:val="24"/>
          <w:szCs w:val="24"/>
          <w:shd w:val="clear" w:color="auto" w:fill="FFFFFF"/>
          <w:lang w:val="ru-RU"/>
        </w:rPr>
        <w:t xml:space="preserve">в мире </w:t>
      </w:r>
      <w:r w:rsidRPr="004E7E3E">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_Ref459295082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272</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и мы могли бы сфокусировать сотрудничество по линии соотечественников на финансовую сферу.</w:t>
      </w:r>
    </w:p>
    <w:p w14:paraId="63C8C501"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b/>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 xml:space="preserve">Внешнеполитические риски </w:t>
      </w:r>
    </w:p>
    <w:p w14:paraId="283A976D" w14:textId="5745D5A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bidi="ar-SA"/>
        </w:rPr>
      </w:pPr>
      <w:r w:rsidRPr="004E7E3E">
        <w:rPr>
          <w:rFonts w:ascii="Times New Roman" w:hAnsi="Times New Roman" w:cs="Times New Roman"/>
          <w:color w:val="000000" w:themeColor="text1"/>
          <w:sz w:val="24"/>
          <w:szCs w:val="24"/>
          <w:shd w:val="clear" w:color="auto" w:fill="FFFFFF"/>
          <w:lang w:val="ru-RU"/>
        </w:rPr>
        <w:t>Идея МФЦ появилась, когда в российской экономике наблюдался избыток валюты в связи с высокими ценами на углеводороды. Конъюнктура на рынке сырья изменилась, но мы должны признать, что российская экономика довольно большая и не должна зависеть от конъюнктурных вопросов. Но, как констатируют эксперты, д</w:t>
      </w:r>
      <w:r w:rsidRPr="004E7E3E">
        <w:rPr>
          <w:rFonts w:ascii="Times New Roman" w:hAnsi="Times New Roman" w:cs="Times New Roman"/>
          <w:color w:val="000000" w:themeColor="text1"/>
          <w:sz w:val="24"/>
          <w:szCs w:val="24"/>
          <w:lang w:val="ru-RU" w:bidi="ar-SA"/>
        </w:rPr>
        <w:t>ля российского рынка характерен из года в год отток капитала, высока роль краткосрочных ресурсов нерезидентов. МФЦ возможен, если только создать пул заинтересованных иностранных инвесторов, ключевых игроков для запуска МФЦ. Это</w:t>
      </w:r>
      <w:r>
        <w:rPr>
          <w:rFonts w:ascii="Times New Roman" w:hAnsi="Times New Roman" w:cs="Times New Roman"/>
          <w:color w:val="000000" w:themeColor="text1"/>
          <w:sz w:val="24"/>
          <w:szCs w:val="24"/>
          <w:lang w:val="ru-RU" w:bidi="ar-SA"/>
        </w:rPr>
        <w:t>го</w:t>
      </w:r>
      <w:r w:rsidRPr="004E7E3E">
        <w:rPr>
          <w:rFonts w:ascii="Times New Roman" w:hAnsi="Times New Roman" w:cs="Times New Roman"/>
          <w:color w:val="000000" w:themeColor="text1"/>
          <w:sz w:val="24"/>
          <w:szCs w:val="24"/>
          <w:lang w:val="ru-RU" w:bidi="ar-SA"/>
        </w:rPr>
        <w:t xml:space="preserve"> не было сделано, собственной ликвидности внутри </w:t>
      </w:r>
      <w:r w:rsidRPr="004E7E3E">
        <w:rPr>
          <w:rFonts w:ascii="Times New Roman" w:hAnsi="Times New Roman" w:cs="Times New Roman"/>
          <w:sz w:val="24"/>
          <w:szCs w:val="24"/>
          <w:lang w:val="ru-RU" w:bidi="ar-SA"/>
        </w:rPr>
        <w:t>России недостаточно [</w:t>
      </w:r>
      <w:r w:rsidRPr="004E7E3E">
        <w:rPr>
          <w:rFonts w:ascii="Times New Roman" w:hAnsi="Times New Roman" w:cs="Times New Roman"/>
          <w:sz w:val="24"/>
          <w:szCs w:val="24"/>
          <w:lang w:val="ru-RU" w:bidi="ar-SA"/>
        </w:rPr>
        <w:fldChar w:fldCharType="begin"/>
      </w:r>
      <w:r w:rsidRPr="004E7E3E">
        <w:rPr>
          <w:rFonts w:ascii="Times New Roman" w:hAnsi="Times New Roman" w:cs="Times New Roman"/>
          <w:sz w:val="24"/>
          <w:szCs w:val="24"/>
          <w:lang w:val="ru-RU" w:bidi="ar-SA"/>
        </w:rPr>
        <w:instrText xml:space="preserve"> REF _Ref131438277 \r \h  \* MERGEFORMAT </w:instrText>
      </w:r>
      <w:r w:rsidRPr="004E7E3E">
        <w:rPr>
          <w:rFonts w:ascii="Times New Roman" w:hAnsi="Times New Roman" w:cs="Times New Roman"/>
          <w:sz w:val="24"/>
          <w:szCs w:val="24"/>
          <w:lang w:val="ru-RU" w:bidi="ar-SA"/>
        </w:rPr>
      </w:r>
      <w:r w:rsidRPr="004E7E3E">
        <w:rPr>
          <w:rFonts w:ascii="Times New Roman" w:hAnsi="Times New Roman" w:cs="Times New Roman"/>
          <w:sz w:val="24"/>
          <w:szCs w:val="24"/>
          <w:lang w:val="ru-RU" w:bidi="ar-SA"/>
        </w:rPr>
        <w:fldChar w:fldCharType="separate"/>
      </w:r>
      <w:r w:rsidR="00801D78">
        <w:rPr>
          <w:rFonts w:ascii="Times New Roman" w:hAnsi="Times New Roman" w:cs="Times New Roman"/>
          <w:sz w:val="24"/>
          <w:szCs w:val="24"/>
          <w:lang w:val="ru-RU" w:bidi="ar-SA"/>
        </w:rPr>
        <w:t>264</w:t>
      </w:r>
      <w:r w:rsidRPr="004E7E3E">
        <w:rPr>
          <w:rFonts w:ascii="Times New Roman" w:hAnsi="Times New Roman" w:cs="Times New Roman"/>
          <w:sz w:val="24"/>
          <w:szCs w:val="24"/>
          <w:lang w:val="ru-RU" w:bidi="ar-SA"/>
        </w:rPr>
        <w:fldChar w:fldCharType="end"/>
      </w:r>
      <w:r w:rsidRPr="004E7E3E">
        <w:rPr>
          <w:rFonts w:ascii="Times New Roman" w:hAnsi="Times New Roman" w:cs="Times New Roman"/>
          <w:sz w:val="24"/>
          <w:szCs w:val="24"/>
          <w:lang w:val="ru-RU" w:bidi="ar-SA"/>
        </w:rPr>
        <w:t xml:space="preserve">, </w:t>
      </w:r>
      <w:r w:rsidRPr="004E7E3E">
        <w:rPr>
          <w:rFonts w:ascii="Times New Roman" w:hAnsi="Times New Roman" w:cs="Times New Roman"/>
          <w:sz w:val="24"/>
          <w:szCs w:val="24"/>
          <w:lang w:bidi="ar-SA"/>
        </w:rPr>
        <w:t>c</w:t>
      </w:r>
      <w:r w:rsidRPr="004E7E3E">
        <w:rPr>
          <w:rFonts w:ascii="Times New Roman" w:hAnsi="Times New Roman" w:cs="Times New Roman"/>
          <w:sz w:val="24"/>
          <w:szCs w:val="24"/>
          <w:lang w:val="ru-RU" w:bidi="ar-SA"/>
        </w:rPr>
        <w:t>. 125]</w:t>
      </w:r>
      <w:r>
        <w:rPr>
          <w:rFonts w:ascii="Times New Roman" w:hAnsi="Times New Roman" w:cs="Times New Roman"/>
          <w:sz w:val="24"/>
          <w:szCs w:val="24"/>
          <w:lang w:val="ru-RU" w:bidi="ar-SA"/>
        </w:rPr>
        <w:t>.</w:t>
      </w:r>
    </w:p>
    <w:p w14:paraId="6ACFF5D4"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b/>
          <w:color w:val="000000"/>
          <w:sz w:val="24"/>
          <w:szCs w:val="24"/>
          <w:shd w:val="clear" w:color="auto" w:fill="FFFFFF"/>
          <w:lang w:val="ru-RU"/>
        </w:rPr>
      </w:pPr>
      <w:r w:rsidRPr="004E7E3E">
        <w:rPr>
          <w:rFonts w:ascii="Times New Roman" w:hAnsi="Times New Roman" w:cs="Times New Roman"/>
          <w:sz w:val="24"/>
          <w:szCs w:val="24"/>
          <w:lang w:val="ru-RU" w:bidi="ar-SA"/>
        </w:rPr>
        <w:t>В завершени</w:t>
      </w:r>
      <w:r>
        <w:rPr>
          <w:rFonts w:ascii="Times New Roman" w:hAnsi="Times New Roman" w:cs="Times New Roman"/>
          <w:sz w:val="24"/>
          <w:szCs w:val="24"/>
          <w:lang w:val="ru-RU" w:bidi="ar-SA"/>
        </w:rPr>
        <w:t>е</w:t>
      </w:r>
      <w:r w:rsidRPr="004E7E3E">
        <w:rPr>
          <w:rFonts w:ascii="Times New Roman" w:hAnsi="Times New Roman" w:cs="Times New Roman"/>
          <w:sz w:val="24"/>
          <w:szCs w:val="24"/>
          <w:lang w:val="ru-RU" w:bidi="ar-SA"/>
        </w:rPr>
        <w:t xml:space="preserve"> перечислим недочёты корпоративного управления проектом МФЦ. </w:t>
      </w:r>
    </w:p>
    <w:p w14:paraId="4716BFED"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b/>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Отсутствие внятной конкурентной стратегии</w:t>
      </w:r>
    </w:p>
    <w:p w14:paraId="4ECDAEF4" w14:textId="1A009E51"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lang w:val="ru-RU" w:bidi="ar-SA"/>
        </w:rPr>
      </w:pPr>
      <w:r w:rsidRPr="004E7E3E">
        <w:rPr>
          <w:rFonts w:ascii="Times New Roman" w:hAnsi="Times New Roman" w:cs="Times New Roman"/>
          <w:color w:val="000000"/>
          <w:sz w:val="24"/>
          <w:szCs w:val="24"/>
          <w:shd w:val="clear" w:color="auto" w:fill="FFFFFF"/>
          <w:lang w:val="ru-RU"/>
        </w:rPr>
        <w:t>Изначально проект МФЦ требовал проектного управления, а власти занялись устранением «узких мест» и барьеров в существовавшей финансовой политик</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xml:space="preserve">. Рабочая группа занималась сразу всем: </w:t>
      </w:r>
      <w:r w:rsidRPr="004E7E3E">
        <w:rPr>
          <w:rFonts w:ascii="Times New Roman" w:hAnsi="Times New Roman" w:cs="Times New Roman"/>
          <w:color w:val="000000"/>
          <w:sz w:val="24"/>
          <w:szCs w:val="24"/>
          <w:lang w:val="ru-RU" w:bidi="ar-SA"/>
        </w:rPr>
        <w:t>процедур</w:t>
      </w:r>
      <w:r>
        <w:rPr>
          <w:rFonts w:ascii="Times New Roman" w:hAnsi="Times New Roman" w:cs="Times New Roman"/>
          <w:color w:val="000000"/>
          <w:sz w:val="24"/>
          <w:szCs w:val="24"/>
          <w:lang w:val="ru-RU" w:bidi="ar-SA"/>
        </w:rPr>
        <w:t>ой</w:t>
      </w:r>
      <w:r w:rsidRPr="004E7E3E">
        <w:rPr>
          <w:rFonts w:ascii="Times New Roman" w:hAnsi="Times New Roman" w:cs="Times New Roman"/>
          <w:color w:val="000000"/>
          <w:sz w:val="24"/>
          <w:szCs w:val="24"/>
          <w:lang w:val="ru-RU" w:bidi="ar-SA"/>
        </w:rPr>
        <w:t xml:space="preserve"> эмиссии (в том числе корпоративное управление АО), НПФ, потребительск</w:t>
      </w:r>
      <w:r>
        <w:rPr>
          <w:rFonts w:ascii="Times New Roman" w:hAnsi="Times New Roman" w:cs="Times New Roman"/>
          <w:color w:val="000000"/>
          <w:sz w:val="24"/>
          <w:szCs w:val="24"/>
          <w:lang w:val="ru-RU" w:bidi="ar-SA"/>
        </w:rPr>
        <w:t>им</w:t>
      </w:r>
      <w:r w:rsidRPr="004E7E3E">
        <w:rPr>
          <w:rFonts w:ascii="Times New Roman" w:hAnsi="Times New Roman" w:cs="Times New Roman"/>
          <w:color w:val="000000"/>
          <w:sz w:val="24"/>
          <w:szCs w:val="24"/>
          <w:lang w:val="ru-RU" w:bidi="ar-SA"/>
        </w:rPr>
        <w:t xml:space="preserve"> кредитование</w:t>
      </w:r>
      <w:r>
        <w:rPr>
          <w:rFonts w:ascii="Times New Roman" w:hAnsi="Times New Roman" w:cs="Times New Roman"/>
          <w:color w:val="000000"/>
          <w:sz w:val="24"/>
          <w:szCs w:val="24"/>
          <w:lang w:val="ru-RU" w:bidi="ar-SA"/>
        </w:rPr>
        <w:t>м</w:t>
      </w:r>
      <w:r w:rsidRPr="004E7E3E">
        <w:rPr>
          <w:rFonts w:ascii="Times New Roman" w:hAnsi="Times New Roman" w:cs="Times New Roman"/>
          <w:color w:val="000000"/>
          <w:sz w:val="24"/>
          <w:szCs w:val="24"/>
          <w:lang w:val="ru-RU" w:bidi="ar-SA"/>
        </w:rPr>
        <w:t>, товарны</w:t>
      </w:r>
      <w:r>
        <w:rPr>
          <w:rFonts w:ascii="Times New Roman" w:hAnsi="Times New Roman" w:cs="Times New Roman"/>
          <w:color w:val="000000"/>
          <w:sz w:val="24"/>
          <w:szCs w:val="24"/>
          <w:lang w:val="ru-RU" w:bidi="ar-SA"/>
        </w:rPr>
        <w:t>м</w:t>
      </w:r>
      <w:r w:rsidRPr="004E7E3E">
        <w:rPr>
          <w:rFonts w:ascii="Times New Roman" w:hAnsi="Times New Roman" w:cs="Times New Roman"/>
          <w:color w:val="000000"/>
          <w:sz w:val="24"/>
          <w:szCs w:val="24"/>
          <w:lang w:val="ru-RU" w:bidi="ar-SA"/>
        </w:rPr>
        <w:t xml:space="preserve"> рынк</w:t>
      </w:r>
      <w:r>
        <w:rPr>
          <w:rFonts w:ascii="Times New Roman" w:hAnsi="Times New Roman" w:cs="Times New Roman"/>
          <w:color w:val="000000"/>
          <w:sz w:val="24"/>
          <w:szCs w:val="24"/>
          <w:lang w:val="ru-RU" w:bidi="ar-SA"/>
        </w:rPr>
        <w:t>ом</w:t>
      </w:r>
      <w:r w:rsidRPr="004E7E3E">
        <w:rPr>
          <w:rFonts w:ascii="Times New Roman" w:hAnsi="Times New Roman" w:cs="Times New Roman"/>
          <w:color w:val="000000"/>
          <w:sz w:val="24"/>
          <w:szCs w:val="24"/>
          <w:lang w:val="ru-RU" w:bidi="ar-SA"/>
        </w:rPr>
        <w:t>, операци</w:t>
      </w:r>
      <w:r>
        <w:rPr>
          <w:rFonts w:ascii="Times New Roman" w:hAnsi="Times New Roman" w:cs="Times New Roman"/>
          <w:color w:val="000000"/>
          <w:sz w:val="24"/>
          <w:szCs w:val="24"/>
          <w:lang w:val="ru-RU" w:bidi="ar-SA"/>
        </w:rPr>
        <w:t>ям</w:t>
      </w:r>
      <w:r w:rsidRPr="004E7E3E">
        <w:rPr>
          <w:rFonts w:ascii="Times New Roman" w:hAnsi="Times New Roman" w:cs="Times New Roman"/>
          <w:color w:val="000000"/>
          <w:sz w:val="24"/>
          <w:szCs w:val="24"/>
          <w:lang w:val="ru-RU" w:bidi="ar-SA"/>
        </w:rPr>
        <w:t xml:space="preserve">и с драгоценными металлами, </w:t>
      </w:r>
      <w:r w:rsidRPr="004E7E3E">
        <w:rPr>
          <w:rFonts w:ascii="Times New Roman" w:hAnsi="Times New Roman" w:cs="Times New Roman"/>
          <w:color w:val="000000"/>
          <w:sz w:val="24"/>
          <w:szCs w:val="24"/>
          <w:lang w:val="ru-RU" w:bidi="ar-SA"/>
        </w:rPr>
        <w:lastRenderedPageBreak/>
        <w:t>биржевы</w:t>
      </w:r>
      <w:r>
        <w:rPr>
          <w:rFonts w:ascii="Times New Roman" w:hAnsi="Times New Roman" w:cs="Times New Roman"/>
          <w:color w:val="000000"/>
          <w:sz w:val="24"/>
          <w:szCs w:val="24"/>
          <w:lang w:val="ru-RU" w:bidi="ar-SA"/>
        </w:rPr>
        <w:t>ми</w:t>
      </w:r>
      <w:r w:rsidRPr="004E7E3E">
        <w:rPr>
          <w:rFonts w:ascii="Times New Roman" w:hAnsi="Times New Roman" w:cs="Times New Roman"/>
          <w:color w:val="000000"/>
          <w:sz w:val="24"/>
          <w:szCs w:val="24"/>
          <w:lang w:val="ru-RU" w:bidi="ar-SA"/>
        </w:rPr>
        <w:t xml:space="preserve"> ПИФ, секьюритизаци</w:t>
      </w:r>
      <w:r>
        <w:rPr>
          <w:rFonts w:ascii="Times New Roman" w:hAnsi="Times New Roman" w:cs="Times New Roman"/>
          <w:color w:val="000000"/>
          <w:sz w:val="24"/>
          <w:szCs w:val="24"/>
          <w:lang w:val="ru-RU" w:bidi="ar-SA"/>
        </w:rPr>
        <w:t>ей</w:t>
      </w:r>
      <w:r w:rsidRPr="004E7E3E">
        <w:rPr>
          <w:rFonts w:ascii="Times New Roman" w:hAnsi="Times New Roman" w:cs="Times New Roman"/>
          <w:color w:val="000000"/>
          <w:sz w:val="24"/>
          <w:szCs w:val="24"/>
          <w:lang w:val="ru-RU" w:bidi="ar-SA"/>
        </w:rPr>
        <w:t>, инфраструктурны</w:t>
      </w:r>
      <w:r>
        <w:rPr>
          <w:rFonts w:ascii="Times New Roman" w:hAnsi="Times New Roman" w:cs="Times New Roman"/>
          <w:color w:val="000000"/>
          <w:sz w:val="24"/>
          <w:szCs w:val="24"/>
          <w:lang w:val="ru-RU" w:bidi="ar-SA"/>
        </w:rPr>
        <w:t>ми</w:t>
      </w:r>
      <w:r w:rsidRPr="004E7E3E">
        <w:rPr>
          <w:rFonts w:ascii="Times New Roman" w:hAnsi="Times New Roman" w:cs="Times New Roman"/>
          <w:color w:val="000000"/>
          <w:sz w:val="24"/>
          <w:szCs w:val="24"/>
          <w:lang w:val="ru-RU" w:bidi="ar-SA"/>
        </w:rPr>
        <w:t xml:space="preserve"> облигаци</w:t>
      </w:r>
      <w:r>
        <w:rPr>
          <w:rFonts w:ascii="Times New Roman" w:hAnsi="Times New Roman" w:cs="Times New Roman"/>
          <w:color w:val="000000"/>
          <w:sz w:val="24"/>
          <w:szCs w:val="24"/>
          <w:lang w:val="ru-RU" w:bidi="ar-SA"/>
        </w:rPr>
        <w:t>ями</w:t>
      </w:r>
      <w:r w:rsidRPr="004E7E3E">
        <w:rPr>
          <w:rFonts w:ascii="Times New Roman" w:hAnsi="Times New Roman" w:cs="Times New Roman"/>
          <w:color w:val="000000"/>
          <w:sz w:val="24"/>
          <w:szCs w:val="24"/>
          <w:lang w:val="ru-RU" w:bidi="ar-SA"/>
        </w:rPr>
        <w:t>, ипотечны</w:t>
      </w:r>
      <w:r>
        <w:rPr>
          <w:rFonts w:ascii="Times New Roman" w:hAnsi="Times New Roman" w:cs="Times New Roman"/>
          <w:color w:val="000000"/>
          <w:sz w:val="24"/>
          <w:szCs w:val="24"/>
          <w:lang w:val="ru-RU" w:bidi="ar-SA"/>
        </w:rPr>
        <w:t>ми</w:t>
      </w:r>
      <w:r w:rsidRPr="004E7E3E">
        <w:rPr>
          <w:rFonts w:ascii="Times New Roman" w:hAnsi="Times New Roman" w:cs="Times New Roman"/>
          <w:color w:val="000000"/>
          <w:sz w:val="24"/>
          <w:szCs w:val="24"/>
          <w:lang w:val="ru-RU" w:bidi="ar-SA"/>
        </w:rPr>
        <w:t xml:space="preserve"> ценны</w:t>
      </w:r>
      <w:r>
        <w:rPr>
          <w:rFonts w:ascii="Times New Roman" w:hAnsi="Times New Roman" w:cs="Times New Roman"/>
          <w:color w:val="000000"/>
          <w:sz w:val="24"/>
          <w:szCs w:val="24"/>
          <w:lang w:val="ru-RU" w:bidi="ar-SA"/>
        </w:rPr>
        <w:t>ми</w:t>
      </w:r>
      <w:r w:rsidRPr="004E7E3E">
        <w:rPr>
          <w:rFonts w:ascii="Times New Roman" w:hAnsi="Times New Roman" w:cs="Times New Roman"/>
          <w:color w:val="000000"/>
          <w:sz w:val="24"/>
          <w:szCs w:val="24"/>
          <w:lang w:val="ru-RU" w:bidi="ar-SA"/>
        </w:rPr>
        <w:t xml:space="preserve"> бумаг</w:t>
      </w:r>
      <w:r>
        <w:rPr>
          <w:rFonts w:ascii="Times New Roman" w:hAnsi="Times New Roman" w:cs="Times New Roman"/>
          <w:color w:val="000000"/>
          <w:sz w:val="24"/>
          <w:szCs w:val="24"/>
          <w:lang w:val="ru-RU" w:bidi="ar-SA"/>
        </w:rPr>
        <w:t>ам</w:t>
      </w:r>
      <w:r w:rsidRPr="004E7E3E">
        <w:rPr>
          <w:rFonts w:ascii="Times New Roman" w:hAnsi="Times New Roman" w:cs="Times New Roman"/>
          <w:color w:val="000000"/>
          <w:sz w:val="24"/>
          <w:szCs w:val="24"/>
          <w:lang w:val="ru-RU" w:bidi="ar-SA"/>
        </w:rPr>
        <w:t>и, развитие</w:t>
      </w:r>
      <w:r>
        <w:rPr>
          <w:rFonts w:ascii="Times New Roman" w:hAnsi="Times New Roman" w:cs="Times New Roman"/>
          <w:color w:val="000000"/>
          <w:sz w:val="24"/>
          <w:szCs w:val="24"/>
          <w:lang w:val="ru-RU" w:bidi="ar-SA"/>
        </w:rPr>
        <w:t>м</w:t>
      </w:r>
      <w:r w:rsidRPr="004E7E3E">
        <w:rPr>
          <w:rFonts w:ascii="Times New Roman" w:hAnsi="Times New Roman" w:cs="Times New Roman"/>
          <w:color w:val="000000"/>
          <w:sz w:val="24"/>
          <w:szCs w:val="24"/>
          <w:lang w:val="ru-RU" w:bidi="ar-SA"/>
        </w:rPr>
        <w:t xml:space="preserve"> биржевой инфраструктуры (репозитарий, центральный контрагент), срочны</w:t>
      </w:r>
      <w:r>
        <w:rPr>
          <w:rFonts w:ascii="Times New Roman" w:hAnsi="Times New Roman" w:cs="Times New Roman"/>
          <w:color w:val="000000"/>
          <w:sz w:val="24"/>
          <w:szCs w:val="24"/>
          <w:lang w:val="ru-RU" w:bidi="ar-SA"/>
        </w:rPr>
        <w:t>ми</w:t>
      </w:r>
      <w:r w:rsidRPr="004E7E3E">
        <w:rPr>
          <w:rFonts w:ascii="Times New Roman" w:hAnsi="Times New Roman" w:cs="Times New Roman"/>
          <w:color w:val="000000"/>
          <w:sz w:val="24"/>
          <w:szCs w:val="24"/>
          <w:lang w:val="ru-RU" w:bidi="ar-SA"/>
        </w:rPr>
        <w:t xml:space="preserve"> сделк</w:t>
      </w:r>
      <w:r>
        <w:rPr>
          <w:rFonts w:ascii="Times New Roman" w:hAnsi="Times New Roman" w:cs="Times New Roman"/>
          <w:color w:val="000000"/>
          <w:sz w:val="24"/>
          <w:szCs w:val="24"/>
          <w:lang w:val="ru-RU" w:bidi="ar-SA"/>
        </w:rPr>
        <w:t>ам</w:t>
      </w:r>
      <w:r w:rsidRPr="004E7E3E">
        <w:rPr>
          <w:rFonts w:ascii="Times New Roman" w:hAnsi="Times New Roman" w:cs="Times New Roman"/>
          <w:color w:val="000000"/>
          <w:sz w:val="24"/>
          <w:szCs w:val="24"/>
          <w:lang w:val="ru-RU" w:bidi="ar-SA"/>
        </w:rPr>
        <w:t>и, коллективны</w:t>
      </w:r>
      <w:r>
        <w:rPr>
          <w:rFonts w:ascii="Times New Roman" w:hAnsi="Times New Roman" w:cs="Times New Roman"/>
          <w:color w:val="000000"/>
          <w:sz w:val="24"/>
          <w:szCs w:val="24"/>
          <w:lang w:val="ru-RU" w:bidi="ar-SA"/>
        </w:rPr>
        <w:t>ми</w:t>
      </w:r>
      <w:r w:rsidRPr="004E7E3E">
        <w:rPr>
          <w:rFonts w:ascii="Times New Roman" w:hAnsi="Times New Roman" w:cs="Times New Roman"/>
          <w:color w:val="000000"/>
          <w:sz w:val="24"/>
          <w:szCs w:val="24"/>
          <w:lang w:val="ru-RU" w:bidi="ar-SA"/>
        </w:rPr>
        <w:t xml:space="preserve"> инвестици</w:t>
      </w:r>
      <w:r>
        <w:rPr>
          <w:rFonts w:ascii="Times New Roman" w:hAnsi="Times New Roman" w:cs="Times New Roman"/>
          <w:color w:val="000000"/>
          <w:sz w:val="24"/>
          <w:szCs w:val="24"/>
          <w:lang w:val="ru-RU" w:bidi="ar-SA"/>
        </w:rPr>
        <w:t>ям</w:t>
      </w:r>
      <w:r w:rsidRPr="004E7E3E">
        <w:rPr>
          <w:rFonts w:ascii="Times New Roman" w:hAnsi="Times New Roman" w:cs="Times New Roman"/>
          <w:color w:val="000000"/>
          <w:sz w:val="24"/>
          <w:szCs w:val="24"/>
          <w:lang w:val="ru-RU" w:bidi="ar-SA"/>
        </w:rPr>
        <w:t>и, сделк</w:t>
      </w:r>
      <w:r>
        <w:rPr>
          <w:rFonts w:ascii="Times New Roman" w:hAnsi="Times New Roman" w:cs="Times New Roman"/>
          <w:color w:val="000000"/>
          <w:sz w:val="24"/>
          <w:szCs w:val="24"/>
          <w:lang w:val="ru-RU" w:bidi="ar-SA"/>
        </w:rPr>
        <w:t>ам</w:t>
      </w:r>
      <w:r w:rsidRPr="004E7E3E">
        <w:rPr>
          <w:rFonts w:ascii="Times New Roman" w:hAnsi="Times New Roman" w:cs="Times New Roman"/>
          <w:color w:val="000000"/>
          <w:sz w:val="24"/>
          <w:szCs w:val="24"/>
          <w:lang w:val="ru-RU" w:bidi="ar-SA"/>
        </w:rPr>
        <w:t>и РЕПО (налоговые вопросы) и др. Ключевых направлений, которые бы стали драйвером преобразований, определено не было. Не были определены основные конкуренты московского МФЦ, хотя их достаточно: Вена и Варшава в регионе Центральной и Восточной Европ</w:t>
      </w:r>
      <w:r>
        <w:rPr>
          <w:rFonts w:ascii="Times New Roman" w:hAnsi="Times New Roman" w:cs="Times New Roman"/>
          <w:color w:val="000000"/>
          <w:sz w:val="24"/>
          <w:szCs w:val="24"/>
          <w:lang w:val="ru-RU" w:bidi="ar-SA"/>
        </w:rPr>
        <w:t>ы</w:t>
      </w:r>
      <w:r w:rsidRPr="004E7E3E">
        <w:rPr>
          <w:rFonts w:ascii="Times New Roman" w:hAnsi="Times New Roman" w:cs="Times New Roman"/>
          <w:color w:val="000000"/>
          <w:sz w:val="24"/>
          <w:szCs w:val="24"/>
          <w:lang w:val="ru-RU" w:bidi="ar-SA"/>
        </w:rPr>
        <w:t xml:space="preserve"> (а также Милан и Франкфурт), Стамбул и китайские центры в евразийском регионе [</w:t>
      </w:r>
      <w:r w:rsidRPr="004E7E3E">
        <w:rPr>
          <w:rFonts w:ascii="Times New Roman" w:hAnsi="Times New Roman" w:cs="Times New Roman"/>
          <w:color w:val="000000"/>
          <w:sz w:val="24"/>
          <w:szCs w:val="24"/>
          <w:lang w:val="ru-RU" w:bidi="ar-SA"/>
        </w:rPr>
        <w:fldChar w:fldCharType="begin"/>
      </w:r>
      <w:r w:rsidRPr="004E7E3E">
        <w:rPr>
          <w:rFonts w:ascii="Times New Roman" w:hAnsi="Times New Roman" w:cs="Times New Roman"/>
          <w:color w:val="000000"/>
          <w:sz w:val="24"/>
          <w:szCs w:val="24"/>
          <w:lang w:val="ru-RU" w:bidi="ar-SA"/>
        </w:rPr>
        <w:instrText xml:space="preserve"> REF _Ref130564109 \r \h  \* MERGEFORMAT </w:instrText>
      </w:r>
      <w:r w:rsidRPr="004E7E3E">
        <w:rPr>
          <w:rFonts w:ascii="Times New Roman" w:hAnsi="Times New Roman" w:cs="Times New Roman"/>
          <w:color w:val="000000"/>
          <w:sz w:val="24"/>
          <w:szCs w:val="24"/>
          <w:lang w:val="ru-RU" w:bidi="ar-SA"/>
        </w:rPr>
      </w:r>
      <w:r w:rsidRPr="004E7E3E">
        <w:rPr>
          <w:rFonts w:ascii="Times New Roman" w:hAnsi="Times New Roman" w:cs="Times New Roman"/>
          <w:color w:val="000000"/>
          <w:sz w:val="24"/>
          <w:szCs w:val="24"/>
          <w:lang w:val="ru-RU" w:bidi="ar-SA"/>
        </w:rPr>
        <w:fldChar w:fldCharType="separate"/>
      </w:r>
      <w:r w:rsidR="00801D78">
        <w:rPr>
          <w:rFonts w:ascii="Times New Roman" w:hAnsi="Times New Roman" w:cs="Times New Roman"/>
          <w:color w:val="000000"/>
          <w:sz w:val="24"/>
          <w:szCs w:val="24"/>
          <w:lang w:val="ru-RU" w:bidi="ar-SA"/>
        </w:rPr>
        <w:t>233</w:t>
      </w:r>
      <w:r w:rsidRPr="004E7E3E">
        <w:rPr>
          <w:rFonts w:ascii="Times New Roman" w:hAnsi="Times New Roman" w:cs="Times New Roman"/>
          <w:color w:val="000000"/>
          <w:sz w:val="24"/>
          <w:szCs w:val="24"/>
          <w:lang w:val="ru-RU" w:bidi="ar-SA"/>
        </w:rPr>
        <w:fldChar w:fldCharType="end"/>
      </w:r>
      <w:r w:rsidRPr="004E7E3E">
        <w:rPr>
          <w:rFonts w:ascii="Times New Roman" w:hAnsi="Times New Roman" w:cs="Times New Roman"/>
          <w:color w:val="000000"/>
          <w:sz w:val="24"/>
          <w:szCs w:val="24"/>
          <w:lang w:val="ru-RU" w:bidi="ar-SA"/>
        </w:rPr>
        <w:t xml:space="preserve">, </w:t>
      </w:r>
      <w:r w:rsidRPr="004E7E3E">
        <w:rPr>
          <w:rFonts w:ascii="Times New Roman" w:hAnsi="Times New Roman" w:cs="Times New Roman"/>
          <w:color w:val="000000"/>
          <w:sz w:val="24"/>
          <w:szCs w:val="24"/>
          <w:lang w:bidi="ar-SA"/>
        </w:rPr>
        <w:t>c</w:t>
      </w:r>
      <w:r w:rsidRPr="004E7E3E">
        <w:rPr>
          <w:rFonts w:ascii="Times New Roman" w:hAnsi="Times New Roman" w:cs="Times New Roman"/>
          <w:color w:val="000000"/>
          <w:sz w:val="24"/>
          <w:szCs w:val="24"/>
          <w:lang w:val="ru-RU" w:bidi="ar-SA"/>
        </w:rPr>
        <w:t xml:space="preserve">. 100]. Не определены конкурентные преимущества. Стратегия до сих пор скорее реактивная, а не проактивная, в том числе по вопросам создания Валютного союза на пространстве ЕврАзЭС. </w:t>
      </w:r>
    </w:p>
    <w:p w14:paraId="43BDA7E6"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b/>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Слабая проектная составляющая</w:t>
      </w:r>
    </w:p>
    <w:p w14:paraId="5DDEF38D"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bidi="ar-SA"/>
        </w:rPr>
      </w:pPr>
      <w:r w:rsidRPr="004E7E3E">
        <w:rPr>
          <w:rFonts w:ascii="Times New Roman" w:hAnsi="Times New Roman" w:cs="Times New Roman"/>
          <w:sz w:val="24"/>
          <w:szCs w:val="24"/>
          <w:lang w:val="ru-RU" w:bidi="ar-SA"/>
        </w:rPr>
        <w:t xml:space="preserve">Не было принято отдельного федерального закона об МФЦ, не выделен кластер для опережающего финансового развития. Рабочая группа по созданию МФЦ представляет собой скорее </w:t>
      </w:r>
      <w:r w:rsidRPr="004E7E3E">
        <w:rPr>
          <w:rFonts w:ascii="Times New Roman" w:hAnsi="Times New Roman" w:cs="Times New Roman"/>
          <w:sz w:val="24"/>
          <w:szCs w:val="24"/>
          <w:lang w:bidi="ar-SA"/>
        </w:rPr>
        <w:t>think</w:t>
      </w:r>
      <w:r w:rsidRPr="004E7E3E">
        <w:rPr>
          <w:rFonts w:ascii="Times New Roman" w:hAnsi="Times New Roman" w:cs="Times New Roman"/>
          <w:sz w:val="24"/>
          <w:szCs w:val="24"/>
          <w:lang w:val="ru-RU" w:bidi="ar-SA"/>
        </w:rPr>
        <w:t>-</w:t>
      </w:r>
      <w:r w:rsidRPr="004E7E3E">
        <w:rPr>
          <w:rFonts w:ascii="Times New Roman" w:hAnsi="Times New Roman" w:cs="Times New Roman"/>
          <w:sz w:val="24"/>
          <w:szCs w:val="24"/>
          <w:lang w:bidi="ar-SA"/>
        </w:rPr>
        <w:t>tank</w:t>
      </w:r>
      <w:r w:rsidRPr="004E7E3E">
        <w:rPr>
          <w:rFonts w:ascii="Times New Roman" w:hAnsi="Times New Roman" w:cs="Times New Roman"/>
          <w:sz w:val="24"/>
          <w:szCs w:val="24"/>
          <w:lang w:val="ru-RU" w:bidi="ar-SA"/>
        </w:rPr>
        <w:t xml:space="preserve"> по разработке новых идей, чем реальный управляющий орган с кругом компетенций. </w:t>
      </w:r>
    </w:p>
    <w:p w14:paraId="4D324FA0"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b/>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Отсутствие стимулирующей политики</w:t>
      </w:r>
    </w:p>
    <w:p w14:paraId="1E257A14" w14:textId="195D3E6A"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bidi="ar-SA"/>
        </w:rPr>
      </w:pPr>
      <w:r w:rsidRPr="004E7E3E">
        <w:rPr>
          <w:rFonts w:ascii="Times New Roman" w:hAnsi="Times New Roman" w:cs="Times New Roman"/>
          <w:sz w:val="24"/>
          <w:szCs w:val="24"/>
          <w:lang w:val="ru-RU" w:bidi="ar-SA"/>
        </w:rPr>
        <w:t xml:space="preserve">Налоговые условия в РФ для финансовых операций как резидентов, так и нерезидентов остаются менее выгодными в сравнении с другими МФЦ и даже странами </w:t>
      </w:r>
      <w:r w:rsidR="000537C1">
        <w:rPr>
          <w:rFonts w:ascii="Times New Roman" w:hAnsi="Times New Roman" w:cs="Times New Roman"/>
          <w:sz w:val="24"/>
          <w:szCs w:val="24"/>
          <w:lang w:val="ru-RU" w:bidi="ar-SA"/>
        </w:rPr>
        <w:t>ЕАЭС</w:t>
      </w:r>
      <w:r w:rsidRPr="004E7E3E">
        <w:rPr>
          <w:rFonts w:ascii="Times New Roman" w:hAnsi="Times New Roman" w:cs="Times New Roman"/>
          <w:sz w:val="24"/>
          <w:szCs w:val="24"/>
          <w:lang w:val="ru-RU" w:bidi="ar-SA"/>
        </w:rPr>
        <w:t xml:space="preserve">. Несмотря на ряд </w:t>
      </w:r>
      <w:r w:rsidRPr="004E7E3E">
        <w:rPr>
          <w:rFonts w:ascii="Times New Roman" w:hAnsi="Times New Roman" w:cs="Times New Roman"/>
          <w:iCs/>
          <w:sz w:val="24"/>
          <w:szCs w:val="24"/>
          <w:lang w:val="ru-RU" w:bidi="ar-SA"/>
        </w:rPr>
        <w:t xml:space="preserve">налоговых изменений, </w:t>
      </w:r>
      <w:r>
        <w:rPr>
          <w:rFonts w:ascii="Times New Roman" w:hAnsi="Times New Roman" w:cs="Times New Roman"/>
          <w:iCs/>
          <w:sz w:val="24"/>
          <w:szCs w:val="24"/>
          <w:lang w:val="ru-RU" w:bidi="ar-SA"/>
        </w:rPr>
        <w:t>внесших</w:t>
      </w:r>
      <w:r w:rsidRPr="004E7E3E">
        <w:rPr>
          <w:rFonts w:ascii="Times New Roman" w:hAnsi="Times New Roman" w:cs="Times New Roman"/>
          <w:sz w:val="24"/>
          <w:szCs w:val="24"/>
          <w:lang w:val="ru-RU" w:bidi="ar-SA"/>
        </w:rPr>
        <w:t xml:space="preserve"> вклад в развитие МФЦ (новые инвестиционные и социальные налоговые кредиты, уточнение порядка налогообложения ряда сделок), в целом, по мнению экспертов, налоговая политика имела характер устранения проблемных мест законодательства, а не создания системы стимулов развития финансового рынка. Налоговое стимулирование распространяется в целом на финансовый рынок. Нет привязки к МФЦ, не предполагается создание специального налогового режима, льгот для нерезидентов, особого режима налогообложения. [</w:t>
      </w:r>
      <w:r w:rsidRPr="004E7E3E">
        <w:rPr>
          <w:rFonts w:ascii="Times New Roman" w:hAnsi="Times New Roman" w:cs="Times New Roman"/>
          <w:sz w:val="24"/>
          <w:szCs w:val="24"/>
          <w:lang w:val="ru-RU" w:bidi="ar-SA"/>
        </w:rPr>
        <w:fldChar w:fldCharType="begin"/>
      </w:r>
      <w:r w:rsidRPr="004E7E3E">
        <w:rPr>
          <w:rFonts w:ascii="Times New Roman" w:hAnsi="Times New Roman" w:cs="Times New Roman"/>
          <w:sz w:val="24"/>
          <w:szCs w:val="24"/>
          <w:lang w:val="ru-RU" w:bidi="ar-SA"/>
        </w:rPr>
        <w:instrText xml:space="preserve"> REF _Ref131438357 \r \h  \* MERGEFORMAT </w:instrText>
      </w:r>
      <w:r w:rsidRPr="004E7E3E">
        <w:rPr>
          <w:rFonts w:ascii="Times New Roman" w:hAnsi="Times New Roman" w:cs="Times New Roman"/>
          <w:sz w:val="24"/>
          <w:szCs w:val="24"/>
          <w:lang w:val="ru-RU" w:bidi="ar-SA"/>
        </w:rPr>
      </w:r>
      <w:r w:rsidRPr="004E7E3E">
        <w:rPr>
          <w:rFonts w:ascii="Times New Roman" w:hAnsi="Times New Roman" w:cs="Times New Roman"/>
          <w:sz w:val="24"/>
          <w:szCs w:val="24"/>
          <w:lang w:val="ru-RU" w:bidi="ar-SA"/>
        </w:rPr>
        <w:fldChar w:fldCharType="separate"/>
      </w:r>
      <w:r w:rsidR="00801D78">
        <w:rPr>
          <w:rFonts w:ascii="Times New Roman" w:hAnsi="Times New Roman" w:cs="Times New Roman"/>
          <w:sz w:val="24"/>
          <w:szCs w:val="24"/>
          <w:lang w:val="ru-RU" w:bidi="ar-SA"/>
        </w:rPr>
        <w:t>134</w:t>
      </w:r>
      <w:r w:rsidRPr="004E7E3E">
        <w:rPr>
          <w:rFonts w:ascii="Times New Roman" w:hAnsi="Times New Roman" w:cs="Times New Roman"/>
          <w:sz w:val="24"/>
          <w:szCs w:val="24"/>
          <w:lang w:val="ru-RU" w:bidi="ar-SA"/>
        </w:rPr>
        <w:fldChar w:fldCharType="end"/>
      </w:r>
      <w:r w:rsidRPr="004E7E3E">
        <w:rPr>
          <w:rFonts w:ascii="Times New Roman" w:hAnsi="Times New Roman" w:cs="Times New Roman"/>
          <w:sz w:val="24"/>
          <w:szCs w:val="24"/>
          <w:lang w:val="ru-RU" w:bidi="ar-SA"/>
        </w:rPr>
        <w:t>, с. 126]</w:t>
      </w:r>
    </w:p>
    <w:p w14:paraId="1EC919A6"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bidi="ar-SA"/>
        </w:rPr>
      </w:pPr>
    </w:p>
    <w:p w14:paraId="23E9BA9E"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b/>
          <w:bCs/>
          <w:sz w:val="24"/>
          <w:szCs w:val="24"/>
          <w:lang w:val="ru-RU"/>
        </w:rPr>
      </w:pPr>
      <w:bookmarkStart w:id="30" w:name="Главатридва"/>
      <w:r w:rsidRPr="004E7E3E">
        <w:rPr>
          <w:rFonts w:ascii="Times New Roman" w:hAnsi="Times New Roman" w:cs="Times New Roman"/>
          <w:b/>
          <w:bCs/>
          <w:sz w:val="24"/>
          <w:szCs w:val="24"/>
          <w:lang w:val="ru-RU"/>
        </w:rPr>
        <w:t>Международный финансовый центр в Москве и рост влияния рубля в качестве резервной региональной валюты</w:t>
      </w:r>
      <w:bookmarkEnd w:id="30"/>
    </w:p>
    <w:p w14:paraId="58A8F38C" w14:textId="77777777" w:rsidR="00DC5025" w:rsidRPr="004E7E3E" w:rsidRDefault="00DC5025" w:rsidP="00DC5025">
      <w:pPr>
        <w:spacing w:before="100" w:beforeAutospacing="1" w:after="100" w:line="360" w:lineRule="auto"/>
        <w:ind w:firstLine="709"/>
        <w:contextualSpacing/>
        <w:rPr>
          <w:rFonts w:ascii="Times New Roman" w:hAnsi="Times New Roman" w:cs="Times New Roman"/>
          <w:sz w:val="24"/>
          <w:szCs w:val="24"/>
          <w:lang w:val="ru-RU"/>
        </w:rPr>
      </w:pPr>
    </w:p>
    <w:p w14:paraId="64942BE2" w14:textId="252825D4"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Хотя тема становления рубля в качестве резервной региональной валюты заслуживает отдельного исследования, в нашей работе мы также не можем обойти её стороной. В речи Дмитрия Анатольевича Медведева, которая внесла создание МФЦ в Москве в повестку дня, говорилось не только про центр, но и про развитие рубля в качестве региональной резервной валюты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_Ref446790712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Создание МФЦ представлял</w:t>
      </w:r>
      <w:r>
        <w:rPr>
          <w:rFonts w:ascii="Times New Roman" w:hAnsi="Times New Roman" w:cs="Times New Roman"/>
          <w:color w:val="000000"/>
          <w:sz w:val="24"/>
          <w:szCs w:val="24"/>
          <w:shd w:val="clear" w:color="auto" w:fill="FFFFFF"/>
          <w:lang w:val="ru-RU"/>
        </w:rPr>
        <w:t>о</w:t>
      </w:r>
      <w:r w:rsidRPr="004E7E3E">
        <w:rPr>
          <w:rFonts w:ascii="Times New Roman" w:hAnsi="Times New Roman" w:cs="Times New Roman"/>
          <w:color w:val="000000"/>
          <w:sz w:val="24"/>
          <w:szCs w:val="24"/>
          <w:shd w:val="clear" w:color="auto" w:fill="FFFFFF"/>
          <w:lang w:val="ru-RU"/>
        </w:rPr>
        <w:t xml:space="preserve">сь </w:t>
      </w:r>
      <w:r>
        <w:rPr>
          <w:rFonts w:ascii="Times New Roman" w:hAnsi="Times New Roman" w:cs="Times New Roman"/>
          <w:color w:val="000000"/>
          <w:sz w:val="24"/>
          <w:szCs w:val="24"/>
          <w:shd w:val="clear" w:color="auto" w:fill="FFFFFF"/>
          <w:lang w:val="ru-RU"/>
        </w:rPr>
        <w:t>в качестве</w:t>
      </w:r>
      <w:r w:rsidRPr="004E7E3E">
        <w:rPr>
          <w:rFonts w:ascii="Times New Roman" w:hAnsi="Times New Roman" w:cs="Times New Roman"/>
          <w:color w:val="000000"/>
          <w:sz w:val="24"/>
          <w:szCs w:val="24"/>
          <w:shd w:val="clear" w:color="auto" w:fill="FFFFFF"/>
          <w:lang w:val="ru-RU"/>
        </w:rPr>
        <w:t xml:space="preserve"> тактическ</w:t>
      </w:r>
      <w:r>
        <w:rPr>
          <w:rFonts w:ascii="Times New Roman" w:hAnsi="Times New Roman" w:cs="Times New Roman"/>
          <w:color w:val="000000"/>
          <w:sz w:val="24"/>
          <w:szCs w:val="24"/>
          <w:shd w:val="clear" w:color="auto" w:fill="FFFFFF"/>
          <w:lang w:val="ru-RU"/>
        </w:rPr>
        <w:t>ой</w:t>
      </w:r>
      <w:r w:rsidRPr="004E7E3E">
        <w:rPr>
          <w:rFonts w:ascii="Times New Roman" w:hAnsi="Times New Roman" w:cs="Times New Roman"/>
          <w:color w:val="000000"/>
          <w:sz w:val="24"/>
          <w:szCs w:val="24"/>
          <w:shd w:val="clear" w:color="auto" w:fill="FFFFFF"/>
          <w:lang w:val="ru-RU"/>
        </w:rPr>
        <w:t xml:space="preserve"> задач</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по отношению к </w:t>
      </w:r>
      <w:r w:rsidRPr="004E7E3E">
        <w:rPr>
          <w:rFonts w:ascii="Times New Roman" w:hAnsi="Times New Roman" w:cs="Times New Roman"/>
          <w:color w:val="000000"/>
          <w:sz w:val="24"/>
          <w:szCs w:val="24"/>
          <w:shd w:val="clear" w:color="auto" w:fill="FFFFFF"/>
          <w:lang w:val="ru-RU"/>
        </w:rPr>
        <w:lastRenderedPageBreak/>
        <w:t>общей стратегии развития финансового сектора и превращения национальной валюты в региональную резервную.</w:t>
      </w:r>
    </w:p>
    <w:p w14:paraId="236457C4" w14:textId="02994E29"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Поясним понятие «резервная валюта». Общепризнанной мировой резервной валютой является доллар. Это даёт ряд преференций американской экономик</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1) экспорт инфляции, 2) покупка мировых активов за национальную валюту, выпуск которой контролируется национальным органами и т. д. Доллар США стал резервной валютой по решени</w:t>
      </w:r>
      <w:r>
        <w:rPr>
          <w:rFonts w:ascii="Times New Roman" w:hAnsi="Times New Roman" w:cs="Times New Roman"/>
          <w:color w:val="000000"/>
          <w:sz w:val="24"/>
          <w:szCs w:val="24"/>
          <w:shd w:val="clear" w:color="auto" w:fill="FFFFFF"/>
          <w:lang w:val="ru-RU"/>
        </w:rPr>
        <w:t>ю конференции ООН в Бреттон-Вудсе</w:t>
      </w:r>
      <w:r w:rsidRPr="004E7E3E">
        <w:rPr>
          <w:rFonts w:ascii="Times New Roman" w:hAnsi="Times New Roman" w:cs="Times New Roman"/>
          <w:color w:val="000000"/>
          <w:sz w:val="24"/>
          <w:szCs w:val="24"/>
          <w:shd w:val="clear" w:color="auto" w:fill="FFFFFF"/>
          <w:lang w:val="ru-RU"/>
        </w:rPr>
        <w:t>. Это формальное решение закрепило фактическое положение вещей, так как США были мировым экономическим лидером и его ВВП составлял половину от мирового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_Ref459295166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263</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Страны-участники конференции договорились ограничивать объём выпуска национальных валют размером их резервов, номинированных в долларах США, который тогда ещё </w:t>
      </w:r>
      <w:r>
        <w:rPr>
          <w:rFonts w:ascii="Times New Roman" w:hAnsi="Times New Roman" w:cs="Times New Roman"/>
          <w:color w:val="000000"/>
          <w:sz w:val="24"/>
          <w:szCs w:val="24"/>
          <w:shd w:val="clear" w:color="auto" w:fill="FFFFFF"/>
          <w:lang w:val="ru-RU"/>
        </w:rPr>
        <w:t>был поддержан золотом</w:t>
      </w:r>
      <w:r w:rsidRPr="004E7E3E">
        <w:rPr>
          <w:rFonts w:ascii="Times New Roman" w:hAnsi="Times New Roman" w:cs="Times New Roman"/>
          <w:color w:val="000000"/>
          <w:sz w:val="24"/>
          <w:szCs w:val="24"/>
          <w:shd w:val="clear" w:color="auto" w:fill="FFFFFF"/>
          <w:lang w:val="ru-RU"/>
        </w:rPr>
        <w:t>. Хотя в 70-х годах ХХ века доллар потерял своё золотое содержание, но резервную функцию не ут</w:t>
      </w:r>
      <w:r>
        <w:rPr>
          <w:rFonts w:ascii="Times New Roman" w:hAnsi="Times New Roman" w:cs="Times New Roman"/>
          <w:color w:val="000000"/>
          <w:sz w:val="24"/>
          <w:szCs w:val="24"/>
          <w:shd w:val="clear" w:color="auto" w:fill="FFFFFF"/>
          <w:lang w:val="ru-RU"/>
        </w:rPr>
        <w:t>ратил</w:t>
      </w:r>
      <w:r w:rsidRPr="004E7E3E">
        <w:rPr>
          <w:rFonts w:ascii="Times New Roman" w:hAnsi="Times New Roman" w:cs="Times New Roman"/>
          <w:color w:val="000000"/>
          <w:sz w:val="24"/>
          <w:szCs w:val="24"/>
          <w:shd w:val="clear" w:color="auto" w:fill="FFFFFF"/>
          <w:lang w:val="ru-RU"/>
        </w:rPr>
        <w:t xml:space="preserve">. Однако его монопольное положение резервной валюты также пошатнулось. </w:t>
      </w:r>
    </w:p>
    <w:p w14:paraId="5B87CBCC" w14:textId="272BAD5F"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Международные валютные рынки способствуют одновременной торговле различными валютами в ведущих финансовых центрах мира. Международные валютные сделки регулируются нормами, устанавливаемыми МВФ. Еврорынки (не путать с рынком евро) включают рынок евровалюты, рынок еврооблигаций, евродолларовые финансовые продукты (фьючерсы, опционы, свопы). Евровалюта (не путать с евро – валютой Европейского союза) – это срочный депозит, находящийся в банке, расположенном за пределами страны, в которой выпускается данная валюта. Евровалюта – это историческое название, так как данный инструмент возник и набрал силу в Европе. Первой подобной валютой были евродоллары, размещённые в английских банках, где они использовались для финансовых операций в континентальной Европе. Евроюани могут размещаться не только в европейских банках. Это любые денежные средства (в данном случае, номинированные в юанях), находящиеся на счетах иностранных (в данном случае – некитайских) банков. Деятельность евровалютного рынка концентрируется на долгосрочных и краткосрочных международных валютных депозитах, крупномасштабном международном кредитовании (синдицированных займах) и межбанковских рыночных операциях. Эти виды деятельности осуществляются международными финансовыми учреждениями, которые рационально и выгодно размещают денежные средства в мировом масштабе. Еврорынки обычно не подчиняются национальным или внутренним правилам, таким как резервные требования и депозитные страховые сборы. По этой причине евробанки – дочерние банки нескольких банков различных стран, не подчиняющиеся банковскому регулированию страны пребывания</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 могут действовать более эффективно и с меньшими издержками, чем внутренние банки. Евробанки и внутренние банки являются конкурентами. В </w:t>
      </w:r>
      <w:r w:rsidRPr="004E7E3E">
        <w:rPr>
          <w:rFonts w:ascii="Times New Roman" w:hAnsi="Times New Roman" w:cs="Times New Roman"/>
          <w:color w:val="000000"/>
          <w:sz w:val="24"/>
          <w:szCs w:val="24"/>
          <w:shd w:val="clear" w:color="auto" w:fill="FFFFFF"/>
          <w:lang w:val="ru-RU"/>
        </w:rPr>
        <w:lastRenderedPageBreak/>
        <w:t>результате этой конкуренции возникает зависимость между процентными ставками на еврорынках и внутренних денежных рынках. Между традиционными международными финансовыми рынками и еврорынками существует тесная взаимосвязь. Когда международный заемщик хочет получить крупную ссуду, которая не может быть предоставлена одним кредитором, выходом может быть синдицированные займы на еврорынках [</w:t>
      </w:r>
      <w:r w:rsidRPr="004E7E3E">
        <w:rPr>
          <w:rFonts w:ascii="Times New Roman" w:hAnsi="Times New Roman" w:cs="Times New Roman"/>
          <w:color w:val="000000"/>
          <w:sz w:val="24"/>
          <w:szCs w:val="24"/>
          <w:shd w:val="clear" w:color="auto" w:fill="FFFFFF"/>
        </w:rPr>
        <w:fldChar w:fldCharType="begin"/>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 xml:space="preserve"> _</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497916899 \</w:instrText>
      </w:r>
      <w:r w:rsidRPr="004E7E3E">
        <w:rPr>
          <w:rFonts w:ascii="Times New Roman" w:hAnsi="Times New Roman" w:cs="Times New Roman"/>
          <w:color w:val="000000"/>
          <w:sz w:val="24"/>
          <w:szCs w:val="24"/>
          <w:shd w:val="clear" w:color="auto" w:fill="FFFFFF"/>
        </w:rPr>
        <w:instrText>r</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h</w:instrText>
      </w:r>
      <w:r w:rsidRPr="004E7E3E">
        <w:rPr>
          <w:rFonts w:ascii="Times New Roman" w:hAnsi="Times New Roman" w:cs="Times New Roman"/>
          <w:color w:val="000000"/>
          <w:sz w:val="24"/>
          <w:szCs w:val="24"/>
          <w:shd w:val="clear" w:color="auto" w:fill="FFFFFF"/>
          <w:lang w:val="ru-RU"/>
        </w:rPr>
        <w:instrText xml:space="preserve">  \* </w:instrText>
      </w:r>
      <w:r w:rsidRPr="004E7E3E">
        <w:rPr>
          <w:rFonts w:ascii="Times New Roman" w:hAnsi="Times New Roman" w:cs="Times New Roman"/>
          <w:color w:val="000000"/>
          <w:sz w:val="24"/>
          <w:szCs w:val="24"/>
          <w:shd w:val="clear" w:color="auto" w:fill="FFFFFF"/>
        </w:rPr>
        <w:instrText>MERGEFORMAT</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r>
      <w:r w:rsidRPr="004E7E3E">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102</w:t>
      </w:r>
      <w:r w:rsidRPr="004E7E3E">
        <w:rPr>
          <w:rFonts w:ascii="Times New Roman" w:hAnsi="Times New Roman" w:cs="Times New Roman"/>
          <w:color w:val="000000"/>
          <w:sz w:val="24"/>
          <w:szCs w:val="24"/>
          <w:shd w:val="clear" w:color="auto" w:fill="FFFFFF"/>
        </w:rPr>
        <w:fldChar w:fldCharType="end"/>
      </w:r>
      <w:r w:rsidRPr="004E7E3E">
        <w:rPr>
          <w:rFonts w:ascii="Times New Roman" w:hAnsi="Times New Roman" w:cs="Times New Roman"/>
          <w:color w:val="000000"/>
          <w:sz w:val="24"/>
          <w:szCs w:val="24"/>
          <w:shd w:val="clear" w:color="auto" w:fill="FFFFFF"/>
          <w:lang w:val="ru-RU"/>
        </w:rPr>
        <w:t>, с. 229-230]</w:t>
      </w:r>
      <w:r>
        <w:rPr>
          <w:rFonts w:ascii="Times New Roman" w:hAnsi="Times New Roman" w:cs="Times New Roman"/>
          <w:color w:val="000000"/>
          <w:sz w:val="24"/>
          <w:szCs w:val="24"/>
          <w:shd w:val="clear" w:color="auto" w:fill="FFFFFF"/>
          <w:lang w:val="ru-RU"/>
        </w:rPr>
        <w:t>.</w:t>
      </w:r>
    </w:p>
    <w:p w14:paraId="03A249E6" w14:textId="07B5955C"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Длительное время основными мировыми торговыми валютами были американский доллар и фунт стерлингов. До сих </w:t>
      </w:r>
      <w:r>
        <w:rPr>
          <w:rFonts w:ascii="Times New Roman" w:hAnsi="Times New Roman" w:cs="Times New Roman"/>
          <w:color w:val="000000"/>
          <w:sz w:val="24"/>
          <w:szCs w:val="24"/>
          <w:shd w:val="clear" w:color="auto" w:fill="FFFFFF"/>
          <w:lang w:val="ru-RU"/>
        </w:rPr>
        <w:t xml:space="preserve">пор </w:t>
      </w:r>
      <w:r w:rsidRPr="004E7E3E">
        <w:rPr>
          <w:rFonts w:ascii="Times New Roman" w:hAnsi="Times New Roman" w:cs="Times New Roman"/>
          <w:color w:val="000000"/>
          <w:sz w:val="24"/>
          <w:szCs w:val="24"/>
          <w:shd w:val="clear" w:color="auto" w:fill="FFFFFF"/>
          <w:lang w:val="ru-RU"/>
        </w:rPr>
        <w:t xml:space="preserve">некоторые виды товаров торгуются исключительно в долларах (например, нефть) или фунт стерлингов (рынок алмазов). В </w:t>
      </w:r>
      <w:r w:rsidRPr="004E7E3E">
        <w:rPr>
          <w:rFonts w:ascii="Times New Roman" w:hAnsi="Times New Roman" w:cs="Times New Roman"/>
          <w:color w:val="000000"/>
          <w:sz w:val="24"/>
          <w:szCs w:val="24"/>
          <w:shd w:val="clear" w:color="auto" w:fill="FFFFFF"/>
        </w:rPr>
        <w:t>XX</w:t>
      </w:r>
      <w:r w:rsidRPr="004E7E3E">
        <w:rPr>
          <w:rFonts w:ascii="Times New Roman" w:hAnsi="Times New Roman" w:cs="Times New Roman"/>
          <w:color w:val="000000"/>
          <w:sz w:val="24"/>
          <w:szCs w:val="24"/>
          <w:shd w:val="clear" w:color="auto" w:fill="FFFFFF"/>
          <w:lang w:val="ru-RU"/>
        </w:rPr>
        <w:t xml:space="preserve"> веке на арену вышли йена и немецкая марка, а в конце </w:t>
      </w:r>
      <w:r>
        <w:rPr>
          <w:rFonts w:ascii="Times New Roman" w:hAnsi="Times New Roman" w:cs="Times New Roman"/>
          <w:color w:val="000000"/>
          <w:sz w:val="24"/>
          <w:szCs w:val="24"/>
          <w:shd w:val="clear" w:color="auto" w:fill="FFFFFF"/>
          <w:lang w:val="ru-RU"/>
        </w:rPr>
        <w:t xml:space="preserve">ХХ </w:t>
      </w:r>
      <w:r w:rsidRPr="004E7E3E">
        <w:rPr>
          <w:rFonts w:ascii="Times New Roman" w:hAnsi="Times New Roman" w:cs="Times New Roman"/>
          <w:color w:val="000000"/>
          <w:sz w:val="24"/>
          <w:szCs w:val="24"/>
          <w:shd w:val="clear" w:color="auto" w:fill="FFFFFF"/>
          <w:lang w:val="ru-RU"/>
        </w:rPr>
        <w:t xml:space="preserve">– начале </w:t>
      </w:r>
      <w:r w:rsidRPr="004E7E3E">
        <w:rPr>
          <w:rFonts w:ascii="Times New Roman" w:hAnsi="Times New Roman" w:cs="Times New Roman"/>
          <w:color w:val="000000"/>
          <w:sz w:val="24"/>
          <w:szCs w:val="24"/>
          <w:shd w:val="clear" w:color="auto" w:fill="FFFFFF"/>
        </w:rPr>
        <w:t>XXI</w:t>
      </w:r>
      <w:r w:rsidRPr="004E7E3E">
        <w:rPr>
          <w:rFonts w:ascii="Times New Roman" w:hAnsi="Times New Roman" w:cs="Times New Roman"/>
          <w:color w:val="000000"/>
          <w:sz w:val="24"/>
          <w:szCs w:val="24"/>
          <w:shd w:val="clear" w:color="auto" w:fill="FFFFFF"/>
          <w:lang w:val="ru-RU"/>
        </w:rPr>
        <w:t xml:space="preserve"> века – евр</w:t>
      </w:r>
      <w:r w:rsidRPr="00616E38">
        <w:rPr>
          <w:rFonts w:ascii="Times New Roman" w:hAnsi="Times New Roman" w:cs="Times New Roman"/>
          <w:color w:val="000000"/>
          <w:sz w:val="24"/>
          <w:szCs w:val="24"/>
          <w:shd w:val="clear" w:color="auto" w:fill="FFFFFF"/>
          <w:lang w:val="ru-RU"/>
        </w:rPr>
        <w:t>о. Появление евро реализовало второй способ создания</w:t>
      </w:r>
      <w:r w:rsidRPr="004E7E3E">
        <w:rPr>
          <w:rFonts w:ascii="Times New Roman" w:hAnsi="Times New Roman" w:cs="Times New Roman"/>
          <w:color w:val="000000"/>
          <w:sz w:val="24"/>
          <w:szCs w:val="24"/>
          <w:shd w:val="clear" w:color="auto" w:fill="FFFFFF"/>
          <w:lang w:val="ru-RU"/>
        </w:rPr>
        <w:t xml:space="preserve"> резервной валюты</w:t>
      </w:r>
      <w:r>
        <w:rPr>
          <w:rFonts w:ascii="Times New Roman" w:hAnsi="Times New Roman" w:cs="Times New Roman"/>
          <w:color w:val="000000"/>
          <w:sz w:val="24"/>
          <w:szCs w:val="24"/>
          <w:shd w:val="clear" w:color="auto" w:fill="FFFFFF"/>
          <w:lang w:val="ru-RU"/>
        </w:rPr>
        <w:t>, а</w:t>
      </w:r>
      <w:r w:rsidRPr="004E7E3E">
        <w:rPr>
          <w:rFonts w:ascii="Times New Roman" w:hAnsi="Times New Roman" w:cs="Times New Roman"/>
          <w:color w:val="000000"/>
          <w:sz w:val="24"/>
          <w:szCs w:val="24"/>
          <w:shd w:val="clear" w:color="auto" w:fill="FFFFFF"/>
          <w:lang w:val="ru-RU"/>
        </w:rPr>
        <w:t xml:space="preserve"> именно страны договорились, что их национальные валюты заменит другая когерентная валюта, которая является суммой всех валют, которые она объединяет, но в результате синергетического эффекта целое становится больше суммы отдельных частей. Сегодня, по данным Европейского центрального банка, в глобальных расчетах около 50% приходится на американский доллар, порядка 25%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на евро, 3%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на фунт стерлингов и 2,5%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на японскую иену. [</w:t>
      </w:r>
      <w:r w:rsidRPr="004E7E3E">
        <w:rPr>
          <w:rFonts w:ascii="Times New Roman" w:hAnsi="Times New Roman" w:cs="Times New Roman"/>
          <w:color w:val="000000"/>
          <w:sz w:val="24"/>
          <w:szCs w:val="24"/>
          <w:shd w:val="clear" w:color="auto" w:fill="FFFFFF"/>
        </w:rPr>
        <w:fldChar w:fldCharType="begin"/>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 xml:space="preserve"> _</w:instrText>
      </w:r>
      <w:r w:rsidRPr="004E7E3E">
        <w:rPr>
          <w:rFonts w:ascii="Times New Roman" w:hAnsi="Times New Roman" w:cs="Times New Roman"/>
          <w:color w:val="000000"/>
          <w:sz w:val="24"/>
          <w:szCs w:val="24"/>
          <w:shd w:val="clear" w:color="auto" w:fill="FFFFFF"/>
        </w:rPr>
        <w:instrText>Ref</w:instrText>
      </w:r>
      <w:r w:rsidRPr="004E7E3E">
        <w:rPr>
          <w:rFonts w:ascii="Times New Roman" w:hAnsi="Times New Roman" w:cs="Times New Roman"/>
          <w:color w:val="000000"/>
          <w:sz w:val="24"/>
          <w:szCs w:val="24"/>
          <w:shd w:val="clear" w:color="auto" w:fill="FFFFFF"/>
          <w:lang w:val="ru-RU"/>
        </w:rPr>
        <w:instrText>498678948 \</w:instrText>
      </w:r>
      <w:r w:rsidRPr="004E7E3E">
        <w:rPr>
          <w:rFonts w:ascii="Times New Roman" w:hAnsi="Times New Roman" w:cs="Times New Roman"/>
          <w:color w:val="000000"/>
          <w:sz w:val="24"/>
          <w:szCs w:val="24"/>
          <w:shd w:val="clear" w:color="auto" w:fill="FFFFFF"/>
        </w:rPr>
        <w:instrText>r</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instrText>h</w:instrText>
      </w:r>
      <w:r w:rsidRPr="004E7E3E">
        <w:rPr>
          <w:rFonts w:ascii="Times New Roman" w:hAnsi="Times New Roman" w:cs="Times New Roman"/>
          <w:color w:val="000000"/>
          <w:sz w:val="24"/>
          <w:szCs w:val="24"/>
          <w:shd w:val="clear" w:color="auto" w:fill="FFFFFF"/>
          <w:lang w:val="ru-RU"/>
        </w:rPr>
        <w:instrText xml:space="preserve">  \* </w:instrText>
      </w:r>
      <w:r w:rsidRPr="004E7E3E">
        <w:rPr>
          <w:rFonts w:ascii="Times New Roman" w:hAnsi="Times New Roman" w:cs="Times New Roman"/>
          <w:color w:val="000000"/>
          <w:sz w:val="24"/>
          <w:szCs w:val="24"/>
          <w:shd w:val="clear" w:color="auto" w:fill="FFFFFF"/>
        </w:rPr>
        <w:instrText>MERGEFORMAT</w:instrText>
      </w:r>
      <w:r w:rsidRPr="004E7E3E">
        <w:rPr>
          <w:rFonts w:ascii="Times New Roman" w:hAnsi="Times New Roman" w:cs="Times New Roman"/>
          <w:color w:val="000000"/>
          <w:sz w:val="24"/>
          <w:szCs w:val="24"/>
          <w:shd w:val="clear" w:color="auto" w:fill="FFFFFF"/>
          <w:lang w:val="ru-RU"/>
        </w:rPr>
        <w:instrText xml:space="preserve"> </w:instrText>
      </w:r>
      <w:r w:rsidRPr="004E7E3E">
        <w:rPr>
          <w:rFonts w:ascii="Times New Roman" w:hAnsi="Times New Roman" w:cs="Times New Roman"/>
          <w:color w:val="000000"/>
          <w:sz w:val="24"/>
          <w:szCs w:val="24"/>
          <w:shd w:val="clear" w:color="auto" w:fill="FFFFFF"/>
        </w:rPr>
      </w:r>
      <w:r w:rsidRPr="004E7E3E">
        <w:rPr>
          <w:rFonts w:ascii="Times New Roman" w:hAnsi="Times New Roman" w:cs="Times New Roman"/>
          <w:color w:val="000000"/>
          <w:sz w:val="24"/>
          <w:szCs w:val="24"/>
          <w:shd w:val="clear" w:color="auto" w:fill="FFFFFF"/>
        </w:rPr>
        <w:fldChar w:fldCharType="separate"/>
      </w:r>
      <w:r w:rsidR="00801D78" w:rsidRPr="00801D78">
        <w:rPr>
          <w:rFonts w:ascii="Times New Roman" w:hAnsi="Times New Roman" w:cs="Times New Roman"/>
          <w:color w:val="000000"/>
          <w:sz w:val="24"/>
          <w:szCs w:val="24"/>
          <w:shd w:val="clear" w:color="auto" w:fill="FFFFFF"/>
          <w:lang w:val="ru-RU"/>
        </w:rPr>
        <w:t>172</w:t>
      </w:r>
      <w:r w:rsidRPr="004E7E3E">
        <w:rPr>
          <w:rFonts w:ascii="Times New Roman" w:hAnsi="Times New Roman" w:cs="Times New Roman"/>
          <w:color w:val="000000"/>
          <w:sz w:val="24"/>
          <w:szCs w:val="24"/>
          <w:shd w:val="clear" w:color="auto" w:fill="FFFFFF"/>
        </w:rPr>
        <w:fldChar w:fldCharType="end"/>
      </w:r>
      <w:r w:rsidRPr="004E7E3E">
        <w:rPr>
          <w:rFonts w:ascii="Times New Roman" w:hAnsi="Times New Roman" w:cs="Times New Roman"/>
          <w:color w:val="000000"/>
          <w:sz w:val="24"/>
          <w:szCs w:val="24"/>
          <w:shd w:val="clear" w:color="auto" w:fill="FFFFFF"/>
          <w:lang w:val="ru-RU"/>
        </w:rPr>
        <w:t>, с. 26]</w:t>
      </w:r>
    </w:p>
    <w:p w14:paraId="03F9A88B" w14:textId="4EFE0A90"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Бóльшая доля российской внешней торговли также осуществляется в долларах и евро. По экспертным оценкам, в долларах оплачивается 80-85% национального экспорта и 40% импорта, в евро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40–45% импорта. На рубль приходится 3–5% внешнеторговых расчетов. Рубль, относящийся в настоящее время к числу внутренних валют, обращается главным образом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пределах своей страны. В последнее время, однако, наметилась тенденция постепенного наращивания объемов торговли рублем за рубежом. Основные обороты приходятся на базирующуюся в Лондоне междиллерскую систему валютного рынка ЕВS (Electronic Brok</w:t>
      </w:r>
      <w:r w:rsidRPr="004E7E3E">
        <w:rPr>
          <w:rFonts w:ascii="Times New Roman" w:hAnsi="Times New Roman" w:cs="Times New Roman"/>
          <w:color w:val="000000"/>
          <w:sz w:val="24"/>
          <w:szCs w:val="24"/>
          <w:shd w:val="clear" w:color="auto" w:fill="FFFFFF"/>
        </w:rPr>
        <w:t>ing</w:t>
      </w:r>
      <w:r w:rsidRPr="004E7E3E">
        <w:rPr>
          <w:rFonts w:ascii="Times New Roman" w:hAnsi="Times New Roman" w:cs="Times New Roman"/>
          <w:color w:val="000000"/>
          <w:sz w:val="24"/>
          <w:szCs w:val="24"/>
          <w:shd w:val="clear" w:color="auto" w:fill="FFFFFF"/>
          <w:lang w:val="ru-RU"/>
        </w:rPr>
        <w:t xml:space="preserve"> Service), которая является одной из лидирующих электронных систем для валютной торговли. Хотя объем сделок с рублем на зарубежных площадках пока невелик, сам факт развития международного оборота рубля свидетельствует о растущем интересе в мире к российской валюте. По данным ММВБ, в 2010 г. в мировых валютных резервах доля российского рубля составляла примерно 5%, </w:t>
      </w:r>
      <w:r>
        <w:rPr>
          <w:rFonts w:ascii="Times New Roman" w:hAnsi="Times New Roman" w:cs="Times New Roman"/>
          <w:color w:val="000000"/>
          <w:sz w:val="24"/>
          <w:szCs w:val="24"/>
          <w:shd w:val="clear" w:color="auto" w:fill="FFFFFF"/>
          <w:lang w:val="ru-RU"/>
        </w:rPr>
        <w:t xml:space="preserve">а </w:t>
      </w:r>
      <w:r w:rsidRPr="004E7E3E">
        <w:rPr>
          <w:rFonts w:ascii="Times New Roman" w:hAnsi="Times New Roman" w:cs="Times New Roman"/>
          <w:color w:val="000000"/>
          <w:sz w:val="24"/>
          <w:szCs w:val="24"/>
          <w:shd w:val="clear" w:color="auto" w:fill="FFFFFF"/>
          <w:lang w:val="ru-RU"/>
        </w:rPr>
        <w:t xml:space="preserve">рублевых облигаций </w:t>
      </w:r>
      <w:r>
        <w:rPr>
          <w:rFonts w:ascii="Times New Roman" w:hAnsi="Times New Roman" w:cs="Times New Roman"/>
          <w:color w:val="000000"/>
          <w:sz w:val="24"/>
          <w:szCs w:val="24"/>
          <w:shd w:val="clear" w:color="auto" w:fill="FFFFFF"/>
          <w:lang w:val="ru-RU"/>
        </w:rPr>
        <w:t xml:space="preserve">было </w:t>
      </w:r>
      <w:r w:rsidRPr="004E7E3E">
        <w:rPr>
          <w:rFonts w:ascii="Times New Roman" w:hAnsi="Times New Roman" w:cs="Times New Roman"/>
          <w:color w:val="000000"/>
          <w:sz w:val="24"/>
          <w:szCs w:val="24"/>
          <w:shd w:val="clear" w:color="auto" w:fill="FFFFFF"/>
          <w:lang w:val="ru-RU"/>
        </w:rPr>
        <w:t>выпущено более чем на 4 млрд долл. На расчеты с Белоруссией в российских рублях приходилось около 85% платежного оборота РФ, со странами Е</w:t>
      </w:r>
      <w:r w:rsidR="002F50A0">
        <w:rPr>
          <w:rFonts w:ascii="Times New Roman" w:hAnsi="Times New Roman" w:cs="Times New Roman"/>
          <w:color w:val="000000"/>
          <w:sz w:val="24"/>
          <w:szCs w:val="24"/>
          <w:shd w:val="clear" w:color="auto" w:fill="FFFFFF"/>
          <w:lang w:val="ru-RU"/>
        </w:rPr>
        <w:t>АЭС</w:t>
      </w:r>
      <w:r w:rsidRPr="004E7E3E">
        <w:rPr>
          <w:rFonts w:ascii="Times New Roman" w:hAnsi="Times New Roman" w:cs="Times New Roman"/>
          <w:color w:val="000000"/>
          <w:sz w:val="24"/>
          <w:szCs w:val="24"/>
          <w:shd w:val="clear" w:color="auto" w:fill="FFFFFF"/>
          <w:lang w:val="ru-RU"/>
        </w:rPr>
        <w:t xml:space="preserve"> – 40%, с Казахстаном – менее 1%. На российских биржах валютообменные операции «российский рубль – валюты СНГ» нерегулярны. Для стимулирования роста такого оборота с ноября 2009 г. реализуется проект интегрированного валютного рынка ММВБ</w:t>
      </w:r>
      <w:r w:rsidRPr="004E7E3E">
        <w:rPr>
          <w:rFonts w:ascii="Times New Roman" w:hAnsi="Times New Roman" w:cs="Times New Roman"/>
          <w:color w:val="000000"/>
          <w:sz w:val="24"/>
          <w:szCs w:val="24"/>
          <w:shd w:val="clear" w:color="auto" w:fill="FFFFFF"/>
          <w:lang w:val="ru-RU"/>
        </w:rPr>
        <w:noBreakHyphen/>
        <w:t>Московская биржа по торговле мягкими валютами. В октябре 2010 г. создан Межведомственный совет по повышению роли рубля в международных расчетах, в том числе путем поощрения отхода от американского доллара. Так</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Банк России и Народный банк Китая </w:t>
      </w:r>
      <w:r w:rsidRPr="004E7E3E">
        <w:rPr>
          <w:rFonts w:ascii="Times New Roman" w:hAnsi="Times New Roman" w:cs="Times New Roman"/>
          <w:color w:val="000000"/>
          <w:sz w:val="24"/>
          <w:szCs w:val="24"/>
          <w:shd w:val="clear" w:color="auto" w:fill="FFFFFF"/>
          <w:lang w:val="ru-RU"/>
        </w:rPr>
        <w:lastRenderedPageBreak/>
        <w:t>заключили договор о взаиморасчетах в национальных валютах при проведении сделок между двумя сторонами с целью нарастить объемы расчетов в национальной валюте обеих стран и снизить роль доллара как валюты расчетных операций в международных отношениях [</w:t>
      </w:r>
      <w:r w:rsidRPr="004E7E3E">
        <w:rPr>
          <w:rFonts w:ascii="Times New Roman" w:hAnsi="Times New Roman" w:cs="Times New Roman"/>
          <w:color w:val="000000"/>
          <w:sz w:val="24"/>
          <w:szCs w:val="24"/>
          <w:shd w:val="clear" w:color="auto" w:fill="FFFFFF"/>
          <w:lang w:val="ru-RU"/>
        </w:rPr>
        <w:fldChar w:fldCharType="begin"/>
      </w:r>
      <w:r w:rsidRPr="004E7E3E">
        <w:rPr>
          <w:rFonts w:ascii="Times New Roman" w:hAnsi="Times New Roman" w:cs="Times New Roman"/>
          <w:color w:val="000000"/>
          <w:sz w:val="24"/>
          <w:szCs w:val="24"/>
          <w:shd w:val="clear" w:color="auto" w:fill="FFFFFF"/>
          <w:lang w:val="ru-RU"/>
        </w:rPr>
        <w:instrText xml:space="preserve"> REF _Ref497916899 \r \h  \* MERGEFORMAT </w:instrText>
      </w:r>
      <w:r w:rsidRPr="004E7E3E">
        <w:rPr>
          <w:rFonts w:ascii="Times New Roman" w:hAnsi="Times New Roman" w:cs="Times New Roman"/>
          <w:color w:val="000000"/>
          <w:sz w:val="24"/>
          <w:szCs w:val="24"/>
          <w:shd w:val="clear" w:color="auto" w:fill="FFFFFF"/>
          <w:lang w:val="ru-RU"/>
        </w:rPr>
      </w:r>
      <w:r w:rsidRPr="004E7E3E">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102</w:t>
      </w:r>
      <w:r w:rsidRPr="004E7E3E">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 xml:space="preserve"> , </w:t>
      </w:r>
      <w:r w:rsidRPr="004E7E3E">
        <w:rPr>
          <w:rFonts w:ascii="Times New Roman" w:hAnsi="Times New Roman" w:cs="Times New Roman"/>
          <w:color w:val="000000"/>
          <w:sz w:val="24"/>
          <w:szCs w:val="24"/>
          <w:shd w:val="clear" w:color="auto" w:fill="FFFFFF"/>
        </w:rPr>
        <w:t>c</w:t>
      </w:r>
      <w:r w:rsidRPr="004E7E3E">
        <w:rPr>
          <w:rFonts w:ascii="Times New Roman" w:hAnsi="Times New Roman" w:cs="Times New Roman"/>
          <w:color w:val="000000"/>
          <w:sz w:val="24"/>
          <w:szCs w:val="24"/>
          <w:shd w:val="clear" w:color="auto" w:fill="FFFFFF"/>
          <w:lang w:val="ru-RU"/>
        </w:rPr>
        <w:t>. 217]</w:t>
      </w:r>
      <w:r>
        <w:rPr>
          <w:rFonts w:ascii="Times New Roman" w:hAnsi="Times New Roman" w:cs="Times New Roman"/>
          <w:color w:val="000000"/>
          <w:sz w:val="24"/>
          <w:szCs w:val="24"/>
          <w:shd w:val="clear" w:color="auto" w:fill="FFFFFF"/>
          <w:lang w:val="ru-RU"/>
        </w:rPr>
        <w:t>.</w:t>
      </w:r>
    </w:p>
    <w:p w14:paraId="1BC38183" w14:textId="77777777" w:rsidR="00DC5025"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Многие эксперты рекомендуют на первоначальном этапе по становлению рубля как резервной валюты ориентироваться на страны СНГ, так как российские товары, кроме сырьевых, конкурентны именно на этой территории. Но в данной стратегии есть свои ограничения. Выделяют три основные причины создания запасов резервной валюты: 1) необходимость в проведении платежей при активной торговой политик</w:t>
      </w:r>
      <w:r>
        <w:rPr>
          <w:rFonts w:ascii="Times New Roman" w:hAnsi="Times New Roman" w:cs="Times New Roman"/>
          <w:color w:val="000000"/>
          <w:sz w:val="24"/>
          <w:szCs w:val="24"/>
          <w:shd w:val="clear" w:color="auto" w:fill="FFFFFF"/>
          <w:lang w:val="ru-RU"/>
        </w:rPr>
        <w:t>е</w:t>
      </w:r>
      <w:r w:rsidRPr="004E7E3E">
        <w:rPr>
          <w:rFonts w:ascii="Times New Roman" w:hAnsi="Times New Roman" w:cs="Times New Roman"/>
          <w:color w:val="000000"/>
          <w:sz w:val="24"/>
          <w:szCs w:val="24"/>
          <w:shd w:val="clear" w:color="auto" w:fill="FFFFFF"/>
          <w:lang w:val="ru-RU"/>
        </w:rPr>
        <w:t>, 2) в случае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если национальная валюта не может выполнять некоторых функции денег (например, слишком высокая инфляция не позволяет валюте быть средством накопления или ограниченная конвертируемость не позволяет выполнять функцию платёжного средства), 3) при выделении кредита одной страной другой кредит часто номинируется в национальной валюте, или это может быть товарный кредит, но также с ценами, зафиксированными в национальной валюте. </w:t>
      </w:r>
    </w:p>
    <w:p w14:paraId="364C4E17"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В связи с этим можно выделить следующие ограничения по превращению рубля в резервную валюту:</w:t>
      </w:r>
    </w:p>
    <w:p w14:paraId="285C977B"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Относительно низкие объёмы товарооборота рынка СНГ.</w:t>
      </w:r>
      <w:r w:rsidRPr="004E7E3E">
        <w:rPr>
          <w:rFonts w:ascii="Times New Roman" w:hAnsi="Times New Roman" w:cs="Times New Roman"/>
          <w:color w:val="000000"/>
          <w:sz w:val="24"/>
          <w:szCs w:val="24"/>
          <w:shd w:val="clear" w:color="auto" w:fill="FFFFFF"/>
          <w:lang w:val="ru-RU"/>
        </w:rPr>
        <w:t xml:space="preserve"> В рамках региона активным торговым балансом могут похвастаться только 3 экономики: Казахстан, Беларусь, Азербайджан. Это значительно сокращает возможности региональной резервной валюты. </w:t>
      </w:r>
    </w:p>
    <w:p w14:paraId="032C1C55"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Сырьевая ориентированность экспорта стран региона СНГ, цены на который даются в долларах.</w:t>
      </w:r>
      <w:r w:rsidRPr="004E7E3E">
        <w:rPr>
          <w:rFonts w:ascii="Times New Roman" w:hAnsi="Times New Roman" w:cs="Times New Roman"/>
          <w:color w:val="000000"/>
          <w:sz w:val="24"/>
          <w:szCs w:val="24"/>
          <w:shd w:val="clear" w:color="auto" w:fill="FFFFFF"/>
          <w:lang w:val="ru-RU"/>
        </w:rPr>
        <w:t xml:space="preserve"> Курс рубля сильно зависит от цены на нефть</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это своеобразный дериватив на нефть. Как вариант</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рубль можно использовать в резерве именно как производное от цены на нефть, но только несырьевыми экономиками. </w:t>
      </w:r>
    </w:p>
    <w:p w14:paraId="4E47A9C4"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b/>
          <w:color w:val="000000"/>
          <w:sz w:val="24"/>
          <w:szCs w:val="24"/>
          <w:shd w:val="clear" w:color="auto" w:fill="FFFFFF"/>
          <w:lang w:val="ru-RU"/>
        </w:rPr>
        <w:t>Развитие системы двусторонних внешнеторговых контрактов только на взаимных условиях.</w:t>
      </w:r>
      <w:r w:rsidRPr="004E7E3E">
        <w:rPr>
          <w:rFonts w:ascii="Times New Roman" w:hAnsi="Times New Roman" w:cs="Times New Roman"/>
          <w:color w:val="000000"/>
          <w:sz w:val="24"/>
          <w:szCs w:val="24"/>
          <w:shd w:val="clear" w:color="auto" w:fill="FFFFFF"/>
          <w:lang w:val="ru-RU"/>
        </w:rPr>
        <w:t xml:space="preserve"> Часто </w:t>
      </w:r>
      <w:r>
        <w:rPr>
          <w:rFonts w:ascii="Times New Roman" w:hAnsi="Times New Roman" w:cs="Times New Roman"/>
          <w:color w:val="000000"/>
          <w:sz w:val="24"/>
          <w:szCs w:val="24"/>
          <w:shd w:val="clear" w:color="auto" w:fill="FFFFFF"/>
          <w:lang w:val="ru-RU"/>
        </w:rPr>
        <w:t>можно услышать</w:t>
      </w:r>
      <w:r w:rsidRPr="004E7E3E">
        <w:rPr>
          <w:rFonts w:ascii="Times New Roman" w:hAnsi="Times New Roman" w:cs="Times New Roman"/>
          <w:color w:val="000000"/>
          <w:sz w:val="24"/>
          <w:szCs w:val="24"/>
          <w:shd w:val="clear" w:color="auto" w:fill="FFFFFF"/>
          <w:lang w:val="ru-RU"/>
        </w:rPr>
        <w:t xml:space="preserve"> советы развивать двустороннюю торговлю в национальной валюте и создавать резервы. В первую очередь в качестве второй стороны называют Китай. Но вторая сторона будет создавать резерв только в двустороннем порядке, и размер е</w:t>
      </w:r>
      <w:r>
        <w:rPr>
          <w:rFonts w:ascii="Times New Roman" w:hAnsi="Times New Roman" w:cs="Times New Roman"/>
          <w:color w:val="000000"/>
          <w:sz w:val="24"/>
          <w:szCs w:val="24"/>
          <w:shd w:val="clear" w:color="auto" w:fill="FFFFFF"/>
          <w:lang w:val="ru-RU"/>
        </w:rPr>
        <w:t>го</w:t>
      </w:r>
      <w:r w:rsidRPr="004E7E3E">
        <w:rPr>
          <w:rFonts w:ascii="Times New Roman" w:hAnsi="Times New Roman" w:cs="Times New Roman"/>
          <w:color w:val="000000"/>
          <w:sz w:val="24"/>
          <w:szCs w:val="24"/>
          <w:shd w:val="clear" w:color="auto" w:fill="FFFFFF"/>
          <w:lang w:val="ru-RU"/>
        </w:rPr>
        <w:t xml:space="preserve"> будет определяться не долей в золотовалютных запасах, а валовой величиной.</w:t>
      </w:r>
    </w:p>
    <w:p w14:paraId="2E48A996"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Хотя российское руководство уже несколько раз пыталось проводить мероприятия, целью которых было повышение формального статуса рубля до мировой валюты</w:t>
      </w:r>
      <w:r>
        <w:rPr>
          <w:rFonts w:ascii="Times New Roman" w:hAnsi="Times New Roman" w:cs="Times New Roman"/>
          <w:color w:val="000000"/>
          <w:sz w:val="24"/>
          <w:szCs w:val="24"/>
          <w:shd w:val="clear" w:color="auto" w:fill="FFFFFF"/>
          <w:lang w:val="ru-RU"/>
        </w:rPr>
        <w:t>, н</w:t>
      </w:r>
      <w:r w:rsidRPr="004E7E3E">
        <w:rPr>
          <w:rFonts w:ascii="Times New Roman" w:hAnsi="Times New Roman" w:cs="Times New Roman"/>
          <w:color w:val="000000"/>
          <w:sz w:val="24"/>
          <w:szCs w:val="24"/>
          <w:shd w:val="clear" w:color="auto" w:fill="FFFFFF"/>
          <w:lang w:val="ru-RU"/>
        </w:rPr>
        <w:t xml:space="preserve">ужно признать, что пока попытки не увенчались успехом. </w:t>
      </w:r>
    </w:p>
    <w:p w14:paraId="349EA0C1" w14:textId="654492EF"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Мы не будем дальше углубляться в тему становления рубля в качестве региональной резервной валюты. Она заслуживает отдельного исследования. Наметим лишь </w:t>
      </w:r>
      <w:r w:rsidRPr="004E7E3E">
        <w:rPr>
          <w:rFonts w:ascii="Times New Roman" w:hAnsi="Times New Roman" w:cs="Times New Roman"/>
          <w:b/>
          <w:color w:val="000000"/>
          <w:sz w:val="24"/>
          <w:szCs w:val="24"/>
          <w:shd w:val="clear" w:color="auto" w:fill="FFFFFF"/>
          <w:lang w:val="ru-RU"/>
        </w:rPr>
        <w:t>методы решения данно</w:t>
      </w:r>
      <w:r>
        <w:rPr>
          <w:rFonts w:ascii="Times New Roman" w:hAnsi="Times New Roman" w:cs="Times New Roman"/>
          <w:b/>
          <w:color w:val="000000"/>
          <w:sz w:val="24"/>
          <w:szCs w:val="24"/>
          <w:shd w:val="clear" w:color="auto" w:fill="FFFFFF"/>
          <w:lang w:val="ru-RU"/>
        </w:rPr>
        <w:t>й проблемы</w:t>
      </w:r>
      <w:r w:rsidRPr="004E7E3E">
        <w:rPr>
          <w:rFonts w:ascii="Times New Roman" w:hAnsi="Times New Roman" w:cs="Times New Roman"/>
          <w:color w:val="000000"/>
          <w:sz w:val="24"/>
          <w:szCs w:val="24"/>
          <w:shd w:val="clear" w:color="auto" w:fill="FFFFFF"/>
          <w:lang w:val="ru-RU"/>
        </w:rPr>
        <w:t xml:space="preserve">. Во-первых, несмотря на все сложности современной политической </w:t>
      </w:r>
      <w:r w:rsidRPr="004E7E3E">
        <w:rPr>
          <w:rFonts w:ascii="Times New Roman" w:hAnsi="Times New Roman" w:cs="Times New Roman"/>
          <w:color w:val="000000"/>
          <w:sz w:val="24"/>
          <w:szCs w:val="24"/>
          <w:shd w:val="clear" w:color="auto" w:fill="FFFFFF"/>
          <w:lang w:val="ru-RU"/>
        </w:rPr>
        <w:lastRenderedPageBreak/>
        <w:t>конъюнктуры в СНГ, нам представляется, что введение в рамках ЕврАзЭС единой валюты – это самый верный способ превращения российского рубля (как немецкой марки в форме евро) в резервную валюту. Во-вторых, стратегия превращения рубля в резервную валюту требует проведения политики диверсификации российской экономики. В-третьих, стоит разработать стратегию по поддержанию российского экспорта высокотехнологичных товаров за счёт кредитования в национальной валюте (насколько нам известно, такая политика уже проводятся в Иране, где российская сторона рассматривает участие в финансировании зарубежных строек Росатома) [</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_Ref135252747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273</w:t>
      </w:r>
      <w:r>
        <w:rPr>
          <w:rFonts w:ascii="Times New Roman" w:hAnsi="Times New Roman" w:cs="Times New Roman"/>
          <w:color w:val="000000"/>
          <w:sz w:val="24"/>
          <w:szCs w:val="24"/>
          <w:shd w:val="clear" w:color="auto" w:fill="FFFFFF"/>
          <w:lang w:val="ru-RU"/>
        </w:rPr>
        <w:fldChar w:fldCharType="end"/>
      </w:r>
      <w:r w:rsidRPr="004E7E3E">
        <w:rPr>
          <w:rFonts w:ascii="Times New Roman" w:hAnsi="Times New Roman" w:cs="Times New Roman"/>
          <w:color w:val="000000"/>
          <w:sz w:val="24"/>
          <w:szCs w:val="24"/>
          <w:shd w:val="clear" w:color="auto" w:fill="FFFFFF"/>
          <w:lang w:val="ru-RU"/>
        </w:rPr>
        <w:t>].</w:t>
      </w:r>
    </w:p>
    <w:p w14:paraId="4489EDF8"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bidi="ar-SA"/>
        </w:rPr>
      </w:pPr>
    </w:p>
    <w:p w14:paraId="7A7B2579" w14:textId="77777777" w:rsidR="00DC5025" w:rsidRPr="004E7E3E" w:rsidRDefault="00DC5025" w:rsidP="00DC5025">
      <w:pPr>
        <w:spacing w:before="100" w:beforeAutospacing="1" w:after="100" w:line="360" w:lineRule="auto"/>
        <w:ind w:firstLine="709"/>
        <w:contextualSpacing/>
        <w:rPr>
          <w:rFonts w:ascii="Times New Roman" w:hAnsi="Times New Roman" w:cs="Times New Roman"/>
          <w:b/>
          <w:bCs/>
          <w:sz w:val="24"/>
          <w:szCs w:val="24"/>
          <w:lang w:val="ru-RU"/>
        </w:rPr>
      </w:pPr>
      <w:bookmarkStart w:id="31" w:name="Главачетыре"/>
      <w:r w:rsidRPr="004E7E3E">
        <w:rPr>
          <w:rFonts w:ascii="Times New Roman" w:hAnsi="Times New Roman" w:cs="Times New Roman"/>
          <w:b/>
          <w:bCs/>
          <w:sz w:val="24"/>
          <w:szCs w:val="24"/>
          <w:lang w:val="ru-RU"/>
        </w:rPr>
        <w:t>Сравнение китайского и российского опыта по создани</w:t>
      </w:r>
      <w:r>
        <w:rPr>
          <w:rFonts w:ascii="Times New Roman" w:hAnsi="Times New Roman" w:cs="Times New Roman"/>
          <w:b/>
          <w:bCs/>
          <w:sz w:val="24"/>
          <w:szCs w:val="24"/>
          <w:lang w:val="ru-RU"/>
        </w:rPr>
        <w:t>ю</w:t>
      </w:r>
      <w:r w:rsidRPr="004E7E3E">
        <w:rPr>
          <w:rFonts w:ascii="Times New Roman" w:hAnsi="Times New Roman" w:cs="Times New Roman"/>
          <w:b/>
          <w:bCs/>
          <w:sz w:val="24"/>
          <w:szCs w:val="24"/>
          <w:lang w:val="ru-RU"/>
        </w:rPr>
        <w:t xml:space="preserve"> МФЦ</w:t>
      </w:r>
      <w:bookmarkEnd w:id="31"/>
    </w:p>
    <w:p w14:paraId="61597FC0"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Мы провели анализ китайского и российского подходов по развитию международных финансовых центров. Можно сразу выделить </w:t>
      </w:r>
      <w:r w:rsidRPr="004E7E3E">
        <w:rPr>
          <w:rFonts w:ascii="Times New Roman" w:hAnsi="Times New Roman" w:cs="Times New Roman"/>
          <w:b/>
          <w:color w:val="000000"/>
          <w:sz w:val="24"/>
          <w:szCs w:val="24"/>
          <w:shd w:val="clear" w:color="auto" w:fill="FFFFFF"/>
          <w:lang w:val="ru-RU"/>
        </w:rPr>
        <w:t>схожесть</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b/>
          <w:color w:val="000000"/>
          <w:sz w:val="24"/>
          <w:szCs w:val="24"/>
          <w:shd w:val="clear" w:color="auto" w:fill="FFFFFF"/>
          <w:lang w:val="ru-RU"/>
        </w:rPr>
        <w:t>(1)</w:t>
      </w:r>
      <w:r w:rsidRPr="004E7E3E">
        <w:rPr>
          <w:rFonts w:ascii="Times New Roman" w:hAnsi="Times New Roman" w:cs="Times New Roman"/>
          <w:color w:val="000000"/>
          <w:sz w:val="24"/>
          <w:szCs w:val="24"/>
          <w:shd w:val="clear" w:color="auto" w:fill="FFFFFF"/>
          <w:lang w:val="ru-RU"/>
        </w:rPr>
        <w:t xml:space="preserve"> время начала программ (по превращению МФЦ в Москве и в Шанхае в глобальные финансовые центры) – 2008-2009 гг., </w:t>
      </w:r>
      <w:r w:rsidRPr="004E7E3E">
        <w:rPr>
          <w:rFonts w:ascii="Times New Roman" w:hAnsi="Times New Roman" w:cs="Times New Roman"/>
          <w:b/>
          <w:color w:val="000000"/>
          <w:sz w:val="24"/>
          <w:szCs w:val="24"/>
          <w:shd w:val="clear" w:color="auto" w:fill="FFFFFF"/>
          <w:lang w:val="ru-RU"/>
        </w:rPr>
        <w:t>(2)</w:t>
      </w:r>
      <w:r w:rsidRPr="004E7E3E">
        <w:rPr>
          <w:rFonts w:ascii="Times New Roman" w:hAnsi="Times New Roman" w:cs="Times New Roman"/>
          <w:color w:val="000000"/>
          <w:sz w:val="24"/>
          <w:szCs w:val="24"/>
          <w:shd w:val="clear" w:color="auto" w:fill="FFFFFF"/>
          <w:lang w:val="ru-RU"/>
        </w:rPr>
        <w:t xml:space="preserve"> похож основной мотив – развитие финансовой сферы, укрепление роли национальной валюты, </w:t>
      </w:r>
      <w:r>
        <w:rPr>
          <w:rFonts w:ascii="Times New Roman" w:hAnsi="Times New Roman" w:cs="Times New Roman"/>
          <w:color w:val="000000"/>
          <w:sz w:val="24"/>
          <w:szCs w:val="24"/>
          <w:shd w:val="clear" w:color="auto" w:fill="FFFFFF"/>
          <w:lang w:val="ru-RU"/>
        </w:rPr>
        <w:t xml:space="preserve">также </w:t>
      </w:r>
      <w:r w:rsidRPr="004E7E3E">
        <w:rPr>
          <w:rFonts w:ascii="Times New Roman" w:hAnsi="Times New Roman" w:cs="Times New Roman"/>
          <w:color w:val="000000"/>
          <w:sz w:val="24"/>
          <w:szCs w:val="24"/>
          <w:shd w:val="clear" w:color="auto" w:fill="FFFFFF"/>
          <w:lang w:val="ru-RU"/>
        </w:rPr>
        <w:t xml:space="preserve">есть и общие проблемы </w:t>
      </w:r>
      <w:r w:rsidRPr="004E7E3E">
        <w:rPr>
          <w:rFonts w:ascii="Times New Roman" w:hAnsi="Times New Roman" w:cs="Times New Roman"/>
          <w:b/>
          <w:color w:val="000000"/>
          <w:sz w:val="24"/>
          <w:szCs w:val="24"/>
          <w:shd w:val="clear" w:color="auto" w:fill="FFFFFF"/>
          <w:lang w:val="ru-RU"/>
        </w:rPr>
        <w:t>(3)</w:t>
      </w:r>
      <w:r w:rsidRPr="004E7E3E">
        <w:rPr>
          <w:rFonts w:ascii="Times New Roman" w:hAnsi="Times New Roman" w:cs="Times New Roman"/>
          <w:color w:val="000000"/>
          <w:sz w:val="24"/>
          <w:szCs w:val="24"/>
          <w:shd w:val="clear" w:color="auto" w:fill="FFFFFF"/>
          <w:lang w:val="ru-RU"/>
        </w:rPr>
        <w:t xml:space="preserve"> – недостаточное развитие институциональных игроков (в обеих странах по разным причинам пенсионные фонды не являются активными игроками на фондовой бирже). </w:t>
      </w:r>
    </w:p>
    <w:p w14:paraId="4186DF10" w14:textId="77777777" w:rsidR="00DC5025" w:rsidRPr="004E7E3E" w:rsidRDefault="00DC5025" w:rsidP="00DC5025">
      <w:pPr>
        <w:spacing w:after="0" w:line="360" w:lineRule="auto"/>
        <w:ind w:firstLine="709"/>
        <w:contextualSpacing/>
        <w:jc w:val="both"/>
        <w:rPr>
          <w:rFonts w:ascii="Times New Roman" w:hAnsi="Times New Roman" w:cs="Times New Roman"/>
          <w:color w:val="000000"/>
          <w:sz w:val="24"/>
          <w:szCs w:val="24"/>
          <w:shd w:val="clear" w:color="auto" w:fill="FFFFFF"/>
        </w:rPr>
      </w:pPr>
      <w:r w:rsidRPr="004E7E3E">
        <w:rPr>
          <w:rFonts w:ascii="Times New Roman" w:hAnsi="Times New Roman" w:cs="Times New Roman"/>
          <w:color w:val="000000"/>
          <w:sz w:val="24"/>
          <w:szCs w:val="24"/>
          <w:shd w:val="clear" w:color="auto" w:fill="FFFFFF"/>
          <w:lang w:val="ru-RU"/>
        </w:rPr>
        <w:t>Дал</w:t>
      </w:r>
      <w:r>
        <w:rPr>
          <w:rFonts w:ascii="Times New Roman" w:hAnsi="Times New Roman" w:cs="Times New Roman"/>
          <w:color w:val="000000"/>
          <w:sz w:val="24"/>
          <w:szCs w:val="24"/>
          <w:shd w:val="clear" w:color="auto" w:fill="FFFFFF"/>
          <w:lang w:val="ru-RU"/>
        </w:rPr>
        <w:t>ее</w:t>
      </w:r>
      <w:r w:rsidRPr="004E7E3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ru-RU"/>
        </w:rPr>
        <w:t>следуют</w:t>
      </w:r>
      <w:r w:rsidRPr="004E7E3E">
        <w:rPr>
          <w:rFonts w:ascii="Times New Roman" w:hAnsi="Times New Roman" w:cs="Times New Roman"/>
          <w:color w:val="000000"/>
          <w:sz w:val="24"/>
          <w:szCs w:val="24"/>
          <w:shd w:val="clear" w:color="auto" w:fill="FFFFFF"/>
        </w:rPr>
        <w:t xml:space="preserve"> </w:t>
      </w:r>
      <w:r w:rsidRPr="004E7E3E">
        <w:rPr>
          <w:rFonts w:ascii="Times New Roman" w:hAnsi="Times New Roman" w:cs="Times New Roman"/>
          <w:b/>
          <w:color w:val="000000"/>
          <w:sz w:val="24"/>
          <w:szCs w:val="24"/>
          <w:shd w:val="clear" w:color="auto" w:fill="FFFFFF"/>
        </w:rPr>
        <w:t>отличия</w:t>
      </w:r>
      <w:r w:rsidRPr="004E7E3E">
        <w:rPr>
          <w:rFonts w:ascii="Times New Roman" w:hAnsi="Times New Roman" w:cs="Times New Roman"/>
          <w:color w:val="000000"/>
          <w:sz w:val="24"/>
          <w:szCs w:val="24"/>
          <w:shd w:val="clear" w:color="auto" w:fill="FFFFFF"/>
        </w:rPr>
        <w:t xml:space="preserve">: </w:t>
      </w:r>
    </w:p>
    <w:p w14:paraId="6E283B62" w14:textId="77777777" w:rsidR="00DC5025" w:rsidRPr="004E7E3E" w:rsidRDefault="00DC5025" w:rsidP="00DC5025">
      <w:pPr>
        <w:pStyle w:val="af3"/>
        <w:numPr>
          <w:ilvl w:val="0"/>
          <w:numId w:val="1"/>
        </w:numPr>
        <w:spacing w:after="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разный масштаб экономик (население Китая в 10 раз больше населения России, такие же отличия и в размере самой экономики); </w:t>
      </w:r>
    </w:p>
    <w:p w14:paraId="187AFEE3" w14:textId="77777777" w:rsidR="00DC5025" w:rsidRPr="004E7E3E" w:rsidRDefault="00DC5025" w:rsidP="00DC5025">
      <w:pPr>
        <w:pStyle w:val="af3"/>
        <w:numPr>
          <w:ilvl w:val="0"/>
          <w:numId w:val="1"/>
        </w:numPr>
        <w:spacing w:after="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разная структура экономики: сырьевая в России и диверсифицированная в Китае;</w:t>
      </w:r>
    </w:p>
    <w:p w14:paraId="41910DAD" w14:textId="77777777" w:rsidR="00DC5025" w:rsidRPr="004E7E3E" w:rsidRDefault="00DC5025" w:rsidP="00DC5025">
      <w:pPr>
        <w:pStyle w:val="af3"/>
        <w:numPr>
          <w:ilvl w:val="0"/>
          <w:numId w:val="1"/>
        </w:numPr>
        <w:spacing w:after="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наличие дружественной внешней среды (в Китае в виде системы Большого Китая, Россия в состоянии санкционной блокады);</w:t>
      </w:r>
    </w:p>
    <w:p w14:paraId="74C67D10" w14:textId="77777777" w:rsidR="00DC5025" w:rsidRPr="004E7E3E" w:rsidRDefault="00DC5025" w:rsidP="00DC5025">
      <w:pPr>
        <w:pStyle w:val="af3"/>
        <w:numPr>
          <w:ilvl w:val="0"/>
          <w:numId w:val="1"/>
        </w:numPr>
        <w:spacing w:after="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стратегия развития МФЦ (в Китае Шанхай – это экспериментальная площадка, но под контролем центральной власти, в России Москва – это, скорее, витрина, отражающая общее состояние финансовой системы; не самый гибкий подход).</w:t>
      </w:r>
    </w:p>
    <w:p w14:paraId="7DB8B922" w14:textId="77777777" w:rsidR="00DC5025" w:rsidRPr="00263D82" w:rsidRDefault="00DC5025" w:rsidP="00DC5025">
      <w:pPr>
        <w:spacing w:after="0" w:line="360" w:lineRule="auto"/>
        <w:ind w:firstLine="709"/>
        <w:contextualSpacing/>
        <w:jc w:val="both"/>
        <w:rPr>
          <w:rFonts w:ascii="Times New Roman" w:hAnsi="Times New Roman" w:cs="Times New Roman"/>
          <w:color w:val="000000"/>
          <w:sz w:val="24"/>
          <w:szCs w:val="24"/>
          <w:shd w:val="clear" w:color="auto" w:fill="FFFFFF"/>
          <w:lang w:val="ru-RU" w:eastAsia="zh-CN"/>
        </w:rPr>
      </w:pPr>
      <w:r w:rsidRPr="004E7E3E">
        <w:rPr>
          <w:rFonts w:ascii="Times New Roman" w:hAnsi="Times New Roman" w:cs="Times New Roman"/>
          <w:color w:val="000000"/>
          <w:sz w:val="24"/>
          <w:szCs w:val="24"/>
          <w:shd w:val="clear" w:color="auto" w:fill="FFFFFF"/>
          <w:lang w:val="ru-RU"/>
        </w:rPr>
        <w:t xml:space="preserve">На основе всех имеющихся в свободном доступе рейтингов </w:t>
      </w:r>
      <w:r w:rsidRPr="004E7E3E">
        <w:rPr>
          <w:rFonts w:ascii="Times New Roman" w:hAnsi="Times New Roman" w:cs="Times New Roman"/>
          <w:color w:val="000000"/>
          <w:sz w:val="24"/>
          <w:szCs w:val="24"/>
          <w:shd w:val="clear" w:color="auto" w:fill="FFFFFF"/>
          <w:lang w:eastAsia="zh-CN"/>
        </w:rPr>
        <w:t>GFCI</w:t>
      </w:r>
      <w:r w:rsidRPr="004E7E3E">
        <w:rPr>
          <w:rFonts w:ascii="Times New Roman" w:hAnsi="Times New Roman" w:cs="Times New Roman"/>
          <w:color w:val="000000"/>
          <w:sz w:val="24"/>
          <w:szCs w:val="24"/>
          <w:shd w:val="clear" w:color="auto" w:fill="FFFFFF"/>
          <w:lang w:val="ru-RU" w:eastAsia="zh-CN"/>
        </w:rPr>
        <w:t xml:space="preserve"> мы создали сравнительные графики динамики баллов и рейтинга Москвы и Шанхая – главных МФЦ России и Китая. Исследования этих графиков позволяет выявить, что ра</w:t>
      </w:r>
      <w:r>
        <w:rPr>
          <w:rFonts w:ascii="Times New Roman" w:hAnsi="Times New Roman" w:cs="Times New Roman"/>
          <w:color w:val="000000"/>
          <w:sz w:val="24"/>
          <w:szCs w:val="24"/>
          <w:shd w:val="clear" w:color="auto" w:fill="FFFFFF"/>
          <w:lang w:val="ru-RU" w:eastAsia="zh-CN"/>
        </w:rPr>
        <w:t xml:space="preserve">зрыв по баллам не так заметен, и </w:t>
      </w:r>
      <w:r w:rsidRPr="004E7E3E">
        <w:rPr>
          <w:rFonts w:ascii="Times New Roman" w:hAnsi="Times New Roman" w:cs="Times New Roman"/>
          <w:color w:val="000000"/>
          <w:sz w:val="24"/>
          <w:szCs w:val="24"/>
          <w:shd w:val="clear" w:color="auto" w:fill="FFFFFF"/>
          <w:lang w:val="ru-RU" w:eastAsia="zh-CN"/>
        </w:rPr>
        <w:t>можно даже говорить о прогрессе как российского, так и китайского центров. Возможно, даже динамика улучшений в России буд</w:t>
      </w:r>
      <w:r>
        <w:rPr>
          <w:rFonts w:ascii="Times New Roman" w:hAnsi="Times New Roman" w:cs="Times New Roman"/>
          <w:color w:val="000000"/>
          <w:sz w:val="24"/>
          <w:szCs w:val="24"/>
          <w:shd w:val="clear" w:color="auto" w:fill="FFFFFF"/>
          <w:lang w:val="ru-RU" w:eastAsia="zh-CN"/>
        </w:rPr>
        <w:t>ет более заметной (Рис. 7). П</w:t>
      </w:r>
      <w:r w:rsidRPr="004E7E3E">
        <w:rPr>
          <w:rFonts w:ascii="Times New Roman" w:hAnsi="Times New Roman" w:cs="Times New Roman"/>
          <w:color w:val="000000"/>
          <w:sz w:val="24"/>
          <w:szCs w:val="24"/>
          <w:shd w:val="clear" w:color="auto" w:fill="FFFFFF"/>
          <w:lang w:val="ru-RU" w:eastAsia="zh-CN"/>
        </w:rPr>
        <w:t xml:space="preserve">о динамике положения в рейтинге (Рис. 8) очевидно, что Шанхай входит в группу лидеров, а Москва в группу аутсайдеров, и, вероятно, разрыв между этими центрами заполняют новые игроки на финансовой арене, более динамичные и – главное – более успешные, чем Москва. </w:t>
      </w:r>
    </w:p>
    <w:p w14:paraId="3C7322E3" w14:textId="4B8C2882" w:rsidR="00DC5025" w:rsidRPr="004E7E3E" w:rsidRDefault="00B26B58" w:rsidP="00172020">
      <w:pPr>
        <w:spacing w:before="100" w:beforeAutospacing="1" w:after="100" w:line="360" w:lineRule="auto"/>
        <w:contextualSpacing/>
        <w:jc w:val="center"/>
        <w:rPr>
          <w:rFonts w:ascii="Times New Roman" w:hAnsi="Times New Roman" w:cs="Times New Roman"/>
          <w:sz w:val="24"/>
          <w:szCs w:val="24"/>
          <w:lang w:val="ru-RU"/>
        </w:rPr>
      </w:pPr>
      <w:r>
        <w:rPr>
          <w:rFonts w:ascii="Times New Roman" w:hAnsi="Times New Roman" w:cs="Times New Roman"/>
          <w:noProof/>
          <w:sz w:val="24"/>
          <w:szCs w:val="24"/>
          <w:lang w:val="ru-RU"/>
        </w:rPr>
        <w:lastRenderedPageBreak/>
        <w:drawing>
          <wp:inline distT="0" distB="0" distL="0" distR="0" wp14:anchorId="13E79255" wp14:editId="6A75F39A">
            <wp:extent cx="5650173" cy="2558784"/>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1063" cy="2568244"/>
                    </a:xfrm>
                    <a:prstGeom prst="rect">
                      <a:avLst/>
                    </a:prstGeom>
                    <a:noFill/>
                    <a:ln>
                      <a:noFill/>
                    </a:ln>
                  </pic:spPr>
                </pic:pic>
              </a:graphicData>
            </a:graphic>
          </wp:inline>
        </w:drawing>
      </w:r>
    </w:p>
    <w:p w14:paraId="280E353C" w14:textId="3F8ADB5A" w:rsidR="00DC5025" w:rsidRPr="004E7E3E" w:rsidRDefault="00DC5025" w:rsidP="00DC5025">
      <w:pPr>
        <w:spacing w:before="100" w:beforeAutospacing="1" w:after="100" w:line="360" w:lineRule="auto"/>
        <w:ind w:firstLine="709"/>
        <w:contextualSpacing/>
        <w:rPr>
          <w:rFonts w:ascii="Times New Roman" w:hAnsi="Times New Roman" w:cs="Times New Roman"/>
          <w:sz w:val="24"/>
          <w:szCs w:val="24"/>
          <w:lang w:val="ru-RU" w:eastAsia="zh-CN"/>
        </w:rPr>
      </w:pPr>
      <w:r w:rsidRPr="00BB196B">
        <w:rPr>
          <w:rStyle w:val="16"/>
        </w:rPr>
        <w:t>Рис. 1</w:t>
      </w:r>
      <w:r w:rsidR="006978F8">
        <w:rPr>
          <w:rStyle w:val="16"/>
        </w:rPr>
        <w:t>3</w:t>
      </w:r>
      <w:r w:rsidRPr="00BB196B">
        <w:rPr>
          <w:rStyle w:val="16"/>
        </w:rPr>
        <w:t>.</w:t>
      </w:r>
      <w:r w:rsidRPr="004E7E3E">
        <w:rPr>
          <w:rFonts w:ascii="Times New Roman" w:hAnsi="Times New Roman" w:cs="Times New Roman"/>
          <w:sz w:val="24"/>
          <w:szCs w:val="24"/>
          <w:lang w:val="ru-RU"/>
        </w:rPr>
        <w:t xml:space="preserve"> Сравнение показателей Москвы и Шанхая в </w:t>
      </w:r>
      <w:r w:rsidRPr="004E7E3E">
        <w:rPr>
          <w:rFonts w:ascii="Times New Roman" w:hAnsi="Times New Roman" w:cs="Times New Roman"/>
          <w:sz w:val="24"/>
          <w:szCs w:val="24"/>
          <w:lang w:eastAsia="zh-CN"/>
        </w:rPr>
        <w:t>GFCI</w:t>
      </w:r>
      <w:r w:rsidRPr="004E7E3E">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1</w:t>
      </w:r>
      <w:r w:rsidRPr="004E7E3E">
        <w:rPr>
          <w:rFonts w:ascii="Times New Roman" w:hAnsi="Times New Roman" w:cs="Times New Roman"/>
          <w:sz w:val="24"/>
          <w:szCs w:val="24"/>
          <w:lang w:val="ru-RU" w:eastAsia="zh-CN"/>
        </w:rPr>
        <w:t>-</w:t>
      </w:r>
      <w:r>
        <w:rPr>
          <w:rFonts w:ascii="Times New Roman" w:hAnsi="Times New Roman" w:cs="Times New Roman"/>
          <w:sz w:val="24"/>
          <w:szCs w:val="24"/>
          <w:lang w:val="ru-RU" w:eastAsia="zh-CN"/>
        </w:rPr>
        <w:t>33</w:t>
      </w:r>
      <w:r w:rsidRPr="004E7E3E">
        <w:rPr>
          <w:rFonts w:ascii="Times New Roman" w:hAnsi="Times New Roman" w:cs="Times New Roman"/>
          <w:sz w:val="24"/>
          <w:szCs w:val="24"/>
          <w:lang w:val="ru-RU" w:eastAsia="zh-CN"/>
        </w:rPr>
        <w:t xml:space="preserve"> (баллы)</w:t>
      </w:r>
      <w:r>
        <w:rPr>
          <w:rFonts w:ascii="Times New Roman" w:hAnsi="Times New Roman" w:cs="Times New Roman"/>
          <w:sz w:val="24"/>
          <w:szCs w:val="24"/>
          <w:lang w:val="ru-RU" w:eastAsia="zh-CN"/>
        </w:rPr>
        <w:t>.</w:t>
      </w:r>
    </w:p>
    <w:p w14:paraId="441CFF4F" w14:textId="48E10AB3" w:rsidR="00DC5025" w:rsidRPr="004E7E3E" w:rsidRDefault="00DC5025" w:rsidP="00DC5025">
      <w:pPr>
        <w:spacing w:before="100" w:beforeAutospacing="1" w:after="100" w:line="360" w:lineRule="auto"/>
        <w:ind w:firstLine="709"/>
        <w:contextualSpacing/>
        <w:rPr>
          <w:rFonts w:ascii="Times New Roman" w:hAnsi="Times New Roman" w:cs="Times New Roman"/>
          <w:color w:val="000000"/>
          <w:sz w:val="24"/>
          <w:szCs w:val="24"/>
          <w:lang w:val="ru-RU" w:eastAsia="zh-CN" w:bidi="ar-SA"/>
        </w:rPr>
      </w:pPr>
      <w:r w:rsidRPr="004E7E3E">
        <w:rPr>
          <w:rFonts w:ascii="Times New Roman" w:eastAsia="Times New Roman" w:hAnsi="Times New Roman" w:cs="Times New Roman"/>
          <w:color w:val="000000"/>
          <w:sz w:val="24"/>
          <w:szCs w:val="24"/>
          <w:lang w:val="ru-RU" w:eastAsia="zh-CN" w:bidi="ar-SA"/>
        </w:rPr>
        <w:t xml:space="preserve">Источник: составлено автором на основе материалов </w:t>
      </w:r>
      <w:r w:rsidRPr="004E7E3E">
        <w:rPr>
          <w:rFonts w:ascii="Times New Roman" w:hAnsi="Times New Roman" w:cs="Times New Roman"/>
          <w:color w:val="000000"/>
          <w:sz w:val="24"/>
          <w:szCs w:val="24"/>
          <w:lang w:val="ru-RU" w:eastAsia="zh-CN" w:bidi="ar-SA"/>
        </w:rPr>
        <w:t>[</w:t>
      </w:r>
      <w:r w:rsidRPr="004E7E3E">
        <w:rPr>
          <w:rFonts w:ascii="Times New Roman" w:hAnsi="Times New Roman" w:cs="Times New Roman"/>
          <w:color w:val="000000"/>
          <w:sz w:val="24"/>
          <w:szCs w:val="24"/>
          <w:lang w:eastAsia="zh-CN" w:bidi="ar-SA"/>
        </w:rPr>
        <w:fldChar w:fldCharType="begin"/>
      </w:r>
      <w:r w:rsidRPr="004E7E3E">
        <w:rPr>
          <w:rFonts w:ascii="Times New Roman" w:hAnsi="Times New Roman" w:cs="Times New Roman"/>
          <w:color w:val="000000"/>
          <w:sz w:val="24"/>
          <w:szCs w:val="24"/>
          <w:lang w:val="ru-RU" w:eastAsia="zh-CN" w:bidi="ar-SA"/>
        </w:rPr>
        <w:instrText xml:space="preserve"> </w:instrText>
      </w:r>
      <w:r w:rsidRPr="004E7E3E">
        <w:rPr>
          <w:rFonts w:ascii="Times New Roman" w:hAnsi="Times New Roman" w:cs="Times New Roman"/>
          <w:color w:val="000000"/>
          <w:sz w:val="24"/>
          <w:szCs w:val="24"/>
          <w:lang w:eastAsia="zh-CN" w:bidi="ar-SA"/>
        </w:rPr>
        <w:instrText>REF</w:instrText>
      </w:r>
      <w:r w:rsidRPr="004E7E3E">
        <w:rPr>
          <w:rFonts w:ascii="Times New Roman" w:hAnsi="Times New Roman" w:cs="Times New Roman"/>
          <w:color w:val="000000"/>
          <w:sz w:val="24"/>
          <w:szCs w:val="24"/>
          <w:lang w:val="ru-RU" w:eastAsia="zh-CN" w:bidi="ar-SA"/>
        </w:rPr>
        <w:instrText xml:space="preserve"> _</w:instrText>
      </w:r>
      <w:r w:rsidRPr="004E7E3E">
        <w:rPr>
          <w:rFonts w:ascii="Times New Roman" w:hAnsi="Times New Roman" w:cs="Times New Roman"/>
          <w:color w:val="000000"/>
          <w:sz w:val="24"/>
          <w:szCs w:val="24"/>
          <w:lang w:eastAsia="zh-CN" w:bidi="ar-SA"/>
        </w:rPr>
        <w:instrText>Ref</w:instrText>
      </w:r>
      <w:r w:rsidRPr="004E7E3E">
        <w:rPr>
          <w:rFonts w:ascii="Times New Roman" w:hAnsi="Times New Roman" w:cs="Times New Roman"/>
          <w:color w:val="000000"/>
          <w:sz w:val="24"/>
          <w:szCs w:val="24"/>
          <w:lang w:val="ru-RU" w:eastAsia="zh-CN" w:bidi="ar-SA"/>
        </w:rPr>
        <w:instrText>446780226 \</w:instrText>
      </w:r>
      <w:r w:rsidRPr="004E7E3E">
        <w:rPr>
          <w:rFonts w:ascii="Times New Roman" w:hAnsi="Times New Roman" w:cs="Times New Roman"/>
          <w:color w:val="000000"/>
          <w:sz w:val="24"/>
          <w:szCs w:val="24"/>
          <w:lang w:eastAsia="zh-CN" w:bidi="ar-SA"/>
        </w:rPr>
        <w:instrText>r</w:instrText>
      </w:r>
      <w:r w:rsidRPr="004E7E3E">
        <w:rPr>
          <w:rFonts w:ascii="Times New Roman" w:hAnsi="Times New Roman" w:cs="Times New Roman"/>
          <w:color w:val="000000"/>
          <w:sz w:val="24"/>
          <w:szCs w:val="24"/>
          <w:lang w:val="ru-RU" w:eastAsia="zh-CN" w:bidi="ar-SA"/>
        </w:rPr>
        <w:instrText xml:space="preserve"> \</w:instrText>
      </w:r>
      <w:r w:rsidRPr="004E7E3E">
        <w:rPr>
          <w:rFonts w:ascii="Times New Roman" w:hAnsi="Times New Roman" w:cs="Times New Roman"/>
          <w:color w:val="000000"/>
          <w:sz w:val="24"/>
          <w:szCs w:val="24"/>
          <w:lang w:eastAsia="zh-CN" w:bidi="ar-SA"/>
        </w:rPr>
        <w:instrText>h</w:instrText>
      </w:r>
      <w:r w:rsidRPr="004E7E3E">
        <w:rPr>
          <w:rFonts w:ascii="Times New Roman" w:hAnsi="Times New Roman" w:cs="Times New Roman"/>
          <w:color w:val="000000"/>
          <w:sz w:val="24"/>
          <w:szCs w:val="24"/>
          <w:lang w:val="ru-RU" w:eastAsia="zh-CN" w:bidi="ar-SA"/>
        </w:rPr>
        <w:instrText xml:space="preserve">  \* </w:instrText>
      </w:r>
      <w:r w:rsidRPr="004E7E3E">
        <w:rPr>
          <w:rFonts w:ascii="Times New Roman" w:hAnsi="Times New Roman" w:cs="Times New Roman"/>
          <w:color w:val="000000"/>
          <w:sz w:val="24"/>
          <w:szCs w:val="24"/>
          <w:lang w:eastAsia="zh-CN" w:bidi="ar-SA"/>
        </w:rPr>
        <w:instrText>MERGEFORMAT</w:instrText>
      </w:r>
      <w:r w:rsidRPr="004E7E3E">
        <w:rPr>
          <w:rFonts w:ascii="Times New Roman" w:hAnsi="Times New Roman" w:cs="Times New Roman"/>
          <w:color w:val="000000"/>
          <w:sz w:val="24"/>
          <w:szCs w:val="24"/>
          <w:lang w:val="ru-RU" w:eastAsia="zh-CN" w:bidi="ar-SA"/>
        </w:rPr>
        <w:instrText xml:space="preserve"> </w:instrText>
      </w:r>
      <w:r w:rsidRPr="004E7E3E">
        <w:rPr>
          <w:rFonts w:ascii="Times New Roman" w:hAnsi="Times New Roman" w:cs="Times New Roman"/>
          <w:color w:val="000000"/>
          <w:sz w:val="24"/>
          <w:szCs w:val="24"/>
          <w:lang w:eastAsia="zh-CN" w:bidi="ar-SA"/>
        </w:rPr>
      </w:r>
      <w:r w:rsidRPr="004E7E3E">
        <w:rPr>
          <w:rFonts w:ascii="Times New Roman" w:hAnsi="Times New Roman" w:cs="Times New Roman"/>
          <w:color w:val="000000"/>
          <w:sz w:val="24"/>
          <w:szCs w:val="24"/>
          <w:lang w:eastAsia="zh-CN" w:bidi="ar-SA"/>
        </w:rPr>
        <w:fldChar w:fldCharType="separate"/>
      </w:r>
      <w:r w:rsidR="00801D78" w:rsidRPr="00801D78">
        <w:rPr>
          <w:rFonts w:ascii="Times New Roman" w:hAnsi="Times New Roman" w:cs="Times New Roman"/>
          <w:color w:val="000000"/>
          <w:sz w:val="24"/>
          <w:szCs w:val="24"/>
          <w:lang w:val="ru-RU" w:eastAsia="zh-CN" w:bidi="ar-SA"/>
        </w:rPr>
        <w:t>185</w:t>
      </w:r>
      <w:r w:rsidRPr="004E7E3E">
        <w:rPr>
          <w:rFonts w:ascii="Times New Roman" w:hAnsi="Times New Roman" w:cs="Times New Roman"/>
          <w:color w:val="000000"/>
          <w:sz w:val="24"/>
          <w:szCs w:val="24"/>
          <w:lang w:eastAsia="zh-CN" w:bidi="ar-SA"/>
        </w:rPr>
        <w:fldChar w:fldCharType="end"/>
      </w:r>
      <w:r w:rsidRPr="004E7E3E">
        <w:rPr>
          <w:rFonts w:ascii="Times New Roman" w:hAnsi="Times New Roman" w:cs="Times New Roman"/>
          <w:color w:val="000000"/>
          <w:sz w:val="24"/>
          <w:szCs w:val="24"/>
          <w:lang w:val="ru-RU" w:eastAsia="zh-CN" w:bidi="ar-SA"/>
        </w:rPr>
        <w:t>]</w:t>
      </w:r>
      <w:r>
        <w:rPr>
          <w:rFonts w:ascii="Times New Roman" w:hAnsi="Times New Roman" w:cs="Times New Roman"/>
          <w:color w:val="000000"/>
          <w:sz w:val="24"/>
          <w:szCs w:val="24"/>
          <w:lang w:val="ru-RU" w:eastAsia="zh-CN" w:bidi="ar-SA"/>
        </w:rPr>
        <w:t>.</w:t>
      </w:r>
      <w:r w:rsidRPr="004E7E3E">
        <w:rPr>
          <w:rFonts w:ascii="Times New Roman" w:hAnsi="Times New Roman" w:cs="Times New Roman"/>
          <w:color w:val="000000"/>
          <w:sz w:val="24"/>
          <w:szCs w:val="24"/>
          <w:lang w:val="ru-RU" w:eastAsia="zh-CN" w:bidi="ar-SA"/>
        </w:rPr>
        <w:t xml:space="preserve"> </w:t>
      </w:r>
    </w:p>
    <w:p w14:paraId="25FB0BD4"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Есть ряд других мелких отличий</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как, например, стадии развития экономики (китайская экономика растёт, а российская стагнирует), но это всё детали, которые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принципе</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можно исправить. </w:t>
      </w:r>
    </w:p>
    <w:p w14:paraId="2B0199A9" w14:textId="31F58C82"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После того, как ряд стран, которые в российских СМИ обычно объединяют под термином «Запад», ввели санкции против нашей страны, взоры отечественного бизнеса и политиков всё чаще обращены на Восток – в Китай. Ещё до ввода санкций российским правительством были сделаны шаги по укреплению и развитию двухсторонних отношений с «новой сверхдержавой мира»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_Ref459295250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282</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w:t>
      </w:r>
    </w:p>
    <w:p w14:paraId="7770B378"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Российско-китайские государственные отношения переживали разные периоды. Только в ХХ веке СССР был для «китайского дракона» и старшим братом, и заклятым врагом. В последнее время отношения двух стран носят скорее прагматический характер. Это касается также сферы экономики.</w:t>
      </w:r>
    </w:p>
    <w:p w14:paraId="39A202F2" w14:textId="360F47D1"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sz w:val="24"/>
          <w:szCs w:val="24"/>
          <w:lang w:val="ru-RU"/>
        </w:rPr>
        <w:t>Традиционно программные документы касались сырьевых отраслей (контракт на 400</w:t>
      </w:r>
      <w:r>
        <w:rPr>
          <w:rFonts w:ascii="Times New Roman" w:hAnsi="Times New Roman" w:cs="Times New Roman"/>
          <w:sz w:val="24"/>
          <w:szCs w:val="24"/>
        </w:rPr>
        <w:t> </w:t>
      </w:r>
      <w:r w:rsidRPr="004E7E3E">
        <w:rPr>
          <w:rFonts w:ascii="Times New Roman" w:hAnsi="Times New Roman" w:cs="Times New Roman"/>
          <w:sz w:val="24"/>
          <w:szCs w:val="24"/>
          <w:lang w:val="ru-RU"/>
        </w:rPr>
        <w:t xml:space="preserve">млрд. долларов между Газпромом и </w:t>
      </w:r>
      <w:r w:rsidRPr="004E7E3E">
        <w:rPr>
          <w:rFonts w:ascii="Times New Roman" w:hAnsi="Times New Roman" w:cs="Times New Roman"/>
          <w:sz w:val="24"/>
          <w:szCs w:val="24"/>
        </w:rPr>
        <w:t>China</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National</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Petroleum</w:t>
      </w:r>
      <w:r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rPr>
        <w:t>Corporation</w:t>
      </w:r>
      <w:r w:rsidRPr="004E7E3E">
        <w:rPr>
          <w:rFonts w:ascii="Times New Roman" w:hAnsi="Times New Roman" w:cs="Times New Roman"/>
          <w:sz w:val="24"/>
          <w:szCs w:val="24"/>
          <w:lang w:val="ru-RU"/>
        </w:rPr>
        <w:t>)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_Ref459295395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245</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Но в текущий момент рамки сотрудничества расширяются</w:t>
      </w:r>
      <w:r w:rsidRPr="004E7E3E">
        <w:rPr>
          <w:rFonts w:ascii="Times New Roman" w:hAnsi="Times New Roman" w:cs="Times New Roman"/>
          <w:color w:val="000000" w:themeColor="text1"/>
          <w:sz w:val="24"/>
          <w:szCs w:val="24"/>
          <w:shd w:val="clear" w:color="auto" w:fill="FFFFFF"/>
          <w:lang w:val="ru-RU"/>
        </w:rPr>
        <w:t xml:space="preserve">. </w:t>
      </w:r>
      <w:r>
        <w:rPr>
          <w:rFonts w:ascii="Times New Roman" w:hAnsi="Times New Roman" w:cs="Times New Roman"/>
          <w:color w:val="000000" w:themeColor="text1"/>
          <w:sz w:val="24"/>
          <w:szCs w:val="24"/>
          <w:shd w:val="clear" w:color="auto" w:fill="FFFFFF"/>
          <w:lang w:val="ru-RU"/>
        </w:rPr>
        <w:t>Россия фактически вошла зону юаня. По объёму торгов на валютной бирже юань стал лидером.</w:t>
      </w:r>
    </w:p>
    <w:p w14:paraId="1757DD9A" w14:textId="25A10055" w:rsidR="00DC5025" w:rsidRPr="004E7E3E" w:rsidRDefault="00DC5025" w:rsidP="00DC5025">
      <w:pPr>
        <w:spacing w:before="100" w:beforeAutospacing="1" w:after="10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Многие российские олигархи пробовали проникнуть на огромный рынок китайских капиталов. Его размер велик не только из-за населённости региона, но и из-за одной из самых высоких норм накоплений, которая связана с менталитетом китайцев – привычк</w:t>
      </w:r>
      <w:r>
        <w:rPr>
          <w:rFonts w:ascii="Times New Roman" w:hAnsi="Times New Roman" w:cs="Times New Roman"/>
          <w:sz w:val="24"/>
          <w:szCs w:val="24"/>
          <w:lang w:val="ru-RU"/>
        </w:rPr>
        <w:t>ой</w:t>
      </w:r>
      <w:r w:rsidRPr="004E7E3E">
        <w:rPr>
          <w:rFonts w:ascii="Times New Roman" w:hAnsi="Times New Roman" w:cs="Times New Roman"/>
          <w:sz w:val="24"/>
          <w:szCs w:val="24"/>
          <w:lang w:val="ru-RU"/>
        </w:rPr>
        <w:t xml:space="preserve"> копить деньги и тратить только уже заработанное. В ходе </w:t>
      </w:r>
      <w:r w:rsidRPr="004E7E3E">
        <w:rPr>
          <w:rFonts w:ascii="Times New Roman" w:hAnsi="Times New Roman" w:cs="Times New Roman"/>
          <w:sz w:val="24"/>
          <w:szCs w:val="24"/>
        </w:rPr>
        <w:t>IPO</w:t>
      </w:r>
      <w:r w:rsidRPr="004E7E3E">
        <w:rPr>
          <w:rFonts w:ascii="Times New Roman" w:hAnsi="Times New Roman" w:cs="Times New Roman"/>
          <w:sz w:val="24"/>
          <w:szCs w:val="24"/>
          <w:lang w:val="ru-RU"/>
        </w:rPr>
        <w:t xml:space="preserve"> в 2010 году Олегу Дерипаске удалось собрать 2,2 миллиарда долларов США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_Ref131438545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271</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и это позволило значительно сократить долговую нагрузку структур бизнесмена, которым был нанесён сильный урон в ходе международного финансового </w:t>
      </w:r>
      <w:r w:rsidRPr="004E7E3E">
        <w:rPr>
          <w:rFonts w:ascii="Times New Roman" w:hAnsi="Times New Roman" w:cs="Times New Roman"/>
          <w:sz w:val="24"/>
          <w:szCs w:val="24"/>
          <w:lang w:val="ru-RU"/>
        </w:rPr>
        <w:lastRenderedPageBreak/>
        <w:t>кризиса 2008 года. Роснефть удачно осуществил</w:t>
      </w:r>
      <w:r>
        <w:rPr>
          <w:rFonts w:ascii="Times New Roman" w:hAnsi="Times New Roman" w:cs="Times New Roman"/>
          <w:sz w:val="24"/>
          <w:szCs w:val="24"/>
          <w:lang w:val="ru-RU"/>
        </w:rPr>
        <w:t>а</w:t>
      </w:r>
      <w:r w:rsidRPr="004E7E3E">
        <w:rPr>
          <w:rFonts w:ascii="Times New Roman" w:hAnsi="Times New Roman" w:cs="Times New Roman"/>
          <w:sz w:val="24"/>
          <w:szCs w:val="24"/>
          <w:lang w:val="ru-RU"/>
        </w:rPr>
        <w:t xml:space="preserve"> размещение еврооблигаций в юанях в Гонконге [</w:t>
      </w:r>
      <w:r w:rsidRPr="004E7E3E">
        <w:rPr>
          <w:rFonts w:ascii="Times New Roman" w:hAnsi="Times New Roman" w:cs="Times New Roman"/>
          <w:sz w:val="24"/>
          <w:szCs w:val="24"/>
          <w:lang w:val="ru-RU"/>
        </w:rPr>
        <w:fldChar w:fldCharType="begin"/>
      </w:r>
      <w:r w:rsidRPr="004E7E3E">
        <w:rPr>
          <w:rFonts w:ascii="Times New Roman" w:hAnsi="Times New Roman" w:cs="Times New Roman"/>
          <w:sz w:val="24"/>
          <w:szCs w:val="24"/>
          <w:lang w:val="ru-RU"/>
        </w:rPr>
        <w:instrText xml:space="preserve"> REF _Ref459295707 \r \h  \* MERGEFORMAT </w:instrText>
      </w:r>
      <w:r w:rsidRPr="004E7E3E">
        <w:rPr>
          <w:rFonts w:ascii="Times New Roman" w:hAnsi="Times New Roman" w:cs="Times New Roman"/>
          <w:sz w:val="24"/>
          <w:szCs w:val="24"/>
          <w:lang w:val="ru-RU"/>
        </w:rPr>
      </w:r>
      <w:r w:rsidRPr="004E7E3E">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259</w:t>
      </w:r>
      <w:r w:rsidRPr="004E7E3E">
        <w:rPr>
          <w:rFonts w:ascii="Times New Roman" w:hAnsi="Times New Roman" w:cs="Times New Roman"/>
          <w:sz w:val="24"/>
          <w:szCs w:val="24"/>
          <w:lang w:val="ru-RU"/>
        </w:rPr>
        <w:fldChar w:fldCharType="end"/>
      </w:r>
      <w:r w:rsidRPr="004E7E3E">
        <w:rPr>
          <w:rFonts w:ascii="Times New Roman" w:hAnsi="Times New Roman" w:cs="Times New Roman"/>
          <w:sz w:val="24"/>
          <w:szCs w:val="24"/>
          <w:lang w:val="ru-RU"/>
        </w:rPr>
        <w:t xml:space="preserve">]. В тоже время другой крупный российский бизнесмен </w:t>
      </w:r>
      <w:r w:rsidRPr="004E7E3E">
        <w:rPr>
          <w:rFonts w:ascii="Times New Roman" w:hAnsi="Times New Roman" w:cs="Times New Roman"/>
          <w:color w:val="000000" w:themeColor="text1"/>
          <w:sz w:val="24"/>
          <w:szCs w:val="24"/>
          <w:lang w:val="ru-RU"/>
        </w:rPr>
        <w:t xml:space="preserve">Владимир Евтушенков считает </w:t>
      </w:r>
      <w:r w:rsidRPr="004E7E3E">
        <w:rPr>
          <w:rFonts w:ascii="Times New Roman" w:hAnsi="Times New Roman" w:cs="Times New Roman"/>
          <w:color w:val="000000" w:themeColor="text1"/>
          <w:sz w:val="24"/>
          <w:szCs w:val="24"/>
        </w:rPr>
        <w:t>IPO</w:t>
      </w:r>
      <w:r w:rsidRPr="004E7E3E">
        <w:rPr>
          <w:rFonts w:ascii="Times New Roman" w:hAnsi="Times New Roman" w:cs="Times New Roman"/>
          <w:color w:val="000000" w:themeColor="text1"/>
          <w:sz w:val="24"/>
          <w:szCs w:val="24"/>
          <w:lang w:val="ru-RU"/>
        </w:rPr>
        <w:t xml:space="preserve"> своих компаний в Гонконге неудачными. «</w:t>
      </w:r>
      <w:r w:rsidRPr="004E7E3E">
        <w:rPr>
          <w:rFonts w:ascii="Times New Roman" w:hAnsi="Times New Roman" w:cs="Times New Roman"/>
          <w:color w:val="000000" w:themeColor="text1"/>
          <w:spacing w:val="-1"/>
          <w:sz w:val="24"/>
          <w:szCs w:val="24"/>
          <w:shd w:val="clear" w:color="auto" w:fill="FFFFFF"/>
          <w:lang w:val="ru-RU"/>
        </w:rPr>
        <w:t xml:space="preserve">Гонконгская биржа – очень сложное решение, там отсутствуют регуляторные документы, которые есть в Лондоне. Это другие деньги, другая ментальность. Никто нас там не ждал», </w:t>
      </w:r>
      <w:r w:rsidRPr="004E7E3E">
        <w:rPr>
          <w:rFonts w:ascii="Times New Roman" w:hAnsi="Times New Roman" w:cs="Times New Roman"/>
          <w:sz w:val="24"/>
          <w:szCs w:val="24"/>
          <w:shd w:val="clear" w:color="auto" w:fill="FFFFFF"/>
          <w:lang w:val="ru-RU"/>
        </w:rPr>
        <w:t>–</w:t>
      </w:r>
      <w:r w:rsidRPr="004E7E3E">
        <w:rPr>
          <w:rFonts w:ascii="Times New Roman" w:hAnsi="Times New Roman" w:cs="Times New Roman"/>
          <w:color w:val="000000" w:themeColor="text1"/>
          <w:sz w:val="24"/>
          <w:szCs w:val="24"/>
          <w:lang w:val="ru-RU"/>
        </w:rPr>
        <w:t xml:space="preserve"> сообщал он в интервью российским СМИ [</w:t>
      </w:r>
      <w:r w:rsidRPr="004E7E3E">
        <w:rPr>
          <w:rFonts w:ascii="Times New Roman" w:hAnsi="Times New Roman" w:cs="Times New Roman"/>
          <w:color w:val="000000" w:themeColor="text1"/>
          <w:sz w:val="24"/>
          <w:szCs w:val="24"/>
          <w:lang w:val="ru-RU"/>
        </w:rPr>
        <w:fldChar w:fldCharType="begin"/>
      </w:r>
      <w:r w:rsidRPr="004E7E3E">
        <w:rPr>
          <w:rFonts w:ascii="Times New Roman" w:hAnsi="Times New Roman" w:cs="Times New Roman"/>
          <w:color w:val="000000" w:themeColor="text1"/>
          <w:sz w:val="24"/>
          <w:szCs w:val="24"/>
          <w:lang w:val="ru-RU"/>
        </w:rPr>
        <w:instrText xml:space="preserve"> REF _Ref459295716 \r \h  \* MERGEFORMAT </w:instrText>
      </w:r>
      <w:r w:rsidRPr="004E7E3E">
        <w:rPr>
          <w:rFonts w:ascii="Times New Roman" w:hAnsi="Times New Roman" w:cs="Times New Roman"/>
          <w:color w:val="000000" w:themeColor="text1"/>
          <w:sz w:val="24"/>
          <w:szCs w:val="24"/>
          <w:lang w:val="ru-RU"/>
        </w:rPr>
      </w:r>
      <w:r w:rsidRPr="004E7E3E">
        <w:rPr>
          <w:rFonts w:ascii="Times New Roman" w:hAnsi="Times New Roman" w:cs="Times New Roman"/>
          <w:color w:val="000000" w:themeColor="text1"/>
          <w:sz w:val="24"/>
          <w:szCs w:val="24"/>
          <w:lang w:val="ru-RU"/>
        </w:rPr>
        <w:fldChar w:fldCharType="separate"/>
      </w:r>
      <w:r w:rsidR="00801D78">
        <w:rPr>
          <w:rFonts w:ascii="Times New Roman" w:hAnsi="Times New Roman" w:cs="Times New Roman"/>
          <w:color w:val="000000" w:themeColor="text1"/>
          <w:sz w:val="24"/>
          <w:szCs w:val="24"/>
          <w:lang w:val="ru-RU"/>
        </w:rPr>
        <w:t>254</w:t>
      </w:r>
      <w:r w:rsidRPr="004E7E3E">
        <w:rPr>
          <w:rFonts w:ascii="Times New Roman" w:hAnsi="Times New Roman" w:cs="Times New Roman"/>
          <w:color w:val="000000" w:themeColor="text1"/>
          <w:sz w:val="24"/>
          <w:szCs w:val="24"/>
          <w:lang w:val="ru-RU"/>
        </w:rPr>
        <w:fldChar w:fldCharType="end"/>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sz w:val="24"/>
          <w:szCs w:val="24"/>
          <w:lang w:val="ru-RU"/>
        </w:rPr>
        <w:t xml:space="preserve">  </w:t>
      </w:r>
    </w:p>
    <w:p w14:paraId="20DD0EB3" w14:textId="77777777"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p>
    <w:p w14:paraId="5B89B3E1" w14:textId="03CF6ECC" w:rsidR="00DC5025" w:rsidRPr="008E4BDA" w:rsidRDefault="00DC5025" w:rsidP="00DC5025">
      <w:pPr>
        <w:pStyle w:val="2"/>
        <w:spacing w:before="100" w:beforeAutospacing="1" w:after="100" w:line="360" w:lineRule="auto"/>
        <w:ind w:firstLine="709"/>
        <w:contextualSpacing/>
        <w:rPr>
          <w:rFonts w:cs="Times New Roman"/>
          <w:color w:val="000000"/>
          <w:sz w:val="24"/>
          <w:szCs w:val="24"/>
        </w:rPr>
      </w:pPr>
      <w:bookmarkStart w:id="32" w:name="Рекомендации"/>
      <w:bookmarkStart w:id="33" w:name="_Toc136269024"/>
      <w:bookmarkStart w:id="34" w:name="_Toc136448482"/>
      <w:r w:rsidRPr="004E7E3E">
        <w:rPr>
          <w:rFonts w:cs="Times New Roman"/>
          <w:color w:val="000000" w:themeColor="text1"/>
          <w:sz w:val="24"/>
          <w:szCs w:val="24"/>
        </w:rPr>
        <w:t xml:space="preserve">§ 3.3 </w:t>
      </w:r>
      <w:bookmarkEnd w:id="32"/>
      <w:r w:rsidRPr="004E7E3E">
        <w:rPr>
          <w:rFonts w:cs="Times New Roman"/>
          <w:color w:val="000000" w:themeColor="text1"/>
          <w:sz w:val="24"/>
          <w:szCs w:val="24"/>
        </w:rPr>
        <w:t>Рекомендации по развитию МФЦ в России</w:t>
      </w:r>
      <w:bookmarkEnd w:id="33"/>
      <w:bookmarkEnd w:id="34"/>
    </w:p>
    <w:p w14:paraId="7544479E" w14:textId="6457265E" w:rsidR="006617AC" w:rsidRDefault="006617AC"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В ходе исследования мы пришли к выводы, что МФЦ в концепции, принятой в зарубежной научной литературе, ориентирован первую очередь на развитие крупных финансовых конгломератов. Наиболее успешную стратегию на постсоветском пространстве продемонстрировала Астана</w:t>
      </w:r>
      <w:r w:rsidR="00004964">
        <w:rPr>
          <w:rFonts w:ascii="Times New Roman" w:hAnsi="Times New Roman" w:cs="Times New Roman"/>
          <w:color w:val="000000"/>
          <w:sz w:val="24"/>
          <w:szCs w:val="24"/>
          <w:shd w:val="clear" w:color="auto" w:fill="FFFFFF"/>
          <w:lang w:val="ru-RU"/>
        </w:rPr>
        <w:t xml:space="preserve">, несмотря на некоторую первоначальную непоследовательность реализации стратегии развития этого проекта. Российским и московским властям следует учесть этот опыт. </w:t>
      </w:r>
    </w:p>
    <w:p w14:paraId="6B14999F" w14:textId="390A9DDE" w:rsidR="00947767" w:rsidRDefault="00004964" w:rsidP="00004964">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color w:val="000000"/>
          <w:sz w:val="24"/>
          <w:szCs w:val="24"/>
          <w:shd w:val="clear" w:color="auto" w:fill="FFFFFF"/>
          <w:lang w:val="ru-RU"/>
        </w:rPr>
        <w:t xml:space="preserve">Однако, требует также учесть, что рейтинг </w:t>
      </w:r>
      <w:r>
        <w:rPr>
          <w:rFonts w:ascii="Times New Roman" w:hAnsi="Times New Roman" w:cs="Times New Roman"/>
          <w:color w:val="000000"/>
          <w:sz w:val="24"/>
          <w:szCs w:val="24"/>
          <w:shd w:val="clear" w:color="auto" w:fill="FFFFFF"/>
        </w:rPr>
        <w:t>GFCI</w:t>
      </w:r>
      <w:r w:rsidRPr="00004964">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 xml:space="preserve">не имеет целью учитывать желание представителей МФЦ проводить самостоятельную политику на внешнеполитической арене, отличную. В связи с этим </w:t>
      </w:r>
      <w:r w:rsidR="006617AC" w:rsidRPr="0018636D">
        <w:rPr>
          <w:rFonts w:ascii="Times New Roman" w:hAnsi="Times New Roman" w:cs="Times New Roman"/>
          <w:sz w:val="24"/>
          <w:szCs w:val="24"/>
          <w:lang w:val="ru-RU"/>
        </w:rPr>
        <w:t>в своей политике российские власти должны ориентироваться на улучшения реальных статистических показателей объёма внешнего оборота финансового сектора,</w:t>
      </w:r>
      <w:r w:rsidR="004C031C">
        <w:rPr>
          <w:rFonts w:ascii="Times New Roman" w:hAnsi="Times New Roman" w:cs="Times New Roman"/>
          <w:sz w:val="24"/>
          <w:szCs w:val="24"/>
          <w:lang w:val="ru-RU"/>
        </w:rPr>
        <w:t xml:space="preserve"> увеличения налоговых поступлений,</w:t>
      </w:r>
      <w:r w:rsidR="006617AC" w:rsidRPr="0018636D">
        <w:rPr>
          <w:rFonts w:ascii="Times New Roman" w:hAnsi="Times New Roman" w:cs="Times New Roman"/>
          <w:sz w:val="24"/>
          <w:szCs w:val="24"/>
          <w:lang w:val="ru-RU"/>
        </w:rPr>
        <w:t xml:space="preserve"> а не сложных маркетинговые инструментов с</w:t>
      </w:r>
      <w:r w:rsidR="006617AC">
        <w:rPr>
          <w:rFonts w:ascii="Times New Roman" w:hAnsi="Times New Roman" w:cs="Times New Roman"/>
          <w:sz w:val="24"/>
          <w:szCs w:val="24"/>
          <w:lang w:val="ru-RU"/>
        </w:rPr>
        <w:t> </w:t>
      </w:r>
      <w:r w:rsidR="006617AC" w:rsidRPr="0018636D">
        <w:rPr>
          <w:rFonts w:ascii="Times New Roman" w:hAnsi="Times New Roman" w:cs="Times New Roman"/>
          <w:sz w:val="24"/>
          <w:szCs w:val="24"/>
          <w:lang w:val="ru-RU"/>
        </w:rPr>
        <w:t>нетранспар</w:t>
      </w:r>
      <w:r w:rsidR="002605F6">
        <w:rPr>
          <w:rFonts w:ascii="Times New Roman" w:hAnsi="Times New Roman" w:cs="Times New Roman"/>
          <w:sz w:val="24"/>
          <w:szCs w:val="24"/>
          <w:lang w:val="ru-RU"/>
        </w:rPr>
        <w:t>е</w:t>
      </w:r>
      <w:r w:rsidR="006617AC" w:rsidRPr="0018636D">
        <w:rPr>
          <w:rFonts w:ascii="Times New Roman" w:hAnsi="Times New Roman" w:cs="Times New Roman"/>
          <w:sz w:val="24"/>
          <w:szCs w:val="24"/>
          <w:lang w:val="ru-RU"/>
        </w:rPr>
        <w:t>нтной методикой составления сторонних разработчиков</w:t>
      </w:r>
      <w:r w:rsidR="00947767">
        <w:rPr>
          <w:rFonts w:ascii="Times New Roman" w:hAnsi="Times New Roman" w:cs="Times New Roman"/>
          <w:sz w:val="24"/>
          <w:szCs w:val="24"/>
          <w:lang w:val="ru-RU"/>
        </w:rPr>
        <w:t>.</w:t>
      </w:r>
    </w:p>
    <w:p w14:paraId="40D40EA5" w14:textId="6901B3AB" w:rsidR="00947767" w:rsidRDefault="00947767" w:rsidP="00004964">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Российские и московские власти, </w:t>
      </w:r>
      <w:r w:rsidR="006617AC" w:rsidRPr="0018636D">
        <w:rPr>
          <w:rFonts w:ascii="Times New Roman" w:hAnsi="Times New Roman" w:cs="Times New Roman"/>
          <w:sz w:val="24"/>
          <w:szCs w:val="24"/>
          <w:lang w:val="ru-RU"/>
        </w:rPr>
        <w:t>выстраива</w:t>
      </w:r>
      <w:r>
        <w:rPr>
          <w:rFonts w:ascii="Times New Roman" w:hAnsi="Times New Roman" w:cs="Times New Roman"/>
          <w:sz w:val="24"/>
          <w:szCs w:val="24"/>
          <w:lang w:val="ru-RU"/>
        </w:rPr>
        <w:t>я</w:t>
      </w:r>
      <w:r w:rsidR="006617AC" w:rsidRPr="0018636D">
        <w:rPr>
          <w:rFonts w:ascii="Times New Roman" w:hAnsi="Times New Roman" w:cs="Times New Roman"/>
          <w:sz w:val="24"/>
          <w:szCs w:val="24"/>
          <w:lang w:val="ru-RU"/>
        </w:rPr>
        <w:t xml:space="preserve"> политику по развитию системы международных финансовых центров, обслуживающих финансовые потоки российского бизнеса, </w:t>
      </w:r>
      <w:r>
        <w:rPr>
          <w:rFonts w:ascii="Times New Roman" w:hAnsi="Times New Roman" w:cs="Times New Roman"/>
          <w:sz w:val="24"/>
          <w:szCs w:val="24"/>
          <w:lang w:val="ru-RU"/>
        </w:rPr>
        <w:t>должны исходить</w:t>
      </w:r>
      <w:r w:rsidR="006617AC" w:rsidRPr="0018636D">
        <w:rPr>
          <w:rFonts w:ascii="Times New Roman" w:hAnsi="Times New Roman" w:cs="Times New Roman"/>
          <w:sz w:val="24"/>
          <w:szCs w:val="24"/>
          <w:lang w:val="ru-RU"/>
        </w:rPr>
        <w:t xml:space="preserve"> из того, что в данных момент главные МФЦ России находятся за её пределами (офшорные юрисдикции Дубая, Кипра, Британии)</w:t>
      </w:r>
      <w:r>
        <w:rPr>
          <w:rFonts w:ascii="Times New Roman" w:hAnsi="Times New Roman" w:cs="Times New Roman"/>
          <w:sz w:val="24"/>
          <w:szCs w:val="24"/>
          <w:lang w:val="ru-RU"/>
        </w:rPr>
        <w:t xml:space="preserve">. Концепция городских кластеров финансовых услуг, конкурентоспособных на внешние рынках должна быть основной моделью при развитии МФЦ в столице и городах-миллионников. </w:t>
      </w:r>
    </w:p>
    <w:p w14:paraId="01568E4D" w14:textId="35302D29" w:rsidR="003716B9" w:rsidRDefault="003716B9" w:rsidP="00004964">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разработки политики по развитию МФЦ следует привлекать саморегулируемые организации в сфере финансовых рынков, которые могут быть одними из главных бенефициаров в случае роста конкурентоспособности российского финансового сектора. </w:t>
      </w:r>
    </w:p>
    <w:p w14:paraId="581561FF" w14:textId="578B5E01" w:rsidR="00947767" w:rsidRDefault="00947767" w:rsidP="00004964">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Кластерный подход</w:t>
      </w:r>
      <w:r w:rsidR="002A5F27">
        <w:rPr>
          <w:rFonts w:ascii="Times New Roman" w:hAnsi="Times New Roman" w:cs="Times New Roman"/>
          <w:sz w:val="24"/>
          <w:szCs w:val="24"/>
          <w:lang w:val="ru-RU"/>
        </w:rPr>
        <w:t xml:space="preserve"> при создании МФЦ</w:t>
      </w:r>
      <w:r>
        <w:rPr>
          <w:rFonts w:ascii="Times New Roman" w:hAnsi="Times New Roman" w:cs="Times New Roman"/>
          <w:sz w:val="24"/>
          <w:szCs w:val="24"/>
          <w:lang w:val="ru-RU"/>
        </w:rPr>
        <w:t xml:space="preserve"> должен учитывать концепцию устойчивого развития, ориентированн</w:t>
      </w:r>
      <w:r w:rsidR="002A5F27">
        <w:rPr>
          <w:rFonts w:ascii="Times New Roman" w:hAnsi="Times New Roman" w:cs="Times New Roman"/>
          <w:sz w:val="24"/>
          <w:szCs w:val="24"/>
          <w:lang w:val="ru-RU"/>
        </w:rPr>
        <w:t xml:space="preserve">ую на увеличения доступности финансовых инструментов для широких слоёв населения и бизнеса и смягчения последний глобального потепления. Это потребует концептуального переосмысление идеи МФЦ от «глобальных» к «зелёным» финансам. </w:t>
      </w:r>
    </w:p>
    <w:p w14:paraId="075B18D2" w14:textId="575F9613" w:rsidR="004C031C" w:rsidRPr="004E7E3E" w:rsidRDefault="004C031C" w:rsidP="004C031C">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lastRenderedPageBreak/>
        <w:t xml:space="preserve">МФЦ должен привлекать «длинные» деньги в экономику. </w:t>
      </w:r>
      <w:r>
        <w:rPr>
          <w:rFonts w:ascii="Times New Roman" w:hAnsi="Times New Roman" w:cs="Times New Roman"/>
          <w:color w:val="000000"/>
          <w:sz w:val="24"/>
          <w:szCs w:val="24"/>
          <w:shd w:val="clear" w:color="auto" w:fill="FFFFFF"/>
          <w:lang w:val="ru-RU"/>
        </w:rPr>
        <w:t xml:space="preserve">Для этого можно разработать налоговые механизмы, предусматривавшие </w:t>
      </w:r>
      <w:r w:rsidRPr="004E7E3E">
        <w:rPr>
          <w:rFonts w:ascii="Times New Roman" w:hAnsi="Times New Roman" w:cs="Times New Roman"/>
          <w:color w:val="000000"/>
          <w:sz w:val="24"/>
          <w:szCs w:val="24"/>
          <w:shd w:val="clear" w:color="auto" w:fill="FFFFFF"/>
          <w:lang w:val="ru-RU"/>
        </w:rPr>
        <w:t>оплат</w:t>
      </w:r>
      <w:r>
        <w:rPr>
          <w:rFonts w:ascii="Times New Roman" w:hAnsi="Times New Roman" w:cs="Times New Roman"/>
          <w:color w:val="000000"/>
          <w:sz w:val="24"/>
          <w:szCs w:val="24"/>
          <w:shd w:val="clear" w:color="auto" w:fill="FFFFFF"/>
          <w:lang w:val="ru-RU"/>
        </w:rPr>
        <w:t>у</w:t>
      </w:r>
      <w:r w:rsidRPr="004E7E3E">
        <w:rPr>
          <w:rFonts w:ascii="Times New Roman" w:hAnsi="Times New Roman" w:cs="Times New Roman"/>
          <w:color w:val="000000"/>
          <w:sz w:val="24"/>
          <w:szCs w:val="24"/>
          <w:shd w:val="clear" w:color="auto" w:fill="FFFFFF"/>
          <w:lang w:val="ru-RU"/>
        </w:rPr>
        <w:t xml:space="preserve"> НДС и налога на прибыль только в конце инвестиционного периода. </w:t>
      </w:r>
    </w:p>
    <w:p w14:paraId="7C7BB90B" w14:textId="7760B108"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Необходимо активно развивать внешний и внутренний </w:t>
      </w:r>
      <w:r w:rsidR="002605F6" w:rsidRPr="004E7E3E">
        <w:rPr>
          <w:rFonts w:ascii="Times New Roman" w:hAnsi="Times New Roman" w:cs="Times New Roman"/>
          <w:color w:val="000000"/>
          <w:sz w:val="24"/>
          <w:szCs w:val="24"/>
          <w:shd w:val="clear" w:color="auto" w:fill="FFFFFF"/>
          <w:lang w:val="ru-RU"/>
        </w:rPr>
        <w:t>бенч-маркетинг</w:t>
      </w:r>
      <w:r w:rsidRPr="004E7E3E">
        <w:rPr>
          <w:rFonts w:ascii="Times New Roman" w:hAnsi="Times New Roman" w:cs="Times New Roman"/>
          <w:color w:val="000000"/>
          <w:sz w:val="24"/>
          <w:szCs w:val="24"/>
          <w:shd w:val="clear" w:color="auto" w:fill="FFFFFF"/>
          <w:lang w:val="ru-RU"/>
        </w:rPr>
        <w:t xml:space="preserve"> финансовых практик, то есть знакомиться с наиболее успешными практиками и рассматривать возможности их локализации. Для этого необходимо идти по двум направлениям: внешн</w:t>
      </w:r>
      <w:r>
        <w:rPr>
          <w:rFonts w:ascii="Times New Roman" w:hAnsi="Times New Roman" w:cs="Times New Roman"/>
          <w:color w:val="000000"/>
          <w:sz w:val="24"/>
          <w:szCs w:val="24"/>
          <w:shd w:val="clear" w:color="auto" w:fill="FFFFFF"/>
          <w:lang w:val="ru-RU"/>
        </w:rPr>
        <w:t>ему</w:t>
      </w:r>
      <w:r w:rsidRPr="004E7E3E">
        <w:rPr>
          <w:rFonts w:ascii="Times New Roman" w:hAnsi="Times New Roman" w:cs="Times New Roman"/>
          <w:color w:val="000000"/>
          <w:sz w:val="24"/>
          <w:szCs w:val="24"/>
          <w:shd w:val="clear" w:color="auto" w:fill="FFFFFF"/>
          <w:lang w:val="ru-RU"/>
        </w:rPr>
        <w:t xml:space="preserve"> (исследование лучших практик в иностранных МФЦ) и внутренн</w:t>
      </w:r>
      <w:r>
        <w:rPr>
          <w:rFonts w:ascii="Times New Roman" w:hAnsi="Times New Roman" w:cs="Times New Roman"/>
          <w:color w:val="000000"/>
          <w:sz w:val="24"/>
          <w:szCs w:val="24"/>
          <w:shd w:val="clear" w:color="auto" w:fill="FFFFFF"/>
          <w:lang w:val="ru-RU"/>
        </w:rPr>
        <w:t>ему</w:t>
      </w:r>
      <w:r w:rsidRPr="004E7E3E">
        <w:rPr>
          <w:rFonts w:ascii="Times New Roman" w:hAnsi="Times New Roman" w:cs="Times New Roman"/>
          <w:color w:val="000000"/>
          <w:sz w:val="24"/>
          <w:szCs w:val="24"/>
          <w:shd w:val="clear" w:color="auto" w:fill="FFFFFF"/>
          <w:lang w:val="ru-RU"/>
        </w:rPr>
        <w:t xml:space="preserve"> </w:t>
      </w:r>
      <w:r w:rsidR="002605F6" w:rsidRPr="004E7E3E">
        <w:rPr>
          <w:rFonts w:ascii="Times New Roman" w:hAnsi="Times New Roman" w:cs="Times New Roman"/>
          <w:color w:val="000000"/>
          <w:sz w:val="24"/>
          <w:szCs w:val="24"/>
          <w:shd w:val="clear" w:color="auto" w:fill="FFFFFF"/>
          <w:lang w:val="ru-RU"/>
        </w:rPr>
        <w:t>бенч-маркетин</w:t>
      </w:r>
      <w:r w:rsidR="002605F6">
        <w:rPr>
          <w:rFonts w:ascii="Times New Roman" w:hAnsi="Times New Roman" w:cs="Times New Roman"/>
          <w:color w:val="000000"/>
          <w:sz w:val="24"/>
          <w:szCs w:val="24"/>
          <w:shd w:val="clear" w:color="auto" w:fill="FFFFFF"/>
          <w:lang w:val="ru-RU"/>
        </w:rPr>
        <w:t>гу</w:t>
      </w:r>
      <w:r w:rsidRPr="004E7E3E">
        <w:rPr>
          <w:rFonts w:ascii="Times New Roman" w:hAnsi="Times New Roman" w:cs="Times New Roman"/>
          <w:color w:val="000000"/>
          <w:sz w:val="24"/>
          <w:szCs w:val="24"/>
          <w:shd w:val="clear" w:color="auto" w:fill="FFFFFF"/>
          <w:lang w:val="ru-RU"/>
        </w:rPr>
        <w:t xml:space="preserve"> (изучение лучших практик в национальных границах). </w:t>
      </w:r>
    </w:p>
    <w:p w14:paraId="3176D162" w14:textId="635716A0"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Модернизация стандартов финансовой деятельности в соответствии с мировыми тенденциями невозможна без наличия персонала, который непосредственно знаком с этими тенденциями и владеет новыми практиками. Вероятно, на </w:t>
      </w:r>
      <w:r w:rsidR="004C031C">
        <w:rPr>
          <w:rFonts w:ascii="Times New Roman" w:hAnsi="Times New Roman" w:cs="Times New Roman"/>
          <w:color w:val="000000"/>
          <w:sz w:val="24"/>
          <w:szCs w:val="24"/>
          <w:shd w:val="clear" w:color="auto" w:fill="FFFFFF"/>
          <w:lang w:val="ru-RU"/>
        </w:rPr>
        <w:t>первом этапе</w:t>
      </w:r>
      <w:r w:rsidRPr="004E7E3E">
        <w:rPr>
          <w:rFonts w:ascii="Times New Roman" w:hAnsi="Times New Roman" w:cs="Times New Roman"/>
          <w:color w:val="000000"/>
          <w:sz w:val="24"/>
          <w:szCs w:val="24"/>
          <w:shd w:val="clear" w:color="auto" w:fill="FFFFFF"/>
          <w:lang w:val="ru-RU"/>
        </w:rPr>
        <w:t xml:space="preserve"> придётся привлекать иностранных специалистов. Для этого необходимо упростить визовый режим для иностранных сотрудников, работающи</w:t>
      </w:r>
      <w:r>
        <w:rPr>
          <w:rFonts w:ascii="Times New Roman" w:hAnsi="Times New Roman" w:cs="Times New Roman"/>
          <w:color w:val="000000"/>
          <w:sz w:val="24"/>
          <w:szCs w:val="24"/>
          <w:shd w:val="clear" w:color="auto" w:fill="FFFFFF"/>
          <w:lang w:val="ru-RU"/>
        </w:rPr>
        <w:t>х</w:t>
      </w:r>
      <w:r w:rsidRPr="004E7E3E">
        <w:rPr>
          <w:rFonts w:ascii="Times New Roman" w:hAnsi="Times New Roman" w:cs="Times New Roman"/>
          <w:color w:val="000000"/>
          <w:sz w:val="24"/>
          <w:szCs w:val="24"/>
          <w:shd w:val="clear" w:color="auto" w:fill="FFFFFF"/>
          <w:lang w:val="ru-RU"/>
        </w:rPr>
        <w:t xml:space="preserve"> в рамках создания и развития МФЦ. В этом же пункте следует назвать следующее направление деятельности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наладить работу с соотечественниками с фокусировкой на финансовые вопросы.  </w:t>
      </w:r>
    </w:p>
    <w:p w14:paraId="08001F3E" w14:textId="45891D60" w:rsidR="00DC5025" w:rsidRPr="004E7E3E" w:rsidRDefault="00DC5025" w:rsidP="00DC5025">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Рано или поздно вопрос о становлении рубля в качестве региональной резервной валюты вновь встанет на повестку дня. Для того, чтобы он быстрее туда попал</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необходимо: 1)</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продолжить диверсификацию экономики с акцентом на высокотехнологичные отрасли (атомная энергетика, военная сфера и т. д.); 2) разработать стратегию международных кредитов в рублях для поддержки экспорта отечественной продукции наукоемких отраслей и займы правительствам дружественных и соседних стран; 3) интенсифицировать мероприятия по созданию единой валюты в рамках </w:t>
      </w:r>
      <w:r w:rsidR="004C031C">
        <w:rPr>
          <w:rFonts w:ascii="Times New Roman" w:hAnsi="Times New Roman" w:cs="Times New Roman"/>
          <w:color w:val="000000"/>
          <w:sz w:val="24"/>
          <w:szCs w:val="24"/>
          <w:shd w:val="clear" w:color="auto" w:fill="FFFFFF"/>
          <w:lang w:val="ru-RU"/>
        </w:rPr>
        <w:t>ЕАЭС.</w:t>
      </w:r>
    </w:p>
    <w:p w14:paraId="07BB510A" w14:textId="77777777" w:rsidR="00DC5025" w:rsidRPr="004E7E3E" w:rsidRDefault="00DC5025" w:rsidP="00DC5025">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Дополнительные рекомендаци</w:t>
      </w:r>
      <w:r>
        <w:rPr>
          <w:rFonts w:ascii="Times New Roman" w:hAnsi="Times New Roman" w:cs="Times New Roman"/>
          <w:color w:val="000000"/>
          <w:sz w:val="24"/>
          <w:szCs w:val="24"/>
          <w:shd w:val="clear" w:color="auto" w:fill="FFFFFF"/>
          <w:lang w:val="ru-RU"/>
        </w:rPr>
        <w:t>и</w:t>
      </w:r>
      <w:r w:rsidRPr="004E7E3E">
        <w:rPr>
          <w:rFonts w:ascii="Times New Roman" w:hAnsi="Times New Roman" w:cs="Times New Roman"/>
          <w:color w:val="000000"/>
          <w:sz w:val="24"/>
          <w:szCs w:val="24"/>
          <w:shd w:val="clear" w:color="auto" w:fill="FFFFFF"/>
          <w:lang w:val="ru-RU"/>
        </w:rPr>
        <w:t xml:space="preserve"> по развитию МФЦ в Москве заключаются в следующих положениях: </w:t>
      </w:r>
    </w:p>
    <w:p w14:paraId="382092FF" w14:textId="77777777" w:rsidR="00DC5025" w:rsidRPr="004E7E3E" w:rsidRDefault="00DC5025" w:rsidP="00DC5025">
      <w:pPr>
        <w:pStyle w:val="af3"/>
        <w:numPr>
          <w:ilvl w:val="0"/>
          <w:numId w:val="3"/>
        </w:numPr>
        <w:spacing w:after="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Активнее использовать биржевые площадки России для торговли традиционными экспортными товарами страны</w:t>
      </w:r>
      <w:r>
        <w:rPr>
          <w:rFonts w:ascii="Times New Roman" w:hAnsi="Times New Roman" w:cs="Times New Roman"/>
          <w:color w:val="000000"/>
          <w:sz w:val="24"/>
          <w:szCs w:val="24"/>
          <w:shd w:val="clear" w:color="auto" w:fill="FFFFFF"/>
          <w:lang w:val="ru-RU"/>
        </w:rPr>
        <w:t>, т</w:t>
      </w:r>
      <w:r w:rsidRPr="004E7E3E">
        <w:rPr>
          <w:rFonts w:ascii="Times New Roman" w:hAnsi="Times New Roman" w:cs="Times New Roman"/>
          <w:color w:val="000000"/>
          <w:sz w:val="24"/>
          <w:szCs w:val="24"/>
          <w:shd w:val="clear" w:color="auto" w:fill="FFFFFF"/>
          <w:lang w:val="ru-RU"/>
        </w:rPr>
        <w:t xml:space="preserve">акими как зерно, возможно, алмазы, лес, мех. Диверсифицировать их месторасположение. Например, площадку по торговле фьючерсами на зерно можно разместить в Краснодаре, Санкт-Петербурге или Сочи. </w:t>
      </w:r>
    </w:p>
    <w:p w14:paraId="54B41A7A" w14:textId="77777777" w:rsidR="00DC5025" w:rsidRPr="004E7E3E" w:rsidRDefault="00DC5025" w:rsidP="00DC5025">
      <w:pPr>
        <w:pStyle w:val="af3"/>
        <w:numPr>
          <w:ilvl w:val="0"/>
          <w:numId w:val="3"/>
        </w:numPr>
        <w:spacing w:after="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Продолжить развитие финансового образовани</w:t>
      </w:r>
      <w:r>
        <w:rPr>
          <w:rFonts w:ascii="Times New Roman" w:hAnsi="Times New Roman" w:cs="Times New Roman"/>
          <w:color w:val="000000"/>
          <w:sz w:val="24"/>
          <w:szCs w:val="24"/>
          <w:shd w:val="clear" w:color="auto" w:fill="FFFFFF"/>
          <w:lang w:val="ru-RU"/>
        </w:rPr>
        <w:t>я</w:t>
      </w:r>
      <w:r w:rsidRPr="004E7E3E">
        <w:rPr>
          <w:rFonts w:ascii="Times New Roman" w:hAnsi="Times New Roman" w:cs="Times New Roman"/>
          <w:color w:val="000000"/>
          <w:sz w:val="24"/>
          <w:szCs w:val="24"/>
          <w:shd w:val="clear" w:color="auto" w:fill="FFFFFF"/>
          <w:lang w:val="ru-RU"/>
        </w:rPr>
        <w:t xml:space="preserve"> за счёт открытия новых высших школ, программ совместного обучения в российских и зарубежных вузах.</w:t>
      </w:r>
    </w:p>
    <w:p w14:paraId="1FF12616" w14:textId="5CE32899" w:rsidR="00AE4368" w:rsidRPr="003716B9" w:rsidRDefault="00DC5025" w:rsidP="00575247">
      <w:pPr>
        <w:pStyle w:val="af3"/>
        <w:numPr>
          <w:ilvl w:val="0"/>
          <w:numId w:val="3"/>
        </w:numPr>
        <w:spacing w:after="0" w:line="360" w:lineRule="auto"/>
        <w:ind w:left="0" w:firstLine="709"/>
        <w:jc w:val="both"/>
        <w:rPr>
          <w:rFonts w:ascii="Times New Roman" w:hAnsi="Times New Roman" w:cs="Times New Roman"/>
          <w:color w:val="000000"/>
          <w:sz w:val="24"/>
          <w:szCs w:val="24"/>
          <w:shd w:val="clear" w:color="auto" w:fill="FFFFFF"/>
          <w:lang w:val="ru-RU" w:eastAsia="zh-CN"/>
        </w:rPr>
      </w:pPr>
      <w:r w:rsidRPr="003716B9">
        <w:rPr>
          <w:rFonts w:ascii="Times New Roman" w:hAnsi="Times New Roman" w:cs="Times New Roman"/>
          <w:color w:val="000000"/>
          <w:sz w:val="24"/>
          <w:szCs w:val="24"/>
          <w:shd w:val="clear" w:color="auto" w:fill="FFFFFF"/>
          <w:lang w:val="ru-RU"/>
        </w:rPr>
        <w:t xml:space="preserve">Создать на базе одного из отделов Торгово-промышленной палаты России агентство по продвижению Московского финансового центра за рубежом по аналогии с лондонским агентством </w:t>
      </w:r>
      <w:r w:rsidRPr="003716B9">
        <w:rPr>
          <w:rFonts w:ascii="Times New Roman" w:hAnsi="Times New Roman" w:cs="Times New Roman"/>
          <w:color w:val="000000"/>
          <w:sz w:val="24"/>
          <w:szCs w:val="24"/>
          <w:shd w:val="clear" w:color="auto" w:fill="FFFFFF"/>
        </w:rPr>
        <w:t>TheCityUK</w:t>
      </w:r>
      <w:r w:rsidRPr="003716B9">
        <w:rPr>
          <w:rFonts w:ascii="Times New Roman" w:hAnsi="Times New Roman" w:cs="Times New Roman"/>
          <w:color w:val="000000"/>
          <w:sz w:val="24"/>
          <w:szCs w:val="24"/>
          <w:shd w:val="clear" w:color="auto" w:fill="FFFFFF"/>
          <w:lang w:val="ru-RU"/>
        </w:rPr>
        <w:t>.</w:t>
      </w:r>
      <w:r w:rsidRPr="003716B9">
        <w:rPr>
          <w:rFonts w:ascii="Times New Roman" w:hAnsi="Times New Roman" w:cs="Times New Roman"/>
          <w:color w:val="000000"/>
          <w:sz w:val="24"/>
          <w:szCs w:val="24"/>
          <w:shd w:val="clear" w:color="auto" w:fill="FFFFFF"/>
          <w:lang w:val="ru-RU" w:eastAsia="zh-CN"/>
        </w:rPr>
        <w:br w:type="page" w:clear="all"/>
      </w:r>
    </w:p>
    <w:p w14:paraId="4B3DA10C" w14:textId="77777777" w:rsidR="00937CBF" w:rsidRPr="004E7E3E" w:rsidRDefault="00937CBF" w:rsidP="00937CBF">
      <w:pPr>
        <w:pStyle w:val="1"/>
        <w:spacing w:before="100" w:beforeAutospacing="1" w:after="100" w:line="360" w:lineRule="auto"/>
        <w:ind w:firstLine="709"/>
        <w:jc w:val="center"/>
        <w:rPr>
          <w:rFonts w:cs="Times New Roman"/>
          <w:sz w:val="24"/>
          <w:szCs w:val="24"/>
        </w:rPr>
      </w:pPr>
      <w:bookmarkStart w:id="35" w:name="_Toc443913386"/>
      <w:bookmarkStart w:id="36" w:name="Библиография"/>
      <w:bookmarkStart w:id="37" w:name="_Toc136448483"/>
      <w:bookmarkEnd w:id="22"/>
      <w:r w:rsidRPr="004E7E3E">
        <w:rPr>
          <w:rFonts w:cs="Times New Roman"/>
          <w:sz w:val="24"/>
          <w:szCs w:val="24"/>
        </w:rPr>
        <w:lastRenderedPageBreak/>
        <w:t>ЗАКЛЮЧЕНИЕ</w:t>
      </w:r>
      <w:bookmarkEnd w:id="37"/>
    </w:p>
    <w:p w14:paraId="165826A6"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p>
    <w:p w14:paraId="4ECF6740"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p>
    <w:p w14:paraId="05B8DDE4"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p>
    <w:p w14:paraId="20252CED" w14:textId="77777777" w:rsidR="00937CBF" w:rsidRPr="004E7E3E" w:rsidRDefault="00937CBF" w:rsidP="00937CBF">
      <w:pPr>
        <w:spacing w:after="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Решение задач диссертационного исследования позволило получить следующие результаты. </w:t>
      </w:r>
    </w:p>
    <w:p w14:paraId="4D39434F" w14:textId="77777777" w:rsidR="00937CBF" w:rsidRPr="004E7E3E" w:rsidRDefault="00937CBF" w:rsidP="00937CBF">
      <w:pPr>
        <w:pStyle w:val="af3"/>
        <w:numPr>
          <w:ilvl w:val="0"/>
          <w:numId w:val="5"/>
        </w:numPr>
        <w:spacing w:after="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b/>
          <w:sz w:val="24"/>
          <w:szCs w:val="24"/>
          <w:lang w:val="ru-RU"/>
        </w:rPr>
        <w:t xml:space="preserve">Уточнено понятие </w:t>
      </w:r>
      <w:r>
        <w:rPr>
          <w:rFonts w:ascii="Times New Roman" w:hAnsi="Times New Roman" w:cs="Times New Roman"/>
          <w:b/>
          <w:sz w:val="24"/>
          <w:szCs w:val="24"/>
          <w:lang w:val="ru-RU"/>
        </w:rPr>
        <w:t>«</w:t>
      </w:r>
      <w:r w:rsidRPr="004E7E3E">
        <w:rPr>
          <w:rFonts w:ascii="Times New Roman" w:hAnsi="Times New Roman" w:cs="Times New Roman"/>
          <w:b/>
          <w:sz w:val="24"/>
          <w:szCs w:val="24"/>
          <w:lang w:val="ru-RU"/>
        </w:rPr>
        <w:t>международный финансовый центр</w:t>
      </w:r>
      <w:r>
        <w:rPr>
          <w:rFonts w:ascii="Times New Roman" w:hAnsi="Times New Roman" w:cs="Times New Roman"/>
          <w:b/>
          <w:sz w:val="24"/>
          <w:szCs w:val="24"/>
          <w:lang w:val="ru-RU"/>
        </w:rPr>
        <w:t>»</w:t>
      </w:r>
      <w:r w:rsidRPr="004E7E3E">
        <w:rPr>
          <w:rFonts w:ascii="Times New Roman" w:hAnsi="Times New Roman" w:cs="Times New Roman"/>
          <w:b/>
          <w:sz w:val="24"/>
          <w:szCs w:val="24"/>
          <w:lang w:val="ru-RU"/>
        </w:rPr>
        <w:t xml:space="preserve">, прослежена история развития этого института, показан высокий интерпретационный и объяснительный потенциал подхода </w:t>
      </w:r>
      <w:r>
        <w:rPr>
          <w:rFonts w:ascii="Times New Roman" w:hAnsi="Times New Roman" w:cs="Times New Roman"/>
          <w:b/>
          <w:sz w:val="24"/>
          <w:szCs w:val="24"/>
          <w:lang w:val="ru-RU"/>
        </w:rPr>
        <w:t>«</w:t>
      </w:r>
      <w:r w:rsidRPr="004E7E3E">
        <w:rPr>
          <w:rFonts w:ascii="Times New Roman" w:hAnsi="Times New Roman" w:cs="Times New Roman"/>
          <w:b/>
          <w:sz w:val="24"/>
          <w:szCs w:val="24"/>
          <w:lang w:val="ru-RU"/>
        </w:rPr>
        <w:t>МФЦ как порт финансовых ценностей</w:t>
      </w:r>
      <w:r>
        <w:rPr>
          <w:rFonts w:ascii="Times New Roman" w:hAnsi="Times New Roman" w:cs="Times New Roman"/>
          <w:b/>
          <w:sz w:val="24"/>
          <w:szCs w:val="24"/>
          <w:lang w:val="ru-RU"/>
        </w:rPr>
        <w:t>»</w:t>
      </w:r>
      <w:r w:rsidRPr="004E7E3E">
        <w:rPr>
          <w:rFonts w:ascii="Times New Roman" w:hAnsi="Times New Roman" w:cs="Times New Roman"/>
          <w:b/>
          <w:sz w:val="24"/>
          <w:szCs w:val="24"/>
          <w:lang w:val="ru-RU"/>
        </w:rPr>
        <w:t>.</w:t>
      </w:r>
    </w:p>
    <w:p w14:paraId="28D804EB" w14:textId="77777777" w:rsidR="00937CBF"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результате нашего исследования было предложено следующее определение: </w:t>
      </w:r>
      <w:bookmarkStart w:id="38" w:name="_Hlk69667344"/>
      <w:r w:rsidRPr="004E7E3E">
        <w:rPr>
          <w:rFonts w:ascii="Times New Roman" w:hAnsi="Times New Roman" w:cs="Times New Roman"/>
          <w:b/>
          <w:color w:val="000000"/>
          <w:sz w:val="24"/>
          <w:szCs w:val="24"/>
          <w:shd w:val="clear" w:color="auto" w:fill="FFFFFF"/>
          <w:lang w:val="ru-RU"/>
        </w:rPr>
        <w:t>международный финансовый центр</w:t>
      </w:r>
      <w:r w:rsidRPr="004E7E3E">
        <w:rPr>
          <w:rFonts w:ascii="Times New Roman" w:hAnsi="Times New Roman" w:cs="Times New Roman"/>
          <w:color w:val="000000"/>
          <w:sz w:val="24"/>
          <w:szCs w:val="24"/>
          <w:shd w:val="clear" w:color="auto" w:fill="FFFFFF"/>
          <w:lang w:val="ru-RU"/>
        </w:rPr>
        <w:t xml:space="preserve"> – это сетевой институт мировых финансов, обслуживающий крупнейшие региональные (национальные) экономики и связывающий их с</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 xml:space="preserve">мировыми процессами. Для международных финансовых </w:t>
      </w:r>
      <w:r>
        <w:rPr>
          <w:rFonts w:ascii="Times New Roman" w:hAnsi="Times New Roman" w:cs="Times New Roman"/>
          <w:color w:val="000000"/>
          <w:sz w:val="24"/>
          <w:szCs w:val="24"/>
          <w:shd w:val="clear" w:color="auto" w:fill="FFFFFF"/>
          <w:lang w:val="ru-RU"/>
        </w:rPr>
        <w:t>центров</w:t>
      </w:r>
      <w:r w:rsidRPr="004E7E3E">
        <w:rPr>
          <w:rFonts w:ascii="Times New Roman" w:hAnsi="Times New Roman" w:cs="Times New Roman"/>
          <w:color w:val="000000"/>
          <w:sz w:val="24"/>
          <w:szCs w:val="24"/>
          <w:shd w:val="clear" w:color="auto" w:fill="FFFFFF"/>
          <w:lang w:val="ru-RU"/>
        </w:rPr>
        <w:t xml:space="preserve"> характерна сверхконцентрация фондовых и валютных бирж, представительств мировых банков, страховых, инвестиционных компаний, пенсионных и хэджинговых фондов, брокерских контор, депозитариев, клиринговых агентств</w:t>
      </w:r>
      <w:r>
        <w:rPr>
          <w:rFonts w:ascii="Times New Roman" w:hAnsi="Times New Roman" w:cs="Times New Roman"/>
          <w:color w:val="000000"/>
          <w:sz w:val="24"/>
          <w:szCs w:val="24"/>
          <w:shd w:val="clear" w:color="auto" w:fill="FFFFFF"/>
          <w:lang w:val="ru-RU"/>
        </w:rPr>
        <w:t xml:space="preserve"> и транснациональных корпораций, а также наличие норм регулирования оптовых операций структурированными финансовыми продуктам и услугами на внутреннем и внешнем рынках</w:t>
      </w:r>
      <w:r w:rsidRPr="004E7E3E">
        <w:rPr>
          <w:rFonts w:ascii="Times New Roman" w:hAnsi="Times New Roman" w:cs="Times New Roman"/>
          <w:color w:val="000000"/>
          <w:sz w:val="24"/>
          <w:szCs w:val="24"/>
          <w:shd w:val="clear" w:color="auto" w:fill="FFFFFF"/>
          <w:lang w:val="ru-RU"/>
        </w:rPr>
        <w:t>. Вне зависимости от типа центра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в относительной близости </w:t>
      </w:r>
      <w:r>
        <w:rPr>
          <w:rFonts w:ascii="Times New Roman" w:hAnsi="Times New Roman" w:cs="Times New Roman"/>
          <w:color w:val="000000"/>
          <w:sz w:val="24"/>
          <w:szCs w:val="24"/>
          <w:shd w:val="clear" w:color="auto" w:fill="FFFFFF"/>
          <w:lang w:val="ru-RU"/>
        </w:rPr>
        <w:t xml:space="preserve">с ним </w:t>
      </w:r>
      <w:r w:rsidRPr="004E7E3E">
        <w:rPr>
          <w:rFonts w:ascii="Times New Roman" w:hAnsi="Times New Roman" w:cs="Times New Roman"/>
          <w:color w:val="000000"/>
          <w:sz w:val="24"/>
          <w:szCs w:val="24"/>
          <w:shd w:val="clear" w:color="auto" w:fill="FFFFFF"/>
          <w:lang w:val="ru-RU"/>
        </w:rPr>
        <w:t xml:space="preserve">должна находиться крупная региональная экономика, которую он обслуживает. </w:t>
      </w:r>
      <w:bookmarkEnd w:id="38"/>
    </w:p>
    <w:p w14:paraId="02416F56"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МФЦ – это не обязательно офшор, но кластер передового развития. То есть и законодательный, и административный подходы к регулированию данного института должны быть особыми, по аналогии с крупным морским портом, который всегда «иностранец» в стране. </w:t>
      </w:r>
    </w:p>
    <w:p w14:paraId="2358E00E"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Роль государства заметна при создании новых финансовых центров, но следует отличать успех международного финансового центра и успех всей финансовой системы страны. Успех первого можно достигнуть намного быстрее, а успехи последней могут не отразиться на</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положении первого. В этом отличие национальных центров от офшорных. Однако главный финансовый центр на данный момент – Лондон –</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 xml:space="preserve">набрал очки именно благодаря офшорным сделкам – размещению евробондов. </w:t>
      </w:r>
    </w:p>
    <w:p w14:paraId="23983A34"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eastAsia="zh-CN"/>
        </w:rPr>
      </w:pPr>
      <w:r w:rsidRPr="004E7E3E">
        <w:rPr>
          <w:rFonts w:ascii="Times New Roman" w:hAnsi="Times New Roman" w:cs="Times New Roman"/>
          <w:color w:val="000000"/>
          <w:sz w:val="24"/>
          <w:szCs w:val="24"/>
          <w:shd w:val="clear" w:color="auto" w:fill="FFFFFF"/>
          <w:lang w:val="ru-RU" w:eastAsia="zh-CN"/>
        </w:rPr>
        <w:t xml:space="preserve">В научных кругах принято вести историю международного финансового центра с Амстердама </w:t>
      </w:r>
      <w:r>
        <w:rPr>
          <w:rFonts w:ascii="Times New Roman" w:hAnsi="Times New Roman" w:cs="Times New Roman"/>
          <w:color w:val="000000"/>
          <w:sz w:val="24"/>
          <w:szCs w:val="24"/>
          <w:shd w:val="clear" w:color="auto" w:fill="FFFFFF"/>
          <w:lang w:eastAsia="zh-CN"/>
        </w:rPr>
        <w:t>XVII</w:t>
      </w:r>
      <w:r w:rsidRPr="004E7E3E">
        <w:rPr>
          <w:rFonts w:ascii="Times New Roman" w:hAnsi="Times New Roman" w:cs="Times New Roman"/>
          <w:color w:val="000000"/>
          <w:sz w:val="24"/>
          <w:szCs w:val="24"/>
          <w:shd w:val="clear" w:color="auto" w:fill="FFFFFF"/>
          <w:lang w:val="ru-RU" w:eastAsia="zh-CN"/>
        </w:rPr>
        <w:t xml:space="preserve"> века, хотя уровень развития финансов в государствах Северной Италии </w:t>
      </w:r>
      <w:r>
        <w:rPr>
          <w:rFonts w:ascii="Times New Roman" w:hAnsi="Times New Roman" w:cs="Times New Roman"/>
          <w:color w:val="000000"/>
          <w:sz w:val="24"/>
          <w:szCs w:val="24"/>
          <w:shd w:val="clear" w:color="auto" w:fill="FFFFFF"/>
          <w:lang w:eastAsia="zh-CN"/>
        </w:rPr>
        <w:t>XVI</w:t>
      </w:r>
      <w:r w:rsidRPr="004E7E3E">
        <w:rPr>
          <w:rFonts w:ascii="Times New Roman" w:hAnsi="Times New Roman" w:cs="Times New Roman"/>
          <w:color w:val="000000"/>
          <w:sz w:val="24"/>
          <w:szCs w:val="24"/>
          <w:shd w:val="clear" w:color="auto" w:fill="FFFFFF"/>
          <w:lang w:val="ru-RU" w:eastAsia="zh-CN"/>
        </w:rPr>
        <w:t xml:space="preserve"> века был также очень высок, но из-за их раздробленности они не смогли достичь общеевропейского значения. </w:t>
      </w:r>
    </w:p>
    <w:p w14:paraId="21FDA174"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lastRenderedPageBreak/>
        <w:t>Мировой экономике требуется, чтобы вблизи больших экономических регионов существовал крупный финансовый кластер с фондовой и валютной бирж</w:t>
      </w:r>
      <w:r>
        <w:rPr>
          <w:rFonts w:ascii="Times New Roman" w:hAnsi="Times New Roman" w:cs="Times New Roman"/>
          <w:color w:val="000000"/>
          <w:sz w:val="24"/>
          <w:szCs w:val="24"/>
          <w:shd w:val="clear" w:color="auto" w:fill="FFFFFF"/>
          <w:lang w:val="ru-RU"/>
        </w:rPr>
        <w:t>ами</w:t>
      </w:r>
      <w:r w:rsidRPr="004E7E3E">
        <w:rPr>
          <w:rFonts w:ascii="Times New Roman" w:hAnsi="Times New Roman" w:cs="Times New Roman"/>
          <w:color w:val="000000"/>
          <w:sz w:val="24"/>
          <w:szCs w:val="24"/>
          <w:shd w:val="clear" w:color="auto" w:fill="FFFFFF"/>
          <w:lang w:val="ru-RU"/>
        </w:rPr>
        <w:t>, представительствами крупнейших игроков (банков, страховых компаний, инвестиционных фирм, рейтинговых агентств). Такие регионы могут являться национальными экономиками (США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Япония, Индия, Китай) или наднациональными объединениями (ЕС, Арабский мир, страны бывшего СССР, страны Латинской Америки). </w:t>
      </w:r>
    </w:p>
    <w:p w14:paraId="1A279A56" w14:textId="77777777" w:rsidR="00937CBF" w:rsidRPr="004E7E3E" w:rsidRDefault="00937CBF" w:rsidP="00937CBF">
      <w:pPr>
        <w:pStyle w:val="af3"/>
        <w:spacing w:after="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color w:val="000000"/>
          <w:sz w:val="24"/>
          <w:szCs w:val="24"/>
          <w:shd w:val="clear" w:color="auto" w:fill="FFFFFF"/>
          <w:lang w:val="ru-RU"/>
        </w:rPr>
        <w:t>Финансовый центр должен привлекать «качественный капитал»: долгосрочный, под</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низкий процент, –</w:t>
      </w:r>
      <w:r>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t>для перспективных областей. Быстрый «спекулятивный» капитал можно привлечь и без финансового центра международного уровня, но в будущем это может подорвать национальную финансовую систему, когда в результате очередного кризиса спекулянты будут выводить в срочном порядке свои деньги.</w:t>
      </w:r>
    </w:p>
    <w:p w14:paraId="7C589BBF" w14:textId="77777777" w:rsidR="00937CBF" w:rsidRPr="004E7E3E" w:rsidRDefault="00937CBF" w:rsidP="00937CBF">
      <w:pPr>
        <w:pStyle w:val="af3"/>
        <w:numPr>
          <w:ilvl w:val="0"/>
          <w:numId w:val="5"/>
        </w:numPr>
        <w:spacing w:after="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b/>
          <w:sz w:val="24"/>
          <w:szCs w:val="24"/>
          <w:lang w:val="ru-RU"/>
        </w:rPr>
        <w:t>Дана комплексная оценка наиболее популярных в мире классификаций и</w:t>
      </w:r>
      <w:r>
        <w:rPr>
          <w:rFonts w:ascii="Times New Roman" w:hAnsi="Times New Roman" w:cs="Times New Roman"/>
          <w:b/>
          <w:sz w:val="24"/>
          <w:szCs w:val="24"/>
          <w:lang w:val="ru-RU"/>
        </w:rPr>
        <w:t> </w:t>
      </w:r>
      <w:r w:rsidRPr="004E7E3E">
        <w:rPr>
          <w:rFonts w:ascii="Times New Roman" w:hAnsi="Times New Roman" w:cs="Times New Roman"/>
          <w:b/>
          <w:sz w:val="24"/>
          <w:szCs w:val="24"/>
          <w:lang w:val="ru-RU"/>
        </w:rPr>
        <w:t>рейтингов МФЦ, выявлены их сильные и слабые стороны.</w:t>
      </w:r>
    </w:p>
    <w:p w14:paraId="6E5BEBAA" w14:textId="641B7F8E" w:rsidR="00937CBF" w:rsidRPr="004E7E3E" w:rsidRDefault="00937CBF" w:rsidP="00937CBF">
      <w:pPr>
        <w:spacing w:after="0" w:line="360" w:lineRule="auto"/>
        <w:ind w:firstLine="709"/>
        <w:contextualSpacing/>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Для систематизации существующих классификаций МФЦ была создана таблица на основе подхода, изначально предложенного Е. В. Семенцовой</w:t>
      </w:r>
      <w:r w:rsidR="003716B9">
        <w:rPr>
          <w:rFonts w:ascii="Times New Roman" w:hAnsi="Times New Roman" w:cs="Times New Roman"/>
          <w:sz w:val="24"/>
          <w:szCs w:val="24"/>
          <w:lang w:val="ru-RU"/>
        </w:rPr>
        <w:t xml:space="preserve">, объединённая по 16 признакам. </w:t>
      </w:r>
    </w:p>
    <w:p w14:paraId="542A1C30"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sz w:val="24"/>
          <w:szCs w:val="24"/>
          <w:lang w:eastAsia="zh-CN"/>
        </w:rPr>
      </w:pPr>
      <w:r w:rsidRPr="004E7E3E">
        <w:rPr>
          <w:rFonts w:ascii="Times New Roman" w:hAnsi="Times New Roman" w:cs="Times New Roman"/>
          <w:sz w:val="24"/>
          <w:szCs w:val="24"/>
          <w:lang w:val="ru-RU"/>
        </w:rPr>
        <w:t>Подробно</w:t>
      </w:r>
      <w:r w:rsidRPr="004E7E3E">
        <w:rPr>
          <w:rFonts w:ascii="Times New Roman" w:hAnsi="Times New Roman" w:cs="Times New Roman"/>
          <w:sz w:val="24"/>
          <w:szCs w:val="24"/>
        </w:rPr>
        <w:t xml:space="preserve"> </w:t>
      </w:r>
      <w:r w:rsidRPr="004E7E3E">
        <w:rPr>
          <w:rFonts w:ascii="Times New Roman" w:hAnsi="Times New Roman" w:cs="Times New Roman"/>
          <w:sz w:val="24"/>
          <w:szCs w:val="24"/>
          <w:lang w:val="ru-RU"/>
        </w:rPr>
        <w:t>проанализирована</w:t>
      </w:r>
      <w:r w:rsidRPr="004E7E3E">
        <w:rPr>
          <w:rFonts w:ascii="Times New Roman" w:hAnsi="Times New Roman" w:cs="Times New Roman"/>
          <w:sz w:val="24"/>
          <w:szCs w:val="24"/>
        </w:rPr>
        <w:t xml:space="preserve"> </w:t>
      </w:r>
      <w:r w:rsidRPr="004E7E3E">
        <w:rPr>
          <w:rFonts w:ascii="Times New Roman" w:hAnsi="Times New Roman" w:cs="Times New Roman"/>
          <w:sz w:val="24"/>
          <w:szCs w:val="24"/>
          <w:lang w:val="ru-RU"/>
        </w:rPr>
        <w:t>методология</w:t>
      </w:r>
      <w:r w:rsidRPr="004E7E3E">
        <w:rPr>
          <w:rFonts w:ascii="Times New Roman" w:hAnsi="Times New Roman" w:cs="Times New Roman"/>
          <w:sz w:val="24"/>
          <w:szCs w:val="24"/>
        </w:rPr>
        <w:t xml:space="preserve"> </w:t>
      </w:r>
      <w:r w:rsidRPr="004E7E3E">
        <w:rPr>
          <w:rFonts w:ascii="Times New Roman" w:hAnsi="Times New Roman" w:cs="Times New Roman"/>
          <w:sz w:val="24"/>
          <w:szCs w:val="24"/>
          <w:lang w:val="ru-RU"/>
        </w:rPr>
        <w:t>ряда</w:t>
      </w:r>
      <w:r w:rsidRPr="004E7E3E">
        <w:rPr>
          <w:rFonts w:ascii="Times New Roman" w:hAnsi="Times New Roman" w:cs="Times New Roman"/>
          <w:sz w:val="24"/>
          <w:szCs w:val="24"/>
        </w:rPr>
        <w:t xml:space="preserve"> </w:t>
      </w:r>
      <w:r w:rsidRPr="004E7E3E">
        <w:rPr>
          <w:rFonts w:ascii="Times New Roman" w:hAnsi="Times New Roman" w:cs="Times New Roman"/>
          <w:sz w:val="24"/>
          <w:szCs w:val="24"/>
          <w:lang w:val="ru-RU"/>
        </w:rPr>
        <w:t>наиболее</w:t>
      </w:r>
      <w:r w:rsidRPr="004E7E3E">
        <w:rPr>
          <w:rFonts w:ascii="Times New Roman" w:hAnsi="Times New Roman" w:cs="Times New Roman"/>
          <w:sz w:val="24"/>
          <w:szCs w:val="24"/>
        </w:rPr>
        <w:t xml:space="preserve"> </w:t>
      </w:r>
      <w:r w:rsidRPr="004E7E3E">
        <w:rPr>
          <w:rFonts w:ascii="Times New Roman" w:hAnsi="Times New Roman" w:cs="Times New Roman"/>
          <w:sz w:val="24"/>
          <w:szCs w:val="24"/>
          <w:lang w:val="ru-RU"/>
        </w:rPr>
        <w:t>популярных</w:t>
      </w:r>
      <w:r w:rsidRPr="004E7E3E">
        <w:rPr>
          <w:rFonts w:ascii="Times New Roman" w:hAnsi="Times New Roman" w:cs="Times New Roman"/>
          <w:sz w:val="24"/>
          <w:szCs w:val="24"/>
        </w:rPr>
        <w:t xml:space="preserve"> </w:t>
      </w:r>
      <w:r w:rsidRPr="004E7E3E">
        <w:rPr>
          <w:rFonts w:ascii="Times New Roman" w:hAnsi="Times New Roman" w:cs="Times New Roman"/>
          <w:sz w:val="24"/>
          <w:szCs w:val="24"/>
          <w:lang w:val="ru-RU"/>
        </w:rPr>
        <w:t>рейтингов</w:t>
      </w:r>
      <w:r w:rsidRPr="004E7E3E">
        <w:rPr>
          <w:rFonts w:ascii="Times New Roman" w:hAnsi="Times New Roman" w:cs="Times New Roman"/>
          <w:sz w:val="24"/>
          <w:szCs w:val="24"/>
        </w:rPr>
        <w:t xml:space="preserve"> (Global Financial Centre Index, Xinhua-Dow Jones International Financial Center Development Index). </w:t>
      </w:r>
    </w:p>
    <w:p w14:paraId="6E883D58"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sz w:val="24"/>
          <w:szCs w:val="24"/>
          <w:lang w:val="ru-RU"/>
        </w:rPr>
        <w:t xml:space="preserve">Более подробное изучение рейтинга </w:t>
      </w:r>
      <w:r w:rsidRPr="004E7E3E">
        <w:rPr>
          <w:rFonts w:ascii="Times New Roman" w:hAnsi="Times New Roman" w:cs="Times New Roman"/>
          <w:sz w:val="24"/>
          <w:szCs w:val="24"/>
        </w:rPr>
        <w:t>GFCI</w:t>
      </w:r>
      <w:r w:rsidRPr="004E7E3E">
        <w:rPr>
          <w:rFonts w:ascii="Times New Roman" w:hAnsi="Times New Roman" w:cs="Times New Roman"/>
          <w:sz w:val="24"/>
          <w:szCs w:val="24"/>
          <w:lang w:val="ru-RU"/>
        </w:rPr>
        <w:t xml:space="preserve"> позволило выявить </w:t>
      </w:r>
      <w:r w:rsidRPr="004E7E3E">
        <w:rPr>
          <w:rFonts w:ascii="Times New Roman" w:hAnsi="Times New Roman" w:cs="Times New Roman"/>
          <w:color w:val="000000"/>
          <w:sz w:val="24"/>
          <w:szCs w:val="24"/>
          <w:shd w:val="clear" w:color="auto" w:fill="FFFFFF"/>
          <w:lang w:val="ru-RU"/>
        </w:rPr>
        <w:t>ряд нестыковок, которые не</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 xml:space="preserve">позволяют на </w:t>
      </w:r>
      <w:r>
        <w:rPr>
          <w:rFonts w:ascii="Times New Roman" w:hAnsi="Times New Roman" w:cs="Times New Roman"/>
          <w:color w:val="000000"/>
          <w:sz w:val="24"/>
          <w:szCs w:val="24"/>
          <w:shd w:val="clear" w:color="auto" w:fill="FFFFFF"/>
          <w:lang w:val="ru-RU"/>
        </w:rPr>
        <w:t>однозначно</w:t>
      </w:r>
      <w:r w:rsidRPr="004E7E3E">
        <w:rPr>
          <w:rFonts w:ascii="Times New Roman" w:hAnsi="Times New Roman" w:cs="Times New Roman"/>
          <w:color w:val="000000"/>
          <w:sz w:val="24"/>
          <w:szCs w:val="24"/>
          <w:shd w:val="clear" w:color="auto" w:fill="FFFFFF"/>
          <w:lang w:val="ru-RU"/>
        </w:rPr>
        <w:t xml:space="preserve"> утверждать, что рейтинг составляется исключительно на основе объективных, количественный данных и не подвержен влиянию субъективной оценки его составителей: 1) довольно часто разница между соседними центра</w:t>
      </w:r>
      <w:r>
        <w:rPr>
          <w:rFonts w:ascii="Times New Roman" w:hAnsi="Times New Roman" w:cs="Times New Roman"/>
          <w:color w:val="000000"/>
          <w:sz w:val="24"/>
          <w:szCs w:val="24"/>
          <w:shd w:val="clear" w:color="auto" w:fill="FFFFFF"/>
          <w:lang w:val="ru-RU"/>
        </w:rPr>
        <w:t>ми</w:t>
      </w:r>
      <w:r w:rsidRPr="004E7E3E">
        <w:rPr>
          <w:rFonts w:ascii="Times New Roman" w:hAnsi="Times New Roman" w:cs="Times New Roman"/>
          <w:color w:val="000000"/>
          <w:sz w:val="24"/>
          <w:szCs w:val="24"/>
          <w:shd w:val="clear" w:color="auto" w:fill="FFFFFF"/>
          <w:lang w:val="ru-RU"/>
        </w:rPr>
        <w:t xml:space="preserve"> в рейтинге составляет лишь 1</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балл (при максимальном показателе около 780 баллов из 1000 баллов возможных) 2) стоит обратить внимание не только на положение МФЦ страны в рейтинге, но и на количество МФЦ одной страны</w:t>
      </w:r>
      <w:r>
        <w:rPr>
          <w:rFonts w:ascii="Times New Roman" w:hAnsi="Times New Roman" w:cs="Times New Roman"/>
          <w:color w:val="000000"/>
          <w:sz w:val="24"/>
          <w:szCs w:val="24"/>
          <w:shd w:val="clear" w:color="auto" w:fill="FFFFFF"/>
          <w:lang w:val="ru-RU"/>
        </w:rPr>
        <w:t>, одной валютной зоны, а также, возможно, одного военно-политического союза</w:t>
      </w:r>
      <w:r w:rsidRPr="004E7E3E">
        <w:rPr>
          <w:rFonts w:ascii="Times New Roman" w:hAnsi="Times New Roman" w:cs="Times New Roman"/>
          <w:color w:val="000000"/>
          <w:sz w:val="24"/>
          <w:szCs w:val="24"/>
          <w:shd w:val="clear" w:color="auto" w:fill="FFFFFF"/>
          <w:lang w:val="ru-RU"/>
        </w:rPr>
        <w:t xml:space="preserve">; 3) в рейтинге ведётся список ассоциированных членов, которые пока по </w:t>
      </w:r>
      <w:r>
        <w:rPr>
          <w:rFonts w:ascii="Times New Roman" w:hAnsi="Times New Roman" w:cs="Times New Roman"/>
          <w:color w:val="000000"/>
          <w:sz w:val="24"/>
          <w:szCs w:val="24"/>
          <w:shd w:val="clear" w:color="auto" w:fill="FFFFFF"/>
          <w:lang w:val="ru-RU"/>
        </w:rPr>
        <w:t>некоторым</w:t>
      </w:r>
      <w:r w:rsidRPr="004E7E3E">
        <w:rPr>
          <w:rFonts w:ascii="Times New Roman" w:hAnsi="Times New Roman" w:cs="Times New Roman"/>
          <w:color w:val="000000"/>
          <w:sz w:val="24"/>
          <w:szCs w:val="24"/>
          <w:shd w:val="clear" w:color="auto" w:fill="FFFFFF"/>
          <w:lang w:val="ru-RU"/>
        </w:rPr>
        <w:t xml:space="preserve"> параметрам не могут попасть в основной список, однако не совсем понятно по как</w:t>
      </w:r>
      <w:r>
        <w:rPr>
          <w:rFonts w:ascii="Times New Roman" w:hAnsi="Times New Roman" w:cs="Times New Roman"/>
          <w:color w:val="000000"/>
          <w:sz w:val="24"/>
          <w:szCs w:val="24"/>
          <w:shd w:val="clear" w:color="auto" w:fill="FFFFFF"/>
          <w:lang w:val="ru-RU"/>
        </w:rPr>
        <w:t>им</w:t>
      </w:r>
      <w:r w:rsidRPr="004E7E3E">
        <w:rPr>
          <w:rFonts w:ascii="Times New Roman" w:hAnsi="Times New Roman" w:cs="Times New Roman"/>
          <w:color w:val="000000"/>
          <w:sz w:val="24"/>
          <w:szCs w:val="24"/>
          <w:shd w:val="clear" w:color="auto" w:fill="FFFFFF"/>
          <w:lang w:val="ru-RU"/>
        </w:rPr>
        <w:t xml:space="preserve"> критери</w:t>
      </w:r>
      <w:r>
        <w:rPr>
          <w:rFonts w:ascii="Times New Roman" w:hAnsi="Times New Roman" w:cs="Times New Roman"/>
          <w:color w:val="000000"/>
          <w:sz w:val="24"/>
          <w:szCs w:val="24"/>
          <w:shd w:val="clear" w:color="auto" w:fill="FFFFFF"/>
          <w:lang w:val="ru-RU"/>
        </w:rPr>
        <w:t>ям</w:t>
      </w:r>
      <w:r w:rsidRPr="004E7E3E">
        <w:rPr>
          <w:rFonts w:ascii="Times New Roman" w:hAnsi="Times New Roman" w:cs="Times New Roman"/>
          <w:color w:val="000000"/>
          <w:sz w:val="24"/>
          <w:szCs w:val="24"/>
          <w:shd w:val="clear" w:color="auto" w:fill="FFFFFF"/>
          <w:lang w:val="ru-RU"/>
        </w:rPr>
        <w:t xml:space="preserve"> в список вош</w:t>
      </w:r>
      <w:r>
        <w:rPr>
          <w:rFonts w:ascii="Times New Roman" w:hAnsi="Times New Roman" w:cs="Times New Roman"/>
          <w:color w:val="000000"/>
          <w:sz w:val="24"/>
          <w:szCs w:val="24"/>
          <w:shd w:val="clear" w:color="auto" w:fill="FFFFFF"/>
          <w:lang w:val="ru-RU"/>
        </w:rPr>
        <w:t>ли</w:t>
      </w:r>
      <w:r w:rsidRPr="004E7E3E">
        <w:rPr>
          <w:rFonts w:ascii="Times New Roman" w:hAnsi="Times New Roman" w:cs="Times New Roman"/>
          <w:color w:val="000000"/>
          <w:sz w:val="24"/>
          <w:szCs w:val="24"/>
          <w:shd w:val="clear" w:color="auto" w:fill="FFFFFF"/>
          <w:lang w:val="ru-RU"/>
        </w:rPr>
        <w:t xml:space="preserve"> Таллин и</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Рейкьявик, население стран которых меньше, чем один Санкт-Петербург</w:t>
      </w:r>
      <w:r>
        <w:rPr>
          <w:rFonts w:ascii="Times New Roman" w:hAnsi="Times New Roman" w:cs="Times New Roman"/>
          <w:color w:val="000000"/>
          <w:sz w:val="24"/>
          <w:szCs w:val="24"/>
          <w:shd w:val="clear" w:color="auto" w:fill="FFFFFF"/>
          <w:lang w:val="ru-RU"/>
        </w:rPr>
        <w:t>. При этом данные МФЦ</w:t>
      </w:r>
      <w:r w:rsidRPr="004E7E3E">
        <w:rPr>
          <w:rFonts w:ascii="Times New Roman" w:hAnsi="Times New Roman" w:cs="Times New Roman"/>
          <w:color w:val="000000"/>
          <w:sz w:val="24"/>
          <w:szCs w:val="24"/>
          <w:shd w:val="clear" w:color="auto" w:fill="FFFFFF"/>
          <w:lang w:val="ru-RU"/>
        </w:rPr>
        <w:t xml:space="preserve"> занима</w:t>
      </w:r>
      <w:r>
        <w:rPr>
          <w:rFonts w:ascii="Times New Roman" w:hAnsi="Times New Roman" w:cs="Times New Roman"/>
          <w:color w:val="000000"/>
          <w:sz w:val="24"/>
          <w:szCs w:val="24"/>
          <w:shd w:val="clear" w:color="auto" w:fill="FFFFFF"/>
          <w:lang w:val="ru-RU"/>
        </w:rPr>
        <w:t>ют</w:t>
      </w:r>
      <w:r w:rsidRPr="004E7E3E">
        <w:rPr>
          <w:rFonts w:ascii="Times New Roman" w:hAnsi="Times New Roman" w:cs="Times New Roman"/>
          <w:color w:val="000000"/>
          <w:sz w:val="24"/>
          <w:szCs w:val="24"/>
          <w:shd w:val="clear" w:color="auto" w:fill="FFFFFF"/>
          <w:lang w:val="ru-RU"/>
        </w:rPr>
        <w:t xml:space="preserve"> более высокие места, чем Северная столица России</w:t>
      </w:r>
      <w:r>
        <w:rPr>
          <w:rFonts w:ascii="Times New Roman" w:hAnsi="Times New Roman" w:cs="Times New Roman"/>
          <w:color w:val="000000"/>
          <w:sz w:val="24"/>
          <w:szCs w:val="24"/>
          <w:shd w:val="clear" w:color="auto" w:fill="FFFFFF"/>
          <w:lang w:val="ru-RU"/>
        </w:rPr>
        <w:t>; 4) некоторые исследователи отмечают «субъективный» характер оценок развитости МФЦ, что можно объяснить особенностью получения данных индекса с помощью опроса на сайте и по подписке организаторов. Тем более, нужно отметить потенциал данной бизнес-модели рекомендательного сервиса для финансистов, отчасти благодаря которой Лондон и Нью-Йорк остаются столицами мировых финансов и благодаря которой организаторы смогли сделать уже более 30 выпусков.</w:t>
      </w:r>
      <w:r w:rsidRPr="004E7E3E">
        <w:rPr>
          <w:rFonts w:ascii="Times New Roman" w:hAnsi="Times New Roman" w:cs="Times New Roman"/>
          <w:color w:val="000000"/>
          <w:sz w:val="24"/>
          <w:szCs w:val="24"/>
          <w:shd w:val="clear" w:color="auto" w:fill="FFFFFF"/>
          <w:lang w:val="ru-RU"/>
        </w:rPr>
        <w:t xml:space="preserve"> </w:t>
      </w:r>
    </w:p>
    <w:p w14:paraId="7BA645FC" w14:textId="77777777" w:rsidR="00937CBF" w:rsidRPr="004E7E3E" w:rsidRDefault="00937CBF" w:rsidP="00937CBF">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lastRenderedPageBreak/>
        <w:t>Анализ динамики рейтинга российских финансовых центров (Москвы и Санкт</w:t>
      </w:r>
      <w:r w:rsidRPr="004E7E3E">
        <w:rPr>
          <w:rFonts w:ascii="Times New Roman" w:hAnsi="Times New Roman" w:cs="Times New Roman"/>
          <w:color w:val="000000"/>
          <w:sz w:val="24"/>
          <w:szCs w:val="24"/>
          <w:shd w:val="clear" w:color="auto" w:fill="FFFFFF"/>
          <w:lang w:val="ru-RU"/>
        </w:rPr>
        <w:noBreakHyphen/>
        <w:t xml:space="preserve">Петербурга) в </w:t>
      </w:r>
      <w:r w:rsidRPr="004E7E3E">
        <w:rPr>
          <w:rFonts w:ascii="Times New Roman" w:hAnsi="Times New Roman" w:cs="Times New Roman"/>
          <w:color w:val="000000"/>
          <w:sz w:val="24"/>
          <w:szCs w:val="24"/>
          <w:shd w:val="clear" w:color="auto" w:fill="FFFFFF"/>
          <w:lang w:eastAsia="zh-CN"/>
        </w:rPr>
        <w:t>GFCI</w:t>
      </w:r>
      <w:r w:rsidRPr="004E7E3E">
        <w:rPr>
          <w:rFonts w:ascii="Times New Roman" w:hAnsi="Times New Roman" w:cs="Times New Roman"/>
          <w:color w:val="000000"/>
          <w:sz w:val="24"/>
          <w:szCs w:val="24"/>
          <w:shd w:val="clear" w:color="auto" w:fill="FFFFFF"/>
          <w:lang w:val="ru-RU" w:eastAsia="zh-CN"/>
        </w:rPr>
        <w:t xml:space="preserve"> позволяет выявить две тенденции: 1) наличие негативного влияния политических санкций Запада против России в финансовой сфере, 2) российские МФЦ уступают в конкурентной борьбе новым МФЦ</w:t>
      </w:r>
      <w:r>
        <w:rPr>
          <w:rFonts w:ascii="Times New Roman" w:hAnsi="Times New Roman" w:cs="Times New Roman"/>
          <w:color w:val="000000"/>
          <w:sz w:val="24"/>
          <w:szCs w:val="24"/>
          <w:shd w:val="clear" w:color="auto" w:fill="FFFFFF"/>
          <w:lang w:val="ru-RU" w:eastAsia="zh-CN"/>
        </w:rPr>
        <w:t>. На рынке ЕАЭС консалтинговых услуг есть возможность для локализации методов агентства по созданию индекса глобальных финансовых центров в виде агрегированной оценки участниками рынка потенциала других регионов, так как в период геополитических перемен российским финансовым институтам приходится искать новые рынки сбыта и закупки финансовых услуг в нетрадиционных для них регионах: Юго-Восточной Азии, на Ближнем Востоке, в Латинской Америке. Главным заказчиком подобного индекса может стать одно из российских СРО финансового рынка, а непосредственно проводить мониторинг может одна из структур таких консалтинговых агентств, как РИА Рейтинг, Эксперт РА, СПАРК, СБИС и т. д.</w:t>
      </w:r>
    </w:p>
    <w:p w14:paraId="34D7DFD7" w14:textId="77777777" w:rsidR="00937CBF" w:rsidRPr="004E7E3E" w:rsidRDefault="00937CBF" w:rsidP="00937CBF">
      <w:pPr>
        <w:pStyle w:val="af3"/>
        <w:numPr>
          <w:ilvl w:val="0"/>
          <w:numId w:val="5"/>
        </w:numPr>
        <w:spacing w:before="100" w:beforeAutospacing="1" w:after="100" w:line="360" w:lineRule="auto"/>
        <w:ind w:left="0" w:firstLine="709"/>
        <w:jc w:val="both"/>
        <w:rPr>
          <w:rFonts w:ascii="Times New Roman" w:hAnsi="Times New Roman" w:cs="Times New Roman"/>
          <w:b/>
          <w:color w:val="000000"/>
          <w:sz w:val="24"/>
          <w:szCs w:val="24"/>
          <w:shd w:val="clear" w:color="auto" w:fill="FFFFFF"/>
          <w:lang w:val="ru-RU"/>
        </w:rPr>
      </w:pPr>
      <w:r>
        <w:rPr>
          <w:rFonts w:ascii="Times New Roman" w:hAnsi="Times New Roman" w:cs="Times New Roman"/>
          <w:b/>
          <w:sz w:val="24"/>
          <w:szCs w:val="24"/>
          <w:lang w:val="ru-RU"/>
        </w:rPr>
        <w:t>С</w:t>
      </w:r>
      <w:r w:rsidRPr="004E7E3E">
        <w:rPr>
          <w:rFonts w:ascii="Times New Roman" w:hAnsi="Times New Roman" w:cs="Times New Roman"/>
          <w:b/>
          <w:sz w:val="24"/>
          <w:szCs w:val="24"/>
          <w:lang w:val="ru-RU"/>
        </w:rPr>
        <w:t xml:space="preserve"> помощью количественных и качественных методов</w:t>
      </w:r>
      <w:r>
        <w:rPr>
          <w:rFonts w:ascii="Times New Roman" w:hAnsi="Times New Roman" w:cs="Times New Roman"/>
          <w:b/>
          <w:sz w:val="24"/>
          <w:szCs w:val="24"/>
          <w:lang w:val="ru-RU"/>
        </w:rPr>
        <w:t xml:space="preserve"> доказано</w:t>
      </w:r>
      <w:r w:rsidRPr="004E7E3E">
        <w:rPr>
          <w:rFonts w:ascii="Times New Roman" w:hAnsi="Times New Roman" w:cs="Times New Roman"/>
          <w:b/>
          <w:sz w:val="24"/>
          <w:szCs w:val="24"/>
          <w:lang w:val="ru-RU"/>
        </w:rPr>
        <w:t>, что существование МФЦ прямо влияет на развитие экономики, но косвенно на уровень доступност</w:t>
      </w:r>
      <w:r>
        <w:rPr>
          <w:rFonts w:ascii="Times New Roman" w:hAnsi="Times New Roman" w:cs="Times New Roman"/>
          <w:b/>
          <w:sz w:val="24"/>
          <w:szCs w:val="24"/>
          <w:lang w:val="ru-RU"/>
        </w:rPr>
        <w:t>и</w:t>
      </w:r>
      <w:r w:rsidRPr="004E7E3E">
        <w:rPr>
          <w:rFonts w:ascii="Times New Roman" w:hAnsi="Times New Roman" w:cs="Times New Roman"/>
          <w:b/>
          <w:sz w:val="24"/>
          <w:szCs w:val="24"/>
          <w:lang w:val="ru-RU"/>
        </w:rPr>
        <w:t xml:space="preserve"> кредитов в стране нахождения.</w:t>
      </w:r>
    </w:p>
    <w:p w14:paraId="58B3085B" w14:textId="77777777" w:rsidR="00937CBF"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eastAsia="zh-CN"/>
        </w:rPr>
      </w:pPr>
      <w:r w:rsidRPr="004E7E3E">
        <w:rPr>
          <w:rFonts w:ascii="Times New Roman" w:hAnsi="Times New Roman" w:cs="Times New Roman"/>
          <w:color w:val="000000"/>
          <w:sz w:val="24"/>
          <w:szCs w:val="24"/>
          <w:shd w:val="clear" w:color="auto" w:fill="FFFFFF"/>
          <w:lang w:val="ru-RU"/>
        </w:rPr>
        <w:t xml:space="preserve">Анализ статистических данных из рейтингов </w:t>
      </w:r>
      <w:r w:rsidRPr="004E7E3E">
        <w:rPr>
          <w:rFonts w:ascii="Times New Roman" w:hAnsi="Times New Roman" w:cs="Times New Roman"/>
          <w:color w:val="000000"/>
          <w:sz w:val="24"/>
          <w:szCs w:val="24"/>
          <w:shd w:val="clear" w:color="auto" w:fill="FFFFFF"/>
          <w:lang w:eastAsia="zh-CN"/>
        </w:rPr>
        <w:t>Doing</w:t>
      </w:r>
      <w:r w:rsidRPr="004E7E3E">
        <w:rPr>
          <w:rFonts w:ascii="Times New Roman" w:hAnsi="Times New Roman" w:cs="Times New Roman"/>
          <w:color w:val="000000"/>
          <w:sz w:val="24"/>
          <w:szCs w:val="24"/>
          <w:shd w:val="clear" w:color="auto" w:fill="FFFFFF"/>
          <w:lang w:val="ru-RU" w:eastAsia="zh-CN"/>
        </w:rPr>
        <w:t xml:space="preserve"> </w:t>
      </w:r>
      <w:r w:rsidRPr="004E7E3E">
        <w:rPr>
          <w:rFonts w:ascii="Times New Roman" w:hAnsi="Times New Roman" w:cs="Times New Roman"/>
          <w:color w:val="000000"/>
          <w:sz w:val="24"/>
          <w:szCs w:val="24"/>
          <w:shd w:val="clear" w:color="auto" w:fill="FFFFFF"/>
          <w:lang w:eastAsia="zh-CN"/>
        </w:rPr>
        <w:t>Business</w:t>
      </w:r>
      <w:r w:rsidRPr="004E7E3E">
        <w:rPr>
          <w:rFonts w:ascii="Times New Roman" w:hAnsi="Times New Roman" w:cs="Times New Roman"/>
          <w:color w:val="000000"/>
          <w:sz w:val="24"/>
          <w:szCs w:val="24"/>
          <w:shd w:val="clear" w:color="auto" w:fill="FFFFFF"/>
          <w:lang w:val="ru-RU" w:eastAsia="zh-CN"/>
        </w:rPr>
        <w:t xml:space="preserve"> Всемирного банка и </w:t>
      </w:r>
      <w:r w:rsidRPr="004E7E3E">
        <w:rPr>
          <w:rFonts w:ascii="Times New Roman" w:hAnsi="Times New Roman" w:cs="Times New Roman"/>
          <w:color w:val="000000"/>
          <w:sz w:val="24"/>
          <w:szCs w:val="24"/>
          <w:shd w:val="clear" w:color="auto" w:fill="FFFFFF"/>
          <w:lang w:eastAsia="zh-CN"/>
        </w:rPr>
        <w:t>GFCI</w:t>
      </w:r>
      <w:r w:rsidRPr="004E7E3E">
        <w:rPr>
          <w:rFonts w:ascii="Times New Roman" w:hAnsi="Times New Roman" w:cs="Times New Roman"/>
          <w:color w:val="000000"/>
          <w:sz w:val="24"/>
          <w:szCs w:val="24"/>
          <w:shd w:val="clear" w:color="auto" w:fill="FFFFFF"/>
          <w:lang w:val="ru-RU" w:eastAsia="zh-CN"/>
        </w:rPr>
        <w:t xml:space="preserve"> агентства </w:t>
      </w:r>
      <w:r w:rsidRPr="004E7E3E">
        <w:rPr>
          <w:rFonts w:ascii="Times New Roman" w:hAnsi="Times New Roman" w:cs="Times New Roman"/>
          <w:color w:val="000000"/>
          <w:sz w:val="24"/>
          <w:szCs w:val="24"/>
          <w:shd w:val="clear" w:color="auto" w:fill="FFFFFF"/>
          <w:lang w:eastAsia="zh-CN"/>
        </w:rPr>
        <w:t>Z</w:t>
      </w:r>
      <w:r w:rsidRPr="004E7E3E">
        <w:rPr>
          <w:rFonts w:ascii="Times New Roman" w:hAnsi="Times New Roman" w:cs="Times New Roman"/>
          <w:color w:val="000000"/>
          <w:sz w:val="24"/>
          <w:szCs w:val="24"/>
          <w:shd w:val="clear" w:color="auto" w:fill="FFFFFF"/>
          <w:lang w:val="ru-RU" w:eastAsia="zh-CN"/>
        </w:rPr>
        <w:t xml:space="preserve">/Yen показал </w:t>
      </w:r>
      <w:r>
        <w:rPr>
          <w:rFonts w:ascii="Times New Roman" w:hAnsi="Times New Roman" w:cs="Times New Roman"/>
          <w:color w:val="000000"/>
          <w:sz w:val="24"/>
          <w:szCs w:val="24"/>
          <w:shd w:val="clear" w:color="auto" w:fill="FFFFFF"/>
          <w:lang w:val="ru-RU" w:eastAsia="zh-CN"/>
        </w:rPr>
        <w:t>положительную среднюю</w:t>
      </w:r>
      <w:r w:rsidRPr="004E7E3E">
        <w:rPr>
          <w:rFonts w:ascii="Times New Roman" w:hAnsi="Times New Roman" w:cs="Times New Roman"/>
          <w:color w:val="000000"/>
          <w:sz w:val="24"/>
          <w:szCs w:val="24"/>
          <w:shd w:val="clear" w:color="auto" w:fill="FFFFFF"/>
          <w:lang w:val="ru-RU" w:eastAsia="zh-CN"/>
        </w:rPr>
        <w:t xml:space="preserve"> корреляцию</w:t>
      </w:r>
      <w:r>
        <w:rPr>
          <w:rFonts w:ascii="Times New Roman" w:hAnsi="Times New Roman" w:cs="Times New Roman"/>
          <w:color w:val="000000"/>
          <w:sz w:val="24"/>
          <w:szCs w:val="24"/>
          <w:shd w:val="clear" w:color="auto" w:fill="FFFFFF"/>
          <w:lang w:val="ru-RU" w:eastAsia="zh-CN"/>
        </w:rPr>
        <w:t xml:space="preserve"> по общему рейтингу и слабую корреляцию по структурным элементам рейтинга </w:t>
      </w:r>
      <w:r>
        <w:rPr>
          <w:rFonts w:ascii="Times New Roman" w:hAnsi="Times New Roman" w:cs="Times New Roman"/>
          <w:color w:val="000000"/>
          <w:sz w:val="24"/>
          <w:szCs w:val="24"/>
          <w:shd w:val="clear" w:color="auto" w:fill="FFFFFF"/>
          <w:lang w:eastAsia="zh-CN"/>
        </w:rPr>
        <w:t>Doing</w:t>
      </w:r>
      <w:r w:rsidRPr="00C94241">
        <w:rPr>
          <w:rFonts w:ascii="Times New Roman" w:hAnsi="Times New Roman" w:cs="Times New Roman"/>
          <w:color w:val="000000"/>
          <w:sz w:val="24"/>
          <w:szCs w:val="24"/>
          <w:shd w:val="clear" w:color="auto" w:fill="FFFFFF"/>
          <w:lang w:val="ru-RU" w:eastAsia="zh-CN"/>
        </w:rPr>
        <w:t xml:space="preserve"> </w:t>
      </w:r>
      <w:r>
        <w:rPr>
          <w:rFonts w:ascii="Times New Roman" w:hAnsi="Times New Roman" w:cs="Times New Roman"/>
          <w:color w:val="000000"/>
          <w:sz w:val="24"/>
          <w:szCs w:val="24"/>
          <w:shd w:val="clear" w:color="auto" w:fill="FFFFFF"/>
          <w:lang w:eastAsia="zh-CN"/>
        </w:rPr>
        <w:t>Business</w:t>
      </w:r>
      <w:r w:rsidRPr="00C94241">
        <w:rPr>
          <w:rFonts w:ascii="Times New Roman" w:hAnsi="Times New Roman" w:cs="Times New Roman"/>
          <w:color w:val="000000"/>
          <w:sz w:val="24"/>
          <w:szCs w:val="24"/>
          <w:shd w:val="clear" w:color="auto" w:fill="FFFFFF"/>
          <w:lang w:val="ru-RU" w:eastAsia="zh-CN"/>
        </w:rPr>
        <w:t xml:space="preserve"> (</w:t>
      </w:r>
      <w:r>
        <w:rPr>
          <w:rFonts w:ascii="Times New Roman" w:hAnsi="Times New Roman" w:cs="Times New Roman"/>
          <w:color w:val="000000"/>
          <w:sz w:val="24"/>
          <w:szCs w:val="24"/>
          <w:shd w:val="clear" w:color="auto" w:fill="FFFFFF"/>
          <w:lang w:val="ru-RU" w:eastAsia="zh-CN"/>
        </w:rPr>
        <w:t xml:space="preserve">лёгкость получения кредита, регистрации компании, решения вопросов финансовой несостоятельности, выполнения контрактных обязательств, получения разрешения на строительство и подключение к электрическим сетям). Было сделано предположение, что рейтинг </w:t>
      </w:r>
      <w:r>
        <w:rPr>
          <w:rFonts w:ascii="Times New Roman" w:hAnsi="Times New Roman" w:cs="Times New Roman"/>
          <w:color w:val="000000"/>
          <w:sz w:val="24"/>
          <w:szCs w:val="24"/>
          <w:shd w:val="clear" w:color="auto" w:fill="FFFFFF"/>
          <w:lang w:eastAsia="zh-CN"/>
        </w:rPr>
        <w:t>GFCI</w:t>
      </w:r>
      <w:r>
        <w:rPr>
          <w:rFonts w:ascii="Times New Roman" w:hAnsi="Times New Roman" w:cs="Times New Roman"/>
          <w:color w:val="000000"/>
          <w:sz w:val="24"/>
          <w:szCs w:val="24"/>
          <w:shd w:val="clear" w:color="auto" w:fill="FFFFFF"/>
          <w:lang w:val="ru-RU" w:eastAsia="zh-CN"/>
        </w:rPr>
        <w:t xml:space="preserve">, как и само понятие МФЦ, больше ориентируется на финансовые конгломераты и крупный международный бизнес, в отличие от рейтинга </w:t>
      </w:r>
      <w:r>
        <w:rPr>
          <w:rFonts w:ascii="Times New Roman" w:hAnsi="Times New Roman" w:cs="Times New Roman"/>
          <w:color w:val="000000"/>
          <w:sz w:val="24"/>
          <w:szCs w:val="24"/>
          <w:shd w:val="clear" w:color="auto" w:fill="FFFFFF"/>
          <w:lang w:eastAsia="zh-CN"/>
        </w:rPr>
        <w:t>Doing</w:t>
      </w:r>
      <w:r w:rsidRPr="00FF5E88">
        <w:rPr>
          <w:rFonts w:ascii="Times New Roman" w:hAnsi="Times New Roman" w:cs="Times New Roman"/>
          <w:color w:val="000000"/>
          <w:sz w:val="24"/>
          <w:szCs w:val="24"/>
          <w:shd w:val="clear" w:color="auto" w:fill="FFFFFF"/>
          <w:lang w:val="ru-RU" w:eastAsia="zh-CN"/>
        </w:rPr>
        <w:t xml:space="preserve"> </w:t>
      </w:r>
      <w:r>
        <w:rPr>
          <w:rFonts w:ascii="Times New Roman" w:hAnsi="Times New Roman" w:cs="Times New Roman"/>
          <w:color w:val="000000"/>
          <w:sz w:val="24"/>
          <w:szCs w:val="24"/>
          <w:shd w:val="clear" w:color="auto" w:fill="FFFFFF"/>
          <w:lang w:eastAsia="zh-CN"/>
        </w:rPr>
        <w:t>Business</w:t>
      </w:r>
      <w:r>
        <w:rPr>
          <w:rFonts w:ascii="Times New Roman" w:hAnsi="Times New Roman" w:cs="Times New Roman"/>
          <w:color w:val="000000"/>
          <w:sz w:val="24"/>
          <w:szCs w:val="24"/>
          <w:shd w:val="clear" w:color="auto" w:fill="FFFFFF"/>
          <w:lang w:val="ru-RU" w:eastAsia="zh-CN"/>
        </w:rPr>
        <w:t xml:space="preserve">, который, прежде всего, оценивает условия для развития малого и среднего бизнеса. </w:t>
      </w:r>
    </w:p>
    <w:p w14:paraId="67546F50" w14:textId="77777777" w:rsidR="00937CBF" w:rsidRPr="00FF5E88"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eastAsia="zh-CN"/>
        </w:rPr>
      </w:pPr>
      <w:r>
        <w:rPr>
          <w:rFonts w:ascii="Times New Roman" w:hAnsi="Times New Roman" w:cs="Times New Roman"/>
          <w:color w:val="000000"/>
          <w:sz w:val="24"/>
          <w:szCs w:val="24"/>
          <w:shd w:val="clear" w:color="auto" w:fill="FFFFFF"/>
          <w:lang w:val="ru-RU" w:eastAsia="zh-CN"/>
        </w:rPr>
        <w:t xml:space="preserve">На основе статистических данных Банка России был оценен вклад финансовых инструментов в доступность жилья на рынках городов федерального подчинения: Москвы, Санкт-Петербурга, Севастополя </w:t>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eastAsia="zh-CN"/>
        </w:rPr>
        <w:t xml:space="preserve">и региона с самой высокой долей городского населения </w:t>
      </w:r>
      <w:r w:rsidRPr="004E7E3E">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eastAsia="zh-CN"/>
        </w:rPr>
        <w:t>Магаданской областью. Анализ показал, что на фоне улучшения показателя города в рейтинге МФЦ, а также собираемости налогов с финансового сектора, влияние финансовых инструментов на</w:t>
      </w:r>
      <w:r>
        <w:rPr>
          <w:rFonts w:ascii="Times New Roman" w:hAnsi="Times New Roman" w:cs="Times New Roman"/>
          <w:color w:val="000000"/>
          <w:sz w:val="24"/>
          <w:szCs w:val="24"/>
          <w:shd w:val="clear" w:color="auto" w:fill="FFFFFF"/>
          <w:lang w:eastAsia="zh-CN"/>
        </w:rPr>
        <w:t> </w:t>
      </w:r>
      <w:r>
        <w:rPr>
          <w:rFonts w:ascii="Times New Roman" w:hAnsi="Times New Roman" w:cs="Times New Roman"/>
          <w:color w:val="000000"/>
          <w:sz w:val="24"/>
          <w:szCs w:val="24"/>
          <w:shd w:val="clear" w:color="auto" w:fill="FFFFFF"/>
          <w:lang w:val="ru-RU" w:eastAsia="zh-CN"/>
        </w:rPr>
        <w:t xml:space="preserve">доступность ипотечно-жилищного кредитования незначительно для широких масс населения. Тем не менее, доступность ИЖК для представителей финансовой отрасли растёт, в первую очередь, за счёт роста их доходов. </w:t>
      </w:r>
    </w:p>
    <w:p w14:paraId="2D3F2B40"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b/>
          <w:sz w:val="24"/>
          <w:szCs w:val="24"/>
          <w:lang w:val="ru-RU"/>
        </w:rPr>
      </w:pPr>
      <w:r>
        <w:rPr>
          <w:rFonts w:ascii="Times New Roman" w:hAnsi="Times New Roman" w:cs="Times New Roman"/>
          <w:color w:val="000000"/>
          <w:sz w:val="24"/>
          <w:szCs w:val="24"/>
          <w:shd w:val="clear" w:color="auto" w:fill="FFFFFF"/>
          <w:lang w:val="ru-RU" w:eastAsia="zh-CN"/>
        </w:rPr>
        <w:lastRenderedPageBreak/>
        <w:t xml:space="preserve">Из приведённого анализа можно сделать вывод, что </w:t>
      </w:r>
      <w:r w:rsidRPr="004E7E3E">
        <w:rPr>
          <w:rFonts w:ascii="Times New Roman" w:hAnsi="Times New Roman" w:cs="Times New Roman"/>
          <w:color w:val="000000"/>
          <w:sz w:val="24"/>
          <w:szCs w:val="24"/>
          <w:shd w:val="clear" w:color="auto" w:fill="FFFFFF"/>
          <w:lang w:val="ru-RU"/>
        </w:rPr>
        <w:t>МФЦ – это крупный инфраструктурный проект стратегического значения, который может стать полюсом роста для всей экономики, но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краткосрочной перспективе не имеет положительного влияния на социальную сферу в стране его нахождения.</w:t>
      </w:r>
    </w:p>
    <w:p w14:paraId="6B6B1242" w14:textId="77777777" w:rsidR="00937CBF" w:rsidRPr="004E7E3E" w:rsidRDefault="00937CBF" w:rsidP="00937CBF">
      <w:pPr>
        <w:pStyle w:val="af3"/>
        <w:numPr>
          <w:ilvl w:val="0"/>
          <w:numId w:val="5"/>
        </w:numPr>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b/>
          <w:sz w:val="24"/>
          <w:szCs w:val="24"/>
          <w:lang w:val="ru-RU"/>
        </w:rPr>
        <w:t>Рассмотрена структура, выявлены особенности функционирования и определена роль системы Большого Китая в финансовой сфере КНР.</w:t>
      </w:r>
    </w:p>
    <w:p w14:paraId="05A87048"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Демографический анализ показал несостоятельность представления о едином и неделимом Китае. Китайцы – это нация, под покровом которой притаилась целая цивилизация. Многочисленность населения приводит к полицентричности, в том числе и в финансовой сфере.</w:t>
      </w:r>
    </w:p>
    <w:p w14:paraId="29E828D7"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sz w:val="24"/>
          <w:szCs w:val="24"/>
          <w:lang w:val="ru-RU"/>
        </w:rPr>
        <w:t>Часть территорий с преимущественным использованием китайского в качестве языка повседневного общения не входит в территориальные границы КНР. Это позволяет говорить о системе Большого Китая, объединяющ</w:t>
      </w:r>
      <w:r>
        <w:rPr>
          <w:rFonts w:ascii="Times New Roman" w:hAnsi="Times New Roman" w:cs="Times New Roman"/>
          <w:sz w:val="24"/>
          <w:szCs w:val="24"/>
          <w:lang w:val="ru-RU"/>
        </w:rPr>
        <w:t>ей</w:t>
      </w:r>
      <w:r w:rsidRPr="004E7E3E">
        <w:rPr>
          <w:rFonts w:ascii="Times New Roman" w:hAnsi="Times New Roman" w:cs="Times New Roman"/>
          <w:sz w:val="24"/>
          <w:szCs w:val="24"/>
          <w:lang w:val="ru-RU"/>
        </w:rPr>
        <w:t xml:space="preserve">, помимо китайских национальных финансовых центров (Шанхай, Пекин, Шэньчжэнь, Гуанчжоу, Далянь, Циндао, Чэнду, особый административный район Гонконг), также иностранные территории и сообщества (Сингапур, Тайвань, китайские меньшинства Юго-Восточной Азии, «чайна-тауны» в развитых государствах). Политический аспект данной системы слабо развит (даже ослаблен политическим противостоянием некоторых территорий против континентального Китая). Зато экономическая составляющая неоспорима и является значительной поддержкой по привлечению финансовых потоков в Китай и становлению юаня в качестве резервной валюты. </w:t>
      </w:r>
    </w:p>
    <w:p w14:paraId="4A7379CD" w14:textId="77777777" w:rsidR="00937CBF" w:rsidRPr="004E7E3E" w:rsidRDefault="00937CBF" w:rsidP="00937CBF">
      <w:pPr>
        <w:pStyle w:val="af3"/>
        <w:numPr>
          <w:ilvl w:val="0"/>
          <w:numId w:val="5"/>
        </w:numPr>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b/>
          <w:sz w:val="24"/>
          <w:szCs w:val="24"/>
          <w:lang w:val="ru-RU"/>
        </w:rPr>
        <w:t>Сделан вывод, что стратегия правительства КНР по формированию финансового центра в Шанхае похожа на ранее принятую политику перехода к рыночной экономике за счёт особых экономических зон.</w:t>
      </w:r>
    </w:p>
    <w:p w14:paraId="4B148211"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sz w:val="24"/>
          <w:szCs w:val="24"/>
          <w:lang w:val="ru-RU"/>
        </w:rPr>
        <w:t xml:space="preserve">Китай придерживается привычной для себя стратегии экономического развития, в том числе и в финансовой сфере. В марте 2009 года </w:t>
      </w:r>
      <w:r w:rsidRPr="004E7E3E">
        <w:rPr>
          <w:rFonts w:ascii="Times New Roman" w:hAnsi="Times New Roman" w:cs="Times New Roman"/>
          <w:color w:val="000000"/>
          <w:sz w:val="24"/>
          <w:szCs w:val="24"/>
          <w:shd w:val="clear" w:color="auto" w:fill="FFFFFF"/>
          <w:lang w:val="ru-RU"/>
        </w:rPr>
        <w:t xml:space="preserve">Госсовет КНР принял решение ускорить программу превращения Шанхая в международный финансовый центр и в основном завершить её до 2020 г. Как и прежде, стратегия развития основана на существовании особых зон опережающего развития. В данном случае речь идёт о развитии финансового сектора. Создание </w:t>
      </w:r>
      <w:r w:rsidRPr="004E7E3E">
        <w:rPr>
          <w:rFonts w:ascii="Times New Roman" w:hAnsi="Times New Roman" w:cs="Times New Roman"/>
          <w:color w:val="000000"/>
          <w:sz w:val="24"/>
          <w:szCs w:val="24"/>
          <w:lang w:val="ru-RU"/>
        </w:rPr>
        <w:t>Шанхайской экспериментальной зон</w:t>
      </w:r>
      <w:r>
        <w:rPr>
          <w:rFonts w:ascii="Times New Roman" w:hAnsi="Times New Roman" w:cs="Times New Roman"/>
          <w:color w:val="000000"/>
          <w:sz w:val="24"/>
          <w:szCs w:val="24"/>
          <w:lang w:val="ru-RU"/>
        </w:rPr>
        <w:t>ы</w:t>
      </w:r>
      <w:r w:rsidRPr="004E7E3E">
        <w:rPr>
          <w:rFonts w:ascii="Times New Roman" w:hAnsi="Times New Roman" w:cs="Times New Roman"/>
          <w:color w:val="000000"/>
          <w:sz w:val="24"/>
          <w:szCs w:val="24"/>
          <w:lang w:val="ru-RU"/>
        </w:rPr>
        <w:t xml:space="preserve"> свободной торговли (ШЗСТ) в сентябре 2013 года идёт в соответствии с этой тактикой. Как говорится на официальном сайте</w:t>
      </w:r>
      <w:r>
        <w:rPr>
          <w:rFonts w:ascii="Times New Roman" w:hAnsi="Times New Roman" w:cs="Times New Roman"/>
          <w:color w:val="000000"/>
          <w:sz w:val="24"/>
          <w:szCs w:val="24"/>
          <w:lang w:val="ru-RU"/>
        </w:rPr>
        <w:t xml:space="preserve"> ШЗСТ</w:t>
      </w:r>
      <w:r w:rsidRPr="004E7E3E">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её </w:t>
      </w:r>
      <w:r w:rsidRPr="004E7E3E">
        <w:rPr>
          <w:rFonts w:ascii="Times New Roman" w:hAnsi="Times New Roman" w:cs="Times New Roman"/>
          <w:color w:val="000000"/>
          <w:sz w:val="24"/>
          <w:szCs w:val="24"/>
          <w:lang w:val="ru-RU"/>
        </w:rPr>
        <w:t>о</w:t>
      </w:r>
      <w:r w:rsidRPr="004E7E3E">
        <w:rPr>
          <w:rFonts w:ascii="Times New Roman" w:hAnsi="Times New Roman" w:cs="Times New Roman"/>
          <w:color w:val="000000"/>
          <w:sz w:val="24"/>
          <w:szCs w:val="24"/>
          <w:shd w:val="clear" w:color="auto" w:fill="FFFFFF"/>
          <w:lang w:val="ru-RU"/>
        </w:rPr>
        <w:t>сновной целью является не только привлечение иностранного капитала</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она также должна стать экспериментальной площадкой для апробирования новых способов государственного регулирования международной торговли, иностранных инвестиций, финансового сектора. Эксперименты идут под контролем высшего руководства страны. </w:t>
      </w:r>
    </w:p>
    <w:p w14:paraId="6CCEA2C9" w14:textId="76463A68"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lastRenderedPageBreak/>
        <w:t>Развитие финансового сектора осуществляется постепенно и системно. Вводятся новые финансовые институты для импорта и экспорта капитала. Правительство поддерживает предприятия из передовых областей экономики при условии выхода их на биржу в обозримо</w:t>
      </w:r>
      <w:r>
        <w:rPr>
          <w:rFonts w:ascii="Times New Roman" w:hAnsi="Times New Roman" w:cs="Times New Roman"/>
          <w:color w:val="000000"/>
          <w:sz w:val="24"/>
          <w:szCs w:val="24"/>
          <w:shd w:val="clear" w:color="auto" w:fill="FFFFFF"/>
          <w:lang w:val="ru-RU"/>
        </w:rPr>
        <w:t xml:space="preserve">м </w:t>
      </w:r>
      <w:r w:rsidR="002605F6">
        <w:rPr>
          <w:rFonts w:ascii="Times New Roman" w:hAnsi="Times New Roman" w:cs="Times New Roman"/>
          <w:color w:val="000000"/>
          <w:sz w:val="24"/>
          <w:szCs w:val="24"/>
          <w:shd w:val="clear" w:color="auto" w:fill="FFFFFF"/>
          <w:lang w:val="ru-RU"/>
        </w:rPr>
        <w:t>будущем</w:t>
      </w:r>
      <w:r w:rsidRPr="004E7E3E">
        <w:rPr>
          <w:rFonts w:ascii="Times New Roman" w:hAnsi="Times New Roman" w:cs="Times New Roman"/>
          <w:color w:val="000000"/>
          <w:sz w:val="24"/>
          <w:szCs w:val="24"/>
          <w:shd w:val="clear" w:color="auto" w:fill="FFFFFF"/>
          <w:lang w:val="ru-RU"/>
        </w:rPr>
        <w:t>.</w:t>
      </w:r>
    </w:p>
    <w:p w14:paraId="4E47E657"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color w:val="000000"/>
          <w:sz w:val="24"/>
          <w:szCs w:val="24"/>
          <w:shd w:val="clear" w:color="auto" w:fill="FFFFFF"/>
          <w:lang w:val="ru-RU"/>
        </w:rPr>
        <w:t>Примером для Шанхая является Гонконг, который также содействует (вместе с Сингапуром и Тайбэем) интернализации юаня и развитию его в качестве резервной валюты. Эти центры эмитируют множество финансовых инструментов в юанях, а также являются площадками для первичного размещения акций китайских госкомпаний. Процесс является взаимовыгодным.</w:t>
      </w:r>
    </w:p>
    <w:p w14:paraId="375C720B" w14:textId="77777777" w:rsidR="00937CBF" w:rsidRPr="004E7E3E" w:rsidRDefault="00937CBF" w:rsidP="00937CBF">
      <w:pPr>
        <w:pStyle w:val="af3"/>
        <w:numPr>
          <w:ilvl w:val="0"/>
          <w:numId w:val="5"/>
        </w:numPr>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b/>
          <w:sz w:val="24"/>
          <w:szCs w:val="24"/>
          <w:lang w:val="ru-RU"/>
        </w:rPr>
        <w:t>Охарактеризованы основные внутриполитические риски, угрожающие устойчивому росту экономики Китая.</w:t>
      </w:r>
    </w:p>
    <w:p w14:paraId="708FF30C"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sz w:val="24"/>
          <w:szCs w:val="24"/>
          <w:lang w:val="ru-RU"/>
        </w:rPr>
      </w:pPr>
      <w:r w:rsidRPr="004E7E3E">
        <w:rPr>
          <w:rFonts w:ascii="Times New Roman" w:hAnsi="Times New Roman" w:cs="Times New Roman"/>
          <w:sz w:val="24"/>
          <w:szCs w:val="24"/>
          <w:lang w:val="ru-RU"/>
        </w:rPr>
        <w:t>Проанализировав свой опыт пребывания и работы в Китае в течение двух лет, автор исследования сделал вывод о существовании шести основных угроз экономическо</w:t>
      </w:r>
      <w:r>
        <w:rPr>
          <w:rFonts w:ascii="Times New Roman" w:hAnsi="Times New Roman" w:cs="Times New Roman"/>
          <w:sz w:val="24"/>
          <w:szCs w:val="24"/>
          <w:lang w:val="ru-RU"/>
        </w:rPr>
        <w:t>му</w:t>
      </w:r>
      <w:r w:rsidRPr="004E7E3E">
        <w:rPr>
          <w:rFonts w:ascii="Times New Roman" w:hAnsi="Times New Roman" w:cs="Times New Roman"/>
          <w:sz w:val="24"/>
          <w:szCs w:val="24"/>
          <w:lang w:val="ru-RU"/>
        </w:rPr>
        <w:t xml:space="preserve"> развити</w:t>
      </w:r>
      <w:r>
        <w:rPr>
          <w:rFonts w:ascii="Times New Roman" w:hAnsi="Times New Roman" w:cs="Times New Roman"/>
          <w:sz w:val="24"/>
          <w:szCs w:val="24"/>
          <w:lang w:val="ru-RU"/>
        </w:rPr>
        <w:t>ю</w:t>
      </w:r>
      <w:r w:rsidRPr="004E7E3E">
        <w:rPr>
          <w:rFonts w:ascii="Times New Roman" w:hAnsi="Times New Roman" w:cs="Times New Roman"/>
          <w:sz w:val="24"/>
          <w:szCs w:val="24"/>
          <w:lang w:val="ru-RU"/>
        </w:rPr>
        <w:t xml:space="preserve"> страны: 1) вопрос национального единства, 2) слабая социальная политика, 3) неравномерность развития страны, 4) бюрократи</w:t>
      </w:r>
      <w:r>
        <w:rPr>
          <w:rFonts w:ascii="Times New Roman" w:hAnsi="Times New Roman" w:cs="Times New Roman"/>
          <w:sz w:val="24"/>
          <w:szCs w:val="24"/>
          <w:lang w:val="ru-RU"/>
        </w:rPr>
        <w:t>я</w:t>
      </w:r>
      <w:r w:rsidRPr="004E7E3E">
        <w:rPr>
          <w:rFonts w:ascii="Times New Roman" w:hAnsi="Times New Roman" w:cs="Times New Roman"/>
          <w:sz w:val="24"/>
          <w:szCs w:val="24"/>
          <w:lang w:val="ru-RU"/>
        </w:rPr>
        <w:t xml:space="preserve"> и коррупция, 5) неразвитость финансового рынка и низкая доступность кредитов для населения и бизнеса, 6) вопрос о защите частной собственности. Кроме того, была отмечена обоснованность опасений по поводу экологического состояния в районах крупнейших агломераций. </w:t>
      </w:r>
    </w:p>
    <w:p w14:paraId="5D6C1881"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sz w:val="24"/>
          <w:szCs w:val="24"/>
          <w:lang w:val="ru-RU"/>
        </w:rPr>
        <w:t>Несмотря на наличие данных рисков, китайский рынок продолжает привлекать инвесторов своей ёмкостью и стабильн</w:t>
      </w:r>
      <w:r>
        <w:rPr>
          <w:rFonts w:ascii="Times New Roman" w:hAnsi="Times New Roman" w:cs="Times New Roman"/>
          <w:sz w:val="24"/>
          <w:szCs w:val="24"/>
          <w:lang w:val="ru-RU"/>
        </w:rPr>
        <w:t>о</w:t>
      </w:r>
      <w:r w:rsidRPr="004E7E3E">
        <w:rPr>
          <w:rFonts w:ascii="Times New Roman" w:hAnsi="Times New Roman" w:cs="Times New Roman"/>
          <w:sz w:val="24"/>
          <w:szCs w:val="24"/>
          <w:lang w:val="ru-RU"/>
        </w:rPr>
        <w:t xml:space="preserve"> высоким экономическим ростом. </w:t>
      </w:r>
    </w:p>
    <w:p w14:paraId="16F50487" w14:textId="77777777" w:rsidR="00937CBF" w:rsidRPr="004E7E3E" w:rsidRDefault="00937CBF" w:rsidP="00937CBF">
      <w:pPr>
        <w:pStyle w:val="af3"/>
        <w:numPr>
          <w:ilvl w:val="0"/>
          <w:numId w:val="5"/>
        </w:numPr>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b/>
          <w:sz w:val="24"/>
          <w:szCs w:val="24"/>
          <w:lang w:val="ru-RU"/>
        </w:rPr>
        <w:t>Выявлено, что создание МФЦ в Москве, по форме представляющее собой инфраструктурный проект, по сути, инициировало проведение правительств</w:t>
      </w:r>
      <w:r>
        <w:rPr>
          <w:rFonts w:ascii="Times New Roman" w:hAnsi="Times New Roman" w:cs="Times New Roman"/>
          <w:b/>
          <w:sz w:val="24"/>
          <w:szCs w:val="24"/>
          <w:lang w:val="ru-RU"/>
        </w:rPr>
        <w:t>ом</w:t>
      </w:r>
      <w:r w:rsidRPr="004E7E3E">
        <w:rPr>
          <w:rFonts w:ascii="Times New Roman" w:hAnsi="Times New Roman" w:cs="Times New Roman"/>
          <w:b/>
          <w:sz w:val="24"/>
          <w:szCs w:val="24"/>
          <w:lang w:val="ru-RU"/>
        </w:rPr>
        <w:t xml:space="preserve"> России</w:t>
      </w:r>
      <w:r>
        <w:rPr>
          <w:rFonts w:ascii="Times New Roman" w:hAnsi="Times New Roman" w:cs="Times New Roman"/>
          <w:b/>
          <w:sz w:val="24"/>
          <w:szCs w:val="24"/>
          <w:lang w:val="ru-RU"/>
        </w:rPr>
        <w:t xml:space="preserve"> политики</w:t>
      </w:r>
      <w:r w:rsidRPr="004E7E3E">
        <w:rPr>
          <w:rFonts w:ascii="Times New Roman" w:hAnsi="Times New Roman" w:cs="Times New Roman"/>
          <w:b/>
          <w:sz w:val="24"/>
          <w:szCs w:val="24"/>
          <w:lang w:val="ru-RU"/>
        </w:rPr>
        <w:t xml:space="preserve"> в области развития национального финансового рынка, включающей стратегию по</w:t>
      </w:r>
      <w:r>
        <w:rPr>
          <w:rFonts w:ascii="Times New Roman" w:hAnsi="Times New Roman" w:cs="Times New Roman"/>
          <w:b/>
          <w:sz w:val="24"/>
          <w:szCs w:val="24"/>
        </w:rPr>
        <w:t> </w:t>
      </w:r>
      <w:r w:rsidRPr="004E7E3E">
        <w:rPr>
          <w:rFonts w:ascii="Times New Roman" w:hAnsi="Times New Roman" w:cs="Times New Roman"/>
          <w:b/>
          <w:sz w:val="24"/>
          <w:szCs w:val="24"/>
          <w:lang w:val="ru-RU"/>
        </w:rPr>
        <w:t>превращению рубля в региональную резервную валюту.</w:t>
      </w:r>
    </w:p>
    <w:p w14:paraId="50BB6597"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Программа создани</w:t>
      </w:r>
      <w:r>
        <w:rPr>
          <w:rFonts w:ascii="Times New Roman" w:hAnsi="Times New Roman" w:cs="Times New Roman"/>
          <w:color w:val="000000"/>
          <w:sz w:val="24"/>
          <w:szCs w:val="24"/>
          <w:shd w:val="clear" w:color="auto" w:fill="FFFFFF"/>
          <w:lang w:val="ru-RU"/>
        </w:rPr>
        <w:t>я</w:t>
      </w:r>
      <w:r w:rsidRPr="004E7E3E">
        <w:rPr>
          <w:rFonts w:ascii="Times New Roman" w:hAnsi="Times New Roman" w:cs="Times New Roman"/>
          <w:color w:val="000000"/>
          <w:sz w:val="24"/>
          <w:szCs w:val="24"/>
          <w:shd w:val="clear" w:color="auto" w:fill="FFFFFF"/>
          <w:lang w:val="ru-RU"/>
        </w:rPr>
        <w:t xml:space="preserve"> МФЦ в Москве, формально являясь инфраструктурным проектом, по</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сути, ознаменовала начало государственной политики по развитию отечественной финансовой системы</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особенно в сфере рынка ценных бумаг. Она была инициирована </w:t>
      </w:r>
      <w:r>
        <w:rPr>
          <w:rFonts w:ascii="Times New Roman" w:hAnsi="Times New Roman" w:cs="Times New Roman"/>
          <w:color w:val="000000"/>
          <w:sz w:val="24"/>
          <w:szCs w:val="24"/>
          <w:shd w:val="clear" w:color="auto" w:fill="FFFFFF"/>
          <w:lang w:val="ru-RU"/>
        </w:rPr>
        <w:t>П</w:t>
      </w:r>
      <w:r w:rsidRPr="004E7E3E">
        <w:rPr>
          <w:rFonts w:ascii="Times New Roman" w:hAnsi="Times New Roman" w:cs="Times New Roman"/>
          <w:color w:val="000000"/>
          <w:sz w:val="24"/>
          <w:szCs w:val="24"/>
          <w:shd w:val="clear" w:color="auto" w:fill="FFFFFF"/>
          <w:lang w:val="ru-RU"/>
        </w:rPr>
        <w:t>резидентом Д.</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А.</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Медведевым в марте 2008 года. Сначала разработка программы шла и</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реализовывалась в</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коридорах власти, но с приходом к руководству новой команды управленцев во главе с</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 xml:space="preserve">Александром Волошиновым в 2010 году к проекту подключился бизнес. Тем не менее, после введения западных санкций против России процесс застопорился. </w:t>
      </w:r>
    </w:p>
    <w:p w14:paraId="403534B0"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color w:val="000000"/>
          <w:sz w:val="24"/>
          <w:szCs w:val="24"/>
          <w:shd w:val="clear" w:color="auto" w:fill="FFFFFF"/>
          <w:lang w:val="ru-RU"/>
        </w:rPr>
        <w:t xml:space="preserve">МФЦ не стал особым кластером, где проводятся эксперименты с финансовой политикой России, как это осуществляется в Шанхайской зоне свободной торговли. Существующая «вертикаль» государственной власти этого не позволяет. Скорее МФЦ в данный момент – это </w:t>
      </w:r>
      <w:r w:rsidRPr="004E7E3E">
        <w:rPr>
          <w:rFonts w:ascii="Times New Roman" w:hAnsi="Times New Roman" w:cs="Times New Roman"/>
          <w:color w:val="000000"/>
          <w:sz w:val="24"/>
          <w:szCs w:val="24"/>
          <w:shd w:val="clear" w:color="auto" w:fill="FFFFFF"/>
          <w:lang w:val="ru-RU"/>
        </w:rPr>
        <w:lastRenderedPageBreak/>
        <w:t xml:space="preserve">трибуна для дискуссий, </w:t>
      </w:r>
      <w:r w:rsidRPr="004E7E3E">
        <w:rPr>
          <w:rFonts w:ascii="Times New Roman" w:hAnsi="Times New Roman" w:cs="Times New Roman"/>
          <w:color w:val="000000"/>
          <w:sz w:val="24"/>
          <w:szCs w:val="24"/>
          <w:shd w:val="clear" w:color="auto" w:fill="FFFFFF"/>
          <w:lang w:val="ru-RU" w:eastAsia="zh-CN"/>
        </w:rPr>
        <w:t>аналитический клуб. Но работа не прекращается. И от широких мазков по создани</w:t>
      </w:r>
      <w:r>
        <w:rPr>
          <w:rFonts w:ascii="Times New Roman" w:hAnsi="Times New Roman" w:cs="Times New Roman"/>
          <w:color w:val="000000"/>
          <w:sz w:val="24"/>
          <w:szCs w:val="24"/>
          <w:shd w:val="clear" w:color="auto" w:fill="FFFFFF"/>
          <w:lang w:val="ru-RU" w:eastAsia="zh-CN"/>
        </w:rPr>
        <w:t>ю</w:t>
      </w:r>
      <w:r w:rsidRPr="004E7E3E">
        <w:rPr>
          <w:rFonts w:ascii="Times New Roman" w:hAnsi="Times New Roman" w:cs="Times New Roman"/>
          <w:color w:val="000000"/>
          <w:sz w:val="24"/>
          <w:szCs w:val="24"/>
          <w:shd w:val="clear" w:color="auto" w:fill="FFFFFF"/>
          <w:lang w:val="ru-RU" w:eastAsia="zh-CN"/>
        </w:rPr>
        <w:t xml:space="preserve"> единого клирингового центра, объединения биржевых площадок руководители МФЦ перешли к прорисовке деталей инвестиционного климата. </w:t>
      </w:r>
    </w:p>
    <w:p w14:paraId="54330DD1" w14:textId="77777777" w:rsidR="00937CBF" w:rsidRPr="004E7E3E" w:rsidRDefault="00937CBF" w:rsidP="00937CBF">
      <w:pPr>
        <w:pStyle w:val="af3"/>
        <w:numPr>
          <w:ilvl w:val="0"/>
          <w:numId w:val="5"/>
        </w:numPr>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b/>
          <w:sz w:val="24"/>
          <w:szCs w:val="24"/>
          <w:lang w:val="ru-RU"/>
        </w:rPr>
        <w:t>Прослежена история создания и реализации программы по созданию МФЦ в</w:t>
      </w:r>
      <w:r>
        <w:rPr>
          <w:rFonts w:ascii="Times New Roman" w:hAnsi="Times New Roman" w:cs="Times New Roman"/>
          <w:b/>
          <w:sz w:val="24"/>
          <w:szCs w:val="24"/>
          <w:lang w:val="ru-RU"/>
        </w:rPr>
        <w:t> </w:t>
      </w:r>
      <w:r w:rsidRPr="004E7E3E">
        <w:rPr>
          <w:rFonts w:ascii="Times New Roman" w:hAnsi="Times New Roman" w:cs="Times New Roman"/>
          <w:b/>
          <w:sz w:val="24"/>
          <w:szCs w:val="24"/>
          <w:lang w:val="ru-RU"/>
        </w:rPr>
        <w:t>Москве, выявлены негативные факторы, затрудняющие её выполнение, оценены перспективы роста влияния рубля в качестве резервной региональной валюты.</w:t>
      </w:r>
    </w:p>
    <w:p w14:paraId="45A5E883"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Условно историю создания и развития МФЦ в Москве можно разделить на 3 этапа: 1)</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«нормативно-правовой» (2008–2011), 2) «инфраструктурный» (2011–2016), 3) «инвестиционный» (2016 – н. в.).</w:t>
      </w:r>
    </w:p>
    <w:p w14:paraId="08D5BE6A"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Создание МФЦ в Москве было лишь частью озвученной </w:t>
      </w:r>
      <w:r>
        <w:rPr>
          <w:rFonts w:ascii="Times New Roman" w:hAnsi="Times New Roman" w:cs="Times New Roman"/>
          <w:color w:val="000000"/>
          <w:sz w:val="24"/>
          <w:szCs w:val="24"/>
          <w:shd w:val="clear" w:color="auto" w:fill="FFFFFF"/>
          <w:lang w:val="ru-RU"/>
        </w:rPr>
        <w:t>П</w:t>
      </w:r>
      <w:r w:rsidRPr="004E7E3E">
        <w:rPr>
          <w:rFonts w:ascii="Times New Roman" w:hAnsi="Times New Roman" w:cs="Times New Roman"/>
          <w:color w:val="000000"/>
          <w:sz w:val="24"/>
          <w:szCs w:val="24"/>
          <w:shd w:val="clear" w:color="auto" w:fill="FFFFFF"/>
          <w:lang w:val="ru-RU"/>
        </w:rPr>
        <w:t>резидентом программы. Но</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неустойчивость национальной валюты и сложная внешнеполитическая конъюнктура на</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современном этапе не позволяют надеяться на быстрое достижение намеченных задач по</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 xml:space="preserve">превращению рубля в региональную резервную валюту. </w:t>
      </w:r>
    </w:p>
    <w:p w14:paraId="0AF68D4D"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 xml:space="preserve">В ходе изучения проводимой </w:t>
      </w:r>
      <w:r>
        <w:rPr>
          <w:rFonts w:ascii="Times New Roman" w:hAnsi="Times New Roman" w:cs="Times New Roman"/>
          <w:color w:val="000000"/>
          <w:sz w:val="24"/>
          <w:szCs w:val="24"/>
          <w:shd w:val="clear" w:color="auto" w:fill="FFFFFF"/>
          <w:lang w:val="ru-RU"/>
        </w:rPr>
        <w:t>П</w:t>
      </w:r>
      <w:r w:rsidRPr="004E7E3E">
        <w:rPr>
          <w:rFonts w:ascii="Times New Roman" w:hAnsi="Times New Roman" w:cs="Times New Roman"/>
          <w:color w:val="000000"/>
          <w:sz w:val="24"/>
          <w:szCs w:val="24"/>
          <w:shd w:val="clear" w:color="auto" w:fill="FFFFFF"/>
          <w:lang w:val="ru-RU"/>
        </w:rPr>
        <w:t xml:space="preserve">равительством </w:t>
      </w:r>
      <w:r>
        <w:rPr>
          <w:rFonts w:ascii="Times New Roman" w:hAnsi="Times New Roman" w:cs="Times New Roman"/>
          <w:color w:val="000000"/>
          <w:sz w:val="24"/>
          <w:szCs w:val="24"/>
          <w:shd w:val="clear" w:color="auto" w:fill="FFFFFF"/>
          <w:lang w:val="ru-RU"/>
        </w:rPr>
        <w:t xml:space="preserve">программы </w:t>
      </w:r>
      <w:r w:rsidRPr="004E7E3E">
        <w:rPr>
          <w:rFonts w:ascii="Times New Roman" w:hAnsi="Times New Roman" w:cs="Times New Roman"/>
          <w:color w:val="000000"/>
          <w:sz w:val="24"/>
          <w:szCs w:val="24"/>
          <w:shd w:val="clear" w:color="auto" w:fill="FFFFFF"/>
          <w:lang w:val="ru-RU"/>
        </w:rPr>
        <w:t>по созданию МФЦ был выявлен ряд просчётов: 1) была осуществлена подмена понятий «развитие МФЦ в Москве» и «государственная политика в сфере финансов»; 2) отсутствует конкурентная стратегия (не</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выявлены и не стимулируются конкурентные преимущества, не определены основные конкуренты), 3) слабая институциональная составляющая проекта (нет федерального закона об</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МФЦ, Рабочая группа по созданию МФЦ представляет собой дискуссионную площадку, а</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не</w:t>
      </w:r>
      <w:r>
        <w:rPr>
          <w:rFonts w:ascii="Times New Roman" w:hAnsi="Times New Roman" w:cs="Times New Roman"/>
          <w:color w:val="000000"/>
          <w:sz w:val="24"/>
          <w:szCs w:val="24"/>
          <w:shd w:val="clear" w:color="auto" w:fill="FFFFFF"/>
        </w:rPr>
        <w:t> </w:t>
      </w:r>
      <w:r w:rsidRPr="004E7E3E">
        <w:rPr>
          <w:rFonts w:ascii="Times New Roman" w:hAnsi="Times New Roman" w:cs="Times New Roman"/>
          <w:color w:val="000000"/>
          <w:sz w:val="24"/>
          <w:szCs w:val="24"/>
          <w:shd w:val="clear" w:color="auto" w:fill="FFFFFF"/>
          <w:lang w:val="ru-RU"/>
        </w:rPr>
        <w:t xml:space="preserve">руководящий орган), 4) слабая система стимулов, налоговых льгот по развитию МФЦ. </w:t>
      </w:r>
    </w:p>
    <w:p w14:paraId="2F977D91"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color w:val="000000"/>
          <w:sz w:val="24"/>
          <w:szCs w:val="24"/>
          <w:shd w:val="clear" w:color="auto" w:fill="FFFFFF"/>
          <w:lang w:val="ru-RU"/>
        </w:rPr>
        <w:t>Одним из вариантов осуществления стратегии по становлению рубля в качестве региональной резервной валюты является развитие интеграции регионального блока ЕврАзЭС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финансовой сфере и формирование на базе рубля единой валюты Сообщества. Сейчас рубль – это производная от мировой цены на нефть, поэтому диверсификация экономики</w:t>
      </w:r>
      <w:r>
        <w:rPr>
          <w:rFonts w:ascii="Times New Roman" w:hAnsi="Times New Roman" w:cs="Times New Roman"/>
          <w:color w:val="000000"/>
          <w:sz w:val="24"/>
          <w:szCs w:val="24"/>
          <w:shd w:val="clear" w:color="auto" w:fill="FFFFFF"/>
          <w:lang w:val="ru-RU"/>
        </w:rPr>
        <w:t xml:space="preserve"> и</w:t>
      </w:r>
      <w:r w:rsidRPr="004E7E3E">
        <w:rPr>
          <w:rFonts w:ascii="Times New Roman" w:hAnsi="Times New Roman" w:cs="Times New Roman"/>
          <w:color w:val="000000"/>
          <w:sz w:val="24"/>
          <w:szCs w:val="24"/>
          <w:shd w:val="clear" w:color="auto" w:fill="FFFFFF"/>
          <w:lang w:val="ru-RU"/>
        </w:rPr>
        <w:t xml:space="preserve"> развитие инновационных отраслей явля</w:t>
      </w:r>
      <w:r>
        <w:rPr>
          <w:rFonts w:ascii="Times New Roman" w:hAnsi="Times New Roman" w:cs="Times New Roman"/>
          <w:color w:val="000000"/>
          <w:sz w:val="24"/>
          <w:szCs w:val="24"/>
          <w:shd w:val="clear" w:color="auto" w:fill="FFFFFF"/>
          <w:lang w:val="ru-RU"/>
        </w:rPr>
        <w:t>ю</w:t>
      </w:r>
      <w:r w:rsidRPr="004E7E3E">
        <w:rPr>
          <w:rFonts w:ascii="Times New Roman" w:hAnsi="Times New Roman" w:cs="Times New Roman"/>
          <w:color w:val="000000"/>
          <w:sz w:val="24"/>
          <w:szCs w:val="24"/>
          <w:shd w:val="clear" w:color="auto" w:fill="FFFFFF"/>
          <w:lang w:val="ru-RU"/>
        </w:rPr>
        <w:t xml:space="preserve">тся обязательной составной частью в любой подобной программе. Не стоит также забывать стандартные риски развития: слабая судебная система, коррупция, политические риски. </w:t>
      </w:r>
    </w:p>
    <w:p w14:paraId="61B8FF29" w14:textId="77777777" w:rsidR="00937CBF" w:rsidRPr="004E7E3E" w:rsidRDefault="00937CBF" w:rsidP="00937CBF">
      <w:pPr>
        <w:pStyle w:val="af3"/>
        <w:numPr>
          <w:ilvl w:val="0"/>
          <w:numId w:val="5"/>
        </w:numPr>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b/>
          <w:sz w:val="24"/>
          <w:szCs w:val="24"/>
          <w:lang w:val="ru-RU"/>
        </w:rPr>
        <w:t>Сравнительный анализ результатов китайской и российской программ показал, что тактика и набор мер, предпринимаемых правительством КНР по формированию международного центра, является относительно более успешной, отмечено негативное влияние текущей внешнеполитической конъюнктуры на российскую практику</w:t>
      </w:r>
      <w:r>
        <w:rPr>
          <w:rFonts w:ascii="Times New Roman" w:hAnsi="Times New Roman" w:cs="Times New Roman"/>
          <w:b/>
          <w:sz w:val="24"/>
          <w:szCs w:val="24"/>
          <w:lang w:val="ru-RU"/>
        </w:rPr>
        <w:t>.</w:t>
      </w:r>
    </w:p>
    <w:p w14:paraId="1121BFC8"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Россия и Кита</w:t>
      </w:r>
      <w:r>
        <w:rPr>
          <w:rFonts w:ascii="Times New Roman" w:hAnsi="Times New Roman" w:cs="Times New Roman"/>
          <w:color w:val="000000"/>
          <w:sz w:val="24"/>
          <w:szCs w:val="24"/>
          <w:shd w:val="clear" w:color="auto" w:fill="FFFFFF"/>
          <w:lang w:val="ru-RU"/>
        </w:rPr>
        <w:t>й</w:t>
      </w:r>
      <w:r w:rsidRPr="004E7E3E">
        <w:rPr>
          <w:rFonts w:ascii="Times New Roman" w:hAnsi="Times New Roman" w:cs="Times New Roman"/>
          <w:color w:val="000000"/>
          <w:sz w:val="24"/>
          <w:szCs w:val="24"/>
          <w:shd w:val="clear" w:color="auto" w:fill="FFFFFF"/>
          <w:lang w:val="ru-RU"/>
        </w:rPr>
        <w:t xml:space="preserve"> инициировали почти одновременно схожие программы </w:t>
      </w:r>
      <w:r>
        <w:rPr>
          <w:rFonts w:ascii="Times New Roman" w:hAnsi="Times New Roman" w:cs="Times New Roman"/>
          <w:color w:val="000000"/>
          <w:sz w:val="24"/>
          <w:szCs w:val="24"/>
          <w:shd w:val="clear" w:color="auto" w:fill="FFFFFF"/>
          <w:lang w:val="ru-RU"/>
        </w:rPr>
        <w:t>создания</w:t>
      </w:r>
      <w:r w:rsidRPr="004E7E3E">
        <w:rPr>
          <w:rFonts w:ascii="Times New Roman" w:hAnsi="Times New Roman" w:cs="Times New Roman"/>
          <w:color w:val="000000"/>
          <w:sz w:val="24"/>
          <w:szCs w:val="24"/>
          <w:shd w:val="clear" w:color="auto" w:fill="FFFFFF"/>
          <w:lang w:val="ru-RU"/>
        </w:rPr>
        <w:t xml:space="preserve"> МФЦ, но применяют разные стратегии для её реализации, которые перекликаются лишь отчасти: Кита</w:t>
      </w:r>
      <w:r>
        <w:rPr>
          <w:rFonts w:ascii="Times New Roman" w:hAnsi="Times New Roman" w:cs="Times New Roman"/>
          <w:color w:val="000000"/>
          <w:sz w:val="24"/>
          <w:szCs w:val="24"/>
          <w:shd w:val="clear" w:color="auto" w:fill="FFFFFF"/>
          <w:lang w:val="ru-RU"/>
        </w:rPr>
        <w:t>й</w:t>
      </w:r>
      <w:r w:rsidRPr="004E7E3E">
        <w:rPr>
          <w:rFonts w:ascii="Times New Roman" w:hAnsi="Times New Roman" w:cs="Times New Roman"/>
          <w:color w:val="000000"/>
          <w:sz w:val="24"/>
          <w:szCs w:val="24"/>
          <w:shd w:val="clear" w:color="auto" w:fill="FFFFFF"/>
          <w:lang w:val="ru-RU"/>
        </w:rPr>
        <w:t xml:space="preserve"> </w:t>
      </w:r>
      <w:r w:rsidRPr="004E7E3E">
        <w:rPr>
          <w:rFonts w:ascii="Times New Roman" w:hAnsi="Times New Roman" w:cs="Times New Roman"/>
          <w:color w:val="000000"/>
          <w:sz w:val="24"/>
          <w:szCs w:val="24"/>
          <w:shd w:val="clear" w:color="auto" w:fill="FFFFFF"/>
          <w:lang w:val="ru-RU"/>
        </w:rPr>
        <w:lastRenderedPageBreak/>
        <w:t>использует стратегию особых экономических зон, в рамках которых происходят эксперименты в финансовой сфере под наблюдением правительственных структур</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t>В</w:t>
      </w:r>
      <w:r w:rsidRPr="004E7E3E">
        <w:rPr>
          <w:rFonts w:ascii="Times New Roman" w:hAnsi="Times New Roman" w:cs="Times New Roman"/>
          <w:color w:val="000000"/>
          <w:sz w:val="24"/>
          <w:szCs w:val="24"/>
          <w:shd w:val="clear" w:color="auto" w:fill="FFFFFF"/>
          <w:lang w:val="ru-RU"/>
        </w:rPr>
        <w:t xml:space="preserve"> России пробуют, ещё не создав полноценно и успешно функционирующий центр, реформировать всю финансовую сферу. </w:t>
      </w:r>
    </w:p>
    <w:p w14:paraId="56C7271C" w14:textId="77777777" w:rsidR="00937CBF" w:rsidRPr="004E7E3E" w:rsidRDefault="00937CBF" w:rsidP="00937CBF">
      <w:pPr>
        <w:pStyle w:val="af3"/>
        <w:numPr>
          <w:ilvl w:val="0"/>
          <w:numId w:val="5"/>
        </w:numPr>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color w:val="000000"/>
          <w:sz w:val="24"/>
          <w:szCs w:val="24"/>
          <w:shd w:val="clear" w:color="auto" w:fill="FFFFFF"/>
          <w:lang w:val="ru-RU"/>
        </w:rPr>
        <w:t>На наш взгляд, Китай выбрал более эффективную стратегию. МФЦ, как крупный порт, должен быть немного «иностранцем» в собственной стране. Он должен быть флюгером, улавливающим общемировые тенденции, локализирующем лучшие практики и отдающим сигналы во внешний мир. С началом политических санкций МФЦ становится скорее инфраструктурным проектом, чем финансовым. Но финансовая политика российского правительства продолжается</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и можно надеется, что в среднесрочной перспективе Москва войдёт в зону лидеров рейтинга МФЦ. </w:t>
      </w:r>
      <w:r w:rsidRPr="004E7E3E">
        <w:rPr>
          <w:rFonts w:ascii="Times New Roman" w:hAnsi="Times New Roman" w:cs="Times New Roman"/>
          <w:b/>
          <w:sz w:val="24"/>
          <w:szCs w:val="24"/>
          <w:lang w:val="ru-RU"/>
        </w:rPr>
        <w:t xml:space="preserve">Разработаны рекомендации по созданию МФЦ в России </w:t>
      </w:r>
    </w:p>
    <w:p w14:paraId="313433A4"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color w:val="000000"/>
          <w:sz w:val="24"/>
          <w:szCs w:val="24"/>
          <w:shd w:val="clear" w:color="auto" w:fill="FFFFFF"/>
          <w:lang w:val="ru-RU"/>
        </w:rPr>
      </w:pPr>
      <w:r w:rsidRPr="004E7E3E">
        <w:rPr>
          <w:rFonts w:ascii="Times New Roman" w:hAnsi="Times New Roman" w:cs="Times New Roman"/>
          <w:color w:val="000000"/>
          <w:sz w:val="24"/>
          <w:szCs w:val="24"/>
          <w:shd w:val="clear" w:color="auto" w:fill="FFFFFF"/>
          <w:lang w:val="ru-RU"/>
        </w:rPr>
        <w:t>В результате исследования китайского опыта и выявления факторов, тормозящих развитие МФЦ в Москве, был предложен ряд мер в качестве рекомендаций. Основная идея предложенных мер касается следующего: на первоначальном этапе необходимо создать особую площадку для проведения экспериментов в финансовой сфере, но под контролем государственных структур; необходимо поддерживать инновационные предприятия с условием, что государство сможет получить прибыль от размещения их акций на национальных фондовых площадках через определенный промежуток времени</w:t>
      </w:r>
      <w:r>
        <w:rPr>
          <w:rFonts w:ascii="Times New Roman" w:hAnsi="Times New Roman" w:cs="Times New Roman"/>
          <w:color w:val="000000"/>
          <w:sz w:val="24"/>
          <w:szCs w:val="24"/>
          <w:shd w:val="clear" w:color="auto" w:fill="FFFFFF"/>
          <w:lang w:val="ru-RU"/>
        </w:rPr>
        <w:t>;</w:t>
      </w:r>
      <w:r w:rsidRPr="004E7E3E">
        <w:rPr>
          <w:rFonts w:ascii="Times New Roman" w:hAnsi="Times New Roman" w:cs="Times New Roman"/>
          <w:color w:val="000000"/>
          <w:sz w:val="24"/>
          <w:szCs w:val="24"/>
          <w:shd w:val="clear" w:color="auto" w:fill="FFFFFF"/>
          <w:lang w:val="ru-RU"/>
        </w:rPr>
        <w:t xml:space="preserve"> развивать программу по поддержке экспорта продукции этих предприятий, в том числе за счёт программы экспортных кредитов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рублях. Данные рекомендации прежде всего адресованы государству как основному игроку в</w:t>
      </w:r>
      <w:r>
        <w:rPr>
          <w:rFonts w:ascii="Times New Roman" w:hAnsi="Times New Roman" w:cs="Times New Roman"/>
          <w:color w:val="000000"/>
          <w:sz w:val="24"/>
          <w:szCs w:val="24"/>
          <w:shd w:val="clear" w:color="auto" w:fill="FFFFFF"/>
          <w:lang w:val="ru-RU"/>
        </w:rPr>
        <w:t> </w:t>
      </w:r>
      <w:r w:rsidRPr="004E7E3E">
        <w:rPr>
          <w:rFonts w:ascii="Times New Roman" w:hAnsi="Times New Roman" w:cs="Times New Roman"/>
          <w:color w:val="000000"/>
          <w:sz w:val="24"/>
          <w:szCs w:val="24"/>
          <w:shd w:val="clear" w:color="auto" w:fill="FFFFFF"/>
          <w:lang w:val="ru-RU"/>
        </w:rPr>
        <w:t xml:space="preserve">российской финансовой системе. </w:t>
      </w:r>
    </w:p>
    <w:p w14:paraId="3AADE595" w14:textId="77777777" w:rsidR="00937CBF" w:rsidRPr="004E7E3E" w:rsidRDefault="00937CBF" w:rsidP="00937CBF">
      <w:pPr>
        <w:pStyle w:val="af3"/>
        <w:spacing w:before="100" w:beforeAutospacing="1" w:after="100" w:line="360" w:lineRule="auto"/>
        <w:ind w:left="0" w:firstLine="709"/>
        <w:jc w:val="both"/>
        <w:rPr>
          <w:rFonts w:ascii="Times New Roman" w:hAnsi="Times New Roman" w:cs="Times New Roman"/>
          <w:b/>
          <w:sz w:val="24"/>
          <w:szCs w:val="24"/>
          <w:lang w:val="ru-RU"/>
        </w:rPr>
      </w:pPr>
      <w:r w:rsidRPr="004E7E3E">
        <w:rPr>
          <w:rFonts w:ascii="Times New Roman" w:hAnsi="Times New Roman" w:cs="Times New Roman"/>
          <w:color w:val="000000"/>
          <w:sz w:val="24"/>
          <w:szCs w:val="24"/>
          <w:shd w:val="clear" w:color="auto" w:fill="FFFFFF"/>
          <w:lang w:val="ru-RU"/>
        </w:rPr>
        <w:br w:type="page" w:clear="all"/>
      </w:r>
    </w:p>
    <w:p w14:paraId="66A41A14" w14:textId="77777777" w:rsidR="00AE4368" w:rsidRPr="004E7E3E" w:rsidRDefault="002023F4" w:rsidP="00A134D2">
      <w:pPr>
        <w:pStyle w:val="1"/>
        <w:spacing w:before="100" w:beforeAutospacing="1" w:after="100" w:line="360" w:lineRule="auto"/>
        <w:ind w:firstLine="709"/>
        <w:rPr>
          <w:rFonts w:cs="Times New Roman"/>
          <w:sz w:val="24"/>
          <w:szCs w:val="24"/>
          <w:lang w:eastAsia="zh-CN"/>
        </w:rPr>
      </w:pPr>
      <w:bookmarkStart w:id="39" w:name="_Toc136448484"/>
      <w:r w:rsidRPr="004E7E3E">
        <w:rPr>
          <w:rFonts w:cs="Times New Roman"/>
          <w:sz w:val="24"/>
          <w:szCs w:val="24"/>
        </w:rPr>
        <w:lastRenderedPageBreak/>
        <w:t>Список сокращений и условных обозначений</w:t>
      </w:r>
      <w:bookmarkEnd w:id="39"/>
    </w:p>
    <w:p w14:paraId="40896BA0" w14:textId="77777777" w:rsidR="00AE4368" w:rsidRPr="004E7E3E" w:rsidRDefault="00AE4368" w:rsidP="00A134D2">
      <w:pPr>
        <w:spacing w:before="100" w:beforeAutospacing="1" w:after="100" w:line="360" w:lineRule="auto"/>
        <w:ind w:firstLine="709"/>
        <w:contextualSpacing/>
        <w:rPr>
          <w:rFonts w:ascii="Times New Roman" w:hAnsi="Times New Roman" w:cs="Times New Roman"/>
          <w:sz w:val="24"/>
          <w:szCs w:val="24"/>
          <w:lang w:val="ru-RU"/>
        </w:rPr>
      </w:pPr>
    </w:p>
    <w:p w14:paraId="72F2A45A" w14:textId="77777777" w:rsidR="00AE4368" w:rsidRPr="004E7E3E" w:rsidRDefault="00AE4368" w:rsidP="00A134D2">
      <w:pPr>
        <w:spacing w:before="100" w:beforeAutospacing="1" w:after="100" w:line="360" w:lineRule="auto"/>
        <w:ind w:firstLine="709"/>
        <w:contextualSpacing/>
        <w:rPr>
          <w:rFonts w:ascii="Times New Roman" w:hAnsi="Times New Roman" w:cs="Times New Roman"/>
          <w:sz w:val="24"/>
          <w:szCs w:val="24"/>
          <w:lang w:val="ru-RU"/>
        </w:rPr>
      </w:pPr>
    </w:p>
    <w:p w14:paraId="6197F89E" w14:textId="77777777" w:rsidR="00AE4368" w:rsidRPr="004E7E3E" w:rsidRDefault="00AE4368" w:rsidP="00A134D2">
      <w:pPr>
        <w:spacing w:before="100" w:beforeAutospacing="1" w:after="100" w:line="360" w:lineRule="auto"/>
        <w:ind w:firstLine="709"/>
        <w:contextualSpacing/>
        <w:rPr>
          <w:rFonts w:ascii="Times New Roman" w:hAnsi="Times New Roman" w:cs="Times New Roman"/>
          <w:sz w:val="24"/>
          <w:szCs w:val="24"/>
          <w:lang w:val="ru-RU"/>
        </w:rPr>
      </w:pPr>
    </w:p>
    <w:p w14:paraId="322AF0AA" w14:textId="40DA53DC" w:rsidR="0000638F" w:rsidRDefault="0000638F" w:rsidP="0000638F">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БМР – Банк международных расчётов</w:t>
      </w:r>
      <w:r>
        <w:rPr>
          <w:rFonts w:ascii="Times New Roman" w:hAnsi="Times New Roman" w:cs="Times New Roman"/>
          <w:sz w:val="24"/>
          <w:szCs w:val="24"/>
          <w:lang w:val="ru-RU"/>
        </w:rPr>
        <w:t>;</w:t>
      </w:r>
    </w:p>
    <w:p w14:paraId="1E29C335" w14:textId="6A895912" w:rsidR="00AE4368" w:rsidRPr="004E7E3E" w:rsidRDefault="002023F4" w:rsidP="00A134D2">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ВВП – валовой внутренний продукт;</w:t>
      </w:r>
    </w:p>
    <w:p w14:paraId="0141725B" w14:textId="35E0F204" w:rsidR="0000638F" w:rsidRDefault="0000638F" w:rsidP="0000638F">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ВБ – Всемирный банк;</w:t>
      </w:r>
    </w:p>
    <w:p w14:paraId="43327AC1" w14:textId="78B2DFD2" w:rsidR="00AE4368" w:rsidRPr="004E7E3E" w:rsidRDefault="002023F4" w:rsidP="00A134D2">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ВР – валовой региональный продукт;</w:t>
      </w:r>
    </w:p>
    <w:p w14:paraId="029C284A" w14:textId="1C535618" w:rsidR="00AE4368" w:rsidRDefault="002023F4" w:rsidP="00A134D2">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МВФ – Мировой </w:t>
      </w:r>
      <w:r w:rsidR="0000638F">
        <w:rPr>
          <w:rFonts w:ascii="Times New Roman" w:hAnsi="Times New Roman" w:cs="Times New Roman"/>
          <w:sz w:val="24"/>
          <w:szCs w:val="24"/>
          <w:lang w:val="ru-RU"/>
        </w:rPr>
        <w:t>в</w:t>
      </w:r>
      <w:r w:rsidRPr="004E7E3E">
        <w:rPr>
          <w:rFonts w:ascii="Times New Roman" w:hAnsi="Times New Roman" w:cs="Times New Roman"/>
          <w:sz w:val="24"/>
          <w:szCs w:val="24"/>
          <w:lang w:val="ru-RU"/>
        </w:rPr>
        <w:t xml:space="preserve">алютный </w:t>
      </w:r>
      <w:r w:rsidR="0000638F">
        <w:rPr>
          <w:rFonts w:ascii="Times New Roman" w:hAnsi="Times New Roman" w:cs="Times New Roman"/>
          <w:sz w:val="24"/>
          <w:szCs w:val="24"/>
          <w:lang w:val="ru-RU"/>
        </w:rPr>
        <w:t>ф</w:t>
      </w:r>
      <w:r w:rsidRPr="004E7E3E">
        <w:rPr>
          <w:rFonts w:ascii="Times New Roman" w:hAnsi="Times New Roman" w:cs="Times New Roman"/>
          <w:sz w:val="24"/>
          <w:szCs w:val="24"/>
          <w:lang w:val="ru-RU"/>
        </w:rPr>
        <w:t>онд;</w:t>
      </w:r>
    </w:p>
    <w:p w14:paraId="5A974BF6" w14:textId="4461FC71" w:rsidR="0000638F" w:rsidRPr="0000638F" w:rsidRDefault="0000638F" w:rsidP="00A134D2">
      <w:pPr>
        <w:spacing w:before="100" w:beforeAutospacing="1" w:after="100" w:line="360" w:lineRule="auto"/>
        <w:ind w:firstLine="709"/>
        <w:contextualSpacing/>
        <w:rPr>
          <w:rFonts w:ascii="Times New Roman" w:hAnsi="Times New Roman" w:cs="Times New Roman"/>
          <w:sz w:val="24"/>
          <w:szCs w:val="24"/>
          <w:lang w:val="ru-RU"/>
        </w:rPr>
      </w:pPr>
      <w:r>
        <w:rPr>
          <w:rFonts w:ascii="Times New Roman" w:hAnsi="Times New Roman" w:cs="Times New Roman"/>
          <w:sz w:val="24"/>
          <w:szCs w:val="24"/>
          <w:lang w:val="ru-RU"/>
        </w:rPr>
        <w:t>МФЦ – международный финансовый центр;</w:t>
      </w:r>
    </w:p>
    <w:p w14:paraId="2B14AB9F" w14:textId="77777777" w:rsidR="00AE4368" w:rsidRPr="004E7E3E" w:rsidRDefault="002023F4" w:rsidP="00A134D2">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ЦБ РФ – Центральный банк Российской Федерации;</w:t>
      </w:r>
    </w:p>
    <w:p w14:paraId="1050E7A4" w14:textId="77777777" w:rsidR="00AE4368" w:rsidRPr="004E7E3E" w:rsidRDefault="002023F4" w:rsidP="00A134D2">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РСФСР – Российская Советская Федеративная Социалистическая Республика;</w:t>
      </w:r>
    </w:p>
    <w:p w14:paraId="0AD347F0" w14:textId="77777777" w:rsidR="00AE4368" w:rsidRPr="004E7E3E" w:rsidRDefault="002023F4" w:rsidP="00A134D2">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СПб – Санкт-Петербург;</w:t>
      </w:r>
    </w:p>
    <w:p w14:paraId="667B6EFE" w14:textId="77777777" w:rsidR="00AE4368" w:rsidRPr="004E7E3E" w:rsidRDefault="002023F4" w:rsidP="00A134D2">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МСК – Москва;</w:t>
      </w:r>
    </w:p>
    <w:p w14:paraId="285DF7F1" w14:textId="77777777" w:rsidR="00AE4368" w:rsidRPr="004E7E3E" w:rsidRDefault="002023F4" w:rsidP="00A134D2">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ОЭСР – Организация экономического сотрудничества и развития;</w:t>
      </w:r>
    </w:p>
    <w:p w14:paraId="37FDA115" w14:textId="77777777" w:rsidR="00AE4368" w:rsidRPr="004E7E3E" w:rsidRDefault="002023F4" w:rsidP="00A134D2">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ООН – Организация объединённых наций; </w:t>
      </w:r>
    </w:p>
    <w:p w14:paraId="23CBE4A6" w14:textId="77777777" w:rsidR="00AE4368" w:rsidRPr="004E7E3E" w:rsidRDefault="00AE4368" w:rsidP="00A134D2">
      <w:pPr>
        <w:spacing w:before="100" w:beforeAutospacing="1" w:after="100" w:line="360" w:lineRule="auto"/>
        <w:ind w:firstLine="709"/>
        <w:contextualSpacing/>
        <w:rPr>
          <w:rFonts w:ascii="Times New Roman" w:hAnsi="Times New Roman" w:cs="Times New Roman"/>
          <w:sz w:val="24"/>
          <w:szCs w:val="24"/>
          <w:lang w:val="ru-RU"/>
        </w:rPr>
      </w:pPr>
    </w:p>
    <w:p w14:paraId="600F78B6" w14:textId="77777777" w:rsidR="00AE4368" w:rsidRPr="004E7E3E" w:rsidRDefault="00AE4368" w:rsidP="00A134D2">
      <w:pPr>
        <w:spacing w:before="100" w:beforeAutospacing="1" w:after="100" w:line="360" w:lineRule="auto"/>
        <w:ind w:firstLine="709"/>
        <w:contextualSpacing/>
        <w:rPr>
          <w:rFonts w:ascii="Times New Roman" w:hAnsi="Times New Roman" w:cs="Times New Roman"/>
          <w:sz w:val="24"/>
          <w:szCs w:val="24"/>
          <w:lang w:val="ru-RU"/>
        </w:rPr>
      </w:pPr>
    </w:p>
    <w:p w14:paraId="4C96D81A" w14:textId="77777777" w:rsidR="00AE4368" w:rsidRPr="004E7E3E" w:rsidRDefault="00AE4368" w:rsidP="00A134D2">
      <w:pPr>
        <w:spacing w:before="100" w:beforeAutospacing="1" w:after="100" w:line="360" w:lineRule="auto"/>
        <w:ind w:firstLine="709"/>
        <w:contextualSpacing/>
        <w:rPr>
          <w:rFonts w:ascii="Times New Roman" w:hAnsi="Times New Roman" w:cs="Times New Roman"/>
          <w:sz w:val="24"/>
          <w:szCs w:val="24"/>
          <w:lang w:val="ru-RU"/>
        </w:rPr>
      </w:pPr>
    </w:p>
    <w:p w14:paraId="51ED2C32" w14:textId="77777777" w:rsidR="00AE4368" w:rsidRPr="004E7E3E" w:rsidRDefault="00AE4368" w:rsidP="00A134D2">
      <w:pPr>
        <w:spacing w:before="100" w:beforeAutospacing="1" w:after="100" w:line="360" w:lineRule="auto"/>
        <w:ind w:firstLine="709"/>
        <w:contextualSpacing/>
        <w:rPr>
          <w:rFonts w:ascii="Times New Roman" w:hAnsi="Times New Roman" w:cs="Times New Roman"/>
          <w:sz w:val="24"/>
          <w:szCs w:val="24"/>
          <w:lang w:val="ru-RU"/>
        </w:rPr>
      </w:pPr>
    </w:p>
    <w:p w14:paraId="12C55056" w14:textId="77777777" w:rsidR="00AE4368" w:rsidRPr="004E7E3E" w:rsidRDefault="00AE4368" w:rsidP="00A134D2">
      <w:pPr>
        <w:spacing w:before="100" w:beforeAutospacing="1" w:after="100" w:line="360" w:lineRule="auto"/>
        <w:ind w:firstLine="709"/>
        <w:contextualSpacing/>
        <w:rPr>
          <w:rFonts w:ascii="Times New Roman" w:hAnsi="Times New Roman" w:cs="Times New Roman"/>
          <w:sz w:val="24"/>
          <w:szCs w:val="24"/>
          <w:lang w:val="ru-RU"/>
        </w:rPr>
      </w:pPr>
    </w:p>
    <w:p w14:paraId="36A7A25F" w14:textId="77777777" w:rsidR="00AE4368" w:rsidRPr="004E7E3E" w:rsidRDefault="002023F4" w:rsidP="00A134D2">
      <w:pPr>
        <w:spacing w:before="100" w:beforeAutospacing="1" w:after="100" w:line="360" w:lineRule="auto"/>
        <w:ind w:firstLine="709"/>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br w:type="page" w:clear="all"/>
      </w:r>
    </w:p>
    <w:p w14:paraId="580CFA04" w14:textId="77777777" w:rsidR="00AE4368" w:rsidRPr="004E7E3E" w:rsidRDefault="002023F4" w:rsidP="00A134D2">
      <w:pPr>
        <w:pStyle w:val="1"/>
        <w:spacing w:line="360" w:lineRule="auto"/>
        <w:rPr>
          <w:rFonts w:cs="Times New Roman"/>
          <w:sz w:val="24"/>
          <w:szCs w:val="24"/>
          <w:lang w:eastAsia="zh-CN"/>
        </w:rPr>
      </w:pPr>
      <w:bookmarkStart w:id="40" w:name="_Toc136448485"/>
      <w:bookmarkEnd w:id="35"/>
      <w:bookmarkEnd w:id="36"/>
      <w:r w:rsidRPr="004E7E3E">
        <w:rPr>
          <w:rFonts w:cs="Times New Roman"/>
          <w:sz w:val="24"/>
          <w:szCs w:val="24"/>
        </w:rPr>
        <w:lastRenderedPageBreak/>
        <w:t>Список литературы:</w:t>
      </w:r>
      <w:bookmarkEnd w:id="40"/>
    </w:p>
    <w:p w14:paraId="04E04DB0" w14:textId="77777777" w:rsidR="00AE4368" w:rsidRPr="004E7E3E" w:rsidRDefault="00AE4368" w:rsidP="00A134D2">
      <w:pPr>
        <w:spacing w:after="0" w:line="360" w:lineRule="auto"/>
        <w:contextualSpacing/>
        <w:rPr>
          <w:rFonts w:ascii="Times New Roman" w:hAnsi="Times New Roman" w:cs="Times New Roman"/>
          <w:sz w:val="24"/>
          <w:szCs w:val="24"/>
          <w:lang w:val="ru-RU"/>
        </w:rPr>
      </w:pPr>
    </w:p>
    <w:p w14:paraId="2C11116F" w14:textId="77777777" w:rsidR="00AE4368" w:rsidRPr="004E7E3E" w:rsidRDefault="00AE4368" w:rsidP="00A134D2">
      <w:pPr>
        <w:spacing w:after="0" w:line="360" w:lineRule="auto"/>
        <w:contextualSpacing/>
        <w:rPr>
          <w:rFonts w:ascii="Times New Roman" w:hAnsi="Times New Roman" w:cs="Times New Roman"/>
          <w:sz w:val="24"/>
          <w:szCs w:val="24"/>
          <w:lang w:val="ru-RU"/>
        </w:rPr>
      </w:pPr>
    </w:p>
    <w:p w14:paraId="25D6A784" w14:textId="77777777" w:rsidR="00AE4368" w:rsidRPr="004E7E3E" w:rsidRDefault="00AE4368" w:rsidP="00A134D2">
      <w:pPr>
        <w:spacing w:after="0" w:line="360" w:lineRule="auto"/>
        <w:contextualSpacing/>
        <w:rPr>
          <w:rFonts w:ascii="Times New Roman" w:hAnsi="Times New Roman" w:cs="Times New Roman"/>
          <w:sz w:val="24"/>
          <w:szCs w:val="24"/>
          <w:lang w:val="ru-RU"/>
        </w:rPr>
      </w:pPr>
    </w:p>
    <w:p w14:paraId="36E544C7" w14:textId="77777777" w:rsidR="00AE4368" w:rsidRPr="004E7E3E" w:rsidRDefault="002023F4" w:rsidP="00A134D2">
      <w:pPr>
        <w:spacing w:after="0" w:line="360" w:lineRule="auto"/>
        <w:contextualSpacing/>
        <w:jc w:val="center"/>
        <w:rPr>
          <w:rFonts w:ascii="Times New Roman" w:hAnsi="Times New Roman" w:cs="Times New Roman"/>
          <w:b/>
          <w:sz w:val="24"/>
          <w:szCs w:val="24"/>
          <w:lang w:val="ru-RU"/>
        </w:rPr>
      </w:pPr>
      <w:r w:rsidRPr="004E7E3E">
        <w:rPr>
          <w:rFonts w:ascii="Times New Roman" w:hAnsi="Times New Roman" w:cs="Times New Roman"/>
          <w:b/>
          <w:sz w:val="24"/>
          <w:szCs w:val="24"/>
          <w:lang w:val="ru-RU"/>
        </w:rPr>
        <w:t>1.Номативные акты:</w:t>
      </w:r>
      <w:bookmarkStart w:id="41" w:name="_Toc443913387"/>
      <w:bookmarkStart w:id="42" w:name="_Toc443913555"/>
      <w:bookmarkStart w:id="43" w:name="_Ref446783624"/>
      <w:bookmarkStart w:id="44" w:name="_Ref446789488"/>
    </w:p>
    <w:p w14:paraId="148C4742" w14:textId="77777777" w:rsidR="00AE4368" w:rsidRPr="004E7E3E" w:rsidRDefault="00AE4368" w:rsidP="00A134D2">
      <w:pPr>
        <w:pStyle w:val="af3"/>
        <w:tabs>
          <w:tab w:val="left" w:pos="993"/>
        </w:tabs>
        <w:spacing w:after="0" w:line="360" w:lineRule="auto"/>
        <w:ind w:left="0"/>
        <w:jc w:val="both"/>
        <w:rPr>
          <w:rFonts w:ascii="Times New Roman" w:hAnsi="Times New Roman" w:cs="Times New Roman"/>
          <w:color w:val="000000" w:themeColor="text1"/>
          <w:sz w:val="24"/>
          <w:szCs w:val="24"/>
          <w:highlight w:val="magenta"/>
        </w:rPr>
      </w:pPr>
      <w:bookmarkStart w:id="45" w:name="_Ref446787958"/>
      <w:bookmarkEnd w:id="41"/>
      <w:bookmarkEnd w:id="42"/>
      <w:bookmarkEnd w:id="43"/>
      <w:bookmarkEnd w:id="44"/>
    </w:p>
    <w:p w14:paraId="649674F5" w14:textId="6C2D1A4A"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bookmarkStart w:id="46" w:name="_Ref446790712"/>
      <w:r w:rsidRPr="004E7E3E">
        <w:rPr>
          <w:rFonts w:ascii="Times New Roman" w:hAnsi="Times New Roman" w:cs="Times New Roman"/>
          <w:color w:val="000000" w:themeColor="text1"/>
          <w:sz w:val="24"/>
          <w:szCs w:val="24"/>
          <w:lang w:val="ru-RU"/>
        </w:rPr>
        <w:t xml:space="preserve">Медведев, Д. А. Выступление на </w:t>
      </w:r>
      <w:r w:rsidRPr="004E7E3E">
        <w:rPr>
          <w:rFonts w:ascii="Times New Roman" w:hAnsi="Times New Roman" w:cs="Times New Roman"/>
          <w:color w:val="000000" w:themeColor="text1"/>
          <w:sz w:val="24"/>
          <w:szCs w:val="24"/>
        </w:rPr>
        <w:t>XII</w:t>
      </w:r>
      <w:r w:rsidRPr="004E7E3E">
        <w:rPr>
          <w:rFonts w:ascii="Times New Roman" w:hAnsi="Times New Roman" w:cs="Times New Roman"/>
          <w:color w:val="000000" w:themeColor="text1"/>
          <w:sz w:val="24"/>
          <w:szCs w:val="24"/>
          <w:lang w:val="ru-RU"/>
        </w:rPr>
        <w:t xml:space="preserve"> Международном экономическом форуме </w:t>
      </w:r>
      <w:r w:rsidRPr="004E7E3E">
        <w:rPr>
          <w:rFonts w:ascii="Times New Roman" w:hAnsi="Times New Roman" w:cs="Times New Roman"/>
          <w:color w:val="000000" w:themeColor="text1"/>
          <w:sz w:val="24"/>
          <w:szCs w:val="24"/>
          <w:lang w:val="ru-RU" w:eastAsia="zh-CN"/>
        </w:rPr>
        <w:t>[Электронный ресурс]</w:t>
      </w:r>
      <w:r w:rsidRPr="004E7E3E">
        <w:rPr>
          <w:rFonts w:ascii="Times New Roman" w:hAnsi="Times New Roman" w:cs="Times New Roman"/>
          <w:color w:val="000000" w:themeColor="text1"/>
          <w:sz w:val="24"/>
          <w:szCs w:val="24"/>
          <w:lang w:val="ru-RU"/>
        </w:rPr>
        <w:t xml:space="preserve"> /Д. А. Медведев. – </w:t>
      </w:r>
      <w:r w:rsidRPr="004E7E3E">
        <w:rPr>
          <w:rFonts w:ascii="Times New Roman" w:hAnsi="Times New Roman" w:cs="Times New Roman"/>
          <w:b/>
          <w:bCs/>
          <w:color w:val="000000" w:themeColor="text1"/>
          <w:sz w:val="24"/>
          <w:szCs w:val="24"/>
          <w:lang w:val="ru-RU"/>
        </w:rPr>
        <w:t>07.06.2008</w:t>
      </w:r>
      <w:r w:rsidRPr="004E7E3E">
        <w:rPr>
          <w:rFonts w:ascii="Times New Roman" w:hAnsi="Times New Roman" w:cs="Times New Roman"/>
          <w:color w:val="000000" w:themeColor="text1"/>
          <w:sz w:val="24"/>
          <w:szCs w:val="24"/>
          <w:lang w:val="ru-RU"/>
        </w:rPr>
        <w:t xml:space="preserve">.– Режим доступа: </w:t>
      </w:r>
      <w:r w:rsidRPr="004E7E3E">
        <w:rPr>
          <w:rFonts w:ascii="Times New Roman" w:hAnsi="Times New Roman" w:cs="Times New Roman"/>
          <w:color w:val="000000" w:themeColor="text1"/>
          <w:sz w:val="24"/>
          <w:szCs w:val="24"/>
        </w:rPr>
        <w:t>URL</w:t>
      </w:r>
      <w:r w:rsidRPr="004E7E3E">
        <w:rPr>
          <w:rFonts w:ascii="Times New Roman" w:hAnsi="Times New Roman" w:cs="Times New Roman"/>
          <w:color w:val="000000" w:themeColor="text1"/>
          <w:sz w:val="24"/>
          <w:szCs w:val="24"/>
          <w:lang w:val="ru-RU"/>
        </w:rPr>
        <w:t>:</w:t>
      </w:r>
      <w:r w:rsidR="0037793B">
        <w:rPr>
          <w:rFonts w:ascii="Times New Roman" w:hAnsi="Times New Roman" w:cs="Times New Roman"/>
          <w:color w:val="000000" w:themeColor="text1"/>
          <w:sz w:val="24"/>
          <w:szCs w:val="24"/>
        </w:rPr>
        <w:t> </w:t>
      </w:r>
      <w:hyperlink r:id="rId30" w:tooltip="http://www.kremlin.ru/events/president/transcripts/speeches/345" w:history="1">
        <w:r w:rsidRPr="004E7E3E">
          <w:rPr>
            <w:rStyle w:val="a9"/>
            <w:rFonts w:ascii="Times New Roman" w:hAnsi="Times New Roman" w:cs="Times New Roman"/>
            <w:color w:val="000000" w:themeColor="text1"/>
            <w:sz w:val="24"/>
            <w:szCs w:val="24"/>
            <w:u w:val="none"/>
          </w:rPr>
          <w:t>http</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www</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kremlin</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ru</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events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president</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transcripts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speeches</w:t>
        </w:r>
        <w:r w:rsidRPr="004E7E3E">
          <w:rPr>
            <w:rStyle w:val="a9"/>
            <w:rFonts w:ascii="Times New Roman" w:hAnsi="Times New Roman" w:cs="Times New Roman"/>
            <w:color w:val="000000" w:themeColor="text1"/>
            <w:sz w:val="24"/>
            <w:szCs w:val="24"/>
            <w:u w:val="none"/>
            <w:lang w:val="ru-RU"/>
          </w:rPr>
          <w:t>/345</w:t>
        </w:r>
      </w:hyperlink>
      <w:r w:rsidRPr="004E7E3E">
        <w:rPr>
          <w:rFonts w:ascii="Times New Roman" w:hAnsi="Times New Roman" w:cs="Times New Roman"/>
          <w:color w:val="000000" w:themeColor="text1"/>
          <w:sz w:val="24"/>
          <w:szCs w:val="24"/>
          <w:lang w:val="ru-RU"/>
        </w:rPr>
        <w:t xml:space="preserve">  (дата обращения: 27.02.2023).</w:t>
      </w:r>
      <w:bookmarkEnd w:id="46"/>
    </w:p>
    <w:p w14:paraId="7B11CDDE" w14:textId="12492530"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 xml:space="preserve">Распоряжение Правительства Москвы от </w:t>
      </w:r>
      <w:r w:rsidRPr="004E7E3E">
        <w:rPr>
          <w:rFonts w:ascii="Times New Roman" w:hAnsi="Times New Roman" w:cs="Times New Roman"/>
          <w:b/>
          <w:bCs/>
          <w:color w:val="000000" w:themeColor="text1"/>
          <w:sz w:val="24"/>
          <w:szCs w:val="24"/>
          <w:shd w:val="clear" w:color="auto" w:fill="FFFFFF"/>
          <w:lang w:val="ru-RU"/>
        </w:rPr>
        <w:t>07.08.2008</w:t>
      </w:r>
      <w:r w:rsidRPr="004E7E3E">
        <w:rPr>
          <w:rFonts w:ascii="Times New Roman" w:hAnsi="Times New Roman" w:cs="Times New Roman"/>
          <w:color w:val="000000" w:themeColor="text1"/>
          <w:sz w:val="24"/>
          <w:szCs w:val="24"/>
          <w:shd w:val="clear" w:color="auto" w:fill="FFFFFF"/>
          <w:lang w:val="ru-RU"/>
        </w:rPr>
        <w:t xml:space="preserve"> № 1801-РП «О первоочередных мерах по развитию Москвы как национального и международного центра финансовых услуг»</w:t>
      </w:r>
      <w:r w:rsidRPr="004E7E3E">
        <w:rPr>
          <w:rFonts w:ascii="Times New Roman" w:hAnsi="Times New Roman" w:cs="Times New Roman"/>
          <w:color w:val="000000" w:themeColor="text1"/>
          <w:sz w:val="24"/>
          <w:szCs w:val="24"/>
          <w:lang w:val="ru-RU" w:eastAsia="zh-CN"/>
        </w:rPr>
        <w:t xml:space="preserve"> [Электронный ресурс]. </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shd w:val="clear" w:color="auto" w:fill="FFFFFF"/>
          <w:lang w:val="ru-RU"/>
        </w:rPr>
        <w:t xml:space="preserve"> Режим доступа: https://www.mos.ru/authority/documents/doc/12587220 (дата обращения: 27.02.2023).</w:t>
      </w:r>
    </w:p>
    <w:p w14:paraId="2A864129" w14:textId="62A612C1" w:rsidR="00605F3C"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eastAsia="Times New Roman" w:hAnsi="Times New Roman" w:cs="Times New Roman"/>
          <w:color w:val="000000" w:themeColor="text1"/>
          <w:sz w:val="24"/>
          <w:szCs w:val="24"/>
          <w:lang w:val="ru-RU" w:eastAsia="ru-RU" w:bidi="ar-SA"/>
        </w:rPr>
        <w:t xml:space="preserve">Распоряжение Правительства Москвы от </w:t>
      </w:r>
      <w:r w:rsidRPr="004E7E3E">
        <w:rPr>
          <w:rFonts w:ascii="Times New Roman" w:eastAsia="Times New Roman" w:hAnsi="Times New Roman" w:cs="Times New Roman"/>
          <w:b/>
          <w:bCs/>
          <w:color w:val="000000" w:themeColor="text1"/>
          <w:sz w:val="24"/>
          <w:szCs w:val="24"/>
          <w:lang w:val="ru-RU" w:eastAsia="ru-RU" w:bidi="ar-SA"/>
        </w:rPr>
        <w:t>02.09.2008 г.</w:t>
      </w:r>
      <w:r w:rsidRPr="004E7E3E">
        <w:rPr>
          <w:rFonts w:ascii="Times New Roman" w:eastAsia="Times New Roman" w:hAnsi="Times New Roman" w:cs="Times New Roman"/>
          <w:color w:val="000000" w:themeColor="text1"/>
          <w:sz w:val="24"/>
          <w:szCs w:val="24"/>
          <w:lang w:val="ru-RU" w:eastAsia="ru-RU" w:bidi="ar-SA"/>
        </w:rPr>
        <w:t xml:space="preserve"> № 1997-РП «О</w:t>
      </w:r>
      <w:r w:rsidRPr="004E7E3E">
        <w:rPr>
          <w:rFonts w:ascii="Times New Roman" w:eastAsia="Times New Roman" w:hAnsi="Times New Roman" w:cs="Times New Roman"/>
          <w:color w:val="000000" w:themeColor="text1"/>
          <w:sz w:val="24"/>
          <w:szCs w:val="24"/>
          <w:lang w:eastAsia="ru-RU" w:bidi="ar-SA"/>
        </w:rPr>
        <w:t> </w:t>
      </w:r>
      <w:r w:rsidRPr="004E7E3E">
        <w:rPr>
          <w:rFonts w:ascii="Times New Roman" w:eastAsia="Times New Roman" w:hAnsi="Times New Roman" w:cs="Times New Roman"/>
          <w:color w:val="000000" w:themeColor="text1"/>
          <w:sz w:val="24"/>
          <w:szCs w:val="24"/>
          <w:lang w:val="ru-RU" w:eastAsia="ru-RU" w:bidi="ar-SA"/>
        </w:rPr>
        <w:t>Консультативном совете по вопросам развития Москвы как национального и международного центра финансовых услуг»</w:t>
      </w:r>
      <w:r w:rsidRPr="004E7E3E">
        <w:rPr>
          <w:rFonts w:ascii="Times New Roman" w:hAnsi="Times New Roman" w:cs="Times New Roman"/>
          <w:color w:val="000000" w:themeColor="text1"/>
          <w:sz w:val="24"/>
          <w:szCs w:val="24"/>
          <w:lang w:val="ru-RU" w:eastAsia="zh-CN"/>
        </w:rPr>
        <w:t xml:space="preserve"> [Электронный ресурс]. </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shd w:val="clear" w:color="auto" w:fill="FFFFFF"/>
          <w:lang w:val="ru-RU"/>
        </w:rPr>
        <w:t xml:space="preserve">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w:t>
      </w:r>
      <w:r w:rsidR="0037793B">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https://www.mos.ru/authority/documents/doc/12139220 (дата обращения: 27.02.2023).</w:t>
      </w:r>
    </w:p>
    <w:p w14:paraId="0DC32314" w14:textId="75B10A96" w:rsidR="00605F3C" w:rsidRPr="004E7E3E" w:rsidRDefault="00605F3C"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 xml:space="preserve">Концепция долгосрочного социально-экономического развития Российской Федерации на период до 2020 года (утверждено Распоряжением Правительства РФ от 17.11.2008 №1662-р) [Электронный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hyperlink r:id="rId31" w:history="1">
        <w:r w:rsidR="0022282D" w:rsidRPr="004E7E3E">
          <w:rPr>
            <w:rStyle w:val="a9"/>
            <w:rFonts w:ascii="Times New Roman" w:hAnsi="Times New Roman" w:cs="Times New Roman"/>
            <w:color w:val="000000" w:themeColor="text1"/>
            <w:sz w:val="24"/>
            <w:szCs w:val="24"/>
            <w:u w:val="none"/>
            <w:shd w:val="clear" w:color="auto" w:fill="FFFFFF"/>
          </w:rPr>
          <w:t>https</w:t>
        </w:r>
        <w:r w:rsidR="0022282D" w:rsidRPr="004E7E3E">
          <w:rPr>
            <w:rStyle w:val="a9"/>
            <w:rFonts w:ascii="Times New Roman" w:hAnsi="Times New Roman" w:cs="Times New Roman"/>
            <w:color w:val="000000" w:themeColor="text1"/>
            <w:sz w:val="24"/>
            <w:szCs w:val="24"/>
            <w:u w:val="none"/>
            <w:shd w:val="clear" w:color="auto" w:fill="FFFFFF"/>
            <w:lang w:val="ru-RU"/>
          </w:rPr>
          <w:t>://</w:t>
        </w:r>
        <w:r w:rsidR="0022282D" w:rsidRPr="004E7E3E">
          <w:rPr>
            <w:rStyle w:val="a9"/>
            <w:rFonts w:ascii="Times New Roman" w:hAnsi="Times New Roman" w:cs="Times New Roman"/>
            <w:color w:val="000000" w:themeColor="text1"/>
            <w:sz w:val="24"/>
            <w:szCs w:val="24"/>
            <w:u w:val="none"/>
            <w:shd w:val="clear" w:color="auto" w:fill="FFFFFF"/>
          </w:rPr>
          <w:t>ovmf</w:t>
        </w:r>
        <w:r w:rsidR="0022282D" w:rsidRPr="004E7E3E">
          <w:rPr>
            <w:rStyle w:val="a9"/>
            <w:rFonts w:ascii="Times New Roman" w:hAnsi="Times New Roman" w:cs="Times New Roman"/>
            <w:color w:val="000000" w:themeColor="text1"/>
            <w:sz w:val="24"/>
            <w:szCs w:val="24"/>
            <w:u w:val="none"/>
            <w:shd w:val="clear" w:color="auto" w:fill="FFFFFF"/>
            <w:lang w:val="ru-RU"/>
          </w:rPr>
          <w:t>2.</w:t>
        </w:r>
        <w:r w:rsidR="0022282D" w:rsidRPr="004E7E3E">
          <w:rPr>
            <w:rStyle w:val="a9"/>
            <w:rFonts w:ascii="Times New Roman" w:hAnsi="Times New Roman" w:cs="Times New Roman"/>
            <w:color w:val="000000" w:themeColor="text1"/>
            <w:sz w:val="24"/>
            <w:szCs w:val="24"/>
            <w:u w:val="none"/>
            <w:shd w:val="clear" w:color="auto" w:fill="FFFFFF"/>
          </w:rPr>
          <w:t>consultant</w:t>
        </w:r>
        <w:r w:rsidR="0022282D" w:rsidRPr="004E7E3E">
          <w:rPr>
            <w:rStyle w:val="a9"/>
            <w:rFonts w:ascii="Times New Roman" w:hAnsi="Times New Roman" w:cs="Times New Roman"/>
            <w:color w:val="000000" w:themeColor="text1"/>
            <w:sz w:val="24"/>
            <w:szCs w:val="24"/>
            <w:u w:val="none"/>
            <w:shd w:val="clear" w:color="auto" w:fill="FFFFFF"/>
            <w:lang w:val="ru-RU"/>
          </w:rPr>
          <w:t>.</w:t>
        </w:r>
        <w:r w:rsidR="0022282D" w:rsidRPr="004E7E3E">
          <w:rPr>
            <w:rStyle w:val="a9"/>
            <w:rFonts w:ascii="Times New Roman" w:hAnsi="Times New Roman" w:cs="Times New Roman"/>
            <w:color w:val="000000" w:themeColor="text1"/>
            <w:sz w:val="24"/>
            <w:szCs w:val="24"/>
            <w:u w:val="none"/>
            <w:shd w:val="clear" w:color="auto" w:fill="FFFFFF"/>
          </w:rPr>
          <w:t>ru</w:t>
        </w:r>
      </w:hyperlink>
      <w:r w:rsidR="0022282D" w:rsidRPr="004E7E3E">
        <w:rPr>
          <w:rFonts w:ascii="Times New Roman" w:hAnsi="Times New Roman" w:cs="Times New Roman"/>
          <w:color w:val="000000" w:themeColor="text1"/>
          <w:sz w:val="24"/>
          <w:szCs w:val="24"/>
          <w:shd w:val="clear" w:color="auto" w:fill="FFFFFF"/>
          <w:lang w:val="ru-RU"/>
        </w:rPr>
        <w:t xml:space="preserve"> (дата обращения: 04.04.2023).</w:t>
      </w:r>
    </w:p>
    <w:p w14:paraId="0E4529F4" w14:textId="23F00851"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 xml:space="preserve">Стратегия развития финансового рынка Российской Федерации на период до 2020 года </w:t>
      </w:r>
      <w:r w:rsidR="003C4C21" w:rsidRPr="004E7E3E">
        <w:rPr>
          <w:rFonts w:ascii="Times New Roman" w:hAnsi="Times New Roman" w:cs="Times New Roman"/>
          <w:color w:val="000000" w:themeColor="text1"/>
          <w:sz w:val="24"/>
          <w:szCs w:val="24"/>
          <w:shd w:val="clear" w:color="auto" w:fill="FFFFFF"/>
          <w:lang w:val="ru-RU"/>
        </w:rPr>
        <w:t>(утверждена р</w:t>
      </w:r>
      <w:r w:rsidRPr="004E7E3E">
        <w:rPr>
          <w:rFonts w:ascii="Times New Roman" w:hAnsi="Times New Roman" w:cs="Times New Roman"/>
          <w:color w:val="000000" w:themeColor="text1"/>
          <w:sz w:val="24"/>
          <w:szCs w:val="24"/>
          <w:shd w:val="clear" w:color="auto" w:fill="FFFFFF"/>
          <w:lang w:val="ru-RU"/>
        </w:rPr>
        <w:t xml:space="preserve">аспоряжением Правительства Российской Федерации (утверждено Распоряжением Правительства РФ от </w:t>
      </w:r>
      <w:r w:rsidRPr="004E7E3E">
        <w:rPr>
          <w:rFonts w:ascii="Times New Roman" w:hAnsi="Times New Roman" w:cs="Times New Roman"/>
          <w:b/>
          <w:bCs/>
          <w:color w:val="000000" w:themeColor="text1"/>
          <w:sz w:val="24"/>
          <w:szCs w:val="24"/>
          <w:shd w:val="clear" w:color="auto" w:fill="FFFFFF"/>
          <w:lang w:val="ru-RU"/>
        </w:rPr>
        <w:t>29.12.2008</w:t>
      </w:r>
      <w:r w:rsidR="003C4C21" w:rsidRPr="004E7E3E">
        <w:rPr>
          <w:rFonts w:ascii="Times New Roman" w:hAnsi="Times New Roman" w:cs="Times New Roman"/>
          <w:color w:val="000000" w:themeColor="text1"/>
          <w:sz w:val="24"/>
          <w:szCs w:val="24"/>
          <w:shd w:val="clear" w:color="auto" w:fill="FFFFFF"/>
          <w:lang w:val="ru-RU"/>
        </w:rPr>
        <w:t xml:space="preserve"> № 2043-р., р</w:t>
      </w:r>
      <w:r w:rsidRPr="004E7E3E">
        <w:rPr>
          <w:rFonts w:ascii="Times New Roman" w:hAnsi="Times New Roman" w:cs="Times New Roman"/>
          <w:color w:val="000000" w:themeColor="text1"/>
          <w:sz w:val="24"/>
          <w:szCs w:val="24"/>
          <w:shd w:val="clear" w:color="auto" w:fill="FFFFFF"/>
          <w:lang w:val="ru-RU"/>
        </w:rPr>
        <w:t xml:space="preserve">аспоряжением Правительства РФ от 17.09.2018 № 1963-Р утратило силу) </w:t>
      </w:r>
      <w:r w:rsidRPr="004E7E3E">
        <w:rPr>
          <w:rFonts w:ascii="Times New Roman" w:hAnsi="Times New Roman" w:cs="Times New Roman"/>
          <w:color w:val="000000" w:themeColor="text1"/>
          <w:sz w:val="24"/>
          <w:szCs w:val="24"/>
          <w:lang w:val="ru-RU" w:eastAsia="zh-CN"/>
        </w:rPr>
        <w:t>[Электронный ресурс].</w:t>
      </w:r>
      <w:r w:rsidRPr="004E7E3E">
        <w:rPr>
          <w:rFonts w:ascii="Times New Roman" w:hAnsi="Times New Roman" w:cs="Times New Roman"/>
          <w:color w:val="000000" w:themeColor="text1"/>
          <w:sz w:val="24"/>
          <w:szCs w:val="24"/>
          <w:shd w:val="clear" w:color="auto" w:fill="FFFFFF"/>
          <w:lang w:val="ru-RU"/>
        </w:rPr>
        <w:t xml:space="preserve"> – </w:t>
      </w:r>
      <w:r w:rsidR="00605F3C" w:rsidRPr="004E7E3E">
        <w:rPr>
          <w:rFonts w:ascii="Times New Roman" w:hAnsi="Times New Roman" w:cs="Times New Roman"/>
          <w:color w:val="000000" w:themeColor="text1"/>
          <w:sz w:val="24"/>
          <w:szCs w:val="24"/>
          <w:shd w:val="clear" w:color="auto" w:fill="FFFFFF"/>
          <w:lang w:val="ru-RU"/>
        </w:rPr>
        <w:t xml:space="preserve">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hyperlink r:id="rId32" w:tooltip="https://internet.garant.ru" w:history="1">
        <w:r w:rsidRPr="004E7E3E">
          <w:rPr>
            <w:rStyle w:val="a9"/>
            <w:rFonts w:ascii="Times New Roman" w:hAnsi="Times New Roman" w:cs="Times New Roman"/>
            <w:color w:val="000000" w:themeColor="text1"/>
            <w:sz w:val="24"/>
            <w:szCs w:val="24"/>
            <w:u w:val="none"/>
            <w:shd w:val="clear" w:color="auto" w:fill="FFFFFF"/>
          </w:rPr>
          <w:t>https</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internet</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garant</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ru</w:t>
        </w:r>
      </w:hyperlink>
      <w:r w:rsidRPr="004E7E3E">
        <w:rPr>
          <w:rFonts w:ascii="Times New Roman" w:hAnsi="Times New Roman" w:cs="Times New Roman"/>
          <w:color w:val="000000" w:themeColor="text1"/>
          <w:sz w:val="24"/>
          <w:szCs w:val="24"/>
          <w:shd w:val="clear" w:color="auto" w:fill="FFFFFF"/>
          <w:lang w:val="ru-RU"/>
        </w:rPr>
        <w:t xml:space="preserve"> (дата обращения: 27.02.2023).</w:t>
      </w:r>
    </w:p>
    <w:p w14:paraId="0E67279F" w14:textId="175C187A"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bookmarkStart w:id="47" w:name="_Ref131432104"/>
      <w:r w:rsidRPr="004E7E3E">
        <w:rPr>
          <w:rFonts w:ascii="Times New Roman" w:hAnsi="Times New Roman" w:cs="Times New Roman"/>
          <w:color w:val="000000" w:themeColor="text1"/>
          <w:sz w:val="24"/>
          <w:szCs w:val="24"/>
          <w:lang w:val="ru-RU"/>
        </w:rPr>
        <w:t xml:space="preserve">Концепция создания международного финансового центра в России (одобрена Правительством РФ </w:t>
      </w:r>
      <w:r w:rsidRPr="004E7E3E">
        <w:rPr>
          <w:rFonts w:ascii="Times New Roman" w:hAnsi="Times New Roman" w:cs="Times New Roman"/>
          <w:b/>
          <w:bCs/>
          <w:color w:val="000000" w:themeColor="text1"/>
          <w:sz w:val="24"/>
          <w:szCs w:val="24"/>
          <w:lang w:val="ru-RU"/>
        </w:rPr>
        <w:t>05.02.2009)</w:t>
      </w:r>
      <w:r w:rsidRPr="004E7E3E">
        <w:rPr>
          <w:rFonts w:ascii="Times New Roman" w:hAnsi="Times New Roman" w:cs="Times New Roman"/>
          <w:color w:val="000000" w:themeColor="text1"/>
          <w:sz w:val="24"/>
          <w:szCs w:val="24"/>
          <w:lang w:val="ru-RU" w:eastAsia="zh-CN"/>
        </w:rPr>
        <w:t xml:space="preserve"> [Электронный ресурс]. </w:t>
      </w:r>
      <w:r w:rsidRPr="004E7E3E">
        <w:rPr>
          <w:rFonts w:ascii="Times New Roman" w:hAnsi="Times New Roman" w:cs="Times New Roman"/>
          <w:color w:val="000000" w:themeColor="text1"/>
          <w:sz w:val="24"/>
          <w:szCs w:val="24"/>
          <w:lang w:val="ru-RU"/>
        </w:rPr>
        <w:t xml:space="preserve">– Режим доступа: </w:t>
      </w:r>
      <w:r w:rsidRPr="004E7E3E">
        <w:rPr>
          <w:rFonts w:ascii="Times New Roman" w:hAnsi="Times New Roman" w:cs="Times New Roman"/>
          <w:color w:val="000000" w:themeColor="text1"/>
          <w:sz w:val="24"/>
          <w:szCs w:val="24"/>
        </w:rPr>
        <w:t>URL</w:t>
      </w:r>
      <w:r w:rsidRPr="004E7E3E">
        <w:rPr>
          <w:rFonts w:ascii="Times New Roman" w:hAnsi="Times New Roman" w:cs="Times New Roman"/>
          <w:color w:val="000000" w:themeColor="text1"/>
          <w:sz w:val="24"/>
          <w:szCs w:val="24"/>
          <w:lang w:val="ru-RU"/>
        </w:rPr>
        <w:t xml:space="preserve">: </w:t>
      </w:r>
      <w:hyperlink r:id="rId33" w:tooltip="https://mfc-moscow.com/assets/files/documents/mfc.doc" w:history="1">
        <w:r w:rsidRPr="004E7E3E">
          <w:rPr>
            <w:rStyle w:val="a9"/>
            <w:rFonts w:ascii="Times New Roman" w:hAnsi="Times New Roman" w:cs="Times New Roman"/>
            <w:color w:val="000000" w:themeColor="text1"/>
            <w:sz w:val="24"/>
            <w:szCs w:val="24"/>
            <w:u w:val="none"/>
          </w:rPr>
          <w:t>https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mfc</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moscow</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com</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assets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files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documents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mfc</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doc</w:t>
        </w:r>
      </w:hyperlink>
      <w:r w:rsidRPr="004E7E3E">
        <w:rPr>
          <w:rFonts w:ascii="Times New Roman" w:hAnsi="Times New Roman" w:cs="Times New Roman"/>
          <w:color w:val="000000" w:themeColor="text1"/>
          <w:sz w:val="24"/>
          <w:szCs w:val="24"/>
          <w:lang w:val="ru-RU"/>
        </w:rPr>
        <w:t xml:space="preserve"> (дата обращения: 27.02.2023).</w:t>
      </w:r>
      <w:bookmarkEnd w:id="47"/>
    </w:p>
    <w:p w14:paraId="2667B829" w14:textId="77777777"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eastAsia="Times New Roman" w:hAnsi="Times New Roman" w:cs="Times New Roman"/>
          <w:color w:val="000000" w:themeColor="text1"/>
          <w:sz w:val="24"/>
          <w:szCs w:val="24"/>
          <w:lang w:val="ru-RU" w:eastAsia="ru-RU" w:bidi="ar-SA"/>
        </w:rPr>
        <w:t xml:space="preserve">Постановление Правительства Москвы от </w:t>
      </w:r>
      <w:r w:rsidRPr="004E7E3E">
        <w:rPr>
          <w:rFonts w:ascii="Times New Roman" w:eastAsia="Times New Roman" w:hAnsi="Times New Roman" w:cs="Times New Roman"/>
          <w:b/>
          <w:bCs/>
          <w:color w:val="000000" w:themeColor="text1"/>
          <w:sz w:val="24"/>
          <w:szCs w:val="24"/>
          <w:lang w:val="ru-RU" w:eastAsia="ru-RU" w:bidi="ar-SA"/>
        </w:rPr>
        <w:t xml:space="preserve">19.05.2009 </w:t>
      </w:r>
      <w:r w:rsidRPr="004E7E3E">
        <w:rPr>
          <w:rFonts w:ascii="Times New Roman" w:eastAsia="Times New Roman" w:hAnsi="Times New Roman" w:cs="Times New Roman"/>
          <w:color w:val="000000" w:themeColor="text1"/>
          <w:sz w:val="24"/>
          <w:szCs w:val="24"/>
          <w:lang w:val="ru-RU" w:eastAsia="ru-RU" w:bidi="ar-SA"/>
        </w:rPr>
        <w:t>№ 445-ПП «О концепции развития города Москвы как национального и международного центра финансовых услуг» [Электронный ресурс]. // Режим доступа: https://www.mos.ru/authority/documents/doc/27369220 (дата обращения: 27.02.2023).</w:t>
      </w:r>
    </w:p>
    <w:p w14:paraId="7410B59D" w14:textId="5D04EA00"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bookmarkStart w:id="48" w:name="_Ref446785527"/>
      <w:bookmarkStart w:id="49" w:name="_Toc443913388"/>
      <w:bookmarkStart w:id="50" w:name="_Toc443913556"/>
      <w:r w:rsidRPr="004E7E3E">
        <w:rPr>
          <w:rFonts w:ascii="Times New Roman" w:hAnsi="Times New Roman" w:cs="Times New Roman"/>
          <w:color w:val="000000" w:themeColor="text1"/>
          <w:sz w:val="24"/>
          <w:szCs w:val="24"/>
          <w:shd w:val="clear" w:color="auto" w:fill="FFFFFF"/>
          <w:lang w:val="ru-RU"/>
        </w:rPr>
        <w:lastRenderedPageBreak/>
        <w:t xml:space="preserve">Распоряжение Правительства РФ от </w:t>
      </w:r>
      <w:r w:rsidRPr="004E7E3E">
        <w:rPr>
          <w:rFonts w:ascii="Times New Roman" w:hAnsi="Times New Roman" w:cs="Times New Roman"/>
          <w:b/>
          <w:bCs/>
          <w:color w:val="000000" w:themeColor="text1"/>
          <w:sz w:val="24"/>
          <w:szCs w:val="24"/>
          <w:shd w:val="clear" w:color="auto" w:fill="FFFFFF"/>
          <w:lang w:val="ru-RU"/>
        </w:rPr>
        <w:t xml:space="preserve">11.07.2009 </w:t>
      </w:r>
      <w:r w:rsidRPr="004E7E3E">
        <w:rPr>
          <w:rFonts w:ascii="Times New Roman" w:hAnsi="Times New Roman" w:cs="Times New Roman"/>
          <w:color w:val="000000" w:themeColor="text1"/>
          <w:sz w:val="24"/>
          <w:szCs w:val="24"/>
          <w:shd w:val="clear" w:color="auto" w:fill="FFFFFF"/>
          <w:lang w:val="ru-RU"/>
        </w:rPr>
        <w:t>№ 911-р «Об утверждении плана мероприятий по созданию международного финансового центра в РФ». (</w:t>
      </w:r>
      <w:r w:rsidRPr="004E7E3E">
        <w:rPr>
          <w:rFonts w:ascii="Times New Roman" w:hAnsi="Times New Roman" w:cs="Times New Roman"/>
          <w:color w:val="000000" w:themeColor="text1"/>
          <w:sz w:val="24"/>
          <w:szCs w:val="24"/>
          <w:lang w:val="ru-RU"/>
        </w:rPr>
        <w:t xml:space="preserve">Распоряжением </w:t>
      </w:r>
      <w:r w:rsidRPr="004E7E3E">
        <w:rPr>
          <w:rFonts w:ascii="Times New Roman" w:hAnsi="Times New Roman" w:cs="Times New Roman"/>
          <w:color w:val="000000" w:themeColor="text1"/>
          <w:sz w:val="24"/>
          <w:szCs w:val="24"/>
          <w:shd w:val="clear" w:color="auto" w:fill="FFFFFF"/>
          <w:lang w:val="ru-RU"/>
        </w:rPr>
        <w:t>Правительства РФ от 19 июня 2013</w:t>
      </w:r>
      <w:r w:rsidRPr="004E7E3E">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 xml:space="preserve">г. </w:t>
      </w:r>
      <w:r w:rsidRPr="004E7E3E">
        <w:rPr>
          <w:rFonts w:ascii="Times New Roman" w:hAnsi="Times New Roman" w:cs="Times New Roman"/>
          <w:color w:val="000000" w:themeColor="text1"/>
          <w:sz w:val="24"/>
          <w:szCs w:val="24"/>
          <w:shd w:val="clear" w:color="auto" w:fill="FFFFFF"/>
        </w:rPr>
        <w:t>N </w:t>
      </w:r>
      <w:r w:rsidRPr="004E7E3E">
        <w:rPr>
          <w:rFonts w:ascii="Times New Roman" w:hAnsi="Times New Roman" w:cs="Times New Roman"/>
          <w:color w:val="000000" w:themeColor="text1"/>
          <w:sz w:val="24"/>
          <w:szCs w:val="24"/>
          <w:shd w:val="clear" w:color="auto" w:fill="FFFFFF"/>
          <w:lang w:val="ru-RU"/>
        </w:rPr>
        <w:t xml:space="preserve">1012-р признано утратившим силу) </w:t>
      </w:r>
      <w:r w:rsidRPr="004E7E3E">
        <w:rPr>
          <w:rFonts w:ascii="Times New Roman" w:hAnsi="Times New Roman" w:cs="Times New Roman"/>
          <w:color w:val="000000" w:themeColor="text1"/>
          <w:sz w:val="24"/>
          <w:szCs w:val="24"/>
          <w:lang w:val="ru-RU" w:eastAsia="zh-CN"/>
        </w:rPr>
        <w:t>[Электронный ресурс].</w:t>
      </w:r>
      <w:r w:rsidRPr="004E7E3E">
        <w:rPr>
          <w:rFonts w:ascii="Times New Roman" w:hAnsi="Times New Roman" w:cs="Times New Roman"/>
          <w:color w:val="000000" w:themeColor="text1"/>
          <w:sz w:val="24"/>
          <w:szCs w:val="24"/>
          <w:shd w:val="clear" w:color="auto" w:fill="FFFFFF"/>
          <w:lang w:val="ru-RU"/>
        </w:rPr>
        <w:t xml:space="preserve"> –</w:t>
      </w:r>
      <w:r w:rsidRPr="004E7E3E">
        <w:rPr>
          <w:rFonts w:ascii="Times New Roman" w:eastAsia="Times New Roman" w:hAnsi="Times New Roman" w:cs="Times New Roman"/>
          <w:color w:val="000000" w:themeColor="text1"/>
          <w:sz w:val="24"/>
          <w:szCs w:val="24"/>
          <w:lang w:val="ru-RU" w:eastAsia="ru-RU" w:bidi="ar-SA"/>
        </w:rPr>
        <w:t xml:space="preserve"> Режим доступа:</w:t>
      </w:r>
      <w:r w:rsidRPr="004E7E3E">
        <w:rPr>
          <w:rFonts w:ascii="Times New Roman" w:hAnsi="Times New Roman" w:cs="Times New Roman"/>
          <w:color w:val="000000" w:themeColor="text1"/>
          <w:sz w:val="24"/>
          <w:szCs w:val="24"/>
          <w:shd w:val="clear" w:color="auto" w:fill="FFFFFF"/>
          <w:lang w:val="ru-RU"/>
        </w:rPr>
        <w:t xml:space="preserve">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hyperlink r:id="rId34" w:tooltip="https://internet.garant.ru" w:history="1">
        <w:r w:rsidRPr="004E7E3E">
          <w:rPr>
            <w:rStyle w:val="a9"/>
            <w:rFonts w:ascii="Times New Roman" w:hAnsi="Times New Roman" w:cs="Times New Roman"/>
            <w:color w:val="000000" w:themeColor="text1"/>
            <w:sz w:val="24"/>
            <w:szCs w:val="24"/>
            <w:u w:val="none"/>
            <w:shd w:val="clear" w:color="auto" w:fill="FFFFFF"/>
          </w:rPr>
          <w:t>https</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internet</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garant</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ru</w:t>
        </w:r>
      </w:hyperlink>
      <w:r w:rsidRPr="004E7E3E">
        <w:rPr>
          <w:rFonts w:ascii="Times New Roman" w:hAnsi="Times New Roman" w:cs="Times New Roman"/>
          <w:color w:val="000000" w:themeColor="text1"/>
          <w:sz w:val="24"/>
          <w:szCs w:val="24"/>
          <w:shd w:val="clear" w:color="auto" w:fill="FFFFFF"/>
          <w:lang w:val="ru-RU"/>
        </w:rPr>
        <w:t xml:space="preserve"> (дата обращения: 27.02.2023).</w:t>
      </w:r>
    </w:p>
    <w:p w14:paraId="40143522" w14:textId="2091E8E1"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22272F"/>
          <w:sz w:val="24"/>
          <w:szCs w:val="24"/>
          <w:shd w:val="clear" w:color="auto" w:fill="FFFFFF"/>
          <w:lang w:val="ru-RU"/>
        </w:rPr>
        <w:t xml:space="preserve">Приказ Министерства экономического развития РФ от </w:t>
      </w:r>
      <w:r w:rsidRPr="004E7E3E">
        <w:rPr>
          <w:rFonts w:ascii="Times New Roman" w:hAnsi="Times New Roman" w:cs="Times New Roman"/>
          <w:b/>
          <w:bCs/>
          <w:color w:val="22272F"/>
          <w:sz w:val="24"/>
          <w:szCs w:val="24"/>
          <w:shd w:val="clear" w:color="auto" w:fill="FFFFFF"/>
          <w:lang w:val="ru-RU"/>
        </w:rPr>
        <w:t>14.09.2009</w:t>
      </w:r>
      <w:r w:rsidRPr="004E7E3E">
        <w:rPr>
          <w:rFonts w:ascii="Times New Roman" w:hAnsi="Times New Roman" w:cs="Times New Roman"/>
          <w:color w:val="22272F"/>
          <w:sz w:val="24"/>
          <w:szCs w:val="24"/>
          <w:shd w:val="clear" w:color="auto" w:fill="FFFFFF"/>
          <w:lang w:val="ru-RU"/>
        </w:rPr>
        <w:t xml:space="preserve"> №</w:t>
      </w:r>
      <w:r w:rsidRPr="004E7E3E">
        <w:rPr>
          <w:rFonts w:ascii="Times New Roman" w:hAnsi="Times New Roman" w:cs="Times New Roman"/>
          <w:color w:val="22272F"/>
          <w:sz w:val="24"/>
          <w:szCs w:val="24"/>
          <w:shd w:val="clear" w:color="auto" w:fill="FFFFFF"/>
        </w:rPr>
        <w:t> </w:t>
      </w:r>
      <w:r w:rsidRPr="004E7E3E">
        <w:rPr>
          <w:rFonts w:ascii="Times New Roman" w:hAnsi="Times New Roman" w:cs="Times New Roman"/>
          <w:color w:val="22272F"/>
          <w:sz w:val="24"/>
          <w:szCs w:val="24"/>
          <w:shd w:val="clear" w:color="auto" w:fill="FFFFFF"/>
          <w:lang w:val="ru-RU"/>
        </w:rPr>
        <w:t>361 "О </w:t>
      </w:r>
      <w:r w:rsidRPr="004E7E3E">
        <w:rPr>
          <w:rFonts w:ascii="Times New Roman" w:hAnsi="Times New Roman" w:cs="Times New Roman"/>
          <w:color w:val="000000" w:themeColor="text1"/>
          <w:sz w:val="24"/>
          <w:szCs w:val="24"/>
          <w:shd w:val="clear" w:color="auto" w:fill="FFFFFF"/>
          <w:lang w:val="ru-RU"/>
        </w:rPr>
        <w:t xml:space="preserve">реализации Плана мероприятий по созданию международного финансового центра в Российской Федерации </w:t>
      </w:r>
      <w:r w:rsidRPr="004E7E3E">
        <w:rPr>
          <w:rFonts w:ascii="Times New Roman" w:hAnsi="Times New Roman" w:cs="Times New Roman"/>
          <w:color w:val="000000" w:themeColor="text1"/>
          <w:sz w:val="24"/>
          <w:szCs w:val="24"/>
          <w:lang w:val="ru-RU" w:eastAsia="zh-CN"/>
        </w:rPr>
        <w:t xml:space="preserve">[Электронный ресурс]. </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shd w:val="clear" w:color="auto" w:fill="FFFFFF"/>
          <w:lang w:val="ru-RU"/>
        </w:rPr>
        <w:t xml:space="preserve">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hyperlink r:id="rId35" w:tooltip="https://base.garant.ru/6739521" w:history="1">
        <w:r w:rsidRPr="004E7E3E">
          <w:rPr>
            <w:rStyle w:val="a9"/>
            <w:rFonts w:ascii="Times New Roman" w:hAnsi="Times New Roman" w:cs="Times New Roman"/>
            <w:color w:val="000000" w:themeColor="text1"/>
            <w:sz w:val="24"/>
            <w:szCs w:val="24"/>
            <w:u w:val="none"/>
            <w:shd w:val="clear" w:color="auto" w:fill="FFFFFF"/>
            <w:lang w:val="ru-RU"/>
          </w:rPr>
          <w:t>https://base.garant.ru/6739521</w:t>
        </w:r>
      </w:hyperlink>
      <w:r w:rsidRPr="004E7E3E">
        <w:rPr>
          <w:rFonts w:ascii="Times New Roman" w:hAnsi="Times New Roman" w:cs="Times New Roman"/>
          <w:color w:val="000000" w:themeColor="text1"/>
          <w:sz w:val="24"/>
          <w:szCs w:val="24"/>
          <w:shd w:val="clear" w:color="auto" w:fill="FFFFFF"/>
          <w:lang w:val="ru-RU"/>
        </w:rPr>
        <w:t xml:space="preserve"> (дата обращения: 27.02.2023).</w:t>
      </w:r>
    </w:p>
    <w:p w14:paraId="62471ECF" w14:textId="23A15EE9"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Концепция долгосрочного социально-экономического развития Российской Федерации на период до 2020 года (утв.</w:t>
      </w:r>
      <w:r w:rsidRPr="004E7E3E">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lang w:val="ru-RU"/>
        </w:rPr>
        <w:t xml:space="preserve"> Распоряжение Правительства РФ от </w:t>
      </w:r>
      <w:r w:rsidRPr="004E7E3E">
        <w:rPr>
          <w:rFonts w:ascii="Times New Roman" w:hAnsi="Times New Roman" w:cs="Times New Roman"/>
          <w:b/>
          <w:bCs/>
          <w:color w:val="000000" w:themeColor="text1"/>
          <w:sz w:val="24"/>
          <w:szCs w:val="24"/>
          <w:lang w:val="ru-RU"/>
        </w:rPr>
        <w:t xml:space="preserve">17.10.2009 </w:t>
      </w:r>
      <w:r w:rsidRPr="004E7E3E">
        <w:rPr>
          <w:rFonts w:ascii="Times New Roman" w:hAnsi="Times New Roman" w:cs="Times New Roman"/>
          <w:color w:val="000000" w:themeColor="text1"/>
          <w:sz w:val="24"/>
          <w:szCs w:val="24"/>
          <w:lang w:val="ru-RU"/>
        </w:rPr>
        <w:t>№1662-р).</w:t>
      </w:r>
      <w:r w:rsidRPr="004E7E3E">
        <w:rPr>
          <w:rFonts w:ascii="Times New Roman" w:hAnsi="Times New Roman" w:cs="Times New Roman"/>
          <w:color w:val="000000" w:themeColor="text1"/>
          <w:sz w:val="24"/>
          <w:szCs w:val="24"/>
          <w:lang w:val="ru-RU" w:eastAsia="zh-CN"/>
        </w:rPr>
        <w:t xml:space="preserve"> [Электронный ресурс]. </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shd w:val="clear" w:color="auto" w:fill="FFFFFF"/>
          <w:lang w:val="ru-RU"/>
        </w:rPr>
        <w:t xml:space="preserve">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r w:rsidRPr="004E7E3E">
        <w:rPr>
          <w:rFonts w:ascii="Times New Roman" w:hAnsi="Times New Roman" w:cs="Times New Roman"/>
          <w:color w:val="000000" w:themeColor="text1"/>
          <w:sz w:val="24"/>
          <w:szCs w:val="24"/>
          <w:shd w:val="clear" w:color="auto" w:fill="FFFFFF"/>
        </w:rPr>
        <w:t>https</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internet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garant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ru</w:t>
      </w:r>
      <w:r w:rsidRPr="004E7E3E">
        <w:rPr>
          <w:rFonts w:ascii="Times New Roman" w:hAnsi="Times New Roman" w:cs="Times New Roman"/>
          <w:color w:val="000000" w:themeColor="text1"/>
          <w:sz w:val="24"/>
          <w:szCs w:val="24"/>
          <w:shd w:val="clear" w:color="auto" w:fill="FFFFFF"/>
          <w:lang w:val="ru-RU"/>
        </w:rPr>
        <w:t xml:space="preserve"> (дата обращения: 27.02.2023).</w:t>
      </w:r>
      <w:bookmarkEnd w:id="48"/>
    </w:p>
    <w:p w14:paraId="5D75D3A6" w14:textId="6CBFDAAC"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eastAsia="Times New Roman" w:hAnsi="Times New Roman" w:cs="Times New Roman"/>
          <w:color w:val="000000" w:themeColor="text1"/>
          <w:sz w:val="24"/>
          <w:szCs w:val="24"/>
          <w:lang w:val="ru-RU" w:eastAsia="ru-RU" w:bidi="ar-SA"/>
        </w:rPr>
        <w:t>П</w:t>
      </w:r>
      <w:r w:rsidRPr="004E7E3E">
        <w:rPr>
          <w:rFonts w:ascii="Times New Roman" w:hAnsi="Times New Roman" w:cs="Times New Roman"/>
          <w:color w:val="000000" w:themeColor="text1"/>
          <w:sz w:val="24"/>
          <w:szCs w:val="24"/>
          <w:shd w:val="clear" w:color="auto" w:fill="FFFFFF"/>
          <w:lang w:val="ru-RU"/>
        </w:rPr>
        <w:t xml:space="preserve">остановление Правительства Москвы от </w:t>
      </w:r>
      <w:r w:rsidRPr="004E7E3E">
        <w:rPr>
          <w:rFonts w:ascii="Times New Roman" w:hAnsi="Times New Roman" w:cs="Times New Roman"/>
          <w:b/>
          <w:bCs/>
          <w:color w:val="000000" w:themeColor="text1"/>
          <w:sz w:val="24"/>
          <w:szCs w:val="24"/>
          <w:shd w:val="clear" w:color="auto" w:fill="FFFFFF"/>
          <w:lang w:val="ru-RU"/>
        </w:rPr>
        <w:t>19.10.2010 г</w:t>
      </w:r>
      <w:r w:rsidRPr="004E7E3E">
        <w:rPr>
          <w:rFonts w:ascii="Times New Roman" w:hAnsi="Times New Roman" w:cs="Times New Roman"/>
          <w:color w:val="000000" w:themeColor="text1"/>
          <w:sz w:val="24"/>
          <w:szCs w:val="24"/>
          <w:shd w:val="clear" w:color="auto" w:fill="FFFFFF"/>
          <w:lang w:val="ru-RU"/>
        </w:rPr>
        <w:t xml:space="preserve">. № 958-ПП «О Концепции развития внешнеэкономических связей города Москвы (внешнеторговое и инвестиционное сотрудничество)». </w:t>
      </w:r>
      <w:r w:rsidRPr="004E7E3E">
        <w:rPr>
          <w:rFonts w:ascii="Times New Roman" w:eastAsia="Times New Roman" w:hAnsi="Times New Roman" w:cs="Times New Roman"/>
          <w:color w:val="000000" w:themeColor="text1"/>
          <w:sz w:val="24"/>
          <w:szCs w:val="24"/>
          <w:lang w:val="ru-RU" w:eastAsia="ru-RU" w:bidi="ar-SA"/>
        </w:rPr>
        <w:t xml:space="preserve">[Электронный ресурс]. – Режим доступа: </w:t>
      </w:r>
      <w:r w:rsidRPr="004E7E3E">
        <w:rPr>
          <w:rFonts w:ascii="Times New Roman" w:eastAsia="Times New Roman" w:hAnsi="Times New Roman" w:cs="Times New Roman"/>
          <w:color w:val="000000" w:themeColor="text1"/>
          <w:sz w:val="24"/>
          <w:szCs w:val="24"/>
          <w:lang w:eastAsia="ru-RU" w:bidi="ar-SA"/>
        </w:rPr>
        <w:t>URL</w:t>
      </w:r>
      <w:r w:rsidRPr="004E7E3E">
        <w:rPr>
          <w:rFonts w:ascii="Times New Roman" w:eastAsia="Times New Roman" w:hAnsi="Times New Roman" w:cs="Times New Roman"/>
          <w:color w:val="000000" w:themeColor="text1"/>
          <w:sz w:val="24"/>
          <w:szCs w:val="24"/>
          <w:lang w:val="ru-RU" w:eastAsia="ru-RU" w:bidi="ar-SA"/>
        </w:rPr>
        <w:t>:</w:t>
      </w:r>
      <w:r w:rsidR="0037793B">
        <w:rPr>
          <w:rFonts w:ascii="Times New Roman" w:eastAsia="Times New Roman" w:hAnsi="Times New Roman" w:cs="Times New Roman"/>
          <w:color w:val="000000" w:themeColor="text1"/>
          <w:sz w:val="24"/>
          <w:szCs w:val="24"/>
          <w:lang w:eastAsia="ru-RU" w:bidi="ar-SA"/>
        </w:rPr>
        <w:t> </w:t>
      </w:r>
      <w:r w:rsidRPr="004E7E3E">
        <w:rPr>
          <w:rFonts w:ascii="Times New Roman" w:hAnsi="Times New Roman" w:cs="Times New Roman"/>
          <w:color w:val="000000" w:themeColor="text1"/>
          <w:sz w:val="24"/>
          <w:szCs w:val="24"/>
          <w:shd w:val="clear" w:color="auto" w:fill="FFFFFF"/>
          <w:lang w:val="ru-RU"/>
        </w:rPr>
        <w:t xml:space="preserve">https://www.mos.ru/authority/documents/doc/12644220 </w:t>
      </w:r>
      <w:r w:rsidRPr="004E7E3E">
        <w:rPr>
          <w:rFonts w:ascii="Times New Roman" w:eastAsia="Times New Roman" w:hAnsi="Times New Roman" w:cs="Times New Roman"/>
          <w:color w:val="000000" w:themeColor="text1"/>
          <w:sz w:val="24"/>
          <w:szCs w:val="24"/>
          <w:lang w:val="ru-RU" w:eastAsia="ru-RU" w:bidi="ar-SA"/>
        </w:rPr>
        <w:t>(дата обращения: 27.02.2023).</w:t>
      </w:r>
    </w:p>
    <w:p w14:paraId="0C456917" w14:textId="4A7BCD96"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eastAsia="Times New Roman" w:hAnsi="Times New Roman" w:cs="Times New Roman"/>
          <w:color w:val="000000" w:themeColor="text1"/>
          <w:sz w:val="24"/>
          <w:szCs w:val="24"/>
          <w:lang w:val="ru-RU" w:eastAsia="ru-RU" w:bidi="ar-SA"/>
        </w:rPr>
        <w:t xml:space="preserve">Распоряжение Администрации Президента от </w:t>
      </w:r>
      <w:r w:rsidRPr="004E7E3E">
        <w:rPr>
          <w:rFonts w:ascii="Times New Roman" w:eastAsia="Times New Roman" w:hAnsi="Times New Roman" w:cs="Times New Roman"/>
          <w:b/>
          <w:bCs/>
          <w:color w:val="000000" w:themeColor="text1"/>
          <w:sz w:val="24"/>
          <w:szCs w:val="24"/>
          <w:lang w:val="ru-RU" w:eastAsia="ru-RU" w:bidi="ar-SA"/>
        </w:rPr>
        <w:t>25.10.2010</w:t>
      </w:r>
      <w:r w:rsidRPr="004E7E3E">
        <w:rPr>
          <w:rFonts w:ascii="Times New Roman" w:eastAsia="Times New Roman" w:hAnsi="Times New Roman" w:cs="Times New Roman"/>
          <w:color w:val="000000" w:themeColor="text1"/>
          <w:sz w:val="24"/>
          <w:szCs w:val="24"/>
          <w:lang w:val="ru-RU" w:eastAsia="ru-RU" w:bidi="ar-SA"/>
        </w:rPr>
        <w:t xml:space="preserve"> №1592. [Электронный ресурс]. Режим доступа: </w:t>
      </w:r>
      <w:r w:rsidRPr="004E7E3E">
        <w:rPr>
          <w:rFonts w:ascii="Times New Roman" w:eastAsia="Times New Roman" w:hAnsi="Times New Roman" w:cs="Times New Roman"/>
          <w:color w:val="000000" w:themeColor="text1"/>
          <w:sz w:val="24"/>
          <w:szCs w:val="24"/>
          <w:lang w:eastAsia="ru-RU" w:bidi="ar-SA"/>
        </w:rPr>
        <w:t>URL</w:t>
      </w:r>
      <w:r w:rsidRPr="004E7E3E">
        <w:rPr>
          <w:rFonts w:ascii="Times New Roman" w:eastAsia="Times New Roman" w:hAnsi="Times New Roman" w:cs="Times New Roman"/>
          <w:color w:val="000000" w:themeColor="text1"/>
          <w:sz w:val="24"/>
          <w:szCs w:val="24"/>
          <w:lang w:val="ru-RU" w:eastAsia="ru-RU" w:bidi="ar-SA"/>
        </w:rPr>
        <w:t xml:space="preserve">: </w:t>
      </w:r>
      <w:hyperlink r:id="rId36" w:tooltip="https://mfc-moscow.com/assets/files/documents/1592.pdf" w:history="1">
        <w:r w:rsidRPr="004E7E3E">
          <w:rPr>
            <w:rStyle w:val="a9"/>
            <w:rFonts w:ascii="Times New Roman" w:eastAsia="Times New Roman" w:hAnsi="Times New Roman" w:cs="Times New Roman"/>
            <w:color w:val="000000" w:themeColor="text1"/>
            <w:sz w:val="24"/>
            <w:szCs w:val="24"/>
            <w:u w:val="none"/>
            <w:lang w:val="ru-RU" w:eastAsia="ru-RU" w:bidi="ar-SA"/>
          </w:rPr>
          <w:t>https://mfc-moscow.com/assets/files/documents/1592.pdf</w:t>
        </w:r>
      </w:hyperlink>
      <w:r w:rsidRPr="004E7E3E">
        <w:rPr>
          <w:rFonts w:ascii="Times New Roman" w:eastAsia="Times New Roman" w:hAnsi="Times New Roman" w:cs="Times New Roman"/>
          <w:color w:val="000000" w:themeColor="text1"/>
          <w:sz w:val="24"/>
          <w:szCs w:val="24"/>
          <w:lang w:val="ru-RU" w:eastAsia="ru-RU" w:bidi="ar-SA"/>
        </w:rPr>
        <w:t xml:space="preserve"> (дата обращения: 27.02.2023).</w:t>
      </w:r>
    </w:p>
    <w:p w14:paraId="0DC8FC57" w14:textId="73152E07" w:rsidR="00AE4368"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eastAsia="Times New Roman" w:hAnsi="Times New Roman" w:cs="Times New Roman"/>
          <w:color w:val="000000" w:themeColor="text1"/>
          <w:sz w:val="24"/>
          <w:szCs w:val="24"/>
          <w:lang w:val="ru-RU" w:eastAsia="ru-RU" w:bidi="ar-SA"/>
        </w:rPr>
        <w:t xml:space="preserve">Распоряжение Президента РФ от </w:t>
      </w:r>
      <w:r w:rsidRPr="004E7E3E">
        <w:rPr>
          <w:rFonts w:ascii="Times New Roman" w:eastAsia="Times New Roman" w:hAnsi="Times New Roman" w:cs="Times New Roman"/>
          <w:b/>
          <w:bCs/>
          <w:color w:val="000000" w:themeColor="text1"/>
          <w:sz w:val="24"/>
          <w:szCs w:val="24"/>
          <w:lang w:val="ru-RU" w:eastAsia="ru-RU" w:bidi="ar-SA"/>
        </w:rPr>
        <w:t>29.12.2010</w:t>
      </w:r>
      <w:r w:rsidRPr="004E7E3E">
        <w:rPr>
          <w:rFonts w:ascii="Times New Roman" w:eastAsia="Times New Roman" w:hAnsi="Times New Roman" w:cs="Times New Roman"/>
          <w:color w:val="000000" w:themeColor="text1"/>
          <w:sz w:val="24"/>
          <w:szCs w:val="24"/>
          <w:lang w:val="ru-RU" w:eastAsia="ru-RU" w:bidi="ar-SA"/>
        </w:rPr>
        <w:t xml:space="preserve"> № 900-рп «О Международном консультативном совете по созданию и развитию международного финансового центра в Российской Федерации» </w:t>
      </w:r>
      <w:r w:rsidRPr="004E7E3E">
        <w:rPr>
          <w:rFonts w:ascii="Times New Roman" w:hAnsi="Times New Roman" w:cs="Times New Roman"/>
          <w:color w:val="000000" w:themeColor="text1"/>
          <w:sz w:val="24"/>
          <w:szCs w:val="24"/>
          <w:shd w:val="clear" w:color="auto" w:fill="FFFFFF"/>
          <w:lang w:val="ru-RU"/>
        </w:rPr>
        <w:t xml:space="preserve">[Электронный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r w:rsidRPr="004E7E3E">
        <w:rPr>
          <w:rFonts w:ascii="Times New Roman" w:hAnsi="Times New Roman" w:cs="Times New Roman"/>
          <w:color w:val="000000" w:themeColor="text1"/>
          <w:sz w:val="24"/>
          <w:szCs w:val="24"/>
          <w:shd w:val="clear" w:color="auto" w:fill="FFFFFF"/>
        </w:rPr>
        <w:t>https</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mfc</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moscow</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com</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assets</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files</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documents</w:t>
      </w:r>
      <w:r w:rsidRPr="004E7E3E">
        <w:rPr>
          <w:rFonts w:ascii="Times New Roman" w:hAnsi="Times New Roman" w:cs="Times New Roman"/>
          <w:color w:val="000000" w:themeColor="text1"/>
          <w:sz w:val="24"/>
          <w:szCs w:val="24"/>
          <w:shd w:val="clear" w:color="auto" w:fill="FFFFFF"/>
          <w:lang w:val="ru-RU"/>
        </w:rPr>
        <w:t>/900-</w:t>
      </w:r>
      <w:r w:rsidRPr="004E7E3E">
        <w:rPr>
          <w:rFonts w:ascii="Times New Roman" w:hAnsi="Times New Roman" w:cs="Times New Roman"/>
          <w:color w:val="000000" w:themeColor="text1"/>
          <w:sz w:val="24"/>
          <w:szCs w:val="24"/>
          <w:shd w:val="clear" w:color="auto" w:fill="FFFFFF"/>
        </w:rPr>
        <w:t>rp</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mks</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pdf</w:t>
      </w:r>
      <w:r w:rsidRPr="004E7E3E">
        <w:rPr>
          <w:rFonts w:ascii="Times New Roman" w:hAnsi="Times New Roman" w:cs="Times New Roman"/>
          <w:color w:val="000000" w:themeColor="text1"/>
          <w:sz w:val="24"/>
          <w:szCs w:val="24"/>
          <w:shd w:val="clear" w:color="auto" w:fill="FFFFFF"/>
          <w:lang w:val="ru-RU"/>
        </w:rPr>
        <w:t xml:space="preserve"> (дата обращения: 27.02.2023).</w:t>
      </w:r>
    </w:p>
    <w:p w14:paraId="42B8CE61" w14:textId="70994C23" w:rsidR="00991EDA" w:rsidRPr="004E7E3E" w:rsidRDefault="00991EDA"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eastAsia="Times New Roman" w:hAnsi="Times New Roman" w:cs="Times New Roman"/>
          <w:color w:val="000000" w:themeColor="text1"/>
          <w:sz w:val="24"/>
          <w:szCs w:val="24"/>
          <w:lang w:val="ru-RU" w:eastAsia="ru-RU" w:bidi="ar-SA"/>
        </w:rPr>
        <w:t>Подпрограмма «Развитие Москвы как международного финансового центра на</w:t>
      </w:r>
      <w:r w:rsidR="0037793B">
        <w:rPr>
          <w:rFonts w:ascii="Times New Roman" w:eastAsia="Times New Roman" w:hAnsi="Times New Roman" w:cs="Times New Roman"/>
          <w:color w:val="000000" w:themeColor="text1"/>
          <w:sz w:val="24"/>
          <w:szCs w:val="24"/>
          <w:lang w:eastAsia="ru-RU" w:bidi="ar-SA"/>
        </w:rPr>
        <w:t> </w:t>
      </w:r>
      <w:r w:rsidRPr="004E7E3E">
        <w:rPr>
          <w:rFonts w:ascii="Times New Roman" w:eastAsia="Times New Roman" w:hAnsi="Times New Roman" w:cs="Times New Roman"/>
          <w:color w:val="000000" w:themeColor="text1"/>
          <w:sz w:val="24"/>
          <w:szCs w:val="24"/>
          <w:lang w:val="ru-RU" w:eastAsia="ru-RU" w:bidi="ar-SA"/>
        </w:rPr>
        <w:t xml:space="preserve">2012–2018 гг.» (Утверждена Правительства Москвы от </w:t>
      </w:r>
      <w:r w:rsidRPr="004E7E3E">
        <w:rPr>
          <w:rFonts w:ascii="Times New Roman" w:eastAsia="Times New Roman" w:hAnsi="Times New Roman" w:cs="Times New Roman"/>
          <w:b/>
          <w:bCs/>
          <w:color w:val="000000" w:themeColor="text1"/>
          <w:sz w:val="24"/>
          <w:szCs w:val="24"/>
          <w:lang w:val="ru-RU" w:eastAsia="ru-RU" w:bidi="ar-SA"/>
        </w:rPr>
        <w:t>11.10.2011</w:t>
      </w:r>
      <w:r w:rsidRPr="004E7E3E">
        <w:rPr>
          <w:rFonts w:ascii="Times New Roman" w:eastAsia="Times New Roman" w:hAnsi="Times New Roman" w:cs="Times New Roman"/>
          <w:color w:val="000000" w:themeColor="text1"/>
          <w:sz w:val="24"/>
          <w:szCs w:val="24"/>
          <w:lang w:val="ru-RU" w:eastAsia="ru-RU" w:bidi="ar-SA"/>
        </w:rPr>
        <w:t xml:space="preserve">). [Электронный ресурс]. – Режим доступа: </w:t>
      </w:r>
      <w:r w:rsidRPr="004E7E3E">
        <w:rPr>
          <w:rFonts w:ascii="Times New Roman" w:eastAsia="Times New Roman" w:hAnsi="Times New Roman" w:cs="Times New Roman"/>
          <w:color w:val="000000" w:themeColor="text1"/>
          <w:sz w:val="24"/>
          <w:szCs w:val="24"/>
          <w:lang w:eastAsia="ru-RU" w:bidi="ar-SA"/>
        </w:rPr>
        <w:t>URL</w:t>
      </w:r>
      <w:r w:rsidRPr="004E7E3E">
        <w:rPr>
          <w:rFonts w:ascii="Times New Roman" w:eastAsia="Times New Roman" w:hAnsi="Times New Roman" w:cs="Times New Roman"/>
          <w:color w:val="000000" w:themeColor="text1"/>
          <w:sz w:val="24"/>
          <w:szCs w:val="24"/>
          <w:lang w:val="ru-RU" w:eastAsia="ru-RU" w:bidi="ar-SA"/>
        </w:rPr>
        <w:t>: https://www.mos.ru/dvms/function/napravlenie-deyatelnosti/razvitie-moskvy-kak-mfc (дата обращения: 27.02.2023).</w:t>
      </w:r>
    </w:p>
    <w:p w14:paraId="5247FA4A" w14:textId="0A8ADC3F" w:rsidR="00991EDA" w:rsidRPr="004E7E3E" w:rsidRDefault="00991EDA"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eastAsia="Times New Roman" w:hAnsi="Times New Roman" w:cs="Times New Roman"/>
          <w:color w:val="000000" w:themeColor="text1"/>
          <w:sz w:val="24"/>
          <w:szCs w:val="24"/>
          <w:lang w:val="ru-RU" w:eastAsia="ru-RU" w:bidi="ar-SA"/>
        </w:rPr>
        <w:t xml:space="preserve">Федеральный закон от 07.12.2011 №414-ФЗ «О центральном депозитарии» </w:t>
      </w:r>
      <w:r w:rsidRPr="004E7E3E">
        <w:rPr>
          <w:rFonts w:ascii="Times New Roman" w:hAnsi="Times New Roman" w:cs="Times New Roman"/>
          <w:color w:val="000000" w:themeColor="text1"/>
          <w:sz w:val="24"/>
          <w:szCs w:val="24"/>
          <w:shd w:val="clear" w:color="auto" w:fill="FFFFFF"/>
          <w:lang w:val="ru-RU"/>
        </w:rPr>
        <w:t xml:space="preserve">[Электронный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hyperlink r:id="rId37" w:history="1">
        <w:r w:rsidRPr="004E7E3E">
          <w:rPr>
            <w:rStyle w:val="a9"/>
            <w:rFonts w:ascii="Times New Roman" w:hAnsi="Times New Roman" w:cs="Times New Roman"/>
            <w:color w:val="000000" w:themeColor="text1"/>
            <w:sz w:val="24"/>
            <w:szCs w:val="24"/>
            <w:u w:val="none"/>
            <w:shd w:val="clear" w:color="auto" w:fill="FFFFFF"/>
          </w:rPr>
          <w:t>https</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ovmf</w:t>
        </w:r>
        <w:r w:rsidRPr="004E7E3E">
          <w:rPr>
            <w:rStyle w:val="a9"/>
            <w:rFonts w:ascii="Times New Roman" w:hAnsi="Times New Roman" w:cs="Times New Roman"/>
            <w:color w:val="000000" w:themeColor="text1"/>
            <w:sz w:val="24"/>
            <w:szCs w:val="24"/>
            <w:u w:val="none"/>
            <w:shd w:val="clear" w:color="auto" w:fill="FFFFFF"/>
            <w:lang w:val="ru-RU"/>
          </w:rPr>
          <w:t>2.</w:t>
        </w:r>
        <w:r w:rsidRPr="004E7E3E">
          <w:rPr>
            <w:rStyle w:val="a9"/>
            <w:rFonts w:ascii="Times New Roman" w:hAnsi="Times New Roman" w:cs="Times New Roman"/>
            <w:color w:val="000000" w:themeColor="text1"/>
            <w:sz w:val="24"/>
            <w:szCs w:val="24"/>
            <w:u w:val="none"/>
            <w:shd w:val="clear" w:color="auto" w:fill="FFFFFF"/>
          </w:rPr>
          <w:t>consultant</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ru</w:t>
        </w:r>
      </w:hyperlink>
      <w:r w:rsidRPr="004E7E3E">
        <w:rPr>
          <w:rFonts w:ascii="Times New Roman" w:hAnsi="Times New Roman" w:cs="Times New Roman"/>
          <w:color w:val="000000" w:themeColor="text1"/>
          <w:sz w:val="24"/>
          <w:szCs w:val="24"/>
          <w:shd w:val="clear" w:color="auto" w:fill="FFFFFF"/>
          <w:lang w:val="ru-RU"/>
        </w:rPr>
        <w:t xml:space="preserve"> (дата обращения: 04.04.2023).</w:t>
      </w:r>
    </w:p>
    <w:p w14:paraId="079C11A1" w14:textId="559CE909" w:rsidR="00495328"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 xml:space="preserve">Прогноз долгосрочного социально-экономического развития Российской Федерации (разработан Минэкономразвития). (период действия: с </w:t>
      </w:r>
      <w:r w:rsidRPr="004E7E3E">
        <w:rPr>
          <w:rFonts w:ascii="Times New Roman" w:hAnsi="Times New Roman" w:cs="Times New Roman"/>
          <w:b/>
          <w:bCs/>
          <w:color w:val="000000" w:themeColor="text1"/>
          <w:sz w:val="24"/>
          <w:szCs w:val="24"/>
          <w:shd w:val="clear" w:color="auto" w:fill="FFFFFF"/>
          <w:lang w:val="ru-RU"/>
        </w:rPr>
        <w:t>29.01.2013</w:t>
      </w:r>
      <w:r w:rsidRPr="004E7E3E">
        <w:rPr>
          <w:rFonts w:ascii="Times New Roman" w:hAnsi="Times New Roman" w:cs="Times New Roman"/>
          <w:color w:val="000000" w:themeColor="text1"/>
          <w:sz w:val="24"/>
          <w:szCs w:val="24"/>
          <w:shd w:val="clear" w:color="auto" w:fill="FFFFFF"/>
          <w:lang w:val="ru-RU"/>
        </w:rPr>
        <w:t xml:space="preserve"> по н.в.). [Электронный ресурс]. – Режим доступа: </w:t>
      </w:r>
      <w:r w:rsidRPr="004E7E3E">
        <w:rPr>
          <w:rFonts w:ascii="Times New Roman" w:hAnsi="Times New Roman" w:cs="Times New Roman"/>
          <w:color w:val="000000" w:themeColor="text1"/>
          <w:sz w:val="24"/>
          <w:szCs w:val="24"/>
          <w:shd w:val="clear" w:color="auto" w:fill="FFFFFF"/>
        </w:rPr>
        <w:lastRenderedPageBreak/>
        <w:t>URL</w:t>
      </w:r>
      <w:r w:rsidRPr="004E7E3E">
        <w:rPr>
          <w:rFonts w:ascii="Times New Roman" w:hAnsi="Times New Roman" w:cs="Times New Roman"/>
          <w:color w:val="000000" w:themeColor="text1"/>
          <w:sz w:val="24"/>
          <w:szCs w:val="24"/>
          <w:shd w:val="clear" w:color="auto" w:fill="FFFFFF"/>
          <w:lang w:val="ru-RU"/>
        </w:rPr>
        <w:t>:</w:t>
      </w:r>
      <w:r w:rsidR="0037793B">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rPr>
        <w:t>http</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static</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government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ru</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media</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files</w:t>
      </w:r>
      <w:r w:rsidRPr="004E7E3E">
        <w:rPr>
          <w:rFonts w:ascii="Times New Roman" w:hAnsi="Times New Roman" w:cs="Times New Roman"/>
          <w:color w:val="000000" w:themeColor="text1"/>
          <w:sz w:val="24"/>
          <w:szCs w:val="24"/>
          <w:shd w:val="clear" w:color="auto" w:fill="FFFFFF"/>
          <w:lang w:val="ru-RU"/>
        </w:rPr>
        <w:t>/41</w:t>
      </w:r>
      <w:r w:rsidRPr="004E7E3E">
        <w:rPr>
          <w:rFonts w:ascii="Times New Roman" w:hAnsi="Times New Roman" w:cs="Times New Roman"/>
          <w:color w:val="000000" w:themeColor="text1"/>
          <w:sz w:val="24"/>
          <w:szCs w:val="24"/>
          <w:shd w:val="clear" w:color="auto" w:fill="FFFFFF"/>
        </w:rPr>
        <w:t>d</w:t>
      </w:r>
      <w:r w:rsidRPr="004E7E3E">
        <w:rPr>
          <w:rFonts w:ascii="Times New Roman" w:hAnsi="Times New Roman" w:cs="Times New Roman"/>
          <w:color w:val="000000" w:themeColor="text1"/>
          <w:sz w:val="24"/>
          <w:szCs w:val="24"/>
          <w:shd w:val="clear" w:color="auto" w:fill="FFFFFF"/>
          <w:lang w:val="ru-RU"/>
        </w:rPr>
        <w:t>457592</w:t>
      </w:r>
      <w:r w:rsidRPr="004E7E3E">
        <w:rPr>
          <w:rFonts w:ascii="Times New Roman" w:hAnsi="Times New Roman" w:cs="Times New Roman"/>
          <w:color w:val="000000" w:themeColor="text1"/>
          <w:sz w:val="24"/>
          <w:szCs w:val="24"/>
          <w:shd w:val="clear" w:color="auto" w:fill="FFFFFF"/>
        </w:rPr>
        <w:t>e</w:t>
      </w:r>
      <w:r w:rsidRPr="004E7E3E">
        <w:rPr>
          <w:rFonts w:ascii="Times New Roman" w:hAnsi="Times New Roman" w:cs="Times New Roman"/>
          <w:color w:val="000000" w:themeColor="text1"/>
          <w:sz w:val="24"/>
          <w:szCs w:val="24"/>
          <w:shd w:val="clear" w:color="auto" w:fill="FFFFFF"/>
          <w:lang w:val="ru-RU"/>
        </w:rPr>
        <w:t>04</w:t>
      </w:r>
      <w:r w:rsidRPr="004E7E3E">
        <w:rPr>
          <w:rFonts w:ascii="Times New Roman" w:hAnsi="Times New Roman" w:cs="Times New Roman"/>
          <w:color w:val="000000" w:themeColor="text1"/>
          <w:sz w:val="24"/>
          <w:szCs w:val="24"/>
          <w:shd w:val="clear" w:color="auto" w:fill="FFFFFF"/>
        </w:rPr>
        <w:t>b</w:t>
      </w:r>
      <w:r w:rsidRPr="004E7E3E">
        <w:rPr>
          <w:rFonts w:ascii="Times New Roman" w:hAnsi="Times New Roman" w:cs="Times New Roman"/>
          <w:color w:val="000000" w:themeColor="text1"/>
          <w:sz w:val="24"/>
          <w:szCs w:val="24"/>
          <w:shd w:val="clear" w:color="auto" w:fill="FFFFFF"/>
          <w:lang w:val="ru-RU"/>
        </w:rPr>
        <w:t>76338</w:t>
      </w:r>
      <w:r w:rsidRPr="004E7E3E">
        <w:rPr>
          <w:rFonts w:ascii="Times New Roman" w:hAnsi="Times New Roman" w:cs="Times New Roman"/>
          <w:color w:val="000000" w:themeColor="text1"/>
          <w:sz w:val="24"/>
          <w:szCs w:val="24"/>
          <w:shd w:val="clear" w:color="auto" w:fill="FFFFFF"/>
        </w:rPr>
        <w:t>b</w:t>
      </w:r>
      <w:r w:rsidRPr="004E7E3E">
        <w:rPr>
          <w:rFonts w:ascii="Times New Roman" w:hAnsi="Times New Roman" w:cs="Times New Roman"/>
          <w:color w:val="000000" w:themeColor="text1"/>
          <w:sz w:val="24"/>
          <w:szCs w:val="24"/>
          <w:shd w:val="clear" w:color="auto" w:fill="FFFFFF"/>
          <w:lang w:val="ru-RU"/>
        </w:rPr>
        <w:t>7.</w:t>
      </w:r>
      <w:r w:rsidRPr="004E7E3E">
        <w:rPr>
          <w:rFonts w:ascii="Times New Roman" w:hAnsi="Times New Roman" w:cs="Times New Roman"/>
          <w:color w:val="000000" w:themeColor="text1"/>
          <w:sz w:val="24"/>
          <w:szCs w:val="24"/>
          <w:shd w:val="clear" w:color="auto" w:fill="FFFFFF"/>
        </w:rPr>
        <w:t>pdf</w:t>
      </w:r>
      <w:r w:rsidRPr="004E7E3E">
        <w:rPr>
          <w:rFonts w:ascii="Times New Roman" w:hAnsi="Times New Roman" w:cs="Times New Roman"/>
          <w:color w:val="000000" w:themeColor="text1"/>
          <w:sz w:val="24"/>
          <w:szCs w:val="24"/>
          <w:shd w:val="clear" w:color="auto" w:fill="FFFFFF"/>
          <w:lang w:val="ru-RU"/>
        </w:rPr>
        <w:t xml:space="preserve"> (дата обращения: 27.02.2023).</w:t>
      </w:r>
    </w:p>
    <w:p w14:paraId="7CC7AE04" w14:textId="40CD1097" w:rsidR="00AE4368"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 xml:space="preserve">Распоряжение Правительства РФ от </w:t>
      </w:r>
      <w:r w:rsidRPr="004E7E3E">
        <w:rPr>
          <w:rFonts w:ascii="Times New Roman" w:hAnsi="Times New Roman" w:cs="Times New Roman"/>
          <w:b/>
          <w:bCs/>
          <w:color w:val="000000" w:themeColor="text1"/>
          <w:sz w:val="24"/>
          <w:szCs w:val="24"/>
          <w:shd w:val="clear" w:color="auto" w:fill="FFFFFF"/>
          <w:lang w:val="ru-RU"/>
        </w:rPr>
        <w:t>22.02.2013</w:t>
      </w:r>
      <w:r w:rsidRPr="004E7E3E">
        <w:rPr>
          <w:rFonts w:ascii="Times New Roman" w:hAnsi="Times New Roman" w:cs="Times New Roman"/>
          <w:color w:val="000000" w:themeColor="text1"/>
          <w:sz w:val="24"/>
          <w:szCs w:val="24"/>
          <w:shd w:val="clear" w:color="auto" w:fill="FFFFFF"/>
          <w:lang w:val="ru-RU"/>
        </w:rPr>
        <w:t xml:space="preserve"> № 226-р «О</w:t>
      </w:r>
      <w:r w:rsidRPr="004E7E3E">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 xml:space="preserve">государственной программе Российской Федерации «Развитие финансовых и страховых рынков, создание международного финансового центра» (Распоряжение Правительства РФ от 12.10.2013 </w:t>
      </w:r>
      <w:r w:rsidRPr="004E7E3E">
        <w:rPr>
          <w:rFonts w:ascii="Times New Roman" w:hAnsi="Times New Roman" w:cs="Times New Roman"/>
          <w:color w:val="000000" w:themeColor="text1"/>
          <w:sz w:val="24"/>
          <w:szCs w:val="24"/>
          <w:shd w:val="clear" w:color="auto" w:fill="FFFFFF"/>
        </w:rPr>
        <w:t>N </w:t>
      </w:r>
      <w:r w:rsidRPr="004E7E3E">
        <w:rPr>
          <w:rFonts w:ascii="Times New Roman" w:hAnsi="Times New Roman" w:cs="Times New Roman"/>
          <w:color w:val="000000" w:themeColor="text1"/>
          <w:sz w:val="24"/>
          <w:szCs w:val="24"/>
          <w:shd w:val="clear" w:color="auto" w:fill="FFFFFF"/>
          <w:lang w:val="ru-RU"/>
        </w:rPr>
        <w:t xml:space="preserve">1864-р утратило силу). [Электронный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r w:rsidRPr="004E7E3E">
        <w:rPr>
          <w:rFonts w:ascii="Times New Roman" w:hAnsi="Times New Roman" w:cs="Times New Roman"/>
          <w:color w:val="000000" w:themeColor="text1"/>
          <w:sz w:val="24"/>
          <w:szCs w:val="24"/>
          <w:shd w:val="clear" w:color="auto" w:fill="FFFFFF"/>
        </w:rPr>
        <w:t>https</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internet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garant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ru</w:t>
      </w:r>
      <w:r w:rsidRPr="004E7E3E">
        <w:rPr>
          <w:rFonts w:ascii="Times New Roman" w:hAnsi="Times New Roman" w:cs="Times New Roman"/>
          <w:color w:val="000000" w:themeColor="text1"/>
          <w:sz w:val="24"/>
          <w:szCs w:val="24"/>
          <w:shd w:val="clear" w:color="auto" w:fill="FFFFFF"/>
          <w:lang w:val="ru-RU"/>
        </w:rPr>
        <w:t xml:space="preserve"> (дата обращения: 27.02.2023).</w:t>
      </w:r>
    </w:p>
    <w:p w14:paraId="136BC46B" w14:textId="191A61C6" w:rsidR="00AE4368"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 xml:space="preserve">Паспорт государственная программа Российской Федерации «Развитие финансовых и страховых рынков, создание международного финансового центра» (период действия: </w:t>
      </w:r>
      <w:r w:rsidRPr="004E7E3E">
        <w:rPr>
          <w:rFonts w:ascii="Times New Roman" w:hAnsi="Times New Roman" w:cs="Times New Roman"/>
          <w:b/>
          <w:bCs/>
          <w:color w:val="000000" w:themeColor="text1"/>
          <w:sz w:val="24"/>
          <w:szCs w:val="24"/>
          <w:shd w:val="clear" w:color="auto" w:fill="FFFFFF"/>
          <w:lang w:val="ru-RU"/>
        </w:rPr>
        <w:t>22.02.2013</w:t>
      </w:r>
      <w:r w:rsidRPr="004E7E3E">
        <w:rPr>
          <w:rFonts w:ascii="Times New Roman" w:hAnsi="Times New Roman" w:cs="Times New Roman"/>
          <w:color w:val="000000" w:themeColor="text1"/>
          <w:sz w:val="24"/>
          <w:szCs w:val="24"/>
          <w:shd w:val="clear" w:color="auto" w:fill="FFFFFF"/>
          <w:lang w:val="ru-RU"/>
        </w:rPr>
        <w:t xml:space="preserve">–11.10.2013) [Электронный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w:t>
      </w:r>
      <w:r w:rsidR="0037793B">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rPr>
        <w:t>http</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government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ru</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docs</w:t>
      </w:r>
      <w:r w:rsidRPr="004E7E3E">
        <w:rPr>
          <w:rFonts w:ascii="Times New Roman" w:hAnsi="Times New Roman" w:cs="Times New Roman"/>
          <w:color w:val="000000" w:themeColor="text1"/>
          <w:sz w:val="24"/>
          <w:szCs w:val="24"/>
          <w:shd w:val="clear" w:color="auto" w:fill="FFFFFF"/>
          <w:lang w:val="ru-RU"/>
        </w:rPr>
        <w:t>/507 (дата обращения: 27.02.2023).</w:t>
      </w:r>
    </w:p>
    <w:p w14:paraId="285B052E" w14:textId="3FD0F807" w:rsidR="00AE4368"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191E27"/>
          <w:sz w:val="24"/>
          <w:szCs w:val="24"/>
          <w:lang w:val="ru-RU"/>
        </w:rPr>
        <w:t xml:space="preserve">Позиция РСПП по проекту Федерального закона «О внесении изменений в отдельные законодательные акты Российской Федерации (в связи с передачей </w:t>
      </w:r>
      <w:r w:rsidRPr="004E7E3E">
        <w:rPr>
          <w:rFonts w:ascii="Times New Roman" w:hAnsi="Times New Roman" w:cs="Times New Roman"/>
          <w:color w:val="000000" w:themeColor="text1"/>
          <w:sz w:val="24"/>
          <w:szCs w:val="24"/>
          <w:lang w:val="ru-RU"/>
        </w:rPr>
        <w:t xml:space="preserve">Центральному банку Российской Федерации полномочий по регулированию, контролю и надзору в сфере финансовых рынков)» от </w:t>
      </w:r>
      <w:r w:rsidRPr="004E7E3E">
        <w:rPr>
          <w:rFonts w:ascii="Times New Roman" w:hAnsi="Times New Roman" w:cs="Times New Roman"/>
          <w:b/>
          <w:bCs/>
          <w:color w:val="000000" w:themeColor="text1"/>
          <w:sz w:val="24"/>
          <w:szCs w:val="24"/>
          <w:lang w:val="ru-RU"/>
        </w:rPr>
        <w:t>27.05.2013</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shd w:val="clear" w:color="auto" w:fill="FFFFFF"/>
          <w:lang w:val="ru-RU"/>
        </w:rPr>
        <w:t xml:space="preserve">[Электронный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w:t>
      </w:r>
      <w:r w:rsidR="0037793B">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rPr>
        <w:t>https</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rspp</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ru</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activity</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position</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po</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zakonoproektu</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o</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megaregulyatore</w:t>
      </w:r>
      <w:r w:rsidRPr="004E7E3E">
        <w:rPr>
          <w:rFonts w:ascii="Times New Roman" w:hAnsi="Times New Roman" w:cs="Times New Roman"/>
          <w:color w:val="000000" w:themeColor="text1"/>
          <w:sz w:val="24"/>
          <w:szCs w:val="24"/>
          <w:shd w:val="clear" w:color="auto" w:fill="FFFFFF"/>
          <w:lang w:val="ru-RU"/>
        </w:rPr>
        <w:t xml:space="preserve"> (дата обращения: 28.02.2023).</w:t>
      </w:r>
    </w:p>
    <w:p w14:paraId="46E2740D" w14:textId="28A5105F" w:rsidR="00AE4368"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eastAsia="Times New Roman" w:hAnsi="Times New Roman" w:cs="Times New Roman"/>
          <w:color w:val="000000" w:themeColor="text1"/>
          <w:sz w:val="24"/>
          <w:szCs w:val="24"/>
          <w:lang w:val="ru-RU" w:eastAsia="ru-RU" w:bidi="ar-SA"/>
        </w:rPr>
        <w:t xml:space="preserve">План мероприятий («Дорожная карта») «Создание международного финансового центра и улучшение инвестиционного климата в Российской Федерации» (утвержден распоряжением Правительства Российской Федерации от </w:t>
      </w:r>
      <w:r w:rsidRPr="004E7E3E">
        <w:rPr>
          <w:rFonts w:ascii="Times New Roman" w:eastAsia="Times New Roman" w:hAnsi="Times New Roman" w:cs="Times New Roman"/>
          <w:b/>
          <w:bCs/>
          <w:color w:val="000000" w:themeColor="text1"/>
          <w:sz w:val="24"/>
          <w:szCs w:val="24"/>
          <w:lang w:val="ru-RU" w:eastAsia="ru-RU" w:bidi="ar-SA"/>
        </w:rPr>
        <w:t>19.06.2013</w:t>
      </w:r>
      <w:r w:rsidRPr="004E7E3E">
        <w:rPr>
          <w:rFonts w:ascii="Times New Roman" w:eastAsia="Times New Roman" w:hAnsi="Times New Roman" w:cs="Times New Roman"/>
          <w:color w:val="000000" w:themeColor="text1"/>
          <w:sz w:val="24"/>
          <w:szCs w:val="24"/>
          <w:lang w:val="ru-RU" w:eastAsia="ru-RU" w:bidi="ar-SA"/>
        </w:rPr>
        <w:t xml:space="preserve"> № 1012-р) [Электронный ресурс]. – Режим доступа: </w:t>
      </w:r>
      <w:r w:rsidRPr="004E7E3E">
        <w:rPr>
          <w:rFonts w:ascii="Times New Roman" w:eastAsia="Times New Roman" w:hAnsi="Times New Roman" w:cs="Times New Roman"/>
          <w:color w:val="000000" w:themeColor="text1"/>
          <w:sz w:val="24"/>
          <w:szCs w:val="24"/>
          <w:lang w:eastAsia="ru-RU" w:bidi="ar-SA"/>
        </w:rPr>
        <w:t>URL</w:t>
      </w:r>
      <w:r w:rsidRPr="004E7E3E">
        <w:rPr>
          <w:rFonts w:ascii="Times New Roman" w:eastAsia="Times New Roman" w:hAnsi="Times New Roman" w:cs="Times New Roman"/>
          <w:color w:val="000000" w:themeColor="text1"/>
          <w:sz w:val="24"/>
          <w:szCs w:val="24"/>
          <w:lang w:val="ru-RU" w:eastAsia="ru-RU" w:bidi="ar-SA"/>
        </w:rPr>
        <w:t>: http://government.ru/media/files/41d4744634530e3dbbe8.pdf (дата обращения: 28.02.2023).</w:t>
      </w:r>
      <w:bookmarkStart w:id="51" w:name="_Ref446787400"/>
    </w:p>
    <w:p w14:paraId="788AF55B" w14:textId="55B835EF" w:rsidR="00AE4368"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lang w:val="ru-RU"/>
        </w:rPr>
        <w:t xml:space="preserve">Создание международного финансового центра в Москве. «Дорожная карта»: основные факты </w:t>
      </w:r>
      <w:r w:rsidRPr="004E7E3E">
        <w:rPr>
          <w:rFonts w:ascii="Times New Roman" w:hAnsi="Times New Roman" w:cs="Times New Roman"/>
          <w:color w:val="000000" w:themeColor="text1"/>
          <w:sz w:val="24"/>
          <w:szCs w:val="24"/>
          <w:lang w:val="ru-RU" w:eastAsia="zh-CN"/>
        </w:rPr>
        <w:t xml:space="preserve">[Электронный ресурс]. </w:t>
      </w:r>
      <w:r w:rsidRPr="004E7E3E">
        <w:rPr>
          <w:rFonts w:ascii="Times New Roman" w:hAnsi="Times New Roman" w:cs="Times New Roman"/>
          <w:color w:val="000000" w:themeColor="text1"/>
          <w:sz w:val="24"/>
          <w:szCs w:val="24"/>
          <w:lang w:val="ru-RU"/>
        </w:rPr>
        <w:t xml:space="preserve">– Режим доступа: </w:t>
      </w:r>
      <w:r w:rsidRPr="004E7E3E">
        <w:rPr>
          <w:rFonts w:ascii="Times New Roman" w:hAnsi="Times New Roman" w:cs="Times New Roman"/>
          <w:color w:val="000000" w:themeColor="text1"/>
          <w:sz w:val="24"/>
          <w:szCs w:val="24"/>
        </w:rPr>
        <w:t>URL</w:t>
      </w:r>
      <w:r w:rsidRPr="004E7E3E">
        <w:rPr>
          <w:rFonts w:ascii="Times New Roman" w:hAnsi="Times New Roman" w:cs="Times New Roman"/>
          <w:color w:val="000000" w:themeColor="text1"/>
          <w:sz w:val="24"/>
          <w:szCs w:val="24"/>
          <w:lang w:val="ru-RU"/>
        </w:rPr>
        <w:t xml:space="preserve">: </w:t>
      </w:r>
      <w:hyperlink r:id="rId38" w:tooltip="http://www.mfc-moscow.com/assets/files/analytics/roadmap/roadmap_presentation_rus.pdf" w:history="1">
        <w:r w:rsidRPr="004E7E3E">
          <w:rPr>
            <w:rStyle w:val="a9"/>
            <w:rFonts w:ascii="Times New Roman" w:hAnsi="Times New Roman" w:cs="Times New Roman"/>
            <w:color w:val="000000" w:themeColor="text1"/>
            <w:sz w:val="24"/>
            <w:szCs w:val="24"/>
            <w:u w:val="none"/>
          </w:rPr>
          <w:t>http</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www</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mfc</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moscow</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com</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assets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files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analytics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roadmap</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roadmap</w:t>
        </w:r>
        <w:r w:rsidRPr="004E7E3E">
          <w:rPr>
            <w:rStyle w:val="a9"/>
            <w:rFonts w:ascii="Times New Roman" w:hAnsi="Times New Roman" w:cs="Times New Roman"/>
            <w:color w:val="000000" w:themeColor="text1"/>
            <w:sz w:val="24"/>
            <w:szCs w:val="24"/>
            <w:u w:val="none"/>
            <w:lang w:val="ru-RU"/>
          </w:rPr>
          <w:t>_</w:t>
        </w:r>
        <w:r w:rsidRPr="004E7E3E">
          <w:rPr>
            <w:rStyle w:val="a9"/>
            <w:rFonts w:ascii="Times New Roman" w:hAnsi="Times New Roman" w:cs="Times New Roman"/>
            <w:color w:val="000000" w:themeColor="text1"/>
            <w:sz w:val="24"/>
            <w:szCs w:val="24"/>
            <w:u w:val="none"/>
          </w:rPr>
          <w:t>presentation</w:t>
        </w:r>
        <w:r w:rsidRPr="004E7E3E">
          <w:rPr>
            <w:rStyle w:val="a9"/>
            <w:rFonts w:ascii="Times New Roman" w:hAnsi="Times New Roman" w:cs="Times New Roman"/>
            <w:color w:val="000000" w:themeColor="text1"/>
            <w:sz w:val="24"/>
            <w:szCs w:val="24"/>
            <w:u w:val="none"/>
            <w:lang w:val="ru-RU"/>
          </w:rPr>
          <w:t>_</w:t>
        </w:r>
        <w:r w:rsidRPr="004E7E3E">
          <w:rPr>
            <w:rStyle w:val="a9"/>
            <w:rFonts w:ascii="Times New Roman" w:hAnsi="Times New Roman" w:cs="Times New Roman"/>
            <w:color w:val="000000" w:themeColor="text1"/>
            <w:sz w:val="24"/>
            <w:szCs w:val="24"/>
            <w:u w:val="none"/>
          </w:rPr>
          <w:t>rus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pdf</w:t>
        </w:r>
      </w:hyperlink>
      <w:r w:rsidRPr="004E7E3E">
        <w:rPr>
          <w:rFonts w:ascii="Times New Roman" w:hAnsi="Times New Roman" w:cs="Times New Roman"/>
          <w:color w:val="000000" w:themeColor="text1"/>
          <w:sz w:val="24"/>
          <w:szCs w:val="24"/>
          <w:lang w:val="ru-RU"/>
        </w:rPr>
        <w:t xml:space="preserve"> (дата обращения: 28.02.2023).</w:t>
      </w:r>
      <w:bookmarkEnd w:id="51"/>
    </w:p>
    <w:p w14:paraId="2E65484F" w14:textId="0C300DD2" w:rsidR="00991EDA" w:rsidRPr="004E7E3E" w:rsidRDefault="00991EDA"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lang w:val="ru-RU"/>
        </w:rPr>
        <w:t>Перечень услуг, непосредственно связанных с услугами, которые оказываются в</w:t>
      </w:r>
      <w:r w:rsidR="0037793B">
        <w:rPr>
          <w:rFonts w:ascii="Times New Roman" w:hAnsi="Times New Roman" w:cs="Times New Roman"/>
          <w:color w:val="000000" w:themeColor="text1"/>
          <w:sz w:val="24"/>
          <w:szCs w:val="24"/>
        </w:rPr>
        <w:t> </w:t>
      </w:r>
      <w:r w:rsidRPr="004E7E3E">
        <w:rPr>
          <w:rFonts w:ascii="Times New Roman" w:hAnsi="Times New Roman" w:cs="Times New Roman"/>
          <w:color w:val="000000" w:themeColor="text1"/>
          <w:sz w:val="24"/>
          <w:szCs w:val="24"/>
          <w:lang w:val="ru-RU"/>
        </w:rPr>
        <w:t>рамках лицензируемой деятельности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реализация которых освобождается от</w:t>
      </w:r>
      <w:r w:rsidR="0037793B">
        <w:rPr>
          <w:rFonts w:ascii="Times New Roman" w:hAnsi="Times New Roman" w:cs="Times New Roman"/>
          <w:color w:val="000000" w:themeColor="text1"/>
          <w:sz w:val="24"/>
          <w:szCs w:val="24"/>
        </w:rPr>
        <w:t> </w:t>
      </w:r>
      <w:r w:rsidRPr="004E7E3E">
        <w:rPr>
          <w:rFonts w:ascii="Times New Roman" w:hAnsi="Times New Roman" w:cs="Times New Roman"/>
          <w:color w:val="000000" w:themeColor="text1"/>
          <w:sz w:val="24"/>
          <w:szCs w:val="24"/>
          <w:lang w:val="ru-RU"/>
        </w:rPr>
        <w:t xml:space="preserve">обложения налогом на добавленную стоимость (утвержден постановлением Правительства </w:t>
      </w:r>
      <w:r w:rsidRPr="004E7E3E">
        <w:rPr>
          <w:rFonts w:ascii="Times New Roman" w:hAnsi="Times New Roman" w:cs="Times New Roman"/>
          <w:color w:val="000000" w:themeColor="text1"/>
          <w:sz w:val="24"/>
          <w:szCs w:val="24"/>
          <w:lang w:val="ru-RU"/>
        </w:rPr>
        <w:lastRenderedPageBreak/>
        <w:t xml:space="preserve">РФ от </w:t>
      </w:r>
      <w:r w:rsidRPr="004E7E3E">
        <w:rPr>
          <w:rFonts w:ascii="Times New Roman" w:hAnsi="Times New Roman" w:cs="Times New Roman"/>
          <w:b/>
          <w:color w:val="000000" w:themeColor="text1"/>
          <w:sz w:val="24"/>
          <w:szCs w:val="24"/>
          <w:lang w:val="ru-RU"/>
        </w:rPr>
        <w:t>31.08.2013</w:t>
      </w:r>
      <w:r w:rsidRPr="004E7E3E">
        <w:rPr>
          <w:rFonts w:ascii="Times New Roman" w:hAnsi="Times New Roman" w:cs="Times New Roman"/>
          <w:color w:val="000000" w:themeColor="text1"/>
          <w:sz w:val="24"/>
          <w:szCs w:val="24"/>
          <w:lang w:val="ru-RU"/>
        </w:rPr>
        <w:t xml:space="preserve"> №761) </w:t>
      </w:r>
      <w:r w:rsidRPr="004E7E3E">
        <w:rPr>
          <w:rFonts w:ascii="Times New Roman" w:hAnsi="Times New Roman" w:cs="Times New Roman"/>
          <w:color w:val="000000" w:themeColor="text1"/>
          <w:sz w:val="24"/>
          <w:szCs w:val="24"/>
          <w:shd w:val="clear" w:color="auto" w:fill="FFFFFF"/>
          <w:lang w:val="ru-RU"/>
        </w:rPr>
        <w:t xml:space="preserve">[Электронный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hyperlink r:id="rId39" w:history="1">
        <w:r w:rsidRPr="004E7E3E">
          <w:rPr>
            <w:rStyle w:val="a9"/>
            <w:rFonts w:ascii="Times New Roman" w:hAnsi="Times New Roman" w:cs="Times New Roman"/>
            <w:color w:val="000000" w:themeColor="text1"/>
            <w:sz w:val="24"/>
            <w:szCs w:val="24"/>
            <w:u w:val="none"/>
            <w:shd w:val="clear" w:color="auto" w:fill="FFFFFF"/>
          </w:rPr>
          <w:t>https</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ovmf</w:t>
        </w:r>
        <w:r w:rsidRPr="004E7E3E">
          <w:rPr>
            <w:rStyle w:val="a9"/>
            <w:rFonts w:ascii="Times New Roman" w:hAnsi="Times New Roman" w:cs="Times New Roman"/>
            <w:color w:val="000000" w:themeColor="text1"/>
            <w:sz w:val="24"/>
            <w:szCs w:val="24"/>
            <w:u w:val="none"/>
            <w:shd w:val="clear" w:color="auto" w:fill="FFFFFF"/>
            <w:lang w:val="ru-RU"/>
          </w:rPr>
          <w:t>2.</w:t>
        </w:r>
        <w:r w:rsidRPr="004E7E3E">
          <w:rPr>
            <w:rStyle w:val="a9"/>
            <w:rFonts w:ascii="Times New Roman" w:hAnsi="Times New Roman" w:cs="Times New Roman"/>
            <w:color w:val="000000" w:themeColor="text1"/>
            <w:sz w:val="24"/>
            <w:szCs w:val="24"/>
            <w:u w:val="none"/>
            <w:shd w:val="clear" w:color="auto" w:fill="FFFFFF"/>
          </w:rPr>
          <w:t>consultant</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ru</w:t>
        </w:r>
      </w:hyperlink>
      <w:r w:rsidRPr="004E7E3E">
        <w:rPr>
          <w:rFonts w:ascii="Times New Roman" w:hAnsi="Times New Roman" w:cs="Times New Roman"/>
          <w:color w:val="000000" w:themeColor="text1"/>
          <w:sz w:val="24"/>
          <w:szCs w:val="24"/>
          <w:shd w:val="clear" w:color="auto" w:fill="FFFFFF"/>
          <w:lang w:val="ru-RU"/>
        </w:rPr>
        <w:t xml:space="preserve"> (дата обращения: 04.04.2023).</w:t>
      </w:r>
    </w:p>
    <w:p w14:paraId="2E93E42B" w14:textId="2A8ED5DB" w:rsidR="00495328" w:rsidRPr="004E7E3E" w:rsidRDefault="00495328"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sz w:val="24"/>
          <w:szCs w:val="24"/>
          <w:lang w:val="ru-RU"/>
        </w:rPr>
        <w:t xml:space="preserve">Показатели финансово-экономической деятельности иностранных компаний для их отнесения к крупным и критерии для компаний, участвующих в реализации проектов создания инновационного центра "Сколково" либо международного финансового центра в Российской Федерации, для представления обращения уполномоченного федерального органа исполнительной власти в дипломатическое представительство или консульское учреждение Российской Федерации о выдаче визы иностранному гражданину, являющемуся представителем либо работником таких компаний (утверждено постановлением Правительства РФ от </w:t>
      </w:r>
      <w:r w:rsidRPr="004E7E3E">
        <w:rPr>
          <w:rFonts w:ascii="Times New Roman" w:hAnsi="Times New Roman" w:cs="Times New Roman"/>
          <w:b/>
          <w:color w:val="000000" w:themeColor="text1"/>
          <w:sz w:val="24"/>
          <w:szCs w:val="24"/>
          <w:lang w:val="ru-RU"/>
        </w:rPr>
        <w:t>28.10.2013</w:t>
      </w:r>
      <w:r w:rsidRPr="004E7E3E">
        <w:rPr>
          <w:rFonts w:ascii="Times New Roman" w:hAnsi="Times New Roman" w:cs="Times New Roman"/>
          <w:sz w:val="24"/>
          <w:szCs w:val="24"/>
          <w:lang w:val="ru-RU"/>
        </w:rPr>
        <w:t xml:space="preserve"> № 965)</w:t>
      </w:r>
      <w:r w:rsidRPr="004E7E3E">
        <w:rPr>
          <w:rFonts w:ascii="Times New Roman" w:hAnsi="Times New Roman" w:cs="Times New Roman"/>
          <w:color w:val="000000" w:themeColor="text1"/>
          <w:sz w:val="24"/>
          <w:szCs w:val="24"/>
          <w:shd w:val="clear" w:color="auto" w:fill="FFFFFF"/>
          <w:lang w:val="ru-RU"/>
        </w:rPr>
        <w:t xml:space="preserve"> [Электронный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hyperlink r:id="rId40" w:history="1">
        <w:r w:rsidRPr="004E7E3E">
          <w:rPr>
            <w:rStyle w:val="a9"/>
            <w:rFonts w:ascii="Times New Roman" w:hAnsi="Times New Roman" w:cs="Times New Roman"/>
            <w:color w:val="000000" w:themeColor="text1"/>
            <w:sz w:val="24"/>
            <w:szCs w:val="24"/>
            <w:u w:val="none"/>
            <w:shd w:val="clear" w:color="auto" w:fill="FFFFFF"/>
          </w:rPr>
          <w:t>https</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ovmf</w:t>
        </w:r>
        <w:r w:rsidRPr="004E7E3E">
          <w:rPr>
            <w:rStyle w:val="a9"/>
            <w:rFonts w:ascii="Times New Roman" w:hAnsi="Times New Roman" w:cs="Times New Roman"/>
            <w:color w:val="000000" w:themeColor="text1"/>
            <w:sz w:val="24"/>
            <w:szCs w:val="24"/>
            <w:u w:val="none"/>
            <w:shd w:val="clear" w:color="auto" w:fill="FFFFFF"/>
            <w:lang w:val="ru-RU"/>
          </w:rPr>
          <w:t>2.</w:t>
        </w:r>
        <w:r w:rsidRPr="004E7E3E">
          <w:rPr>
            <w:rStyle w:val="a9"/>
            <w:rFonts w:ascii="Times New Roman" w:hAnsi="Times New Roman" w:cs="Times New Roman"/>
            <w:color w:val="000000" w:themeColor="text1"/>
            <w:sz w:val="24"/>
            <w:szCs w:val="24"/>
            <w:u w:val="none"/>
            <w:shd w:val="clear" w:color="auto" w:fill="FFFFFF"/>
          </w:rPr>
          <w:t>consultant</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ru</w:t>
        </w:r>
      </w:hyperlink>
      <w:r w:rsidRPr="004E7E3E">
        <w:rPr>
          <w:rFonts w:ascii="Times New Roman" w:hAnsi="Times New Roman" w:cs="Times New Roman"/>
          <w:color w:val="000000" w:themeColor="text1"/>
          <w:sz w:val="24"/>
          <w:szCs w:val="24"/>
          <w:shd w:val="clear" w:color="auto" w:fill="FFFFFF"/>
          <w:lang w:val="ru-RU"/>
        </w:rPr>
        <w:t xml:space="preserve"> (дата обращения: 04.04.2023).</w:t>
      </w:r>
    </w:p>
    <w:p w14:paraId="05F38DB6" w14:textId="24E8CB03" w:rsidR="00AE4368"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Паспорт государственной программы Российской Федерации «</w:t>
      </w:r>
      <w:r w:rsidRPr="004E7E3E">
        <w:rPr>
          <w:rFonts w:ascii="Times New Roman" w:hAnsi="Times New Roman" w:cs="Times New Roman"/>
          <w:color w:val="111111"/>
          <w:sz w:val="24"/>
          <w:szCs w:val="24"/>
          <w:lang w:val="ru-RU"/>
        </w:rPr>
        <w:t xml:space="preserve">Управление государственными финансами и регулирование финансовых рынков» </w:t>
      </w:r>
      <w:r w:rsidRPr="004E7E3E">
        <w:rPr>
          <w:rFonts w:ascii="Times New Roman" w:hAnsi="Times New Roman" w:cs="Times New Roman"/>
          <w:color w:val="000000" w:themeColor="text1"/>
          <w:sz w:val="24"/>
          <w:szCs w:val="24"/>
          <w:lang w:val="ru-RU"/>
        </w:rPr>
        <w:t xml:space="preserve">(Утверждена постановлением Правительства РФ от </w:t>
      </w:r>
      <w:r w:rsidRPr="004E7E3E">
        <w:rPr>
          <w:rFonts w:ascii="Times New Roman" w:hAnsi="Times New Roman" w:cs="Times New Roman"/>
          <w:b/>
          <w:bCs/>
          <w:color w:val="000000" w:themeColor="text1"/>
          <w:sz w:val="24"/>
          <w:szCs w:val="24"/>
          <w:lang w:val="ru-RU"/>
        </w:rPr>
        <w:t xml:space="preserve">15.04.2014 </w:t>
      </w:r>
      <w:r w:rsidRPr="004E7E3E">
        <w:rPr>
          <w:rFonts w:ascii="Times New Roman" w:hAnsi="Times New Roman" w:cs="Times New Roman"/>
          <w:color w:val="000000" w:themeColor="text1"/>
          <w:sz w:val="24"/>
          <w:szCs w:val="24"/>
          <w:lang w:val="ru-RU"/>
        </w:rPr>
        <w:t xml:space="preserve">№320) </w:t>
      </w:r>
      <w:r w:rsidRPr="004E7E3E">
        <w:rPr>
          <w:rFonts w:ascii="Times New Roman" w:hAnsi="Times New Roman" w:cs="Times New Roman"/>
          <w:color w:val="000000" w:themeColor="text1"/>
          <w:sz w:val="24"/>
          <w:szCs w:val="24"/>
          <w:lang w:val="ru-RU" w:eastAsia="zh-CN"/>
        </w:rPr>
        <w:t>[Электронный ресурс]</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shd w:val="clear" w:color="auto" w:fill="FFFFFF"/>
          <w:lang w:val="ru-RU"/>
        </w:rPr>
        <w:t xml:space="preserve">–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r w:rsidRPr="004E7E3E">
        <w:rPr>
          <w:rFonts w:ascii="Times New Roman" w:hAnsi="Times New Roman" w:cs="Times New Roman"/>
          <w:color w:val="000000" w:themeColor="text1"/>
          <w:sz w:val="24"/>
          <w:szCs w:val="24"/>
          <w:shd w:val="clear" w:color="auto" w:fill="FFFFFF"/>
        </w:rPr>
        <w:t>https</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internet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garant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ru</w:t>
      </w:r>
      <w:r w:rsidRPr="004E7E3E">
        <w:rPr>
          <w:rFonts w:ascii="Times New Roman" w:hAnsi="Times New Roman" w:cs="Times New Roman"/>
          <w:color w:val="000000" w:themeColor="text1"/>
          <w:sz w:val="24"/>
          <w:szCs w:val="24"/>
          <w:shd w:val="clear" w:color="auto" w:fill="FFFFFF"/>
          <w:lang w:val="ru-RU"/>
        </w:rPr>
        <w:t xml:space="preserve"> (дата обращения: 27.02.2023).</w:t>
      </w:r>
    </w:p>
    <w:p w14:paraId="6B903716" w14:textId="0F95E43D" w:rsidR="00AE4368"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Федеральный закон от 13.07.2015 №223-ФЗ «О саморегулируемых организациях в</w:t>
      </w:r>
      <w:r w:rsidR="0037793B">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 xml:space="preserve">сфере финансового рынка» </w:t>
      </w:r>
      <w:r w:rsidRPr="004E7E3E">
        <w:rPr>
          <w:rFonts w:ascii="Times New Roman" w:hAnsi="Times New Roman" w:cs="Times New Roman"/>
          <w:color w:val="000000" w:themeColor="text1"/>
          <w:sz w:val="24"/>
          <w:szCs w:val="24"/>
          <w:lang w:val="ru-RU" w:eastAsia="zh-CN"/>
        </w:rPr>
        <w:t>[Электронный ресурс]</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shd w:val="clear" w:color="auto" w:fill="FFFFFF"/>
          <w:lang w:val="ru-RU"/>
        </w:rPr>
        <w:t xml:space="preserve">–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w:t>
      </w:r>
      <w:r w:rsidR="0037793B">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rPr>
        <w:t>https</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internet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garant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ru</w:t>
      </w:r>
      <w:r w:rsidRPr="004E7E3E">
        <w:rPr>
          <w:rFonts w:ascii="Times New Roman" w:hAnsi="Times New Roman" w:cs="Times New Roman"/>
          <w:color w:val="000000" w:themeColor="text1"/>
          <w:sz w:val="24"/>
          <w:szCs w:val="24"/>
          <w:shd w:val="clear" w:color="auto" w:fill="FFFFFF"/>
          <w:lang w:val="ru-RU"/>
        </w:rPr>
        <w:t xml:space="preserve"> (дата обращения: 27.02.2023).</w:t>
      </w:r>
    </w:p>
    <w:p w14:paraId="169E3B22" w14:textId="1FA74313" w:rsidR="00AE4368"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lang w:val="ru-RU"/>
        </w:rPr>
        <w:t xml:space="preserve">Указание Банка России от </w:t>
      </w:r>
      <w:r w:rsidRPr="004E7E3E">
        <w:rPr>
          <w:rFonts w:ascii="Times New Roman" w:hAnsi="Times New Roman" w:cs="Times New Roman"/>
          <w:b/>
          <w:bCs/>
          <w:color w:val="000000" w:themeColor="text1"/>
          <w:sz w:val="24"/>
          <w:szCs w:val="24"/>
          <w:lang w:val="ru-RU"/>
        </w:rPr>
        <w:t>25.07.2014</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 </w:t>
      </w:r>
      <w:r w:rsidRPr="004E7E3E">
        <w:rPr>
          <w:rFonts w:ascii="Times New Roman" w:hAnsi="Times New Roman" w:cs="Times New Roman"/>
          <w:color w:val="000000" w:themeColor="text1"/>
          <w:sz w:val="24"/>
          <w:szCs w:val="24"/>
          <w:lang w:val="ru-RU"/>
        </w:rPr>
        <w:t xml:space="preserve">3341-У "О признании инфраструктурных организаций финансового рынка системно значимыми" </w:t>
      </w:r>
      <w:r w:rsidRPr="004E7E3E">
        <w:rPr>
          <w:rFonts w:ascii="Times New Roman" w:hAnsi="Times New Roman" w:cs="Times New Roman"/>
          <w:color w:val="000000" w:themeColor="text1"/>
          <w:sz w:val="24"/>
          <w:szCs w:val="24"/>
          <w:shd w:val="clear" w:color="auto" w:fill="FFFFFF"/>
          <w:lang w:val="ru-RU"/>
        </w:rPr>
        <w:t xml:space="preserve">[Электронный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r w:rsidRPr="004E7E3E">
        <w:rPr>
          <w:rFonts w:ascii="Times New Roman" w:hAnsi="Times New Roman" w:cs="Times New Roman"/>
          <w:color w:val="000000" w:themeColor="text1"/>
          <w:sz w:val="24"/>
          <w:szCs w:val="24"/>
          <w:shd w:val="clear" w:color="auto" w:fill="FFFFFF"/>
        </w:rPr>
        <w:t>https</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internet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garant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ru</w:t>
      </w:r>
      <w:r w:rsidRPr="004E7E3E">
        <w:rPr>
          <w:rFonts w:ascii="Times New Roman" w:hAnsi="Times New Roman" w:cs="Times New Roman"/>
          <w:color w:val="000000" w:themeColor="text1"/>
          <w:sz w:val="24"/>
          <w:szCs w:val="24"/>
          <w:shd w:val="clear" w:color="auto" w:fill="FFFFFF"/>
          <w:lang w:val="ru-RU"/>
        </w:rPr>
        <w:t xml:space="preserve"> (дата обращения: 27.02.2023).</w:t>
      </w:r>
      <w:bookmarkStart w:id="52" w:name="_Ref459294283"/>
    </w:p>
    <w:p w14:paraId="073CE78F" w14:textId="551FD53F" w:rsidR="00991EDA" w:rsidRPr="004E7E3E" w:rsidRDefault="00991EDA"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 xml:space="preserve">Федеральный закон от </w:t>
      </w:r>
      <w:r w:rsidRPr="004E7E3E">
        <w:rPr>
          <w:rFonts w:ascii="Times New Roman" w:hAnsi="Times New Roman" w:cs="Times New Roman"/>
          <w:b/>
          <w:color w:val="000000" w:themeColor="text1"/>
          <w:sz w:val="24"/>
          <w:szCs w:val="24"/>
          <w:shd w:val="clear" w:color="auto" w:fill="FFFFFF"/>
          <w:lang w:val="ru-RU"/>
        </w:rPr>
        <w:t>13.06.2015</w:t>
      </w:r>
      <w:r w:rsidRPr="004E7E3E">
        <w:rPr>
          <w:rFonts w:ascii="Times New Roman" w:hAnsi="Times New Roman" w:cs="Times New Roman"/>
          <w:color w:val="000000" w:themeColor="text1"/>
          <w:sz w:val="24"/>
          <w:szCs w:val="24"/>
          <w:shd w:val="clear" w:color="auto" w:fill="FFFFFF"/>
          <w:lang w:val="ru-RU"/>
        </w:rPr>
        <w:t xml:space="preserve"> №223-ФЗ «О саморегулируемых организациях в сфере финансового рынка» [Электронный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w:t>
      </w:r>
      <w:r w:rsidR="0037793B">
        <w:rPr>
          <w:rFonts w:ascii="Times New Roman" w:hAnsi="Times New Roman" w:cs="Times New Roman"/>
          <w:color w:val="000000" w:themeColor="text1"/>
          <w:sz w:val="24"/>
          <w:szCs w:val="24"/>
          <w:shd w:val="clear" w:color="auto" w:fill="FFFFFF"/>
        </w:rPr>
        <w:t> </w:t>
      </w:r>
      <w:hyperlink r:id="rId41" w:history="1">
        <w:r w:rsidRPr="004E7E3E">
          <w:rPr>
            <w:rStyle w:val="a9"/>
            <w:rFonts w:ascii="Times New Roman" w:hAnsi="Times New Roman" w:cs="Times New Roman"/>
            <w:color w:val="000000" w:themeColor="text1"/>
            <w:sz w:val="24"/>
            <w:szCs w:val="24"/>
            <w:u w:val="none"/>
            <w:shd w:val="clear" w:color="auto" w:fill="FFFFFF"/>
          </w:rPr>
          <w:t>https</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ovmf</w:t>
        </w:r>
        <w:r w:rsidRPr="004E7E3E">
          <w:rPr>
            <w:rStyle w:val="a9"/>
            <w:rFonts w:ascii="Times New Roman" w:hAnsi="Times New Roman" w:cs="Times New Roman"/>
            <w:color w:val="000000" w:themeColor="text1"/>
            <w:sz w:val="24"/>
            <w:szCs w:val="24"/>
            <w:u w:val="none"/>
            <w:shd w:val="clear" w:color="auto" w:fill="FFFFFF"/>
            <w:lang w:val="ru-RU"/>
          </w:rPr>
          <w:t>2.</w:t>
        </w:r>
        <w:r w:rsidRPr="004E7E3E">
          <w:rPr>
            <w:rStyle w:val="a9"/>
            <w:rFonts w:ascii="Times New Roman" w:hAnsi="Times New Roman" w:cs="Times New Roman"/>
            <w:color w:val="000000" w:themeColor="text1"/>
            <w:sz w:val="24"/>
            <w:szCs w:val="24"/>
            <w:u w:val="none"/>
            <w:shd w:val="clear" w:color="auto" w:fill="FFFFFF"/>
          </w:rPr>
          <w:t>consultant</w:t>
        </w:r>
        <w:r w:rsidRPr="004E7E3E">
          <w:rPr>
            <w:rStyle w:val="a9"/>
            <w:rFonts w:ascii="Times New Roman" w:hAnsi="Times New Roman" w:cs="Times New Roman"/>
            <w:color w:val="000000" w:themeColor="text1"/>
            <w:sz w:val="24"/>
            <w:szCs w:val="24"/>
            <w:u w:val="none"/>
            <w:shd w:val="clear" w:color="auto" w:fill="FFFFFF"/>
            <w:lang w:val="ru-RU"/>
          </w:rPr>
          <w:t>.</w:t>
        </w:r>
        <w:r w:rsidRPr="004E7E3E">
          <w:rPr>
            <w:rStyle w:val="a9"/>
            <w:rFonts w:ascii="Times New Roman" w:hAnsi="Times New Roman" w:cs="Times New Roman"/>
            <w:color w:val="000000" w:themeColor="text1"/>
            <w:sz w:val="24"/>
            <w:szCs w:val="24"/>
            <w:u w:val="none"/>
            <w:shd w:val="clear" w:color="auto" w:fill="FFFFFF"/>
          </w:rPr>
          <w:t>ru</w:t>
        </w:r>
      </w:hyperlink>
      <w:r w:rsidRPr="004E7E3E">
        <w:rPr>
          <w:rFonts w:ascii="Times New Roman" w:hAnsi="Times New Roman" w:cs="Times New Roman"/>
          <w:color w:val="000000" w:themeColor="text1"/>
          <w:sz w:val="24"/>
          <w:szCs w:val="24"/>
          <w:shd w:val="clear" w:color="auto" w:fill="FFFFFF"/>
          <w:lang w:val="ru-RU"/>
        </w:rPr>
        <w:t xml:space="preserve"> (дата обращения: 04.04.2023).</w:t>
      </w:r>
    </w:p>
    <w:p w14:paraId="4F4F4FCE" w14:textId="444CC14B" w:rsidR="00AE4368"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Паспорт государственной программы Российской Федерации «</w:t>
      </w:r>
      <w:r w:rsidRPr="004E7E3E">
        <w:rPr>
          <w:rFonts w:ascii="Times New Roman" w:hAnsi="Times New Roman" w:cs="Times New Roman"/>
          <w:color w:val="000000" w:themeColor="text1"/>
          <w:sz w:val="24"/>
          <w:szCs w:val="24"/>
          <w:lang w:val="ru-RU"/>
        </w:rPr>
        <w:t xml:space="preserve">Развитие федеративных отношений и создание условий для эффективного и ответственного управления региональными и муниципальными финансами» (утверждена постановлением Правительства РФ от </w:t>
      </w:r>
      <w:r w:rsidRPr="004E7E3E">
        <w:rPr>
          <w:rFonts w:ascii="Times New Roman" w:hAnsi="Times New Roman" w:cs="Times New Roman"/>
          <w:b/>
          <w:bCs/>
          <w:color w:val="000000" w:themeColor="text1"/>
          <w:sz w:val="24"/>
          <w:szCs w:val="24"/>
          <w:lang w:val="ru-RU"/>
        </w:rPr>
        <w:t>18.05.2016</w:t>
      </w:r>
      <w:r w:rsidRPr="004E7E3E">
        <w:rPr>
          <w:rFonts w:ascii="Times New Roman" w:hAnsi="Times New Roman" w:cs="Times New Roman"/>
          <w:color w:val="000000" w:themeColor="text1"/>
          <w:sz w:val="24"/>
          <w:szCs w:val="24"/>
          <w:lang w:val="ru-RU"/>
        </w:rPr>
        <w:t xml:space="preserve"> №445) </w:t>
      </w:r>
      <w:r w:rsidRPr="004E7E3E">
        <w:rPr>
          <w:rFonts w:ascii="Times New Roman" w:hAnsi="Times New Roman" w:cs="Times New Roman"/>
          <w:color w:val="000000" w:themeColor="text1"/>
          <w:sz w:val="24"/>
          <w:szCs w:val="24"/>
          <w:shd w:val="clear" w:color="auto" w:fill="FFFFFF"/>
          <w:lang w:val="ru-RU"/>
        </w:rPr>
        <w:t xml:space="preserve">[Электронный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r w:rsidRPr="004E7E3E">
        <w:rPr>
          <w:rFonts w:ascii="Times New Roman" w:hAnsi="Times New Roman" w:cs="Times New Roman"/>
          <w:color w:val="000000" w:themeColor="text1"/>
          <w:sz w:val="24"/>
          <w:szCs w:val="24"/>
          <w:shd w:val="clear" w:color="auto" w:fill="FFFFFF"/>
        </w:rPr>
        <w:t>https</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internet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garant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ru</w:t>
      </w:r>
      <w:r w:rsidRPr="004E7E3E">
        <w:rPr>
          <w:rFonts w:ascii="Times New Roman" w:hAnsi="Times New Roman" w:cs="Times New Roman"/>
          <w:color w:val="000000" w:themeColor="text1"/>
          <w:sz w:val="24"/>
          <w:szCs w:val="24"/>
          <w:shd w:val="clear" w:color="auto" w:fill="FFFFFF"/>
          <w:lang w:val="ru-RU"/>
        </w:rPr>
        <w:t xml:space="preserve"> (дата обращения: 27.02.2023).</w:t>
      </w:r>
    </w:p>
    <w:p w14:paraId="41600B26" w14:textId="02F0A32A" w:rsidR="008B69B1" w:rsidRPr="004E7E3E"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 xml:space="preserve">Конституция Российской Федерации от 12.12.1993 с изменения от </w:t>
      </w:r>
      <w:r w:rsidRPr="004E7E3E">
        <w:rPr>
          <w:rFonts w:ascii="Times New Roman" w:hAnsi="Times New Roman" w:cs="Times New Roman"/>
          <w:b/>
          <w:bCs/>
          <w:color w:val="000000" w:themeColor="text1"/>
          <w:sz w:val="24"/>
          <w:szCs w:val="24"/>
          <w:shd w:val="clear" w:color="auto" w:fill="FFFFFF"/>
          <w:lang w:val="ru-RU"/>
        </w:rPr>
        <w:t>01.06.2020</w:t>
      </w:r>
      <w:r w:rsidRPr="004E7E3E">
        <w:rPr>
          <w:rFonts w:ascii="Times New Roman" w:hAnsi="Times New Roman" w:cs="Times New Roman"/>
          <w:color w:val="000000" w:themeColor="text1"/>
          <w:sz w:val="24"/>
          <w:szCs w:val="24"/>
          <w:shd w:val="clear" w:color="auto" w:fill="FFFFFF"/>
          <w:lang w:val="ru-RU"/>
        </w:rPr>
        <w:t xml:space="preserve"> [Электронный ресурс].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 xml:space="preserve">: </w:t>
      </w:r>
      <w:r w:rsidRPr="004E7E3E">
        <w:rPr>
          <w:rFonts w:ascii="Times New Roman" w:hAnsi="Times New Roman" w:cs="Times New Roman"/>
          <w:color w:val="000000" w:themeColor="text1"/>
          <w:sz w:val="24"/>
          <w:szCs w:val="24"/>
          <w:shd w:val="clear" w:color="auto" w:fill="FFFFFF"/>
        </w:rPr>
        <w:t>https</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internet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garant</w:t>
      </w:r>
      <w:r w:rsidRPr="004E7E3E">
        <w:rPr>
          <w:rFonts w:ascii="Times New Roman" w:hAnsi="Times New Roman" w:cs="Times New Roman"/>
          <w:color w:val="000000" w:themeColor="text1"/>
          <w:sz w:val="24"/>
          <w:szCs w:val="24"/>
          <w:shd w:val="clear" w:color="auto" w:fill="FFFFFF"/>
          <w:lang w:val="ru-RU"/>
        </w:rPr>
        <w:t>.</w:t>
      </w:r>
      <w:r w:rsidRPr="004E7E3E">
        <w:rPr>
          <w:rFonts w:ascii="Times New Roman" w:hAnsi="Times New Roman" w:cs="Times New Roman"/>
          <w:color w:val="000000" w:themeColor="text1"/>
          <w:sz w:val="24"/>
          <w:szCs w:val="24"/>
          <w:shd w:val="clear" w:color="auto" w:fill="FFFFFF"/>
        </w:rPr>
        <w:t>ru</w:t>
      </w:r>
      <w:r w:rsidRPr="004E7E3E">
        <w:rPr>
          <w:rFonts w:ascii="Times New Roman" w:hAnsi="Times New Roman" w:cs="Times New Roman"/>
          <w:color w:val="000000" w:themeColor="text1"/>
          <w:sz w:val="24"/>
          <w:szCs w:val="24"/>
          <w:shd w:val="clear" w:color="auto" w:fill="FFFFFF"/>
          <w:lang w:val="ru-RU"/>
        </w:rPr>
        <w:t xml:space="preserve"> (дата обращения: 02.03.2023).</w:t>
      </w:r>
    </w:p>
    <w:p w14:paraId="5AB28B68" w14:textId="4144B372" w:rsidR="008B69B1" w:rsidRPr="004E7E3E" w:rsidRDefault="008B69B1"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lastRenderedPageBreak/>
        <w:t>Основные направления развития финансового рынка Российской Федерации на</w:t>
      </w:r>
      <w:r w:rsidR="0037793B">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lang w:val="ru-RU"/>
        </w:rPr>
        <w:t xml:space="preserve">2022 год и период 2023 и 2024 годов [Электронный ресурс] / Банк России. – Режим доступа: </w:t>
      </w:r>
      <w:r w:rsidRPr="004E7E3E">
        <w:rPr>
          <w:rFonts w:ascii="Times New Roman" w:hAnsi="Times New Roman" w:cs="Times New Roman"/>
          <w:color w:val="000000" w:themeColor="text1"/>
          <w:sz w:val="24"/>
          <w:szCs w:val="24"/>
          <w:shd w:val="clear" w:color="auto" w:fill="FFFFFF"/>
        </w:rPr>
        <w:t>URL</w:t>
      </w:r>
      <w:r w:rsidRPr="004E7E3E">
        <w:rPr>
          <w:rFonts w:ascii="Times New Roman" w:hAnsi="Times New Roman" w:cs="Times New Roman"/>
          <w:color w:val="000000" w:themeColor="text1"/>
          <w:sz w:val="24"/>
          <w:szCs w:val="24"/>
          <w:shd w:val="clear" w:color="auto" w:fill="FFFFFF"/>
          <w:lang w:val="ru-RU"/>
        </w:rPr>
        <w:t>:</w:t>
      </w:r>
      <w:r w:rsidR="0037793B">
        <w:rPr>
          <w:rFonts w:ascii="Times New Roman" w:hAnsi="Times New Roman" w:cs="Times New Roman"/>
          <w:color w:val="000000" w:themeColor="text1"/>
          <w:sz w:val="24"/>
          <w:szCs w:val="24"/>
          <w:shd w:val="clear" w:color="auto" w:fill="FFFFFF"/>
        </w:rPr>
        <w:t> </w:t>
      </w:r>
      <w:hyperlink r:id="rId42" w:history="1">
        <w:r w:rsidR="00625AE4" w:rsidRPr="004E7E3E">
          <w:rPr>
            <w:rStyle w:val="a9"/>
            <w:rFonts w:ascii="Times New Roman" w:hAnsi="Times New Roman" w:cs="Times New Roman"/>
            <w:color w:val="000000" w:themeColor="text1"/>
            <w:sz w:val="24"/>
            <w:szCs w:val="24"/>
            <w:u w:val="none"/>
            <w:shd w:val="clear" w:color="auto" w:fill="FFFFFF"/>
            <w:lang w:val="ru-RU"/>
          </w:rPr>
          <w:t>http://www.cbr.ru/about_br/publ/onfinmarket</w:t>
        </w:r>
      </w:hyperlink>
      <w:r w:rsidR="00625AE4" w:rsidRPr="004E7E3E">
        <w:rPr>
          <w:rFonts w:ascii="Times New Roman" w:hAnsi="Times New Roman" w:cs="Times New Roman"/>
          <w:color w:val="000000" w:themeColor="text1"/>
          <w:sz w:val="24"/>
          <w:szCs w:val="24"/>
          <w:shd w:val="clear" w:color="auto" w:fill="FFFFFF"/>
          <w:lang w:val="ru-RU"/>
        </w:rPr>
        <w:t xml:space="preserve">  (дата обращения: 04.04.2023).</w:t>
      </w:r>
    </w:p>
    <w:p w14:paraId="56C992AC" w14:textId="03A4E2ED" w:rsidR="00E5799C" w:rsidRPr="00E5799C" w:rsidRDefault="00516487" w:rsidP="00E5799C">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shd w:val="clear" w:color="auto" w:fill="FFFFFF"/>
          <w:lang w:val="ru-RU"/>
        </w:rPr>
        <w:t xml:space="preserve">Стратегия развития финансового рынка Российской Федерации до 2030 года (утверждена </w:t>
      </w:r>
      <w:r w:rsidRPr="00E5799C">
        <w:rPr>
          <w:rFonts w:ascii="Times New Roman" w:hAnsi="Times New Roman" w:cs="Times New Roman"/>
          <w:color w:val="000000" w:themeColor="text1"/>
          <w:sz w:val="24"/>
          <w:szCs w:val="24"/>
          <w:shd w:val="clear" w:color="auto" w:fill="FFFFFF"/>
          <w:lang w:val="ru-RU"/>
        </w:rPr>
        <w:t xml:space="preserve">распоряжением Правительства РФ от </w:t>
      </w:r>
      <w:r w:rsidRPr="00E5799C">
        <w:rPr>
          <w:rFonts w:ascii="Times New Roman" w:hAnsi="Times New Roman" w:cs="Times New Roman"/>
          <w:b/>
          <w:color w:val="000000" w:themeColor="text1"/>
          <w:sz w:val="24"/>
          <w:szCs w:val="24"/>
          <w:shd w:val="clear" w:color="auto" w:fill="FFFFFF"/>
          <w:lang w:val="ru-RU"/>
        </w:rPr>
        <w:t>29.12.2022</w:t>
      </w:r>
      <w:r w:rsidRPr="00E5799C">
        <w:rPr>
          <w:rFonts w:ascii="Times New Roman" w:hAnsi="Times New Roman" w:cs="Times New Roman"/>
          <w:color w:val="000000" w:themeColor="text1"/>
          <w:sz w:val="24"/>
          <w:szCs w:val="24"/>
          <w:shd w:val="clear" w:color="auto" w:fill="FFFFFF"/>
          <w:lang w:val="ru-RU"/>
        </w:rPr>
        <w:t xml:space="preserve"> №4355-р) [Электронный ресурс]. – Режим доступа: </w:t>
      </w:r>
      <w:r w:rsidRPr="00E5799C">
        <w:rPr>
          <w:rFonts w:ascii="Times New Roman" w:hAnsi="Times New Roman" w:cs="Times New Roman"/>
          <w:color w:val="000000" w:themeColor="text1"/>
          <w:sz w:val="24"/>
          <w:szCs w:val="24"/>
          <w:shd w:val="clear" w:color="auto" w:fill="FFFFFF"/>
        </w:rPr>
        <w:t>URL</w:t>
      </w:r>
      <w:r w:rsidRPr="00E5799C">
        <w:rPr>
          <w:rFonts w:ascii="Times New Roman" w:hAnsi="Times New Roman" w:cs="Times New Roman"/>
          <w:color w:val="000000" w:themeColor="text1"/>
          <w:sz w:val="24"/>
          <w:szCs w:val="24"/>
          <w:shd w:val="clear" w:color="auto" w:fill="FFFFFF"/>
          <w:lang w:val="ru-RU"/>
        </w:rPr>
        <w:t xml:space="preserve">: </w:t>
      </w:r>
      <w:hyperlink r:id="rId43" w:history="1">
        <w:r w:rsidRPr="00E5799C">
          <w:rPr>
            <w:rStyle w:val="a9"/>
            <w:rFonts w:ascii="Times New Roman" w:hAnsi="Times New Roman" w:cs="Times New Roman"/>
            <w:color w:val="000000" w:themeColor="text1"/>
            <w:sz w:val="24"/>
            <w:szCs w:val="24"/>
            <w:u w:val="none"/>
            <w:shd w:val="clear" w:color="auto" w:fill="FFFFFF"/>
          </w:rPr>
          <w:t>https</w:t>
        </w:r>
        <w:r w:rsidRPr="00E5799C">
          <w:rPr>
            <w:rStyle w:val="a9"/>
            <w:rFonts w:ascii="Times New Roman" w:hAnsi="Times New Roman" w:cs="Times New Roman"/>
            <w:color w:val="000000" w:themeColor="text1"/>
            <w:sz w:val="24"/>
            <w:szCs w:val="24"/>
            <w:u w:val="none"/>
            <w:shd w:val="clear" w:color="auto" w:fill="FFFFFF"/>
            <w:lang w:val="ru-RU"/>
          </w:rPr>
          <w:t>://</w:t>
        </w:r>
        <w:r w:rsidRPr="00E5799C">
          <w:rPr>
            <w:rStyle w:val="a9"/>
            <w:rFonts w:ascii="Times New Roman" w:hAnsi="Times New Roman" w:cs="Times New Roman"/>
            <w:color w:val="000000" w:themeColor="text1"/>
            <w:sz w:val="24"/>
            <w:szCs w:val="24"/>
            <w:u w:val="none"/>
            <w:shd w:val="clear" w:color="auto" w:fill="FFFFFF"/>
          </w:rPr>
          <w:t>ovmf</w:t>
        </w:r>
        <w:r w:rsidRPr="00E5799C">
          <w:rPr>
            <w:rStyle w:val="a9"/>
            <w:rFonts w:ascii="Times New Roman" w:hAnsi="Times New Roman" w:cs="Times New Roman"/>
            <w:color w:val="000000" w:themeColor="text1"/>
            <w:sz w:val="24"/>
            <w:szCs w:val="24"/>
            <w:u w:val="none"/>
            <w:shd w:val="clear" w:color="auto" w:fill="FFFFFF"/>
            <w:lang w:val="ru-RU"/>
          </w:rPr>
          <w:t>2.</w:t>
        </w:r>
        <w:r w:rsidRPr="00E5799C">
          <w:rPr>
            <w:rStyle w:val="a9"/>
            <w:rFonts w:ascii="Times New Roman" w:hAnsi="Times New Roman" w:cs="Times New Roman"/>
            <w:color w:val="000000" w:themeColor="text1"/>
            <w:sz w:val="24"/>
            <w:szCs w:val="24"/>
            <w:u w:val="none"/>
            <w:shd w:val="clear" w:color="auto" w:fill="FFFFFF"/>
          </w:rPr>
          <w:t>consultant</w:t>
        </w:r>
        <w:r w:rsidRPr="00E5799C">
          <w:rPr>
            <w:rStyle w:val="a9"/>
            <w:rFonts w:ascii="Times New Roman" w:hAnsi="Times New Roman" w:cs="Times New Roman"/>
            <w:color w:val="000000" w:themeColor="text1"/>
            <w:sz w:val="24"/>
            <w:szCs w:val="24"/>
            <w:u w:val="none"/>
            <w:shd w:val="clear" w:color="auto" w:fill="FFFFFF"/>
            <w:lang w:val="ru-RU"/>
          </w:rPr>
          <w:t>.</w:t>
        </w:r>
        <w:r w:rsidRPr="00E5799C">
          <w:rPr>
            <w:rStyle w:val="a9"/>
            <w:rFonts w:ascii="Times New Roman" w:hAnsi="Times New Roman" w:cs="Times New Roman"/>
            <w:color w:val="000000" w:themeColor="text1"/>
            <w:sz w:val="24"/>
            <w:szCs w:val="24"/>
            <w:u w:val="none"/>
            <w:shd w:val="clear" w:color="auto" w:fill="FFFFFF"/>
          </w:rPr>
          <w:t>ru</w:t>
        </w:r>
      </w:hyperlink>
      <w:r w:rsidRPr="00E5799C">
        <w:rPr>
          <w:rFonts w:ascii="Times New Roman" w:hAnsi="Times New Roman" w:cs="Times New Roman"/>
          <w:color w:val="000000" w:themeColor="text1"/>
          <w:sz w:val="24"/>
          <w:szCs w:val="24"/>
          <w:shd w:val="clear" w:color="auto" w:fill="FFFFFF"/>
          <w:lang w:val="ru-RU"/>
        </w:rPr>
        <w:t xml:space="preserve"> (дата обращения: 04.04.2023).</w:t>
      </w:r>
    </w:p>
    <w:p w14:paraId="1C555D05" w14:textId="77777777" w:rsidR="00A11C6E" w:rsidRPr="00E5799C" w:rsidRDefault="00A11C6E" w:rsidP="00A11C6E">
      <w:pPr>
        <w:pStyle w:val="af3"/>
        <w:spacing w:after="0" w:line="360" w:lineRule="auto"/>
        <w:jc w:val="center"/>
        <w:rPr>
          <w:rFonts w:ascii="Times New Roman" w:hAnsi="Times New Roman" w:cs="Times New Roman"/>
          <w:b/>
          <w:sz w:val="24"/>
          <w:szCs w:val="24"/>
          <w:lang w:val="ru-RU"/>
        </w:rPr>
      </w:pPr>
      <w:r w:rsidRPr="00E5799C">
        <w:rPr>
          <w:rFonts w:ascii="Times New Roman" w:hAnsi="Times New Roman" w:cs="Times New Roman"/>
          <w:b/>
          <w:sz w:val="24"/>
          <w:szCs w:val="24"/>
          <w:lang w:val="ru-RU"/>
        </w:rPr>
        <w:t>2.Статистические данные:</w:t>
      </w:r>
    </w:p>
    <w:p w14:paraId="631AF5D2" w14:textId="77777777" w:rsidR="00A11C6E" w:rsidRPr="00A11C6E" w:rsidRDefault="00A11C6E" w:rsidP="00A11C6E">
      <w:pPr>
        <w:shd w:val="clear" w:color="auto" w:fill="FFFFFF"/>
        <w:tabs>
          <w:tab w:val="left" w:pos="993"/>
        </w:tabs>
        <w:spacing w:after="0" w:line="360" w:lineRule="auto"/>
        <w:jc w:val="both"/>
        <w:rPr>
          <w:rFonts w:ascii="Times New Roman" w:hAnsi="Times New Roman" w:cs="Times New Roman"/>
          <w:color w:val="000000" w:themeColor="text1"/>
          <w:sz w:val="24"/>
          <w:szCs w:val="24"/>
          <w:lang w:val="ru-RU"/>
        </w:rPr>
      </w:pPr>
    </w:p>
    <w:p w14:paraId="53DCA357" w14:textId="67A24EA6" w:rsidR="00BC2357" w:rsidRPr="0037793B" w:rsidRDefault="00BC2357" w:rsidP="00E5799C">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37793B">
        <w:rPr>
          <w:rFonts w:ascii="Times New Roman" w:hAnsi="Times New Roman" w:cs="Times New Roman"/>
          <w:color w:val="000000" w:themeColor="text1"/>
          <w:sz w:val="24"/>
          <w:szCs w:val="24"/>
          <w:lang w:val="ru-RU"/>
        </w:rPr>
        <w:t xml:space="preserve">Банкоматы (на 100 тыс. взрослого населения) </w:t>
      </w:r>
      <w:r w:rsidRPr="0037793B">
        <w:rPr>
          <w:rFonts w:ascii="Times New Roman" w:eastAsia="Times New Roman" w:hAnsi="Times New Roman" w:cs="Times New Roman"/>
          <w:color w:val="000000" w:themeColor="text1"/>
          <w:sz w:val="24"/>
          <w:szCs w:val="24"/>
          <w:lang w:val="ru-RU" w:eastAsia="ru-RU" w:bidi="ar-SA"/>
        </w:rPr>
        <w:t xml:space="preserve">[Электронный ресурс] </w:t>
      </w:r>
      <w:r w:rsidRPr="0037793B">
        <w:rPr>
          <w:rFonts w:ascii="Times New Roman" w:hAnsi="Times New Roman" w:cs="Times New Roman"/>
          <w:color w:val="000000" w:themeColor="text1"/>
          <w:sz w:val="24"/>
          <w:szCs w:val="24"/>
          <w:lang w:val="ru-RU"/>
        </w:rPr>
        <w:t xml:space="preserve">// Единое хранилище данных Информационно-аналитической системы мониторинга комплексного развития г. Москвы – Режим доступа: </w:t>
      </w:r>
      <w:r w:rsidRPr="0037793B">
        <w:rPr>
          <w:rFonts w:ascii="Times New Roman" w:hAnsi="Times New Roman" w:cs="Times New Roman"/>
          <w:color w:val="000000" w:themeColor="text1"/>
          <w:sz w:val="24"/>
          <w:szCs w:val="24"/>
        </w:rPr>
        <w:t>URL</w:t>
      </w:r>
      <w:r w:rsidRPr="0037793B">
        <w:rPr>
          <w:rFonts w:ascii="Times New Roman" w:hAnsi="Times New Roman" w:cs="Times New Roman"/>
          <w:color w:val="000000" w:themeColor="text1"/>
          <w:sz w:val="24"/>
          <w:szCs w:val="24"/>
          <w:lang w:val="ru-RU"/>
        </w:rPr>
        <w:t xml:space="preserve">: </w:t>
      </w:r>
      <w:hyperlink r:id="rId44" w:tooltip="https://ehd.moscow/index.php?show=inds&amp;source=-385" w:history="1">
        <w:r w:rsidRPr="0037793B">
          <w:rPr>
            <w:rStyle w:val="a9"/>
            <w:rFonts w:ascii="Times New Roman" w:hAnsi="Times New Roman" w:cs="Times New Roman"/>
            <w:color w:val="000000" w:themeColor="text1"/>
            <w:sz w:val="24"/>
            <w:szCs w:val="24"/>
            <w:u w:val="none"/>
            <w:lang w:val="ru-RU"/>
          </w:rPr>
          <w:t>https://ehd.moscow/index.php?show=inds&amp;source=-385</w:t>
        </w:r>
      </w:hyperlink>
      <w:r w:rsidRPr="0037793B">
        <w:rPr>
          <w:rFonts w:ascii="Times New Roman" w:hAnsi="Times New Roman" w:cs="Times New Roman"/>
          <w:color w:val="000000" w:themeColor="text1"/>
          <w:sz w:val="24"/>
          <w:szCs w:val="24"/>
          <w:lang w:val="ru-RU"/>
        </w:rPr>
        <w:t xml:space="preserve"> (дата обращения: 02.03.2023).</w:t>
      </w:r>
    </w:p>
    <w:p w14:paraId="0347802D" w14:textId="100C3AA4" w:rsidR="00BC2357" w:rsidRPr="0037793B" w:rsidRDefault="00BC2357"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37793B">
        <w:rPr>
          <w:rFonts w:ascii="Times New Roman" w:hAnsi="Times New Roman" w:cs="Times New Roman"/>
          <w:color w:val="000000" w:themeColor="text1"/>
          <w:sz w:val="24"/>
          <w:szCs w:val="24"/>
          <w:lang w:val="ru-RU"/>
        </w:rPr>
        <w:t xml:space="preserve">Ведение бизнеса 2014: Понимание регулирования деятельности малых и средних предприятий. Вашингтон / Группа Всемирного банка. </w:t>
      </w:r>
      <w:r w:rsidRPr="0037793B">
        <w:rPr>
          <w:rFonts w:ascii="Times New Roman" w:hAnsi="Times New Roman" w:cs="Times New Roman"/>
          <w:color w:val="000000" w:themeColor="text1"/>
          <w:sz w:val="24"/>
          <w:szCs w:val="24"/>
          <w:lang w:val="ru-RU" w:eastAsia="zh-CN"/>
        </w:rPr>
        <w:t xml:space="preserve">[Электронный ресурс]. – </w:t>
      </w:r>
      <w:r w:rsidRPr="0037793B">
        <w:rPr>
          <w:rFonts w:ascii="Times New Roman" w:hAnsi="Times New Roman" w:cs="Times New Roman"/>
          <w:color w:val="000000" w:themeColor="text1"/>
          <w:sz w:val="24"/>
          <w:szCs w:val="24"/>
          <w:shd w:val="clear" w:color="auto" w:fill="FFFFFF"/>
          <w:lang w:val="ru-RU"/>
        </w:rPr>
        <w:t xml:space="preserve">– Режим доступа: </w:t>
      </w:r>
      <w:r w:rsidRPr="0037793B">
        <w:rPr>
          <w:rFonts w:ascii="Times New Roman" w:hAnsi="Times New Roman" w:cs="Times New Roman"/>
          <w:color w:val="000000" w:themeColor="text1"/>
          <w:sz w:val="24"/>
          <w:szCs w:val="24"/>
        </w:rPr>
        <w:t>URL</w:t>
      </w:r>
      <w:r w:rsidRPr="0037793B">
        <w:rPr>
          <w:rFonts w:ascii="Times New Roman" w:hAnsi="Times New Roman" w:cs="Times New Roman"/>
          <w:color w:val="000000" w:themeColor="text1"/>
          <w:sz w:val="24"/>
          <w:szCs w:val="24"/>
          <w:lang w:val="ru-RU"/>
        </w:rPr>
        <w:t xml:space="preserve">: </w:t>
      </w:r>
      <w:r w:rsidRPr="0037793B">
        <w:rPr>
          <w:rFonts w:ascii="Times New Roman" w:hAnsi="Times New Roman" w:cs="Times New Roman"/>
          <w:sz w:val="24"/>
          <w:szCs w:val="24"/>
        </w:rPr>
        <w:t>https</w:t>
      </w:r>
      <w:r w:rsidRPr="0037793B">
        <w:rPr>
          <w:rFonts w:ascii="Times New Roman" w:hAnsi="Times New Roman" w:cs="Times New Roman"/>
          <w:sz w:val="24"/>
          <w:szCs w:val="24"/>
          <w:lang w:val="ru-RU"/>
        </w:rPr>
        <w:t>://</w:t>
      </w:r>
      <w:r w:rsidRPr="0037793B">
        <w:rPr>
          <w:rFonts w:ascii="Times New Roman" w:hAnsi="Times New Roman" w:cs="Times New Roman"/>
          <w:sz w:val="24"/>
          <w:szCs w:val="24"/>
        </w:rPr>
        <w:t>www</w:t>
      </w:r>
      <w:r w:rsidRPr="0037793B">
        <w:rPr>
          <w:rFonts w:ascii="Times New Roman" w:hAnsi="Times New Roman" w:cs="Times New Roman"/>
          <w:sz w:val="24"/>
          <w:szCs w:val="24"/>
          <w:lang w:val="ru-RU"/>
        </w:rPr>
        <w:t>.</w:t>
      </w:r>
      <w:r w:rsidRPr="0037793B">
        <w:rPr>
          <w:rFonts w:ascii="Times New Roman" w:hAnsi="Times New Roman" w:cs="Times New Roman"/>
          <w:sz w:val="24"/>
          <w:szCs w:val="24"/>
        </w:rPr>
        <w:t>worldbank</w:t>
      </w:r>
      <w:r w:rsidRPr="0037793B">
        <w:rPr>
          <w:rFonts w:ascii="Times New Roman" w:hAnsi="Times New Roman" w:cs="Times New Roman"/>
          <w:sz w:val="24"/>
          <w:szCs w:val="24"/>
          <w:lang w:val="ru-RU"/>
        </w:rPr>
        <w:t>.</w:t>
      </w:r>
      <w:r w:rsidRPr="0037793B">
        <w:rPr>
          <w:rFonts w:ascii="Times New Roman" w:hAnsi="Times New Roman" w:cs="Times New Roman"/>
          <w:sz w:val="24"/>
          <w:szCs w:val="24"/>
        </w:rPr>
        <w:t>org</w:t>
      </w:r>
      <w:r w:rsidRPr="0037793B">
        <w:rPr>
          <w:rFonts w:ascii="Times New Roman" w:hAnsi="Times New Roman" w:cs="Times New Roman"/>
          <w:sz w:val="24"/>
          <w:szCs w:val="24"/>
          <w:lang w:val="ru-RU"/>
        </w:rPr>
        <w:t>/</w:t>
      </w:r>
      <w:r w:rsidRPr="0037793B">
        <w:rPr>
          <w:rFonts w:ascii="Times New Roman" w:hAnsi="Times New Roman" w:cs="Times New Roman"/>
          <w:sz w:val="24"/>
          <w:szCs w:val="24"/>
        </w:rPr>
        <w:t>en</w:t>
      </w:r>
      <w:r w:rsidRPr="0037793B">
        <w:rPr>
          <w:rFonts w:ascii="Times New Roman" w:hAnsi="Times New Roman" w:cs="Times New Roman"/>
          <w:sz w:val="24"/>
          <w:szCs w:val="24"/>
          <w:lang w:val="ru-RU"/>
        </w:rPr>
        <w:t>/</w:t>
      </w:r>
      <w:r w:rsidRPr="0037793B">
        <w:rPr>
          <w:rFonts w:ascii="Times New Roman" w:hAnsi="Times New Roman" w:cs="Times New Roman"/>
          <w:sz w:val="24"/>
          <w:szCs w:val="24"/>
        </w:rPr>
        <w:t>programs</w:t>
      </w:r>
      <w:r w:rsidRPr="0037793B">
        <w:rPr>
          <w:rFonts w:ascii="Times New Roman" w:hAnsi="Times New Roman" w:cs="Times New Roman"/>
          <w:sz w:val="24"/>
          <w:szCs w:val="24"/>
          <w:lang w:val="ru-RU"/>
        </w:rPr>
        <w:t>/</w:t>
      </w:r>
      <w:r w:rsidRPr="0037793B">
        <w:rPr>
          <w:rFonts w:ascii="Times New Roman" w:hAnsi="Times New Roman" w:cs="Times New Roman"/>
          <w:sz w:val="24"/>
          <w:szCs w:val="24"/>
        </w:rPr>
        <w:t>business</w:t>
      </w:r>
      <w:r w:rsidRPr="0037793B">
        <w:rPr>
          <w:rFonts w:ascii="Times New Roman" w:hAnsi="Times New Roman" w:cs="Times New Roman"/>
          <w:sz w:val="24"/>
          <w:szCs w:val="24"/>
          <w:lang w:val="ru-RU"/>
        </w:rPr>
        <w:t>-</w:t>
      </w:r>
      <w:r w:rsidRPr="0037793B">
        <w:rPr>
          <w:rFonts w:ascii="Times New Roman" w:hAnsi="Times New Roman" w:cs="Times New Roman"/>
          <w:sz w:val="24"/>
          <w:szCs w:val="24"/>
        </w:rPr>
        <w:t>enabling</w:t>
      </w:r>
      <w:r w:rsidRPr="0037793B">
        <w:rPr>
          <w:rFonts w:ascii="Times New Roman" w:hAnsi="Times New Roman" w:cs="Times New Roman"/>
          <w:sz w:val="24"/>
          <w:szCs w:val="24"/>
          <w:lang w:val="ru-RU"/>
        </w:rPr>
        <w:t>-</w:t>
      </w:r>
      <w:r w:rsidRPr="0037793B">
        <w:rPr>
          <w:rFonts w:ascii="Times New Roman" w:hAnsi="Times New Roman" w:cs="Times New Roman"/>
          <w:sz w:val="24"/>
          <w:szCs w:val="24"/>
        </w:rPr>
        <w:t>environment</w:t>
      </w:r>
      <w:r w:rsidRPr="0037793B">
        <w:rPr>
          <w:rFonts w:ascii="Times New Roman" w:hAnsi="Times New Roman" w:cs="Times New Roman"/>
          <w:sz w:val="24"/>
          <w:szCs w:val="24"/>
          <w:lang w:val="ru-RU"/>
        </w:rPr>
        <w:t>/</w:t>
      </w:r>
      <w:r w:rsidRPr="0037793B">
        <w:rPr>
          <w:rFonts w:ascii="Times New Roman" w:hAnsi="Times New Roman" w:cs="Times New Roman"/>
          <w:sz w:val="24"/>
          <w:szCs w:val="24"/>
        </w:rPr>
        <w:t>doing</w:t>
      </w:r>
      <w:r w:rsidRPr="0037793B">
        <w:rPr>
          <w:rFonts w:ascii="Times New Roman" w:hAnsi="Times New Roman" w:cs="Times New Roman"/>
          <w:sz w:val="24"/>
          <w:szCs w:val="24"/>
          <w:lang w:val="ru-RU"/>
        </w:rPr>
        <w:t>-</w:t>
      </w:r>
      <w:r w:rsidRPr="0037793B">
        <w:rPr>
          <w:rFonts w:ascii="Times New Roman" w:hAnsi="Times New Roman" w:cs="Times New Roman"/>
          <w:sz w:val="24"/>
          <w:szCs w:val="24"/>
        </w:rPr>
        <w:t>business</w:t>
      </w:r>
      <w:r w:rsidRPr="0037793B">
        <w:rPr>
          <w:rFonts w:ascii="Times New Roman" w:hAnsi="Times New Roman" w:cs="Times New Roman"/>
          <w:sz w:val="24"/>
          <w:szCs w:val="24"/>
          <w:lang w:val="ru-RU"/>
        </w:rPr>
        <w:t>-</w:t>
      </w:r>
      <w:r w:rsidRPr="0037793B">
        <w:rPr>
          <w:rFonts w:ascii="Times New Roman" w:hAnsi="Times New Roman" w:cs="Times New Roman"/>
          <w:sz w:val="24"/>
          <w:szCs w:val="24"/>
        </w:rPr>
        <w:t>legacy</w:t>
      </w:r>
      <w:r w:rsidRPr="0037793B">
        <w:rPr>
          <w:rFonts w:ascii="Times New Roman" w:hAnsi="Times New Roman" w:cs="Times New Roman"/>
          <w:color w:val="000000" w:themeColor="text1"/>
          <w:sz w:val="24"/>
          <w:szCs w:val="24"/>
          <w:lang w:val="ru-RU"/>
        </w:rPr>
        <w:t xml:space="preserve"> (дата обращения: 01.03.2023).</w:t>
      </w:r>
    </w:p>
    <w:p w14:paraId="78DA4912" w14:textId="450123CD" w:rsidR="00AE4368" w:rsidRPr="0037793B" w:rsidRDefault="002023F4"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37793B">
        <w:rPr>
          <w:rFonts w:ascii="Times New Roman" w:eastAsia="Times New Roman" w:hAnsi="Times New Roman" w:cs="Times New Roman"/>
          <w:color w:val="000000" w:themeColor="text1"/>
          <w:sz w:val="24"/>
          <w:szCs w:val="24"/>
          <w:lang w:val="ru-RU" w:eastAsia="ru-RU" w:bidi="ar-SA"/>
        </w:rPr>
        <w:t xml:space="preserve">Доклад «Социально-экономическое положение г. Москвы» [Электронный ресурс] / Управление Федеральной службы государственной статистики по г. Москве и Московской области. – Режим доступа: </w:t>
      </w:r>
      <w:r w:rsidRPr="0037793B">
        <w:rPr>
          <w:rFonts w:ascii="Times New Roman" w:eastAsia="Times New Roman" w:hAnsi="Times New Roman" w:cs="Times New Roman"/>
          <w:color w:val="000000" w:themeColor="text1"/>
          <w:sz w:val="24"/>
          <w:szCs w:val="24"/>
          <w:lang w:eastAsia="ru-RU" w:bidi="ar-SA"/>
        </w:rPr>
        <w:t>URL</w:t>
      </w:r>
      <w:r w:rsidRPr="0037793B">
        <w:rPr>
          <w:rFonts w:ascii="Times New Roman" w:eastAsia="Times New Roman" w:hAnsi="Times New Roman" w:cs="Times New Roman"/>
          <w:color w:val="000000" w:themeColor="text1"/>
          <w:sz w:val="24"/>
          <w:szCs w:val="24"/>
          <w:lang w:val="ru-RU" w:eastAsia="ru-RU" w:bidi="ar-SA"/>
        </w:rPr>
        <w:t>: https://mosstat.gks.ru/folder/65047</w:t>
      </w:r>
      <w:r w:rsidRPr="0037793B">
        <w:rPr>
          <w:rFonts w:ascii="Times New Roman" w:hAnsi="Times New Roman" w:cs="Times New Roman"/>
          <w:color w:val="000000" w:themeColor="text1"/>
          <w:sz w:val="24"/>
          <w:szCs w:val="24"/>
          <w:lang w:val="ru-RU"/>
        </w:rPr>
        <w:t xml:space="preserve"> (дата обращения: 02.03.2023).</w:t>
      </w:r>
    </w:p>
    <w:p w14:paraId="1B3719E1" w14:textId="58B02B1E" w:rsidR="00BC2357" w:rsidRPr="0037793B" w:rsidRDefault="00BC2357"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37793B">
        <w:rPr>
          <w:rFonts w:ascii="Times New Roman" w:eastAsia="Times New Roman" w:hAnsi="Times New Roman" w:cs="Times New Roman"/>
          <w:color w:val="000000" w:themeColor="text1"/>
          <w:sz w:val="24"/>
          <w:szCs w:val="24"/>
          <w:lang w:val="ru-RU" w:eastAsia="ru-RU" w:bidi="ar-SA"/>
        </w:rPr>
        <w:t>Доклад «Социально-экономическое положение Санкт-Петербурга» в 2017</w:t>
      </w:r>
      <w:r w:rsidRPr="0037793B">
        <w:rPr>
          <w:rFonts w:ascii="Times New Roman" w:hAnsi="Times New Roman" w:cs="Times New Roman"/>
          <w:color w:val="000000" w:themeColor="text1"/>
          <w:sz w:val="24"/>
          <w:szCs w:val="24"/>
          <w:lang w:val="ru-RU"/>
        </w:rPr>
        <w:t>–</w:t>
      </w:r>
      <w:r w:rsidRPr="0037793B">
        <w:rPr>
          <w:rFonts w:ascii="Times New Roman" w:eastAsia="Times New Roman" w:hAnsi="Times New Roman" w:cs="Times New Roman"/>
          <w:color w:val="000000" w:themeColor="text1"/>
          <w:sz w:val="24"/>
          <w:szCs w:val="24"/>
          <w:lang w:val="ru-RU" w:eastAsia="ru-RU" w:bidi="ar-SA"/>
        </w:rPr>
        <w:t>2023 [Электронный ресурс] / Управление Федеральной службы государственной статистики по г. Санкт</w:t>
      </w:r>
      <w:r w:rsidRPr="0037793B">
        <w:rPr>
          <w:rFonts w:ascii="Times New Roman" w:eastAsia="Times New Roman" w:hAnsi="Times New Roman" w:cs="Times New Roman"/>
          <w:color w:val="000000" w:themeColor="text1"/>
          <w:sz w:val="24"/>
          <w:szCs w:val="24"/>
          <w:lang w:val="ru-RU" w:eastAsia="ru-RU" w:bidi="ar-SA"/>
        </w:rPr>
        <w:noBreakHyphen/>
        <w:t xml:space="preserve">Петербург и Ленинградской области. – Режим доступа: </w:t>
      </w:r>
      <w:r w:rsidRPr="0037793B">
        <w:rPr>
          <w:rFonts w:ascii="Times New Roman" w:eastAsia="Times New Roman" w:hAnsi="Times New Roman" w:cs="Times New Roman"/>
          <w:color w:val="000000" w:themeColor="text1"/>
          <w:sz w:val="24"/>
          <w:szCs w:val="24"/>
          <w:lang w:eastAsia="ru-RU" w:bidi="ar-SA"/>
        </w:rPr>
        <w:t>URL</w:t>
      </w:r>
      <w:r w:rsidRPr="0037793B">
        <w:rPr>
          <w:rFonts w:ascii="Times New Roman" w:eastAsia="Times New Roman" w:hAnsi="Times New Roman" w:cs="Times New Roman"/>
          <w:color w:val="000000" w:themeColor="text1"/>
          <w:sz w:val="24"/>
          <w:szCs w:val="24"/>
          <w:lang w:val="ru-RU" w:eastAsia="ru-RU" w:bidi="ar-SA"/>
        </w:rPr>
        <w:t>:</w:t>
      </w:r>
      <w:r w:rsidR="0037793B" w:rsidRPr="0037793B">
        <w:rPr>
          <w:rFonts w:ascii="Times New Roman" w:eastAsia="Times New Roman" w:hAnsi="Times New Roman" w:cs="Times New Roman"/>
          <w:color w:val="000000" w:themeColor="text1"/>
          <w:sz w:val="24"/>
          <w:szCs w:val="24"/>
          <w:lang w:eastAsia="ru-RU" w:bidi="ar-SA"/>
        </w:rPr>
        <w:t> </w:t>
      </w:r>
      <w:hyperlink r:id="rId45" w:tooltip="https://petrostat.gks.ru/folder/32168" w:history="1">
        <w:r w:rsidRPr="0037793B">
          <w:rPr>
            <w:rStyle w:val="a9"/>
            <w:rFonts w:ascii="Times New Roman" w:eastAsia="Times New Roman" w:hAnsi="Times New Roman" w:cs="Times New Roman"/>
            <w:color w:val="000000" w:themeColor="text1"/>
            <w:sz w:val="24"/>
            <w:szCs w:val="24"/>
            <w:u w:val="none"/>
            <w:lang w:val="ru-RU" w:eastAsia="ru-RU" w:bidi="ar-SA"/>
          </w:rPr>
          <w:t>https://petrostat.gks.ru/folder/32168</w:t>
        </w:r>
      </w:hyperlink>
      <w:r w:rsidRPr="0037793B">
        <w:rPr>
          <w:rFonts w:ascii="Times New Roman" w:eastAsia="Times New Roman" w:hAnsi="Times New Roman" w:cs="Times New Roman"/>
          <w:color w:val="000000" w:themeColor="text1"/>
          <w:sz w:val="24"/>
          <w:szCs w:val="24"/>
          <w:lang w:val="ru-RU" w:eastAsia="ru-RU" w:bidi="ar-SA"/>
        </w:rPr>
        <w:t xml:space="preserve"> </w:t>
      </w:r>
      <w:r w:rsidRPr="0037793B">
        <w:rPr>
          <w:rFonts w:ascii="Times New Roman" w:hAnsi="Times New Roman" w:cs="Times New Roman"/>
          <w:color w:val="000000" w:themeColor="text1"/>
          <w:sz w:val="24"/>
          <w:szCs w:val="24"/>
          <w:lang w:val="ru-RU"/>
        </w:rPr>
        <w:t>(дата обращения: 02.03.2023).</w:t>
      </w:r>
    </w:p>
    <w:p w14:paraId="2FD2BB53" w14:textId="7972FE8E" w:rsidR="00BC2357" w:rsidRPr="0037793B" w:rsidRDefault="00BC2357"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37793B">
        <w:rPr>
          <w:rFonts w:ascii="Times New Roman" w:hAnsi="Times New Roman" w:cs="Times New Roman"/>
          <w:color w:val="000000" w:themeColor="text1"/>
          <w:sz w:val="24"/>
          <w:szCs w:val="24"/>
          <w:lang w:val="ru-RU"/>
        </w:rPr>
        <w:t xml:space="preserve">Дом.РФ. Единая информационная система жилищного строительства. Анилитика. Основные показатели жилищного строительства </w:t>
      </w:r>
      <w:r w:rsidRPr="0037793B">
        <w:rPr>
          <w:rFonts w:ascii="Times New Roman" w:eastAsia="Times New Roman" w:hAnsi="Times New Roman" w:cs="Times New Roman"/>
          <w:color w:val="000000" w:themeColor="text1"/>
          <w:sz w:val="24"/>
          <w:szCs w:val="24"/>
          <w:lang w:val="ru-RU" w:eastAsia="ru-RU" w:bidi="ar-SA"/>
        </w:rPr>
        <w:t xml:space="preserve">[Электронный ресурс] </w:t>
      </w:r>
      <w:r w:rsidRPr="0037793B">
        <w:rPr>
          <w:rFonts w:ascii="Times New Roman" w:hAnsi="Times New Roman" w:cs="Times New Roman"/>
          <w:color w:val="000000" w:themeColor="text1"/>
          <w:sz w:val="24"/>
          <w:szCs w:val="24"/>
          <w:lang w:val="ru-RU"/>
        </w:rPr>
        <w:t xml:space="preserve">/Дом.РФ. – Режим доступа: </w:t>
      </w:r>
      <w:r w:rsidRPr="0037793B">
        <w:rPr>
          <w:rFonts w:ascii="Times New Roman" w:hAnsi="Times New Roman" w:cs="Times New Roman"/>
          <w:color w:val="000000" w:themeColor="text1"/>
          <w:sz w:val="24"/>
          <w:szCs w:val="24"/>
        </w:rPr>
        <w:t>URL</w:t>
      </w:r>
      <w:r w:rsidRPr="0037793B">
        <w:rPr>
          <w:rFonts w:ascii="Times New Roman" w:hAnsi="Times New Roman" w:cs="Times New Roman"/>
          <w:color w:val="000000" w:themeColor="text1"/>
          <w:sz w:val="24"/>
          <w:szCs w:val="24"/>
          <w:lang w:val="ru-RU"/>
        </w:rPr>
        <w:t xml:space="preserve">: </w:t>
      </w:r>
      <w:hyperlink r:id="rId46" w:tooltip="https://наш.дом.рф/аналитика/показатели_жилищного_строительства" w:history="1">
        <w:r w:rsidRPr="0037793B">
          <w:rPr>
            <w:rStyle w:val="a9"/>
            <w:rFonts w:ascii="Times New Roman" w:hAnsi="Times New Roman" w:cs="Times New Roman"/>
            <w:color w:val="000000" w:themeColor="text1"/>
            <w:sz w:val="24"/>
            <w:szCs w:val="24"/>
            <w:u w:val="none"/>
            <w:lang w:val="ru-RU"/>
          </w:rPr>
          <w:t>https://наш.дом.рф/аналитика/показатели_жилищного_строительства</w:t>
        </w:r>
      </w:hyperlink>
      <w:r w:rsidRPr="0037793B">
        <w:rPr>
          <w:rFonts w:ascii="Times New Roman" w:hAnsi="Times New Roman" w:cs="Times New Roman"/>
          <w:color w:val="000000" w:themeColor="text1"/>
          <w:sz w:val="24"/>
          <w:szCs w:val="24"/>
          <w:lang w:val="ru-RU"/>
        </w:rPr>
        <w:t xml:space="preserve"> (дата обращения: 02.03.2023).</w:t>
      </w:r>
    </w:p>
    <w:p w14:paraId="2F6E84FA" w14:textId="0A8609D0" w:rsidR="00BC2357" w:rsidRPr="0037793B" w:rsidRDefault="00BC2357" w:rsidP="00A134D2">
      <w:pPr>
        <w:pStyle w:val="af3"/>
        <w:numPr>
          <w:ilvl w:val="0"/>
          <w:numId w:val="15"/>
        </w:numPr>
        <w:shd w:val="clear" w:color="auto" w:fill="FFFFFF"/>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37793B">
        <w:rPr>
          <w:rFonts w:ascii="Times New Roman" w:eastAsia="Times New Roman" w:hAnsi="Times New Roman" w:cs="Times New Roman"/>
          <w:color w:val="000000" w:themeColor="text1"/>
          <w:sz w:val="24"/>
          <w:szCs w:val="24"/>
          <w:lang w:val="ru-RU" w:eastAsia="ru-RU" w:bidi="ar-SA"/>
        </w:rPr>
        <w:t xml:space="preserve">Московская биржа. Аналитические продукты [Электронный ресурс] // Московская биржа. </w:t>
      </w:r>
      <w:r w:rsidRPr="0037793B">
        <w:rPr>
          <w:rFonts w:ascii="Times New Roman" w:hAnsi="Times New Roman" w:cs="Times New Roman"/>
          <w:color w:val="000000" w:themeColor="text1"/>
          <w:sz w:val="24"/>
          <w:szCs w:val="24"/>
          <w:lang w:val="ru-RU"/>
        </w:rPr>
        <w:t xml:space="preserve">– </w:t>
      </w:r>
      <w:r w:rsidRPr="0037793B">
        <w:rPr>
          <w:rFonts w:ascii="Times New Roman" w:eastAsia="Times New Roman" w:hAnsi="Times New Roman" w:cs="Times New Roman"/>
          <w:color w:val="000000" w:themeColor="text1"/>
          <w:sz w:val="24"/>
          <w:szCs w:val="24"/>
          <w:lang w:val="ru-RU" w:eastAsia="ru-RU" w:bidi="ar-SA"/>
        </w:rPr>
        <w:t>Режим доступа: https://www.moex.com/ru/analyticalproducts?netflow1 (дата обращения: 01.03.2023).</w:t>
      </w:r>
    </w:p>
    <w:p w14:paraId="04BF1F76" w14:textId="4B9C7390" w:rsidR="00BC2357" w:rsidRPr="0037793B" w:rsidRDefault="00BC235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53" w:name="_Ref446787734"/>
      <w:r w:rsidRPr="0037793B">
        <w:rPr>
          <w:rFonts w:ascii="Times New Roman" w:hAnsi="Times New Roman" w:cs="Times New Roman"/>
          <w:color w:val="000000" w:themeColor="text1"/>
          <w:sz w:val="24"/>
          <w:szCs w:val="24"/>
          <w:lang w:val="ru-RU"/>
        </w:rPr>
        <w:t xml:space="preserve">Рейтинг регионов по качеству жизни семей. РИА Рейтинг, 2013 г. – М. </w:t>
      </w:r>
      <w:r w:rsidRPr="0037793B">
        <w:rPr>
          <w:rFonts w:ascii="Times New Roman" w:hAnsi="Times New Roman" w:cs="Times New Roman"/>
          <w:color w:val="000000" w:themeColor="text1"/>
          <w:sz w:val="24"/>
          <w:szCs w:val="24"/>
          <w:lang w:val="ru-RU" w:eastAsia="zh-CN"/>
        </w:rPr>
        <w:t>[Электронный ресурс]</w:t>
      </w:r>
      <w:r w:rsidRPr="0037793B">
        <w:rPr>
          <w:rFonts w:ascii="Times New Roman" w:hAnsi="Times New Roman" w:cs="Times New Roman"/>
          <w:color w:val="000000" w:themeColor="text1"/>
          <w:sz w:val="24"/>
          <w:szCs w:val="24"/>
          <w:lang w:val="ru-RU"/>
        </w:rPr>
        <w:t xml:space="preserve"> </w:t>
      </w:r>
      <w:r w:rsidRPr="0037793B">
        <w:rPr>
          <w:rFonts w:ascii="Times New Roman" w:hAnsi="Times New Roman" w:cs="Times New Roman"/>
          <w:color w:val="000000" w:themeColor="text1"/>
          <w:sz w:val="24"/>
          <w:szCs w:val="24"/>
          <w:lang w:val="ru-RU" w:eastAsia="zh-CN"/>
        </w:rPr>
        <w:t>// РИА Рейтинг. – 2013. – Режим доступа:</w:t>
      </w:r>
      <w:r w:rsidRPr="0037793B">
        <w:rPr>
          <w:rFonts w:ascii="Times New Roman" w:hAnsi="Times New Roman" w:cs="Times New Roman"/>
          <w:color w:val="000000" w:themeColor="text1"/>
          <w:sz w:val="24"/>
          <w:szCs w:val="24"/>
          <w:lang w:val="ru-RU"/>
        </w:rPr>
        <w:t xml:space="preserve">  </w:t>
      </w:r>
      <w:r w:rsidRPr="0037793B">
        <w:rPr>
          <w:rFonts w:ascii="Times New Roman" w:hAnsi="Times New Roman" w:cs="Times New Roman"/>
          <w:color w:val="000000" w:themeColor="text1"/>
          <w:sz w:val="24"/>
          <w:szCs w:val="24"/>
          <w:lang w:val="ru-RU" w:eastAsia="zh-CN"/>
        </w:rPr>
        <w:t xml:space="preserve"> </w:t>
      </w:r>
      <w:r w:rsidRPr="0037793B">
        <w:rPr>
          <w:rFonts w:ascii="Times New Roman" w:hAnsi="Times New Roman" w:cs="Times New Roman"/>
          <w:color w:val="000000" w:themeColor="text1"/>
          <w:sz w:val="24"/>
          <w:szCs w:val="24"/>
        </w:rPr>
        <w:t>URL</w:t>
      </w:r>
      <w:r w:rsidRPr="0037793B">
        <w:rPr>
          <w:rFonts w:ascii="Times New Roman" w:hAnsi="Times New Roman" w:cs="Times New Roman"/>
          <w:color w:val="000000" w:themeColor="text1"/>
          <w:sz w:val="24"/>
          <w:szCs w:val="24"/>
          <w:lang w:val="ru-RU"/>
        </w:rPr>
        <w:t>:</w:t>
      </w:r>
      <w:r w:rsidR="0037793B">
        <w:rPr>
          <w:rFonts w:ascii="Times New Roman" w:hAnsi="Times New Roman" w:cs="Times New Roman"/>
          <w:color w:val="000000" w:themeColor="text1"/>
          <w:sz w:val="24"/>
          <w:szCs w:val="24"/>
        </w:rPr>
        <w:t> </w:t>
      </w:r>
      <w:hyperlink r:id="rId47" w:tooltip="http://vid1.rian.ru/ig/ratings/life_2013.pdf" w:history="1">
        <w:r w:rsidRPr="0037793B">
          <w:rPr>
            <w:rStyle w:val="a9"/>
            <w:rFonts w:ascii="Times New Roman" w:hAnsi="Times New Roman" w:cs="Times New Roman"/>
            <w:color w:val="000000" w:themeColor="text1"/>
            <w:sz w:val="24"/>
            <w:szCs w:val="24"/>
            <w:u w:val="none"/>
          </w:rPr>
          <w:t>http</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vid</w:t>
        </w:r>
        <w:r w:rsidRPr="0037793B">
          <w:rPr>
            <w:rStyle w:val="a9"/>
            <w:rFonts w:ascii="Times New Roman" w:hAnsi="Times New Roman" w:cs="Times New Roman"/>
            <w:color w:val="000000" w:themeColor="text1"/>
            <w:sz w:val="24"/>
            <w:szCs w:val="24"/>
            <w:u w:val="none"/>
            <w:lang w:val="ru-RU"/>
          </w:rPr>
          <w:t>1.</w:t>
        </w:r>
        <w:r w:rsidRPr="0037793B">
          <w:rPr>
            <w:rStyle w:val="a9"/>
            <w:rFonts w:ascii="Times New Roman" w:hAnsi="Times New Roman" w:cs="Times New Roman"/>
            <w:color w:val="000000" w:themeColor="text1"/>
            <w:sz w:val="24"/>
            <w:szCs w:val="24"/>
            <w:u w:val="none"/>
          </w:rPr>
          <w:t>rian</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ru</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ig</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ratings</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life</w:t>
        </w:r>
        <w:r w:rsidRPr="0037793B">
          <w:rPr>
            <w:rStyle w:val="a9"/>
            <w:rFonts w:ascii="Times New Roman" w:hAnsi="Times New Roman" w:cs="Times New Roman"/>
            <w:color w:val="000000" w:themeColor="text1"/>
            <w:sz w:val="24"/>
            <w:szCs w:val="24"/>
            <w:u w:val="none"/>
            <w:lang w:val="ru-RU"/>
          </w:rPr>
          <w:t>_2013.</w:t>
        </w:r>
        <w:r w:rsidRPr="0037793B">
          <w:rPr>
            <w:rStyle w:val="a9"/>
            <w:rFonts w:ascii="Times New Roman" w:hAnsi="Times New Roman" w:cs="Times New Roman"/>
            <w:color w:val="000000" w:themeColor="text1"/>
            <w:sz w:val="24"/>
            <w:szCs w:val="24"/>
            <w:u w:val="none"/>
          </w:rPr>
          <w:t>pdf</w:t>
        </w:r>
      </w:hyperlink>
      <w:r w:rsidRPr="0037793B">
        <w:rPr>
          <w:rFonts w:ascii="Times New Roman" w:hAnsi="Times New Roman" w:cs="Times New Roman"/>
          <w:color w:val="000000" w:themeColor="text1"/>
          <w:sz w:val="24"/>
          <w:szCs w:val="24"/>
          <w:lang w:val="ru-RU"/>
        </w:rPr>
        <w:t xml:space="preserve"> (дата обращения: 01.03.2023).</w:t>
      </w:r>
      <w:bookmarkEnd w:id="53"/>
    </w:p>
    <w:p w14:paraId="33F4BCDD" w14:textId="4C0A3D65" w:rsidR="003C4C21" w:rsidRPr="0037793B" w:rsidRDefault="00BC235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37793B">
        <w:rPr>
          <w:rFonts w:ascii="Times New Roman" w:hAnsi="Times New Roman" w:cs="Times New Roman"/>
          <w:color w:val="000000" w:themeColor="text1"/>
          <w:sz w:val="24"/>
          <w:szCs w:val="24"/>
          <w:lang w:val="ru-RU"/>
        </w:rPr>
        <w:lastRenderedPageBreak/>
        <w:t>Рейтинг регионов по доступности покупки жилья по ипотеке. РИА Рейтинг. 6</w:t>
      </w:r>
      <w:r w:rsidR="0037793B">
        <w:rPr>
          <w:rFonts w:ascii="Times New Roman" w:hAnsi="Times New Roman" w:cs="Times New Roman"/>
          <w:color w:val="000000" w:themeColor="text1"/>
          <w:sz w:val="24"/>
          <w:szCs w:val="24"/>
        </w:rPr>
        <w:t> </w:t>
      </w:r>
      <w:r w:rsidRPr="0037793B">
        <w:rPr>
          <w:rFonts w:ascii="Times New Roman" w:hAnsi="Times New Roman" w:cs="Times New Roman"/>
          <w:color w:val="000000" w:themeColor="text1"/>
          <w:sz w:val="24"/>
          <w:szCs w:val="24"/>
          <w:lang w:val="ru-RU"/>
        </w:rPr>
        <w:t xml:space="preserve">августа 2014 г. </w:t>
      </w:r>
      <w:r w:rsidRPr="0037793B">
        <w:rPr>
          <w:rFonts w:ascii="Times New Roman" w:hAnsi="Times New Roman" w:cs="Times New Roman"/>
          <w:color w:val="000000" w:themeColor="text1"/>
          <w:sz w:val="24"/>
          <w:szCs w:val="24"/>
          <w:lang w:val="ru-RU" w:eastAsia="zh-CN"/>
        </w:rPr>
        <w:t>[Электронный ресурс]. // РИА Рейтинг. – 06.06.2014. – Режим доступа:</w:t>
      </w:r>
      <w:r w:rsidRPr="0037793B">
        <w:rPr>
          <w:rFonts w:ascii="Times New Roman" w:hAnsi="Times New Roman" w:cs="Times New Roman"/>
          <w:color w:val="000000" w:themeColor="text1"/>
          <w:sz w:val="24"/>
          <w:szCs w:val="24"/>
          <w:lang w:val="ru-RU"/>
        </w:rPr>
        <w:t xml:space="preserve">  </w:t>
      </w:r>
      <w:r w:rsidRPr="0037793B">
        <w:rPr>
          <w:rFonts w:ascii="Times New Roman" w:hAnsi="Times New Roman" w:cs="Times New Roman"/>
          <w:color w:val="000000" w:themeColor="text1"/>
          <w:sz w:val="24"/>
          <w:szCs w:val="24"/>
        </w:rPr>
        <w:t>URL</w:t>
      </w:r>
      <w:r w:rsidRPr="0037793B">
        <w:rPr>
          <w:rFonts w:ascii="Times New Roman" w:hAnsi="Times New Roman" w:cs="Times New Roman"/>
          <w:color w:val="000000" w:themeColor="text1"/>
          <w:sz w:val="24"/>
          <w:szCs w:val="24"/>
          <w:lang w:val="ru-RU"/>
        </w:rPr>
        <w:t>:</w:t>
      </w:r>
      <w:r w:rsidR="0037793B">
        <w:rPr>
          <w:rFonts w:ascii="Times New Roman" w:hAnsi="Times New Roman" w:cs="Times New Roman"/>
          <w:color w:val="000000" w:themeColor="text1"/>
          <w:sz w:val="24"/>
          <w:szCs w:val="24"/>
        </w:rPr>
        <w:t> </w:t>
      </w:r>
      <w:hyperlink r:id="rId48" w:tooltip="http://riarating.ru/regions_rankings/20140806/610625360.html" w:history="1">
        <w:r w:rsidRPr="0037793B">
          <w:rPr>
            <w:rStyle w:val="a9"/>
            <w:rFonts w:ascii="Times New Roman" w:hAnsi="Times New Roman" w:cs="Times New Roman"/>
            <w:color w:val="000000" w:themeColor="text1"/>
            <w:sz w:val="24"/>
            <w:szCs w:val="24"/>
            <w:u w:val="none"/>
          </w:rPr>
          <w:t>http</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riarating</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ru</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regions</w:t>
        </w:r>
        <w:r w:rsidRPr="0037793B">
          <w:rPr>
            <w:rStyle w:val="a9"/>
            <w:rFonts w:ascii="Times New Roman" w:hAnsi="Times New Roman" w:cs="Times New Roman"/>
            <w:color w:val="000000" w:themeColor="text1"/>
            <w:sz w:val="24"/>
            <w:szCs w:val="24"/>
            <w:u w:val="none"/>
            <w:lang w:val="ru-RU"/>
          </w:rPr>
          <w:t>_</w:t>
        </w:r>
        <w:r w:rsidRPr="0037793B">
          <w:rPr>
            <w:rStyle w:val="a9"/>
            <w:rFonts w:ascii="Times New Roman" w:hAnsi="Times New Roman" w:cs="Times New Roman"/>
            <w:color w:val="000000" w:themeColor="text1"/>
            <w:sz w:val="24"/>
            <w:szCs w:val="24"/>
            <w:u w:val="none"/>
          </w:rPr>
          <w:t>rankings</w:t>
        </w:r>
        <w:r w:rsidRPr="0037793B">
          <w:rPr>
            <w:rStyle w:val="a9"/>
            <w:rFonts w:ascii="Times New Roman" w:hAnsi="Times New Roman" w:cs="Times New Roman"/>
            <w:color w:val="000000" w:themeColor="text1"/>
            <w:sz w:val="24"/>
            <w:szCs w:val="24"/>
            <w:u w:val="none"/>
            <w:lang w:val="ru-RU"/>
          </w:rPr>
          <w:t>/20140806/610625360.</w:t>
        </w:r>
        <w:r w:rsidRPr="0037793B">
          <w:rPr>
            <w:rStyle w:val="a9"/>
            <w:rFonts w:ascii="Times New Roman" w:hAnsi="Times New Roman" w:cs="Times New Roman"/>
            <w:color w:val="000000" w:themeColor="text1"/>
            <w:sz w:val="24"/>
            <w:szCs w:val="24"/>
            <w:u w:val="none"/>
          </w:rPr>
          <w:t>html</w:t>
        </w:r>
      </w:hyperlink>
      <w:r w:rsidRPr="0037793B">
        <w:rPr>
          <w:rFonts w:ascii="Times New Roman" w:hAnsi="Times New Roman" w:cs="Times New Roman"/>
          <w:color w:val="000000" w:themeColor="text1"/>
          <w:sz w:val="24"/>
          <w:szCs w:val="24"/>
          <w:lang w:val="ru-RU"/>
        </w:rPr>
        <w:t xml:space="preserve"> (дата обращения: 01.03.2023).</w:t>
      </w:r>
    </w:p>
    <w:p w14:paraId="477F62B2" w14:textId="5492C0C1" w:rsidR="003666C0" w:rsidRPr="0037793B" w:rsidRDefault="003666C0" w:rsidP="00C85596">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bookmarkStart w:id="54" w:name="_Ref136029642"/>
      <w:r w:rsidRPr="0037793B">
        <w:rPr>
          <w:rFonts w:ascii="Times New Roman" w:hAnsi="Times New Roman" w:cs="Times New Roman"/>
          <w:color w:val="000000" w:themeColor="text1"/>
          <w:sz w:val="24"/>
          <w:szCs w:val="24"/>
          <w:lang w:val="ru-RU"/>
        </w:rPr>
        <w:t xml:space="preserve">Среднегодовая численность занятых в экономике (расчёты на основе интеграции данных) с 2017 г. / Федеральная служба государственной статистики РФ </w:t>
      </w:r>
      <w:r w:rsidRPr="0037793B">
        <w:rPr>
          <w:rFonts w:ascii="Times New Roman" w:eastAsia="Times New Roman" w:hAnsi="Times New Roman" w:cs="Times New Roman"/>
          <w:color w:val="000000" w:themeColor="text1"/>
          <w:sz w:val="24"/>
          <w:szCs w:val="24"/>
          <w:lang w:val="ru-RU" w:eastAsia="ru-RU" w:bidi="ar-SA"/>
        </w:rPr>
        <w:t>[Электронный ресурс]</w:t>
      </w:r>
      <w:r w:rsidRPr="0037793B">
        <w:rPr>
          <w:rFonts w:ascii="Times New Roman" w:hAnsi="Times New Roman" w:cs="Times New Roman"/>
          <w:color w:val="000000" w:themeColor="text1"/>
          <w:sz w:val="24"/>
          <w:szCs w:val="24"/>
          <w:lang w:val="ru-RU"/>
        </w:rPr>
        <w:t xml:space="preserve"> // ЕМИСС: государственная статистика – Режим доступа: </w:t>
      </w:r>
      <w:r w:rsidRPr="0037793B">
        <w:rPr>
          <w:rFonts w:ascii="Times New Roman" w:hAnsi="Times New Roman" w:cs="Times New Roman"/>
          <w:color w:val="000000" w:themeColor="text1"/>
          <w:sz w:val="24"/>
          <w:szCs w:val="24"/>
        </w:rPr>
        <w:t>URL</w:t>
      </w:r>
      <w:r w:rsidRPr="0037793B">
        <w:rPr>
          <w:rFonts w:ascii="Times New Roman" w:hAnsi="Times New Roman" w:cs="Times New Roman"/>
          <w:color w:val="000000" w:themeColor="text1"/>
          <w:sz w:val="24"/>
          <w:szCs w:val="24"/>
          <w:lang w:val="ru-RU"/>
        </w:rPr>
        <w:t>:</w:t>
      </w:r>
      <w:r w:rsidR="0037793B">
        <w:rPr>
          <w:rFonts w:ascii="Times New Roman" w:hAnsi="Times New Roman" w:cs="Times New Roman"/>
          <w:color w:val="000000" w:themeColor="text1"/>
          <w:sz w:val="24"/>
          <w:szCs w:val="24"/>
        </w:rPr>
        <w:t> </w:t>
      </w:r>
      <w:r w:rsidR="00C85596" w:rsidRPr="0037793B">
        <w:rPr>
          <w:rFonts w:ascii="Times New Roman" w:hAnsi="Times New Roman" w:cs="Times New Roman"/>
          <w:color w:val="000000" w:themeColor="text1"/>
          <w:sz w:val="24"/>
          <w:szCs w:val="24"/>
          <w:lang w:val="ru-RU"/>
        </w:rPr>
        <w:t xml:space="preserve">https://www.fedstat.ru/indicator/58994 </w:t>
      </w:r>
      <w:r w:rsidRPr="0037793B">
        <w:rPr>
          <w:rFonts w:ascii="Times New Roman" w:hAnsi="Times New Roman" w:cs="Times New Roman"/>
          <w:color w:val="000000" w:themeColor="text1"/>
          <w:sz w:val="24"/>
          <w:szCs w:val="24"/>
          <w:lang w:val="ru-RU"/>
        </w:rPr>
        <w:t xml:space="preserve">(дата обращения: </w:t>
      </w:r>
      <w:r w:rsidR="00C85596" w:rsidRPr="0037793B">
        <w:rPr>
          <w:rFonts w:ascii="Times New Roman" w:hAnsi="Times New Roman" w:cs="Times New Roman"/>
          <w:color w:val="000000" w:themeColor="text1"/>
          <w:sz w:val="24"/>
          <w:szCs w:val="24"/>
          <w:lang w:val="ru-RU"/>
        </w:rPr>
        <w:t>26</w:t>
      </w:r>
      <w:r w:rsidRPr="0037793B">
        <w:rPr>
          <w:rFonts w:ascii="Times New Roman" w:hAnsi="Times New Roman" w:cs="Times New Roman"/>
          <w:color w:val="000000" w:themeColor="text1"/>
          <w:sz w:val="24"/>
          <w:szCs w:val="24"/>
          <w:lang w:val="ru-RU"/>
        </w:rPr>
        <w:t>.0</w:t>
      </w:r>
      <w:r w:rsidR="00C85596" w:rsidRPr="0037793B">
        <w:rPr>
          <w:rFonts w:ascii="Times New Roman" w:hAnsi="Times New Roman" w:cs="Times New Roman"/>
          <w:color w:val="000000" w:themeColor="text1"/>
          <w:sz w:val="24"/>
          <w:szCs w:val="24"/>
          <w:lang w:val="ru-RU"/>
        </w:rPr>
        <w:t>5</w:t>
      </w:r>
      <w:r w:rsidRPr="0037793B">
        <w:rPr>
          <w:rFonts w:ascii="Times New Roman" w:hAnsi="Times New Roman" w:cs="Times New Roman"/>
          <w:color w:val="000000" w:themeColor="text1"/>
          <w:sz w:val="24"/>
          <w:szCs w:val="24"/>
          <w:lang w:val="ru-RU"/>
        </w:rPr>
        <w:t>.2023).</w:t>
      </w:r>
      <w:bookmarkEnd w:id="54"/>
    </w:p>
    <w:p w14:paraId="3F4C933C" w14:textId="3FE21C9D" w:rsidR="003C4C21" w:rsidRPr="0037793B"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37793B">
        <w:rPr>
          <w:rFonts w:ascii="Times New Roman" w:hAnsi="Times New Roman" w:cs="Times New Roman"/>
          <w:color w:val="000000" w:themeColor="text1"/>
          <w:sz w:val="24"/>
          <w:szCs w:val="24"/>
          <w:lang w:val="ru-RU"/>
        </w:rPr>
        <w:t xml:space="preserve">Средние потребительские цены на товары и услуги / Федеральная служба государственной статистики РФ </w:t>
      </w:r>
      <w:r w:rsidRPr="0037793B">
        <w:rPr>
          <w:rFonts w:ascii="Times New Roman" w:eastAsia="Times New Roman" w:hAnsi="Times New Roman" w:cs="Times New Roman"/>
          <w:color w:val="000000" w:themeColor="text1"/>
          <w:sz w:val="24"/>
          <w:szCs w:val="24"/>
          <w:lang w:val="ru-RU" w:eastAsia="ru-RU" w:bidi="ar-SA"/>
        </w:rPr>
        <w:t>[Электронный ресурс]</w:t>
      </w:r>
      <w:r w:rsidRPr="0037793B">
        <w:rPr>
          <w:rFonts w:ascii="Times New Roman" w:hAnsi="Times New Roman" w:cs="Times New Roman"/>
          <w:color w:val="000000" w:themeColor="text1"/>
          <w:sz w:val="24"/>
          <w:szCs w:val="24"/>
          <w:lang w:val="ru-RU"/>
        </w:rPr>
        <w:t xml:space="preserve"> // ЕМИСС: государственная статистика  – Режим доступа: </w:t>
      </w:r>
      <w:r w:rsidRPr="0037793B">
        <w:rPr>
          <w:rFonts w:ascii="Times New Roman" w:hAnsi="Times New Roman" w:cs="Times New Roman"/>
          <w:color w:val="000000" w:themeColor="text1"/>
          <w:sz w:val="24"/>
          <w:szCs w:val="24"/>
        </w:rPr>
        <w:t>URL</w:t>
      </w:r>
      <w:r w:rsidRPr="0037793B">
        <w:rPr>
          <w:rFonts w:ascii="Times New Roman" w:hAnsi="Times New Roman" w:cs="Times New Roman"/>
          <w:color w:val="000000" w:themeColor="text1"/>
          <w:sz w:val="24"/>
          <w:szCs w:val="24"/>
          <w:lang w:val="ru-RU"/>
        </w:rPr>
        <w:t xml:space="preserve">: </w:t>
      </w:r>
      <w:hyperlink r:id="rId49" w:tooltip="https://www.fedstat.ru/indicator/31448" w:history="1">
        <w:r w:rsidRPr="0037793B">
          <w:rPr>
            <w:rStyle w:val="a9"/>
            <w:rFonts w:ascii="Times New Roman" w:hAnsi="Times New Roman" w:cs="Times New Roman"/>
            <w:color w:val="000000" w:themeColor="text1"/>
            <w:sz w:val="24"/>
            <w:szCs w:val="24"/>
            <w:u w:val="none"/>
            <w:lang w:val="ru-RU"/>
          </w:rPr>
          <w:t>https://www.fedstat.ru/indicator/31448</w:t>
        </w:r>
      </w:hyperlink>
      <w:r w:rsidRPr="0037793B">
        <w:rPr>
          <w:rFonts w:ascii="Times New Roman" w:hAnsi="Times New Roman" w:cs="Times New Roman"/>
          <w:color w:val="000000" w:themeColor="text1"/>
          <w:sz w:val="24"/>
          <w:szCs w:val="24"/>
          <w:lang w:val="ru-RU"/>
        </w:rPr>
        <w:t xml:space="preserve"> (дата обращения: 02.03.2023).</w:t>
      </w:r>
    </w:p>
    <w:p w14:paraId="3406E9F7" w14:textId="18ACE6DD" w:rsidR="003C4C21" w:rsidRPr="0037793B"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37793B">
        <w:rPr>
          <w:rFonts w:ascii="Times New Roman" w:hAnsi="Times New Roman" w:cs="Times New Roman"/>
          <w:color w:val="000000" w:themeColor="text1"/>
          <w:sz w:val="24"/>
          <w:szCs w:val="24"/>
          <w:lang w:val="ru-RU"/>
        </w:rPr>
        <w:t xml:space="preserve">Статистика. Макроэкономическая статистика. Статистика внешнего сектора </w:t>
      </w:r>
      <w:r w:rsidRPr="0037793B">
        <w:rPr>
          <w:rFonts w:ascii="Times New Roman" w:eastAsia="Times New Roman" w:hAnsi="Times New Roman" w:cs="Times New Roman"/>
          <w:color w:val="000000" w:themeColor="text1"/>
          <w:sz w:val="24"/>
          <w:szCs w:val="24"/>
          <w:lang w:val="ru-RU" w:eastAsia="ru-RU" w:bidi="ar-SA"/>
        </w:rPr>
        <w:t xml:space="preserve">[Электронный ресурс] </w:t>
      </w:r>
      <w:r w:rsidRPr="0037793B">
        <w:rPr>
          <w:rFonts w:ascii="Times New Roman" w:hAnsi="Times New Roman" w:cs="Times New Roman"/>
          <w:color w:val="000000" w:themeColor="text1"/>
          <w:sz w:val="24"/>
          <w:szCs w:val="24"/>
          <w:lang w:val="ru-RU"/>
        </w:rPr>
        <w:t>/ Центральный банк Российской федерации. – Режим доступа:</w:t>
      </w:r>
      <w:r w:rsidRPr="0037793B">
        <w:rPr>
          <w:rFonts w:ascii="Times New Roman" w:hAnsi="Times New Roman" w:cs="Times New Roman"/>
          <w:color w:val="000000" w:themeColor="text1"/>
          <w:sz w:val="24"/>
          <w:szCs w:val="24"/>
        </w:rPr>
        <w:t>URL</w:t>
      </w:r>
      <w:r w:rsidRPr="0037793B">
        <w:rPr>
          <w:rFonts w:ascii="Times New Roman" w:hAnsi="Times New Roman" w:cs="Times New Roman"/>
          <w:color w:val="000000" w:themeColor="text1"/>
          <w:sz w:val="24"/>
          <w:szCs w:val="24"/>
          <w:lang w:val="ru-RU"/>
        </w:rPr>
        <w:t>:</w:t>
      </w:r>
      <w:r w:rsidR="0037793B" w:rsidRPr="0037793B">
        <w:rPr>
          <w:rFonts w:ascii="Times New Roman" w:hAnsi="Times New Roman" w:cs="Times New Roman"/>
          <w:color w:val="000000" w:themeColor="text1"/>
          <w:sz w:val="24"/>
          <w:szCs w:val="24"/>
        </w:rPr>
        <w:t> </w:t>
      </w:r>
      <w:r w:rsidRPr="0037793B">
        <w:rPr>
          <w:rFonts w:ascii="Times New Roman" w:hAnsi="Times New Roman" w:cs="Times New Roman"/>
          <w:color w:val="000000" w:themeColor="text1"/>
          <w:sz w:val="24"/>
          <w:szCs w:val="24"/>
          <w:lang w:val="ru-RU"/>
        </w:rPr>
        <w:t xml:space="preserve">https://cbr.ru/statistics/macro_itm/svs/#a_71482 (дата обращения: 02.03.2023). </w:t>
      </w:r>
    </w:p>
    <w:p w14:paraId="4021B698" w14:textId="77777777" w:rsidR="003C4C21" w:rsidRPr="004E7E3E" w:rsidRDefault="00BC235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rPr>
        <w:t>All Time Largest Global IPOs [</w:t>
      </w:r>
      <w:r w:rsidRPr="004E7E3E">
        <w:rPr>
          <w:rFonts w:ascii="Times New Roman" w:hAnsi="Times New Roman" w:cs="Times New Roman"/>
          <w:color w:val="000000" w:themeColor="text1"/>
          <w:sz w:val="24"/>
          <w:szCs w:val="24"/>
          <w:lang w:val="ru-RU"/>
        </w:rPr>
        <w:t>Электронный</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ресурс</w:t>
      </w:r>
      <w:r w:rsidRPr="004E7E3E">
        <w:rPr>
          <w:rFonts w:ascii="Times New Roman" w:hAnsi="Times New Roman" w:cs="Times New Roman"/>
          <w:color w:val="000000" w:themeColor="text1"/>
          <w:sz w:val="24"/>
          <w:szCs w:val="24"/>
        </w:rPr>
        <w:t xml:space="preserve">] /Renaissance Capital LLC. – </w:t>
      </w:r>
      <w:r w:rsidRPr="004E7E3E">
        <w:rPr>
          <w:rFonts w:ascii="Times New Roman" w:hAnsi="Times New Roman" w:cs="Times New Roman"/>
          <w:color w:val="000000" w:themeColor="text1"/>
          <w:sz w:val="24"/>
          <w:szCs w:val="24"/>
          <w:lang w:val="ru-RU"/>
        </w:rPr>
        <w:t>Режим</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доступа</w:t>
      </w:r>
      <w:r w:rsidRPr="004E7E3E">
        <w:rPr>
          <w:rFonts w:ascii="Times New Roman" w:hAnsi="Times New Roman" w:cs="Times New Roman"/>
          <w:color w:val="000000" w:themeColor="text1"/>
          <w:sz w:val="24"/>
          <w:szCs w:val="24"/>
        </w:rPr>
        <w:t>:</w:t>
      </w:r>
      <w:r w:rsidRPr="004E7E3E">
        <w:rPr>
          <w:rFonts w:ascii="Times New Roman" w:hAnsi="Times New Roman" w:cs="Times New Roman"/>
          <w:color w:val="000000" w:themeColor="text1"/>
          <w:sz w:val="24"/>
          <w:szCs w:val="24"/>
          <w:lang w:eastAsia="zh-CN"/>
        </w:rPr>
        <w:t xml:space="preserve"> </w:t>
      </w:r>
      <w:r w:rsidRPr="004E7E3E">
        <w:rPr>
          <w:rFonts w:ascii="Times New Roman" w:hAnsi="Times New Roman" w:cs="Times New Roman"/>
          <w:color w:val="000000" w:themeColor="text1"/>
          <w:sz w:val="24"/>
          <w:szCs w:val="24"/>
        </w:rPr>
        <w:t xml:space="preserve">URL: https://www.renaissancecapital.com/IPO-Center/Stats/Largest-Global-IPOs. </w:t>
      </w:r>
      <w:r w:rsidRPr="004E7E3E">
        <w:rPr>
          <w:rFonts w:ascii="Times New Roman" w:hAnsi="Times New Roman" w:cs="Times New Roman"/>
          <w:color w:val="000000" w:themeColor="text1"/>
          <w:sz w:val="24"/>
          <w:szCs w:val="24"/>
          <w:lang w:val="ru-RU"/>
        </w:rPr>
        <w:t xml:space="preserve">(дата обращения: 01.03.2023). </w:t>
      </w:r>
    </w:p>
    <w:p w14:paraId="612C9258" w14:textId="7799AA93" w:rsidR="005B2379" w:rsidRPr="0037793B"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bookmarkStart w:id="55" w:name="_Ref136260358"/>
      <w:r w:rsidRPr="0037793B">
        <w:rPr>
          <w:rFonts w:ascii="Times New Roman" w:hAnsi="Times New Roman" w:cs="Times New Roman"/>
          <w:color w:val="000000" w:themeColor="text1"/>
          <w:sz w:val="24"/>
          <w:szCs w:val="24"/>
          <w:shd w:val="clear" w:color="auto" w:fill="FFFFFF"/>
        </w:rPr>
        <w:t>BRICS</w:t>
      </w:r>
      <w:r w:rsidRPr="0037793B">
        <w:rPr>
          <w:rFonts w:ascii="Times New Roman" w:hAnsi="Times New Roman" w:cs="Times New Roman"/>
          <w:color w:val="000000" w:themeColor="text1"/>
          <w:sz w:val="24"/>
          <w:szCs w:val="24"/>
          <w:shd w:val="clear" w:color="auto" w:fill="FFFFFF"/>
          <w:lang w:val="ru-RU"/>
        </w:rPr>
        <w:t xml:space="preserve"> </w:t>
      </w:r>
      <w:r w:rsidRPr="0037793B">
        <w:rPr>
          <w:rFonts w:ascii="Times New Roman" w:hAnsi="Times New Roman" w:cs="Times New Roman"/>
          <w:color w:val="000000" w:themeColor="text1"/>
          <w:sz w:val="24"/>
          <w:szCs w:val="24"/>
          <w:shd w:val="clear" w:color="auto" w:fill="FFFFFF"/>
        </w:rPr>
        <w:t>Joint</w:t>
      </w:r>
      <w:r w:rsidRPr="0037793B">
        <w:rPr>
          <w:rFonts w:ascii="Times New Roman" w:hAnsi="Times New Roman" w:cs="Times New Roman"/>
          <w:color w:val="000000" w:themeColor="text1"/>
          <w:sz w:val="24"/>
          <w:szCs w:val="24"/>
          <w:shd w:val="clear" w:color="auto" w:fill="FFFFFF"/>
          <w:lang w:val="ru-RU"/>
        </w:rPr>
        <w:t xml:space="preserve"> </w:t>
      </w:r>
      <w:r w:rsidRPr="0037793B">
        <w:rPr>
          <w:rFonts w:ascii="Times New Roman" w:hAnsi="Times New Roman" w:cs="Times New Roman"/>
          <w:color w:val="000000" w:themeColor="text1"/>
          <w:sz w:val="24"/>
          <w:szCs w:val="24"/>
          <w:shd w:val="clear" w:color="auto" w:fill="FFFFFF"/>
        </w:rPr>
        <w:t>Statistics</w:t>
      </w:r>
      <w:r w:rsidRPr="0037793B">
        <w:rPr>
          <w:rFonts w:ascii="Times New Roman" w:hAnsi="Times New Roman" w:cs="Times New Roman"/>
          <w:color w:val="000000" w:themeColor="text1"/>
          <w:sz w:val="24"/>
          <w:szCs w:val="24"/>
          <w:shd w:val="clear" w:color="auto" w:fill="FFFFFF"/>
          <w:lang w:val="ru-RU"/>
        </w:rPr>
        <w:t xml:space="preserve"> </w:t>
      </w:r>
      <w:r w:rsidRPr="0037793B">
        <w:rPr>
          <w:rFonts w:ascii="Times New Roman" w:hAnsi="Times New Roman" w:cs="Times New Roman"/>
          <w:color w:val="000000" w:themeColor="text1"/>
          <w:sz w:val="24"/>
          <w:szCs w:val="24"/>
          <w:shd w:val="clear" w:color="auto" w:fill="FFFFFF"/>
        </w:rPr>
        <w:t>Publication</w:t>
      </w:r>
      <w:r w:rsidRPr="0037793B">
        <w:rPr>
          <w:rFonts w:ascii="Times New Roman" w:hAnsi="Times New Roman" w:cs="Times New Roman"/>
          <w:color w:val="000000" w:themeColor="text1"/>
          <w:sz w:val="24"/>
          <w:szCs w:val="24"/>
          <w:shd w:val="clear" w:color="auto" w:fill="FFFFFF"/>
          <w:lang w:val="ru-RU"/>
        </w:rPr>
        <w:t xml:space="preserve"> 2013–2017</w:t>
      </w:r>
      <w:r w:rsidRPr="0037793B">
        <w:rPr>
          <w:rFonts w:ascii="Times New Roman" w:hAnsi="Times New Roman" w:cs="Times New Roman"/>
          <w:color w:val="000000" w:themeColor="text1"/>
          <w:sz w:val="24"/>
          <w:szCs w:val="24"/>
          <w:lang w:val="ru-RU"/>
        </w:rPr>
        <w:t xml:space="preserve"> </w:t>
      </w:r>
      <w:r w:rsidRPr="0037793B">
        <w:rPr>
          <w:rFonts w:ascii="Times New Roman" w:hAnsi="Times New Roman" w:cs="Times New Roman"/>
          <w:color w:val="000000" w:themeColor="text1"/>
          <w:sz w:val="24"/>
          <w:szCs w:val="24"/>
          <w:lang w:val="ru-RU" w:eastAsia="zh-CN"/>
        </w:rPr>
        <w:t xml:space="preserve">[Электронный ресурс] </w:t>
      </w:r>
      <w:r w:rsidRPr="0037793B">
        <w:rPr>
          <w:rFonts w:ascii="Times New Roman" w:hAnsi="Times New Roman" w:cs="Times New Roman"/>
          <w:color w:val="000000" w:themeColor="text1"/>
          <w:sz w:val="24"/>
          <w:szCs w:val="24"/>
          <w:lang w:val="ru-RU"/>
        </w:rPr>
        <w:t xml:space="preserve">– Режим доступа: </w:t>
      </w:r>
      <w:r w:rsidRPr="0037793B">
        <w:rPr>
          <w:rFonts w:ascii="Times New Roman" w:hAnsi="Times New Roman" w:cs="Times New Roman"/>
          <w:color w:val="000000" w:themeColor="text1"/>
          <w:sz w:val="24"/>
          <w:szCs w:val="24"/>
        </w:rPr>
        <w:t>URL</w:t>
      </w:r>
      <w:r w:rsidRPr="0037793B">
        <w:rPr>
          <w:rFonts w:ascii="Times New Roman" w:hAnsi="Times New Roman" w:cs="Times New Roman"/>
          <w:color w:val="000000" w:themeColor="text1"/>
          <w:sz w:val="24"/>
          <w:szCs w:val="24"/>
          <w:lang w:val="ru-RU"/>
        </w:rPr>
        <w:t xml:space="preserve">: </w:t>
      </w:r>
      <w:hyperlink r:id="rId50" w:tooltip="https://www.brics2018.org.za/statistics" w:history="1">
        <w:r w:rsidRPr="0037793B">
          <w:rPr>
            <w:rStyle w:val="a9"/>
            <w:rFonts w:ascii="Times New Roman" w:hAnsi="Times New Roman" w:cs="Times New Roman"/>
            <w:color w:val="000000" w:themeColor="text1"/>
            <w:sz w:val="24"/>
            <w:szCs w:val="24"/>
            <w:u w:val="none"/>
          </w:rPr>
          <w:t>https</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www</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brics</w:t>
        </w:r>
        <w:r w:rsidRPr="0037793B">
          <w:rPr>
            <w:rStyle w:val="a9"/>
            <w:rFonts w:ascii="Times New Roman" w:hAnsi="Times New Roman" w:cs="Times New Roman"/>
            <w:color w:val="000000" w:themeColor="text1"/>
            <w:sz w:val="24"/>
            <w:szCs w:val="24"/>
            <w:u w:val="none"/>
            <w:lang w:val="ru-RU"/>
          </w:rPr>
          <w:t>2018.</w:t>
        </w:r>
        <w:r w:rsidRPr="0037793B">
          <w:rPr>
            <w:rStyle w:val="a9"/>
            <w:rFonts w:ascii="Times New Roman" w:hAnsi="Times New Roman" w:cs="Times New Roman"/>
            <w:color w:val="000000" w:themeColor="text1"/>
            <w:sz w:val="24"/>
            <w:szCs w:val="24"/>
            <w:u w:val="none"/>
          </w:rPr>
          <w:t>org</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za</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statistics</w:t>
        </w:r>
      </w:hyperlink>
      <w:r w:rsidRPr="0037793B">
        <w:rPr>
          <w:rFonts w:ascii="Times New Roman" w:hAnsi="Times New Roman" w:cs="Times New Roman"/>
          <w:color w:val="000000" w:themeColor="text1"/>
          <w:sz w:val="24"/>
          <w:szCs w:val="24"/>
          <w:lang w:val="ru-RU"/>
        </w:rPr>
        <w:t xml:space="preserve"> (дата обращения: 25.02.2023).</w:t>
      </w:r>
      <w:bookmarkEnd w:id="55"/>
    </w:p>
    <w:p w14:paraId="4950FA80" w14:textId="1401A7B2" w:rsidR="005B2379" w:rsidRPr="0037793B" w:rsidRDefault="005B2379"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bookmarkStart w:id="56" w:name="_Ref135397695"/>
      <w:r w:rsidRPr="0037793B">
        <w:rPr>
          <w:rFonts w:ascii="Times New Roman" w:hAnsi="Times New Roman" w:cs="Times New Roman"/>
          <w:color w:val="000000" w:themeColor="text1"/>
          <w:sz w:val="24"/>
          <w:szCs w:val="24"/>
        </w:rPr>
        <w:t>Doing</w:t>
      </w:r>
      <w:r w:rsidRPr="0037793B">
        <w:rPr>
          <w:rFonts w:ascii="Times New Roman" w:hAnsi="Times New Roman" w:cs="Times New Roman"/>
          <w:color w:val="000000" w:themeColor="text1"/>
          <w:sz w:val="24"/>
          <w:szCs w:val="24"/>
          <w:lang w:val="ru-RU"/>
        </w:rPr>
        <w:t xml:space="preserve"> </w:t>
      </w:r>
      <w:r w:rsidR="004313C1" w:rsidRPr="0037793B">
        <w:rPr>
          <w:rFonts w:ascii="Times New Roman" w:hAnsi="Times New Roman" w:cs="Times New Roman"/>
          <w:color w:val="000000" w:themeColor="text1"/>
          <w:sz w:val="24"/>
          <w:szCs w:val="24"/>
        </w:rPr>
        <w:t>B</w:t>
      </w:r>
      <w:r w:rsidRPr="0037793B">
        <w:rPr>
          <w:rFonts w:ascii="Times New Roman" w:hAnsi="Times New Roman" w:cs="Times New Roman"/>
          <w:color w:val="000000" w:themeColor="text1"/>
          <w:sz w:val="24"/>
          <w:szCs w:val="24"/>
        </w:rPr>
        <w:t>usiness</w:t>
      </w:r>
      <w:r w:rsidRPr="0037793B">
        <w:rPr>
          <w:rFonts w:ascii="Times New Roman" w:hAnsi="Times New Roman" w:cs="Times New Roman"/>
          <w:color w:val="000000" w:themeColor="text1"/>
          <w:sz w:val="24"/>
          <w:szCs w:val="24"/>
          <w:lang w:val="ru-RU"/>
        </w:rPr>
        <w:t xml:space="preserve"> - </w:t>
      </w:r>
      <w:r w:rsidRPr="0037793B">
        <w:rPr>
          <w:rFonts w:ascii="Times New Roman" w:hAnsi="Times New Roman" w:cs="Times New Roman"/>
          <w:color w:val="000000" w:themeColor="text1"/>
          <w:sz w:val="24"/>
          <w:szCs w:val="24"/>
        </w:rPr>
        <w:t>full</w:t>
      </w:r>
      <w:r w:rsidRPr="0037793B">
        <w:rPr>
          <w:rFonts w:ascii="Times New Roman" w:hAnsi="Times New Roman" w:cs="Times New Roman"/>
          <w:color w:val="000000" w:themeColor="text1"/>
          <w:sz w:val="24"/>
          <w:szCs w:val="24"/>
          <w:lang w:val="ru-RU"/>
        </w:rPr>
        <w:t xml:space="preserve"> </w:t>
      </w:r>
      <w:r w:rsidRPr="0037793B">
        <w:rPr>
          <w:rFonts w:ascii="Times New Roman" w:hAnsi="Times New Roman" w:cs="Times New Roman"/>
          <w:color w:val="000000" w:themeColor="text1"/>
          <w:sz w:val="24"/>
          <w:szCs w:val="24"/>
        </w:rPr>
        <w:t>dataset</w:t>
      </w:r>
      <w:r w:rsidRPr="0037793B">
        <w:rPr>
          <w:rFonts w:ascii="Times New Roman" w:hAnsi="Times New Roman" w:cs="Times New Roman"/>
          <w:color w:val="000000" w:themeColor="text1"/>
          <w:sz w:val="24"/>
          <w:szCs w:val="24"/>
          <w:lang w:val="ru-RU"/>
        </w:rPr>
        <w:t xml:space="preserve"> </w:t>
      </w:r>
      <w:r w:rsidRPr="0037793B">
        <w:rPr>
          <w:rFonts w:ascii="Times New Roman" w:hAnsi="Times New Roman" w:cs="Times New Roman"/>
          <w:color w:val="000000" w:themeColor="text1"/>
          <w:sz w:val="24"/>
          <w:szCs w:val="24"/>
          <w:lang w:val="ru-RU" w:eastAsia="zh-CN"/>
        </w:rPr>
        <w:t xml:space="preserve">[Электронный ресурс] // </w:t>
      </w:r>
      <w:r w:rsidRPr="0037793B">
        <w:rPr>
          <w:rFonts w:ascii="Times New Roman" w:hAnsi="Times New Roman" w:cs="Times New Roman"/>
          <w:color w:val="000000" w:themeColor="text1"/>
          <w:sz w:val="24"/>
          <w:szCs w:val="24"/>
          <w:lang w:eastAsia="zh-CN"/>
        </w:rPr>
        <w:t>The</w:t>
      </w:r>
      <w:r w:rsidRPr="0037793B">
        <w:rPr>
          <w:rFonts w:ascii="Times New Roman" w:hAnsi="Times New Roman" w:cs="Times New Roman"/>
          <w:color w:val="000000" w:themeColor="text1"/>
          <w:sz w:val="24"/>
          <w:szCs w:val="24"/>
          <w:lang w:val="ru-RU" w:eastAsia="zh-CN"/>
        </w:rPr>
        <w:t xml:space="preserve"> </w:t>
      </w:r>
      <w:r w:rsidRPr="0037793B">
        <w:rPr>
          <w:rFonts w:ascii="Times New Roman" w:hAnsi="Times New Roman" w:cs="Times New Roman"/>
          <w:color w:val="000000" w:themeColor="text1"/>
          <w:sz w:val="24"/>
          <w:szCs w:val="24"/>
          <w:lang w:eastAsia="zh-CN"/>
        </w:rPr>
        <w:t>World</w:t>
      </w:r>
      <w:r w:rsidRPr="0037793B">
        <w:rPr>
          <w:rFonts w:ascii="Times New Roman" w:hAnsi="Times New Roman" w:cs="Times New Roman"/>
          <w:color w:val="000000" w:themeColor="text1"/>
          <w:sz w:val="24"/>
          <w:szCs w:val="24"/>
          <w:lang w:val="ru-RU" w:eastAsia="zh-CN"/>
        </w:rPr>
        <w:t xml:space="preserve"> </w:t>
      </w:r>
      <w:r w:rsidRPr="0037793B">
        <w:rPr>
          <w:rFonts w:ascii="Times New Roman" w:hAnsi="Times New Roman" w:cs="Times New Roman"/>
          <w:color w:val="000000" w:themeColor="text1"/>
          <w:sz w:val="24"/>
          <w:szCs w:val="24"/>
          <w:lang w:eastAsia="zh-CN"/>
        </w:rPr>
        <w:t>Bank</w:t>
      </w:r>
      <w:r w:rsidRPr="0037793B">
        <w:rPr>
          <w:rFonts w:ascii="Times New Roman" w:hAnsi="Times New Roman" w:cs="Times New Roman"/>
          <w:color w:val="000000" w:themeColor="text1"/>
          <w:sz w:val="24"/>
          <w:szCs w:val="24"/>
          <w:lang w:val="ru-RU" w:eastAsia="zh-CN"/>
        </w:rPr>
        <w:t xml:space="preserve">. – </w:t>
      </w:r>
      <w:r w:rsidRPr="0037793B">
        <w:rPr>
          <w:rFonts w:ascii="Times New Roman" w:hAnsi="Times New Roman" w:cs="Times New Roman"/>
          <w:color w:val="000000" w:themeColor="text1"/>
          <w:sz w:val="24"/>
          <w:szCs w:val="24"/>
          <w:lang w:val="ru-RU"/>
        </w:rPr>
        <w:t xml:space="preserve">Режим доступа: </w:t>
      </w:r>
      <w:r w:rsidRPr="0037793B">
        <w:rPr>
          <w:rFonts w:ascii="Times New Roman" w:hAnsi="Times New Roman" w:cs="Times New Roman"/>
          <w:color w:val="000000" w:themeColor="text1"/>
          <w:sz w:val="24"/>
          <w:szCs w:val="24"/>
        </w:rPr>
        <w:t>URL</w:t>
      </w:r>
      <w:r w:rsidRPr="0037793B">
        <w:rPr>
          <w:rFonts w:ascii="Times New Roman" w:hAnsi="Times New Roman" w:cs="Times New Roman"/>
          <w:color w:val="000000" w:themeColor="text1"/>
          <w:sz w:val="24"/>
          <w:szCs w:val="24"/>
          <w:lang w:val="ru-RU"/>
        </w:rPr>
        <w:t xml:space="preserve">: </w:t>
      </w:r>
      <w:hyperlink r:id="rId51" w:history="1">
        <w:r w:rsidRPr="0037793B">
          <w:rPr>
            <w:rStyle w:val="a9"/>
            <w:rFonts w:ascii="Times New Roman" w:hAnsi="Times New Roman" w:cs="Times New Roman"/>
            <w:color w:val="000000" w:themeColor="text1"/>
            <w:sz w:val="24"/>
            <w:szCs w:val="24"/>
            <w:u w:val="none"/>
          </w:rPr>
          <w:t>https</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www</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worldbank</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org</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en</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businessready</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doing</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business</w:t>
        </w:r>
        <w:r w:rsidRPr="0037793B">
          <w:rPr>
            <w:rStyle w:val="a9"/>
            <w:rFonts w:ascii="Times New Roman" w:hAnsi="Times New Roman" w:cs="Times New Roman"/>
            <w:color w:val="000000" w:themeColor="text1"/>
            <w:sz w:val="24"/>
            <w:szCs w:val="24"/>
            <w:u w:val="none"/>
            <w:lang w:val="ru-RU"/>
          </w:rPr>
          <w:t>-</w:t>
        </w:r>
        <w:r w:rsidRPr="0037793B">
          <w:rPr>
            <w:rStyle w:val="a9"/>
            <w:rFonts w:ascii="Times New Roman" w:hAnsi="Times New Roman" w:cs="Times New Roman"/>
            <w:color w:val="000000" w:themeColor="text1"/>
            <w:sz w:val="24"/>
            <w:szCs w:val="24"/>
            <w:u w:val="none"/>
          </w:rPr>
          <w:t>legacy</w:t>
        </w:r>
      </w:hyperlink>
      <w:r w:rsidRPr="0037793B">
        <w:rPr>
          <w:rFonts w:ascii="Times New Roman" w:hAnsi="Times New Roman" w:cs="Times New Roman"/>
          <w:color w:val="000000" w:themeColor="text1"/>
          <w:sz w:val="24"/>
          <w:szCs w:val="24"/>
          <w:lang w:val="ru-RU"/>
        </w:rPr>
        <w:t xml:space="preserve"> (дата обращения: 19.05.2023).</w:t>
      </w:r>
      <w:bookmarkEnd w:id="56"/>
    </w:p>
    <w:p w14:paraId="176B202A" w14:textId="254A50DA" w:rsidR="004313C1" w:rsidRPr="00284871" w:rsidRDefault="00284871" w:rsidP="00284871">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bookmarkStart w:id="57" w:name="_Ref136025807"/>
      <w:r w:rsidRPr="00284871">
        <w:rPr>
          <w:rFonts w:ascii="Times New Roman" w:hAnsi="Times New Roman" w:cs="Times New Roman"/>
          <w:color w:val="000000" w:themeColor="text1"/>
          <w:sz w:val="24"/>
          <w:szCs w:val="24"/>
        </w:rPr>
        <w:t>Doing</w:t>
      </w:r>
      <w:r w:rsidRPr="00284871">
        <w:rPr>
          <w:rFonts w:ascii="Times New Roman" w:hAnsi="Times New Roman" w:cs="Times New Roman"/>
          <w:color w:val="000000" w:themeColor="text1"/>
          <w:sz w:val="24"/>
          <w:szCs w:val="24"/>
          <w:lang w:val="ru-RU"/>
        </w:rPr>
        <w:t xml:space="preserve"> </w:t>
      </w:r>
      <w:r w:rsidRPr="00284871">
        <w:rPr>
          <w:rFonts w:ascii="Times New Roman" w:hAnsi="Times New Roman" w:cs="Times New Roman"/>
          <w:color w:val="000000" w:themeColor="text1"/>
          <w:sz w:val="24"/>
          <w:szCs w:val="24"/>
        </w:rPr>
        <w:t>Business</w:t>
      </w:r>
      <w:r w:rsidRPr="00284871">
        <w:rPr>
          <w:rFonts w:ascii="Times New Roman" w:hAnsi="Times New Roman" w:cs="Times New Roman"/>
          <w:color w:val="000000" w:themeColor="text1"/>
          <w:sz w:val="24"/>
          <w:szCs w:val="24"/>
          <w:lang w:val="ru-RU"/>
        </w:rPr>
        <w:t xml:space="preserve"> </w:t>
      </w:r>
      <w:r w:rsidRPr="00284871">
        <w:rPr>
          <w:rFonts w:ascii="Times New Roman" w:hAnsi="Times New Roman" w:cs="Times New Roman"/>
          <w:color w:val="000000" w:themeColor="text1"/>
          <w:sz w:val="24"/>
          <w:szCs w:val="24"/>
        </w:rPr>
        <w:t>in</w:t>
      </w:r>
      <w:r w:rsidRPr="00284871">
        <w:rPr>
          <w:rFonts w:ascii="Times New Roman" w:hAnsi="Times New Roman" w:cs="Times New Roman"/>
          <w:color w:val="000000" w:themeColor="text1"/>
          <w:sz w:val="24"/>
          <w:szCs w:val="24"/>
          <w:lang w:val="ru-RU"/>
        </w:rPr>
        <w:t xml:space="preserve"> </w:t>
      </w:r>
      <w:r w:rsidRPr="00284871">
        <w:rPr>
          <w:rFonts w:ascii="Times New Roman" w:hAnsi="Times New Roman" w:cs="Times New Roman"/>
          <w:color w:val="000000" w:themeColor="text1"/>
          <w:sz w:val="24"/>
          <w:szCs w:val="24"/>
        </w:rPr>
        <w:t>Russia</w:t>
      </w:r>
      <w:r w:rsidRPr="00284871">
        <w:rPr>
          <w:rFonts w:ascii="Times New Roman" w:hAnsi="Times New Roman" w:cs="Times New Roman"/>
          <w:color w:val="000000" w:themeColor="text1"/>
          <w:sz w:val="24"/>
          <w:szCs w:val="24"/>
          <w:lang w:val="ru-RU"/>
        </w:rPr>
        <w:t xml:space="preserve"> 2012 </w:t>
      </w:r>
      <w:r w:rsidRPr="00284871">
        <w:rPr>
          <w:rFonts w:ascii="Times New Roman" w:hAnsi="Times New Roman" w:cs="Times New Roman"/>
          <w:color w:val="000000" w:themeColor="text1"/>
          <w:sz w:val="24"/>
          <w:szCs w:val="24"/>
          <w:lang w:val="ru-RU" w:eastAsia="zh-CN"/>
        </w:rPr>
        <w:t xml:space="preserve">[Электронный ресурс] // </w:t>
      </w:r>
      <w:r w:rsidRPr="00284871">
        <w:rPr>
          <w:rFonts w:ascii="Times New Roman" w:hAnsi="Times New Roman" w:cs="Times New Roman"/>
          <w:color w:val="000000" w:themeColor="text1"/>
          <w:sz w:val="24"/>
          <w:szCs w:val="24"/>
          <w:lang w:eastAsia="zh-CN"/>
        </w:rPr>
        <w:t>The</w:t>
      </w:r>
      <w:r w:rsidRPr="00284871">
        <w:rPr>
          <w:rFonts w:ascii="Times New Roman" w:hAnsi="Times New Roman" w:cs="Times New Roman"/>
          <w:color w:val="000000" w:themeColor="text1"/>
          <w:sz w:val="24"/>
          <w:szCs w:val="24"/>
          <w:lang w:val="ru-RU" w:eastAsia="zh-CN"/>
        </w:rPr>
        <w:t xml:space="preserve"> </w:t>
      </w:r>
      <w:r w:rsidRPr="00284871">
        <w:rPr>
          <w:rFonts w:ascii="Times New Roman" w:hAnsi="Times New Roman" w:cs="Times New Roman"/>
          <w:color w:val="000000" w:themeColor="text1"/>
          <w:sz w:val="24"/>
          <w:szCs w:val="24"/>
          <w:lang w:eastAsia="zh-CN"/>
        </w:rPr>
        <w:t>World</w:t>
      </w:r>
      <w:r w:rsidRPr="00284871">
        <w:rPr>
          <w:rFonts w:ascii="Times New Roman" w:hAnsi="Times New Roman" w:cs="Times New Roman"/>
          <w:color w:val="000000" w:themeColor="text1"/>
          <w:sz w:val="24"/>
          <w:szCs w:val="24"/>
          <w:lang w:val="ru-RU" w:eastAsia="zh-CN"/>
        </w:rPr>
        <w:t xml:space="preserve"> </w:t>
      </w:r>
      <w:r w:rsidRPr="00284871">
        <w:rPr>
          <w:rFonts w:ascii="Times New Roman" w:hAnsi="Times New Roman" w:cs="Times New Roman"/>
          <w:color w:val="000000" w:themeColor="text1"/>
          <w:sz w:val="24"/>
          <w:szCs w:val="24"/>
          <w:lang w:eastAsia="zh-CN"/>
        </w:rPr>
        <w:t>Bank</w:t>
      </w:r>
      <w:r w:rsidRPr="00284871">
        <w:rPr>
          <w:rFonts w:ascii="Times New Roman" w:hAnsi="Times New Roman" w:cs="Times New Roman"/>
          <w:color w:val="000000" w:themeColor="text1"/>
          <w:sz w:val="24"/>
          <w:szCs w:val="24"/>
          <w:lang w:val="ru-RU" w:eastAsia="zh-CN"/>
        </w:rPr>
        <w:t xml:space="preserve">. – </w:t>
      </w:r>
      <w:r w:rsidRPr="00284871">
        <w:rPr>
          <w:rFonts w:ascii="Times New Roman" w:hAnsi="Times New Roman" w:cs="Times New Roman"/>
          <w:color w:val="000000" w:themeColor="text1"/>
          <w:sz w:val="24"/>
          <w:szCs w:val="24"/>
          <w:lang w:eastAsia="zh-CN"/>
        </w:rPr>
        <w:t>June</w:t>
      </w:r>
      <w:r w:rsidR="0037793B">
        <w:rPr>
          <w:rFonts w:ascii="Times New Roman" w:hAnsi="Times New Roman" w:cs="Times New Roman"/>
          <w:color w:val="000000" w:themeColor="text1"/>
          <w:sz w:val="24"/>
          <w:szCs w:val="24"/>
          <w:lang w:eastAsia="zh-CN"/>
        </w:rPr>
        <w:t> </w:t>
      </w:r>
      <w:r w:rsidRPr="00284871">
        <w:rPr>
          <w:rFonts w:ascii="Times New Roman" w:hAnsi="Times New Roman" w:cs="Times New Roman"/>
          <w:color w:val="000000" w:themeColor="text1"/>
          <w:sz w:val="24"/>
          <w:szCs w:val="24"/>
          <w:lang w:val="ru-RU" w:eastAsia="zh-CN"/>
        </w:rPr>
        <w:t>21,</w:t>
      </w:r>
      <w:r w:rsidR="0037793B">
        <w:rPr>
          <w:rFonts w:ascii="Times New Roman" w:hAnsi="Times New Roman" w:cs="Times New Roman"/>
          <w:color w:val="000000" w:themeColor="text1"/>
          <w:sz w:val="24"/>
          <w:szCs w:val="24"/>
          <w:lang w:eastAsia="zh-CN"/>
        </w:rPr>
        <w:t> </w:t>
      </w:r>
      <w:r w:rsidRPr="00284871">
        <w:rPr>
          <w:rFonts w:ascii="Times New Roman" w:hAnsi="Times New Roman" w:cs="Times New Roman"/>
          <w:color w:val="000000" w:themeColor="text1"/>
          <w:sz w:val="24"/>
          <w:szCs w:val="24"/>
          <w:lang w:val="ru-RU" w:eastAsia="zh-CN"/>
        </w:rPr>
        <w:t xml:space="preserve">2012. – </w:t>
      </w:r>
      <w:r w:rsidRPr="00284871">
        <w:rPr>
          <w:rFonts w:ascii="Times New Roman" w:hAnsi="Times New Roman" w:cs="Times New Roman"/>
          <w:color w:val="000000" w:themeColor="text1"/>
          <w:sz w:val="24"/>
          <w:szCs w:val="24"/>
          <w:lang w:val="ru-RU"/>
        </w:rPr>
        <w:t xml:space="preserve">Режим доступа: </w:t>
      </w:r>
      <w:r w:rsidRPr="00284871">
        <w:rPr>
          <w:rFonts w:ascii="Times New Roman" w:hAnsi="Times New Roman" w:cs="Times New Roman"/>
          <w:color w:val="000000" w:themeColor="text1"/>
          <w:sz w:val="24"/>
          <w:szCs w:val="24"/>
        </w:rPr>
        <w:t>URL</w:t>
      </w:r>
      <w:r w:rsidRPr="00284871">
        <w:rPr>
          <w:rFonts w:ascii="Times New Roman" w:hAnsi="Times New Roman" w:cs="Times New Roman"/>
          <w:color w:val="000000" w:themeColor="text1"/>
          <w:sz w:val="24"/>
          <w:szCs w:val="24"/>
          <w:lang w:val="ru-RU"/>
        </w:rPr>
        <w:t xml:space="preserve">: </w:t>
      </w:r>
      <w:r w:rsidRPr="00284871">
        <w:rPr>
          <w:rFonts w:ascii="Times New Roman" w:hAnsi="Times New Roman" w:cs="Times New Roman"/>
          <w:sz w:val="24"/>
          <w:szCs w:val="24"/>
        </w:rPr>
        <w:t>https</w:t>
      </w:r>
      <w:r w:rsidRPr="00284871">
        <w:rPr>
          <w:rFonts w:ascii="Times New Roman" w:hAnsi="Times New Roman" w:cs="Times New Roman"/>
          <w:sz w:val="24"/>
          <w:szCs w:val="24"/>
          <w:lang w:val="ru-RU"/>
        </w:rPr>
        <w:t>://</w:t>
      </w:r>
      <w:r w:rsidRPr="00284871">
        <w:rPr>
          <w:rFonts w:ascii="Times New Roman" w:hAnsi="Times New Roman" w:cs="Times New Roman"/>
          <w:sz w:val="24"/>
          <w:szCs w:val="24"/>
        </w:rPr>
        <w:t>subnational</w:t>
      </w:r>
      <w:r w:rsidRPr="00284871">
        <w:rPr>
          <w:rFonts w:ascii="Times New Roman" w:hAnsi="Times New Roman" w:cs="Times New Roman"/>
          <w:sz w:val="24"/>
          <w:szCs w:val="24"/>
          <w:lang w:val="ru-RU"/>
        </w:rPr>
        <w:t>.</w:t>
      </w:r>
      <w:r w:rsidRPr="00284871">
        <w:rPr>
          <w:rFonts w:ascii="Times New Roman" w:hAnsi="Times New Roman" w:cs="Times New Roman"/>
          <w:sz w:val="24"/>
          <w:szCs w:val="24"/>
        </w:rPr>
        <w:t>doingbusiness</w:t>
      </w:r>
      <w:r w:rsidRPr="00284871">
        <w:rPr>
          <w:rFonts w:ascii="Times New Roman" w:hAnsi="Times New Roman" w:cs="Times New Roman"/>
          <w:sz w:val="24"/>
          <w:szCs w:val="24"/>
          <w:lang w:val="ru-RU"/>
        </w:rPr>
        <w:t>.</w:t>
      </w:r>
      <w:r w:rsidRPr="00284871">
        <w:rPr>
          <w:rFonts w:ascii="Times New Roman" w:hAnsi="Times New Roman" w:cs="Times New Roman"/>
          <w:sz w:val="24"/>
          <w:szCs w:val="24"/>
        </w:rPr>
        <w:t>org</w:t>
      </w:r>
      <w:r w:rsidRPr="00284871">
        <w:rPr>
          <w:rFonts w:ascii="Times New Roman" w:hAnsi="Times New Roman" w:cs="Times New Roman"/>
          <w:sz w:val="24"/>
          <w:szCs w:val="24"/>
          <w:lang w:val="ru-RU"/>
        </w:rPr>
        <w:t>/</w:t>
      </w:r>
      <w:r w:rsidRPr="00284871">
        <w:rPr>
          <w:rFonts w:ascii="Times New Roman" w:hAnsi="Times New Roman" w:cs="Times New Roman"/>
          <w:sz w:val="24"/>
          <w:szCs w:val="24"/>
        </w:rPr>
        <w:t>en</w:t>
      </w:r>
      <w:r w:rsidRPr="00284871">
        <w:rPr>
          <w:rFonts w:ascii="Times New Roman" w:hAnsi="Times New Roman" w:cs="Times New Roman"/>
          <w:sz w:val="24"/>
          <w:szCs w:val="24"/>
          <w:lang w:val="ru-RU"/>
        </w:rPr>
        <w:t>/</w:t>
      </w:r>
      <w:r w:rsidRPr="00284871">
        <w:rPr>
          <w:rFonts w:ascii="Times New Roman" w:hAnsi="Times New Roman" w:cs="Times New Roman"/>
          <w:sz w:val="24"/>
          <w:szCs w:val="24"/>
        </w:rPr>
        <w:t>reports</w:t>
      </w:r>
      <w:r w:rsidRPr="00284871">
        <w:rPr>
          <w:rFonts w:ascii="Times New Roman" w:hAnsi="Times New Roman" w:cs="Times New Roman"/>
          <w:sz w:val="24"/>
          <w:szCs w:val="24"/>
          <w:lang w:val="ru-RU"/>
        </w:rPr>
        <w:t>/</w:t>
      </w:r>
      <w:r w:rsidRPr="00284871">
        <w:rPr>
          <w:rFonts w:ascii="Times New Roman" w:hAnsi="Times New Roman" w:cs="Times New Roman"/>
          <w:sz w:val="24"/>
          <w:szCs w:val="24"/>
        </w:rPr>
        <w:t>subnational</w:t>
      </w:r>
      <w:r w:rsidRPr="00284871">
        <w:rPr>
          <w:rFonts w:ascii="Times New Roman" w:hAnsi="Times New Roman" w:cs="Times New Roman"/>
          <w:sz w:val="24"/>
          <w:szCs w:val="24"/>
          <w:lang w:val="ru-RU"/>
        </w:rPr>
        <w:t>-</w:t>
      </w:r>
      <w:r w:rsidRPr="00284871">
        <w:rPr>
          <w:rFonts w:ascii="Times New Roman" w:hAnsi="Times New Roman" w:cs="Times New Roman"/>
          <w:sz w:val="24"/>
          <w:szCs w:val="24"/>
        </w:rPr>
        <w:t>reports</w:t>
      </w:r>
      <w:r w:rsidRPr="00284871">
        <w:rPr>
          <w:rFonts w:ascii="Times New Roman" w:hAnsi="Times New Roman" w:cs="Times New Roman"/>
          <w:sz w:val="24"/>
          <w:szCs w:val="24"/>
          <w:lang w:val="ru-RU"/>
        </w:rPr>
        <w:t>/</w:t>
      </w:r>
      <w:r w:rsidRPr="00284871">
        <w:rPr>
          <w:rFonts w:ascii="Times New Roman" w:hAnsi="Times New Roman" w:cs="Times New Roman"/>
          <w:sz w:val="24"/>
          <w:szCs w:val="24"/>
        </w:rPr>
        <w:t>russia</w:t>
      </w:r>
      <w:r w:rsidRPr="00284871">
        <w:rPr>
          <w:rFonts w:ascii="Times New Roman" w:hAnsi="Times New Roman" w:cs="Times New Roman"/>
          <w:color w:val="000000" w:themeColor="text1"/>
          <w:sz w:val="24"/>
          <w:szCs w:val="24"/>
          <w:lang w:val="ru-RU"/>
        </w:rPr>
        <w:t xml:space="preserve"> (дата обращения: 26.05.2023).</w:t>
      </w:r>
      <w:bookmarkEnd w:id="57"/>
    </w:p>
    <w:p w14:paraId="402F364C" w14:textId="015A9CFB" w:rsidR="003C4C21" w:rsidRPr="0037793B" w:rsidRDefault="00BC235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rPr>
      </w:pPr>
      <w:r w:rsidRPr="0037793B">
        <w:rPr>
          <w:rFonts w:ascii="Times New Roman" w:hAnsi="Times New Roman" w:cs="Times New Roman"/>
          <w:color w:val="000000" w:themeColor="text1"/>
          <w:sz w:val="24"/>
          <w:szCs w:val="24"/>
        </w:rPr>
        <w:t>Office for National Statistics of the United Kingdom and Great Britain</w:t>
      </w:r>
      <w:r w:rsidR="002023F4" w:rsidRPr="0037793B">
        <w:rPr>
          <w:rFonts w:ascii="Times New Roman" w:hAnsi="Times New Roman" w:cs="Times New Roman"/>
          <w:color w:val="000000" w:themeColor="text1"/>
          <w:sz w:val="24"/>
          <w:szCs w:val="24"/>
        </w:rPr>
        <w:t xml:space="preserve"> </w:t>
      </w:r>
      <w:r w:rsidR="002023F4" w:rsidRPr="0037793B">
        <w:rPr>
          <w:rFonts w:ascii="Times New Roman" w:hAnsi="Times New Roman" w:cs="Times New Roman"/>
          <w:color w:val="000000" w:themeColor="text1"/>
          <w:sz w:val="24"/>
          <w:szCs w:val="24"/>
          <w:lang w:eastAsia="zh-CN"/>
        </w:rPr>
        <w:t>[</w:t>
      </w:r>
      <w:r w:rsidR="002023F4" w:rsidRPr="0037793B">
        <w:rPr>
          <w:rFonts w:ascii="Times New Roman" w:hAnsi="Times New Roman" w:cs="Times New Roman"/>
          <w:color w:val="000000" w:themeColor="text1"/>
          <w:sz w:val="24"/>
          <w:szCs w:val="24"/>
          <w:lang w:val="ru-RU" w:eastAsia="zh-CN"/>
        </w:rPr>
        <w:t>Электронный</w:t>
      </w:r>
      <w:r w:rsidR="002023F4" w:rsidRPr="0037793B">
        <w:rPr>
          <w:rFonts w:ascii="Times New Roman" w:hAnsi="Times New Roman" w:cs="Times New Roman"/>
          <w:color w:val="000000" w:themeColor="text1"/>
          <w:sz w:val="24"/>
          <w:szCs w:val="24"/>
          <w:lang w:eastAsia="zh-CN"/>
        </w:rPr>
        <w:t xml:space="preserve"> </w:t>
      </w:r>
      <w:r w:rsidR="002023F4" w:rsidRPr="0037793B">
        <w:rPr>
          <w:rFonts w:ascii="Times New Roman" w:hAnsi="Times New Roman" w:cs="Times New Roman"/>
          <w:color w:val="000000" w:themeColor="text1"/>
          <w:sz w:val="24"/>
          <w:szCs w:val="24"/>
          <w:lang w:val="ru-RU" w:eastAsia="zh-CN"/>
        </w:rPr>
        <w:t>ресурс</w:t>
      </w:r>
      <w:r w:rsidR="002023F4" w:rsidRPr="0037793B">
        <w:rPr>
          <w:rFonts w:ascii="Times New Roman" w:hAnsi="Times New Roman" w:cs="Times New Roman"/>
          <w:color w:val="000000" w:themeColor="text1"/>
          <w:sz w:val="24"/>
          <w:szCs w:val="24"/>
          <w:lang w:eastAsia="zh-CN"/>
        </w:rPr>
        <w:t xml:space="preserve">] – </w:t>
      </w:r>
      <w:r w:rsidR="002023F4" w:rsidRPr="0037793B">
        <w:rPr>
          <w:rFonts w:ascii="Times New Roman" w:hAnsi="Times New Roman" w:cs="Times New Roman"/>
          <w:color w:val="000000" w:themeColor="text1"/>
          <w:sz w:val="24"/>
          <w:szCs w:val="24"/>
          <w:lang w:val="ru-RU" w:eastAsia="zh-CN"/>
        </w:rPr>
        <w:t>Режим</w:t>
      </w:r>
      <w:r w:rsidR="002023F4" w:rsidRPr="0037793B">
        <w:rPr>
          <w:rFonts w:ascii="Times New Roman" w:hAnsi="Times New Roman" w:cs="Times New Roman"/>
          <w:color w:val="000000" w:themeColor="text1"/>
          <w:sz w:val="24"/>
          <w:szCs w:val="24"/>
          <w:lang w:eastAsia="zh-CN"/>
        </w:rPr>
        <w:t xml:space="preserve"> </w:t>
      </w:r>
      <w:r w:rsidR="002023F4" w:rsidRPr="0037793B">
        <w:rPr>
          <w:rFonts w:ascii="Times New Roman" w:hAnsi="Times New Roman" w:cs="Times New Roman"/>
          <w:color w:val="000000" w:themeColor="text1"/>
          <w:sz w:val="24"/>
          <w:szCs w:val="24"/>
          <w:lang w:val="ru-RU" w:eastAsia="zh-CN"/>
        </w:rPr>
        <w:t>доступа</w:t>
      </w:r>
      <w:r w:rsidR="002023F4" w:rsidRPr="0037793B">
        <w:rPr>
          <w:rFonts w:ascii="Times New Roman" w:hAnsi="Times New Roman" w:cs="Times New Roman"/>
          <w:color w:val="000000" w:themeColor="text1"/>
          <w:sz w:val="24"/>
          <w:szCs w:val="24"/>
          <w:lang w:eastAsia="zh-CN"/>
        </w:rPr>
        <w:t xml:space="preserve">: </w:t>
      </w:r>
      <w:r w:rsidR="002023F4" w:rsidRPr="0037793B">
        <w:rPr>
          <w:rFonts w:ascii="Times New Roman" w:hAnsi="Times New Roman" w:cs="Times New Roman"/>
          <w:color w:val="000000" w:themeColor="text1"/>
          <w:sz w:val="24"/>
          <w:szCs w:val="24"/>
        </w:rPr>
        <w:t>URL: https://www.ons.gov.uk (</w:t>
      </w:r>
      <w:r w:rsidR="002023F4" w:rsidRPr="0037793B">
        <w:rPr>
          <w:rFonts w:ascii="Times New Roman" w:hAnsi="Times New Roman" w:cs="Times New Roman"/>
          <w:color w:val="000000" w:themeColor="text1"/>
          <w:sz w:val="24"/>
          <w:szCs w:val="24"/>
          <w:lang w:val="ru-RU"/>
        </w:rPr>
        <w:t>дата</w:t>
      </w:r>
      <w:r w:rsidR="002023F4" w:rsidRPr="0037793B">
        <w:rPr>
          <w:rFonts w:ascii="Times New Roman" w:hAnsi="Times New Roman" w:cs="Times New Roman"/>
          <w:color w:val="000000" w:themeColor="text1"/>
          <w:sz w:val="24"/>
          <w:szCs w:val="24"/>
        </w:rPr>
        <w:t xml:space="preserve"> </w:t>
      </w:r>
      <w:r w:rsidR="002023F4" w:rsidRPr="0037793B">
        <w:rPr>
          <w:rFonts w:ascii="Times New Roman" w:hAnsi="Times New Roman" w:cs="Times New Roman"/>
          <w:color w:val="000000" w:themeColor="text1"/>
          <w:sz w:val="24"/>
          <w:szCs w:val="24"/>
          <w:lang w:val="ru-RU"/>
        </w:rPr>
        <w:t>обращения</w:t>
      </w:r>
      <w:r w:rsidR="002023F4" w:rsidRPr="0037793B">
        <w:rPr>
          <w:rFonts w:ascii="Times New Roman" w:hAnsi="Times New Roman" w:cs="Times New Roman"/>
          <w:color w:val="000000" w:themeColor="text1"/>
          <w:sz w:val="24"/>
          <w:szCs w:val="24"/>
        </w:rPr>
        <w:t>: 23.02.2023).</w:t>
      </w:r>
    </w:p>
    <w:p w14:paraId="109D01E3" w14:textId="60709377" w:rsidR="003C4C21" w:rsidRDefault="00BC235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rPr>
      </w:pPr>
      <w:r w:rsidRPr="004E7E3E">
        <w:rPr>
          <w:rFonts w:ascii="Times New Roman" w:hAnsi="Times New Roman" w:cs="Times New Roman"/>
          <w:color w:val="000000" w:themeColor="text1"/>
          <w:sz w:val="24"/>
          <w:szCs w:val="24"/>
        </w:rPr>
        <w:t xml:space="preserve">Statistics. International banking. Consolidated Statistics / The Bank of International Settlements. – </w:t>
      </w:r>
      <w:r w:rsidRPr="004E7E3E">
        <w:rPr>
          <w:rFonts w:ascii="Times New Roman" w:hAnsi="Times New Roman" w:cs="Times New Roman"/>
          <w:color w:val="000000" w:themeColor="text1"/>
          <w:sz w:val="24"/>
          <w:szCs w:val="24"/>
          <w:lang w:val="ru-RU"/>
        </w:rPr>
        <w:t>Режим</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доступа</w:t>
      </w:r>
      <w:r w:rsidRPr="004E7E3E">
        <w:rPr>
          <w:rFonts w:ascii="Times New Roman" w:hAnsi="Times New Roman" w:cs="Times New Roman"/>
          <w:color w:val="000000" w:themeColor="text1"/>
          <w:sz w:val="24"/>
          <w:szCs w:val="24"/>
        </w:rPr>
        <w:t xml:space="preserve">: URL: </w:t>
      </w:r>
      <w:hyperlink r:id="rId52" w:tooltip="https://www.bis.org/statistics/consstats.htm?m=2070" w:history="1">
        <w:r w:rsidRPr="004E7E3E">
          <w:rPr>
            <w:rStyle w:val="a9"/>
            <w:rFonts w:ascii="Times New Roman" w:hAnsi="Times New Roman" w:cs="Times New Roman"/>
            <w:color w:val="000000" w:themeColor="text1"/>
            <w:sz w:val="24"/>
            <w:szCs w:val="24"/>
            <w:u w:val="none"/>
          </w:rPr>
          <w:t>https://www.bis.org/statistics/consstats.htm?m=2070</w:t>
        </w:r>
      </w:hyperlink>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дата</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обращения</w:t>
      </w:r>
      <w:r w:rsidRPr="004E7E3E">
        <w:rPr>
          <w:rFonts w:ascii="Times New Roman" w:hAnsi="Times New Roman" w:cs="Times New Roman"/>
          <w:color w:val="000000" w:themeColor="text1"/>
          <w:sz w:val="24"/>
          <w:szCs w:val="24"/>
        </w:rPr>
        <w:t>: 23.02.2023).</w:t>
      </w:r>
      <w:bookmarkStart w:id="58" w:name="_Ref130569343"/>
    </w:p>
    <w:p w14:paraId="071D02C4" w14:textId="59D633AA" w:rsidR="005B2379" w:rsidRPr="0037793B" w:rsidRDefault="005B2379"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rPr>
      </w:pPr>
      <w:r w:rsidRPr="0037793B">
        <w:rPr>
          <w:rFonts w:ascii="Times New Roman" w:hAnsi="Times New Roman" w:cs="Times New Roman"/>
          <w:color w:val="000000" w:themeColor="text1"/>
          <w:sz w:val="24"/>
          <w:szCs w:val="24"/>
          <w:shd w:val="clear" w:color="auto" w:fill="FFFFFF"/>
        </w:rPr>
        <w:t xml:space="preserve">The Global Competitiveness Report </w:t>
      </w:r>
      <w:r w:rsidRPr="0037793B">
        <w:rPr>
          <w:rFonts w:ascii="Times New Roman" w:hAnsi="Times New Roman" w:cs="Times New Roman"/>
          <w:color w:val="000000" w:themeColor="text1"/>
          <w:sz w:val="24"/>
          <w:szCs w:val="24"/>
          <w:lang w:eastAsia="zh-CN"/>
        </w:rPr>
        <w:t>[</w:t>
      </w:r>
      <w:r w:rsidRPr="0037793B">
        <w:rPr>
          <w:rFonts w:ascii="Times New Roman" w:hAnsi="Times New Roman" w:cs="Times New Roman"/>
          <w:color w:val="000000" w:themeColor="text1"/>
          <w:sz w:val="24"/>
          <w:szCs w:val="24"/>
          <w:lang w:val="ru-RU" w:eastAsia="zh-CN"/>
        </w:rPr>
        <w:t>Электронный</w:t>
      </w:r>
      <w:r w:rsidRPr="0037793B">
        <w:rPr>
          <w:rFonts w:ascii="Times New Roman" w:hAnsi="Times New Roman" w:cs="Times New Roman"/>
          <w:color w:val="000000" w:themeColor="text1"/>
          <w:sz w:val="24"/>
          <w:szCs w:val="24"/>
          <w:lang w:eastAsia="zh-CN"/>
        </w:rPr>
        <w:t xml:space="preserve"> </w:t>
      </w:r>
      <w:r w:rsidRPr="0037793B">
        <w:rPr>
          <w:rFonts w:ascii="Times New Roman" w:hAnsi="Times New Roman" w:cs="Times New Roman"/>
          <w:color w:val="000000" w:themeColor="text1"/>
          <w:sz w:val="24"/>
          <w:szCs w:val="24"/>
          <w:lang w:val="ru-RU" w:eastAsia="zh-CN"/>
        </w:rPr>
        <w:t>ресурс</w:t>
      </w:r>
      <w:r w:rsidRPr="0037793B">
        <w:rPr>
          <w:rFonts w:ascii="Times New Roman" w:hAnsi="Times New Roman" w:cs="Times New Roman"/>
          <w:color w:val="000000" w:themeColor="text1"/>
          <w:sz w:val="24"/>
          <w:szCs w:val="24"/>
          <w:lang w:eastAsia="zh-CN"/>
        </w:rPr>
        <w:t xml:space="preserve">] </w:t>
      </w:r>
      <w:r w:rsidRPr="0037793B">
        <w:rPr>
          <w:rFonts w:ascii="Times New Roman" w:hAnsi="Times New Roman" w:cs="Times New Roman"/>
          <w:color w:val="000000" w:themeColor="text1"/>
          <w:sz w:val="24"/>
          <w:szCs w:val="24"/>
          <w:shd w:val="clear" w:color="auto" w:fill="FFFFFF"/>
        </w:rPr>
        <w:t xml:space="preserve">/ World Economic Forum, Geneva </w:t>
      </w:r>
      <w:r w:rsidRPr="0037793B">
        <w:rPr>
          <w:rFonts w:ascii="Times New Roman" w:hAnsi="Times New Roman" w:cs="Times New Roman"/>
          <w:color w:val="000000" w:themeColor="text1"/>
          <w:sz w:val="24"/>
          <w:szCs w:val="24"/>
        </w:rPr>
        <w:t xml:space="preserve">–– </w:t>
      </w:r>
      <w:r w:rsidRPr="0037793B">
        <w:rPr>
          <w:rFonts w:ascii="Times New Roman" w:hAnsi="Times New Roman" w:cs="Times New Roman"/>
          <w:color w:val="000000" w:themeColor="text1"/>
          <w:sz w:val="24"/>
          <w:szCs w:val="24"/>
          <w:lang w:val="ru-RU"/>
        </w:rPr>
        <w:t>Режим</w:t>
      </w:r>
      <w:r w:rsidRPr="0037793B">
        <w:rPr>
          <w:rFonts w:ascii="Times New Roman" w:hAnsi="Times New Roman" w:cs="Times New Roman"/>
          <w:color w:val="000000" w:themeColor="text1"/>
          <w:sz w:val="24"/>
          <w:szCs w:val="24"/>
        </w:rPr>
        <w:t xml:space="preserve"> </w:t>
      </w:r>
      <w:r w:rsidRPr="0037793B">
        <w:rPr>
          <w:rFonts w:ascii="Times New Roman" w:hAnsi="Times New Roman" w:cs="Times New Roman"/>
          <w:color w:val="000000" w:themeColor="text1"/>
          <w:sz w:val="24"/>
          <w:szCs w:val="24"/>
          <w:lang w:val="ru-RU"/>
        </w:rPr>
        <w:t>доступа</w:t>
      </w:r>
      <w:r w:rsidRPr="0037793B">
        <w:rPr>
          <w:rFonts w:ascii="Times New Roman" w:hAnsi="Times New Roman" w:cs="Times New Roman"/>
          <w:color w:val="000000" w:themeColor="text1"/>
          <w:sz w:val="24"/>
          <w:szCs w:val="24"/>
        </w:rPr>
        <w:t xml:space="preserve">: URL: </w:t>
      </w:r>
      <w:hyperlink r:id="rId53" w:tooltip="https://www.weforum.org/reports/the-global-competitiveness-report-2020" w:history="1">
        <w:r w:rsidRPr="0037793B">
          <w:rPr>
            <w:rStyle w:val="a9"/>
            <w:rFonts w:ascii="Times New Roman" w:hAnsi="Times New Roman" w:cs="Times New Roman"/>
            <w:color w:val="000000" w:themeColor="text1"/>
            <w:sz w:val="24"/>
            <w:szCs w:val="24"/>
            <w:u w:val="none"/>
            <w:shd w:val="clear" w:color="auto" w:fill="FFFFFF"/>
          </w:rPr>
          <w:t>https://www.weforum.org/reports/the-global-competitiveness-report-2020</w:t>
        </w:r>
      </w:hyperlink>
      <w:r w:rsidRPr="0037793B">
        <w:rPr>
          <w:rFonts w:ascii="Times New Roman" w:hAnsi="Times New Roman" w:cs="Times New Roman"/>
          <w:color w:val="000000" w:themeColor="text1"/>
          <w:sz w:val="24"/>
          <w:szCs w:val="24"/>
        </w:rPr>
        <w:t xml:space="preserve"> (дата обращения: 25.02.2023).</w:t>
      </w:r>
    </w:p>
    <w:p w14:paraId="3B63D339" w14:textId="0988EF21" w:rsidR="003C4C21" w:rsidRPr="004E7E3E" w:rsidRDefault="00BC235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rPr>
        <w:lastRenderedPageBreak/>
        <w:t xml:space="preserve">The World Bank. Data catalogue. World Development Indicators: Structure of value added. </w:t>
      </w:r>
      <w:r w:rsidRPr="004E7E3E">
        <w:rPr>
          <w:rFonts w:ascii="Times New Roman" w:hAnsi="Times New Roman" w:cs="Times New Roman"/>
          <w:color w:val="000000" w:themeColor="text1"/>
          <w:sz w:val="24"/>
          <w:szCs w:val="24"/>
          <w:lang w:val="ru-RU"/>
        </w:rPr>
        <w:t xml:space="preserve">4.2/ </w:t>
      </w:r>
      <w:r w:rsidRPr="004E7E3E">
        <w:rPr>
          <w:rFonts w:ascii="Times New Roman" w:hAnsi="Times New Roman" w:cs="Times New Roman"/>
          <w:color w:val="000000" w:themeColor="text1"/>
          <w:sz w:val="24"/>
          <w:szCs w:val="24"/>
        </w:rPr>
        <w:t>The</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World</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Bank</w:t>
      </w:r>
      <w:r w:rsidRPr="004E7E3E">
        <w:rPr>
          <w:rFonts w:ascii="Times New Roman" w:hAnsi="Times New Roman" w:cs="Times New Roman"/>
          <w:color w:val="000000" w:themeColor="text1"/>
          <w:sz w:val="24"/>
          <w:szCs w:val="24"/>
          <w:lang w:val="ru-RU"/>
        </w:rPr>
        <w:t xml:space="preserve">. – Режим доступа: </w:t>
      </w:r>
      <w:r w:rsidRPr="004E7E3E">
        <w:rPr>
          <w:rFonts w:ascii="Times New Roman" w:hAnsi="Times New Roman" w:cs="Times New Roman"/>
          <w:color w:val="000000" w:themeColor="text1"/>
          <w:sz w:val="24"/>
          <w:szCs w:val="24"/>
        </w:rPr>
        <w:t>URL</w:t>
      </w:r>
      <w:r w:rsidRPr="004E7E3E">
        <w:rPr>
          <w:rFonts w:ascii="Times New Roman" w:hAnsi="Times New Roman" w:cs="Times New Roman"/>
          <w:color w:val="000000" w:themeColor="text1"/>
          <w:sz w:val="24"/>
          <w:szCs w:val="24"/>
          <w:lang w:val="ru-RU"/>
        </w:rPr>
        <w:t xml:space="preserve">: </w:t>
      </w:r>
      <w:hyperlink r:id="rId54" w:tooltip="http://wdi.worldbank.org/table/4.2" w:history="1">
        <w:r w:rsidRPr="004E7E3E">
          <w:rPr>
            <w:rStyle w:val="a9"/>
            <w:rFonts w:ascii="Times New Roman" w:hAnsi="Times New Roman" w:cs="Times New Roman"/>
            <w:color w:val="000000" w:themeColor="text1"/>
            <w:sz w:val="24"/>
            <w:szCs w:val="24"/>
            <w:u w:val="none"/>
          </w:rPr>
          <w:t>http</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wdi</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worldbank</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org</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table</w:t>
        </w:r>
        <w:r w:rsidRPr="004E7E3E">
          <w:rPr>
            <w:rStyle w:val="a9"/>
            <w:rFonts w:ascii="Times New Roman" w:hAnsi="Times New Roman" w:cs="Times New Roman"/>
            <w:color w:val="000000" w:themeColor="text1"/>
            <w:sz w:val="24"/>
            <w:szCs w:val="24"/>
            <w:u w:val="none"/>
            <w:lang w:val="ru-RU"/>
          </w:rPr>
          <w:t>/4.2</w:t>
        </w:r>
      </w:hyperlink>
      <w:r w:rsidRPr="004E7E3E">
        <w:rPr>
          <w:rFonts w:ascii="Times New Roman" w:hAnsi="Times New Roman" w:cs="Times New Roman"/>
          <w:color w:val="000000" w:themeColor="text1"/>
          <w:sz w:val="24"/>
          <w:szCs w:val="24"/>
          <w:lang w:val="ru-RU"/>
        </w:rPr>
        <w:t xml:space="preserve"> (дата обращения: 21.02.2023).</w:t>
      </w:r>
      <w:bookmarkStart w:id="59" w:name="_Ref130569402"/>
      <w:bookmarkEnd w:id="58"/>
    </w:p>
    <w:p w14:paraId="0B4E3840" w14:textId="654A8DD1" w:rsidR="003C4C21" w:rsidRPr="004E7E3E" w:rsidRDefault="00BC235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rPr>
      </w:pPr>
      <w:r w:rsidRPr="004E7E3E">
        <w:rPr>
          <w:rFonts w:ascii="Times New Roman" w:hAnsi="Times New Roman" w:cs="Times New Roman"/>
          <w:color w:val="000000" w:themeColor="text1"/>
          <w:sz w:val="24"/>
          <w:szCs w:val="24"/>
        </w:rPr>
        <w:t>The World Bank. WV.1 World Development Indicators: Size of the economy. / The</w:t>
      </w:r>
      <w:r w:rsidR="0037793B">
        <w:rPr>
          <w:rFonts w:ascii="Times New Roman" w:hAnsi="Times New Roman" w:cs="Times New Roman"/>
          <w:color w:val="000000" w:themeColor="text1"/>
          <w:sz w:val="24"/>
          <w:szCs w:val="24"/>
        </w:rPr>
        <w:t> </w:t>
      </w:r>
      <w:r w:rsidRPr="004E7E3E">
        <w:rPr>
          <w:rFonts w:ascii="Times New Roman" w:hAnsi="Times New Roman" w:cs="Times New Roman"/>
          <w:color w:val="000000" w:themeColor="text1"/>
          <w:sz w:val="24"/>
          <w:szCs w:val="24"/>
        </w:rPr>
        <w:t xml:space="preserve">World Bank. – </w:t>
      </w:r>
      <w:r w:rsidRPr="004E7E3E">
        <w:rPr>
          <w:rFonts w:ascii="Times New Roman" w:hAnsi="Times New Roman" w:cs="Times New Roman"/>
          <w:color w:val="000000" w:themeColor="text1"/>
          <w:sz w:val="24"/>
          <w:szCs w:val="24"/>
          <w:lang w:val="ru-RU"/>
        </w:rPr>
        <w:t>Режим</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доступа</w:t>
      </w:r>
      <w:r w:rsidRPr="004E7E3E">
        <w:rPr>
          <w:rFonts w:ascii="Times New Roman" w:hAnsi="Times New Roman" w:cs="Times New Roman"/>
          <w:color w:val="000000" w:themeColor="text1"/>
          <w:sz w:val="24"/>
          <w:szCs w:val="24"/>
        </w:rPr>
        <w:t xml:space="preserve">: URL: </w:t>
      </w:r>
      <w:hyperlink r:id="rId55" w:tooltip="http://wdi.worldbank.org/table/WV.1" w:history="1">
        <w:r w:rsidRPr="004E7E3E">
          <w:rPr>
            <w:rStyle w:val="a9"/>
            <w:rFonts w:ascii="Times New Roman" w:hAnsi="Times New Roman" w:cs="Times New Roman"/>
            <w:color w:val="000000" w:themeColor="text1"/>
            <w:sz w:val="24"/>
            <w:szCs w:val="24"/>
            <w:u w:val="none"/>
          </w:rPr>
          <w:t>http://wdi.worldbank.org/table/WV.1</w:t>
        </w:r>
      </w:hyperlink>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дата</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обращения</w:t>
      </w:r>
      <w:r w:rsidRPr="004E7E3E">
        <w:rPr>
          <w:rFonts w:ascii="Times New Roman" w:hAnsi="Times New Roman" w:cs="Times New Roman"/>
          <w:color w:val="000000" w:themeColor="text1"/>
          <w:sz w:val="24"/>
          <w:szCs w:val="24"/>
        </w:rPr>
        <w:t>: 27.02.2023).</w:t>
      </w:r>
      <w:bookmarkStart w:id="60" w:name="_Ref131275920"/>
      <w:bookmarkEnd w:id="59"/>
    </w:p>
    <w:p w14:paraId="6F3EEEF4" w14:textId="4ABA58B7" w:rsidR="003C4C21" w:rsidRPr="004E7E3E" w:rsidRDefault="00BC235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rPr>
        <w:t>The World Bank. Urban development. Overview</w:t>
      </w:r>
      <w:r w:rsidRPr="004E7E3E">
        <w:rPr>
          <w:rFonts w:ascii="Times New Roman" w:hAnsi="Times New Roman" w:cs="Times New Roman"/>
          <w:color w:val="000000" w:themeColor="text1"/>
          <w:sz w:val="24"/>
          <w:szCs w:val="24"/>
          <w:lang w:val="ru-RU"/>
        </w:rPr>
        <w:t xml:space="preserve"> [Электронный ресурс] /</w:t>
      </w:r>
      <w:r w:rsidRPr="004E7E3E">
        <w:rPr>
          <w:rFonts w:ascii="Times New Roman" w:hAnsi="Times New Roman" w:cs="Times New Roman"/>
          <w:color w:val="000000" w:themeColor="text1"/>
          <w:sz w:val="24"/>
          <w:szCs w:val="24"/>
        </w:rPr>
        <w:t>The</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World</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Bank</w:t>
      </w:r>
      <w:r w:rsidRPr="004E7E3E">
        <w:rPr>
          <w:rFonts w:ascii="Times New Roman" w:hAnsi="Times New Roman" w:cs="Times New Roman"/>
          <w:color w:val="000000" w:themeColor="text1"/>
          <w:sz w:val="24"/>
          <w:szCs w:val="24"/>
          <w:lang w:val="ru-RU"/>
        </w:rPr>
        <w:t xml:space="preserve">. – Режим доступа: </w:t>
      </w:r>
      <w:r w:rsidRPr="004E7E3E">
        <w:rPr>
          <w:rFonts w:ascii="Times New Roman" w:hAnsi="Times New Roman" w:cs="Times New Roman"/>
          <w:color w:val="000000" w:themeColor="text1"/>
          <w:sz w:val="24"/>
          <w:szCs w:val="24"/>
        </w:rPr>
        <w:t>URL</w:t>
      </w:r>
      <w:r w:rsidRPr="004E7E3E">
        <w:rPr>
          <w:rFonts w:ascii="Times New Roman" w:hAnsi="Times New Roman" w:cs="Times New Roman"/>
          <w:color w:val="000000" w:themeColor="text1"/>
          <w:sz w:val="24"/>
          <w:szCs w:val="24"/>
          <w:lang w:val="ru-RU"/>
        </w:rPr>
        <w:t xml:space="preserve">: </w:t>
      </w:r>
      <w:hyperlink r:id="rId56" w:tooltip="https://www.worldbank.org/en/topic/urbandevelopment/overview" w:history="1">
        <w:r w:rsidRPr="004E7E3E">
          <w:rPr>
            <w:rStyle w:val="a9"/>
            <w:rFonts w:ascii="Times New Roman" w:hAnsi="Times New Roman" w:cs="Times New Roman"/>
            <w:color w:val="000000" w:themeColor="text1"/>
            <w:sz w:val="24"/>
            <w:szCs w:val="24"/>
            <w:u w:val="none"/>
          </w:rPr>
          <w:t>https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www</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worldbank</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org</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en</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topic</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urbandevelopment</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overview</w:t>
        </w:r>
      </w:hyperlink>
      <w:r w:rsidRPr="004E7E3E">
        <w:rPr>
          <w:rFonts w:ascii="Times New Roman" w:hAnsi="Times New Roman" w:cs="Times New Roman"/>
          <w:color w:val="000000" w:themeColor="text1"/>
          <w:sz w:val="24"/>
          <w:szCs w:val="24"/>
          <w:lang w:val="ru-RU"/>
        </w:rPr>
        <w:t xml:space="preserve"> (дата обращения: 23.02.2023).</w:t>
      </w:r>
      <w:bookmarkEnd w:id="60"/>
    </w:p>
    <w:p w14:paraId="1A9DCFCE" w14:textId="1069E46C" w:rsidR="007D6A34" w:rsidRPr="004E7E3E" w:rsidRDefault="00BC235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color w:val="000000" w:themeColor="text1"/>
          <w:sz w:val="24"/>
          <w:szCs w:val="24"/>
        </w:rPr>
        <w:t>World</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Federation</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of</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Exchanges</w:t>
      </w:r>
      <w:r w:rsidR="002023F4" w:rsidRPr="004E7E3E">
        <w:rPr>
          <w:rFonts w:ascii="Times New Roman" w:hAnsi="Times New Roman" w:cs="Times New Roman"/>
          <w:color w:val="000000" w:themeColor="text1"/>
          <w:sz w:val="24"/>
          <w:szCs w:val="24"/>
          <w:lang w:val="ru-RU"/>
        </w:rPr>
        <w:t xml:space="preserve"> [Электронный ресурс] </w:t>
      </w:r>
      <w:r w:rsidR="002023F4" w:rsidRPr="004E7E3E">
        <w:rPr>
          <w:rFonts w:ascii="Times New Roman" w:hAnsi="Times New Roman" w:cs="Times New Roman"/>
          <w:color w:val="000000" w:themeColor="text1"/>
          <w:sz w:val="24"/>
          <w:szCs w:val="24"/>
          <w:lang w:val="ru-RU" w:eastAsia="zh-CN"/>
        </w:rPr>
        <w:t xml:space="preserve">– </w:t>
      </w:r>
      <w:r w:rsidR="002023F4" w:rsidRPr="004E7E3E">
        <w:rPr>
          <w:rFonts w:ascii="Times New Roman" w:hAnsi="Times New Roman" w:cs="Times New Roman"/>
          <w:color w:val="000000" w:themeColor="text1"/>
          <w:sz w:val="24"/>
          <w:szCs w:val="24"/>
          <w:lang w:val="ru-RU"/>
        </w:rPr>
        <w:t>Режим доступа:</w:t>
      </w:r>
      <w:r w:rsidR="002023F4" w:rsidRPr="004E7E3E">
        <w:rPr>
          <w:rFonts w:ascii="Times New Roman" w:hAnsi="Times New Roman" w:cs="Times New Roman"/>
          <w:color w:val="000000" w:themeColor="text1"/>
          <w:sz w:val="24"/>
          <w:szCs w:val="24"/>
          <w:lang w:val="ru-RU" w:eastAsia="zh-CN"/>
        </w:rPr>
        <w:t xml:space="preserve"> </w:t>
      </w:r>
      <w:r w:rsidR="002023F4" w:rsidRPr="004E7E3E">
        <w:rPr>
          <w:rFonts w:ascii="Times New Roman" w:hAnsi="Times New Roman" w:cs="Times New Roman"/>
          <w:color w:val="000000" w:themeColor="text1"/>
          <w:sz w:val="24"/>
          <w:szCs w:val="24"/>
          <w:lang w:eastAsia="zh-CN"/>
        </w:rPr>
        <w:t>URL</w:t>
      </w:r>
      <w:r w:rsidR="002023F4" w:rsidRPr="004E7E3E">
        <w:rPr>
          <w:rFonts w:ascii="Times New Roman" w:hAnsi="Times New Roman" w:cs="Times New Roman"/>
          <w:color w:val="000000" w:themeColor="text1"/>
          <w:sz w:val="24"/>
          <w:szCs w:val="24"/>
          <w:lang w:val="ru-RU" w:eastAsia="zh-CN"/>
        </w:rPr>
        <w:t>:</w:t>
      </w:r>
      <w:r w:rsidR="0037793B">
        <w:rPr>
          <w:rFonts w:ascii="Times New Roman" w:hAnsi="Times New Roman" w:cs="Times New Roman"/>
          <w:color w:val="000000" w:themeColor="text1"/>
          <w:sz w:val="24"/>
          <w:szCs w:val="24"/>
          <w:lang w:eastAsia="zh-CN"/>
        </w:rPr>
        <w:t> </w:t>
      </w:r>
      <w:r w:rsidR="002023F4" w:rsidRPr="004E7E3E">
        <w:rPr>
          <w:rFonts w:ascii="Times New Roman" w:hAnsi="Times New Roman" w:cs="Times New Roman"/>
          <w:color w:val="000000" w:themeColor="text1"/>
          <w:sz w:val="24"/>
          <w:szCs w:val="24"/>
        </w:rPr>
        <w:t>http</w:t>
      </w:r>
      <w:r w:rsidR="002023F4" w:rsidRPr="004E7E3E">
        <w:rPr>
          <w:rFonts w:ascii="Times New Roman" w:hAnsi="Times New Roman" w:cs="Times New Roman"/>
          <w:color w:val="000000" w:themeColor="text1"/>
          <w:sz w:val="24"/>
          <w:szCs w:val="24"/>
          <w:lang w:val="ru-RU"/>
        </w:rPr>
        <w:t>://</w:t>
      </w:r>
      <w:r w:rsidR="002023F4" w:rsidRPr="004E7E3E">
        <w:rPr>
          <w:rFonts w:ascii="Times New Roman" w:hAnsi="Times New Roman" w:cs="Times New Roman"/>
          <w:color w:val="000000" w:themeColor="text1"/>
          <w:sz w:val="24"/>
          <w:szCs w:val="24"/>
        </w:rPr>
        <w:t>www</w:t>
      </w:r>
      <w:r w:rsidR="002023F4" w:rsidRPr="004E7E3E">
        <w:rPr>
          <w:rFonts w:ascii="Times New Roman" w:hAnsi="Times New Roman" w:cs="Times New Roman"/>
          <w:color w:val="000000" w:themeColor="text1"/>
          <w:sz w:val="24"/>
          <w:szCs w:val="24"/>
          <w:lang w:val="ru-RU"/>
        </w:rPr>
        <w:t>.</w:t>
      </w:r>
      <w:r w:rsidR="002023F4" w:rsidRPr="004E7E3E">
        <w:rPr>
          <w:rFonts w:ascii="Times New Roman" w:hAnsi="Times New Roman" w:cs="Times New Roman"/>
          <w:color w:val="000000" w:themeColor="text1"/>
          <w:sz w:val="24"/>
          <w:szCs w:val="24"/>
        </w:rPr>
        <w:t>world</w:t>
      </w:r>
      <w:r w:rsidR="002023F4" w:rsidRPr="004E7E3E">
        <w:rPr>
          <w:rFonts w:ascii="Times New Roman" w:hAnsi="Times New Roman" w:cs="Times New Roman"/>
          <w:color w:val="000000" w:themeColor="text1"/>
          <w:sz w:val="24"/>
          <w:szCs w:val="24"/>
          <w:lang w:val="ru-RU"/>
        </w:rPr>
        <w:t>-</w:t>
      </w:r>
      <w:r w:rsidR="002023F4" w:rsidRPr="004E7E3E">
        <w:rPr>
          <w:rFonts w:ascii="Times New Roman" w:hAnsi="Times New Roman" w:cs="Times New Roman"/>
          <w:color w:val="000000" w:themeColor="text1"/>
          <w:sz w:val="24"/>
          <w:szCs w:val="24"/>
        </w:rPr>
        <w:t>exchanges</w:t>
      </w:r>
      <w:r w:rsidR="002023F4" w:rsidRPr="004E7E3E">
        <w:rPr>
          <w:rFonts w:ascii="Times New Roman" w:hAnsi="Times New Roman" w:cs="Times New Roman"/>
          <w:color w:val="000000" w:themeColor="text1"/>
          <w:sz w:val="24"/>
          <w:szCs w:val="24"/>
          <w:lang w:val="ru-RU"/>
        </w:rPr>
        <w:t>.</w:t>
      </w:r>
      <w:r w:rsidR="002023F4" w:rsidRPr="004E7E3E">
        <w:rPr>
          <w:rFonts w:ascii="Times New Roman" w:hAnsi="Times New Roman" w:cs="Times New Roman"/>
          <w:color w:val="000000" w:themeColor="text1"/>
          <w:sz w:val="24"/>
          <w:szCs w:val="24"/>
        </w:rPr>
        <w:t>org</w:t>
      </w:r>
      <w:r w:rsidR="002023F4" w:rsidRPr="004E7E3E">
        <w:rPr>
          <w:rFonts w:ascii="Times New Roman" w:hAnsi="Times New Roman" w:cs="Times New Roman"/>
          <w:color w:val="000000" w:themeColor="text1"/>
          <w:sz w:val="24"/>
          <w:szCs w:val="24"/>
          <w:lang w:val="ru-RU"/>
        </w:rPr>
        <w:t xml:space="preserve"> (дата обращения: 23.02.2023).</w:t>
      </w:r>
      <w:bookmarkStart w:id="61" w:name="_Ref497918246"/>
      <w:bookmarkEnd w:id="45"/>
      <w:bookmarkEnd w:id="49"/>
      <w:bookmarkEnd w:id="50"/>
      <w:bookmarkEnd w:id="52"/>
    </w:p>
    <w:p w14:paraId="3F5E9DD6" w14:textId="5D6000E5" w:rsidR="007D6A34" w:rsidRPr="004E7E3E" w:rsidRDefault="007D6A34" w:rsidP="00A134D2">
      <w:pPr>
        <w:tabs>
          <w:tab w:val="left" w:pos="993"/>
        </w:tabs>
        <w:spacing w:after="0" w:line="360" w:lineRule="auto"/>
        <w:ind w:firstLine="709"/>
        <w:contextualSpacing/>
        <w:jc w:val="both"/>
        <w:rPr>
          <w:rFonts w:ascii="Times New Roman" w:hAnsi="Times New Roman" w:cs="Times New Roman"/>
          <w:color w:val="000000"/>
          <w:sz w:val="24"/>
          <w:szCs w:val="24"/>
          <w:lang w:val="ru-RU"/>
        </w:rPr>
      </w:pPr>
    </w:p>
    <w:p w14:paraId="4BD600BD" w14:textId="025FD977" w:rsidR="007D6A34" w:rsidRPr="004E7E3E" w:rsidRDefault="007D6A34" w:rsidP="00A134D2">
      <w:pPr>
        <w:pStyle w:val="af3"/>
        <w:tabs>
          <w:tab w:val="left" w:pos="993"/>
        </w:tabs>
        <w:spacing w:after="0" w:line="360" w:lineRule="auto"/>
        <w:ind w:left="0"/>
        <w:jc w:val="center"/>
        <w:rPr>
          <w:rFonts w:ascii="Times New Roman" w:hAnsi="Times New Roman" w:cs="Times New Roman"/>
          <w:b/>
          <w:color w:val="000000"/>
          <w:sz w:val="24"/>
          <w:szCs w:val="24"/>
          <w:lang w:val="ru-RU"/>
        </w:rPr>
      </w:pPr>
      <w:r w:rsidRPr="004E7E3E">
        <w:rPr>
          <w:rFonts w:ascii="Times New Roman" w:hAnsi="Times New Roman" w:cs="Times New Roman"/>
          <w:b/>
          <w:color w:val="000000" w:themeColor="text1"/>
          <w:sz w:val="24"/>
          <w:szCs w:val="24"/>
          <w:lang w:val="ru-RU"/>
        </w:rPr>
        <w:t>3.Источники на русском языке:</w:t>
      </w:r>
    </w:p>
    <w:p w14:paraId="16416336" w14:textId="77777777" w:rsidR="007D6A34"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4E7E3E">
        <w:rPr>
          <w:rFonts w:ascii="Times New Roman" w:hAnsi="Times New Roman" w:cs="Times New Roman"/>
          <w:sz w:val="24"/>
          <w:szCs w:val="24"/>
          <w:lang w:val="ru-RU"/>
        </w:rPr>
        <w:t>Авдокушин, Е. Ф. Некоторые черты и особенности функционирования международных финансовых центров (МФЦ) / Е. Ф. Авдокушин // Вопросы новой экономики. - № 2 (6). – 2008. – С. 130–150.</w:t>
      </w:r>
      <w:bookmarkEnd w:id="61"/>
      <w:r w:rsidRPr="004E7E3E">
        <w:rPr>
          <w:rFonts w:ascii="Times New Roman" w:hAnsi="Times New Roman" w:cs="Times New Roman"/>
          <w:sz w:val="24"/>
          <w:szCs w:val="24"/>
          <w:lang w:val="ru-RU"/>
        </w:rPr>
        <w:t xml:space="preserve"> </w:t>
      </w:r>
    </w:p>
    <w:p w14:paraId="3131BC71" w14:textId="4B3CE0C0" w:rsidR="00AE4368" w:rsidRPr="009A20E6"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bookmarkStart w:id="62" w:name="_Ref136077571"/>
      <w:r w:rsidRPr="004E7E3E">
        <w:rPr>
          <w:rFonts w:ascii="Times New Roman" w:hAnsi="Times New Roman" w:cs="Times New Roman"/>
          <w:sz w:val="24"/>
          <w:szCs w:val="24"/>
          <w:lang w:val="ru-RU"/>
        </w:rPr>
        <w:t>Айрапетян, А. А. Оценка деятельнности международных финансовых центров в современных условиях: дис. ... канд. экон. наук: 08.00.10</w:t>
      </w:r>
      <w:r w:rsidR="00625AE4"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w:t>
      </w:r>
      <w:r w:rsidR="004F41FA" w:rsidRPr="004E7E3E">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Айрапетян Арут Амурович. — М., 2019. — 194 с.</w:t>
      </w:r>
      <w:bookmarkEnd w:id="62"/>
    </w:p>
    <w:p w14:paraId="7986F279" w14:textId="6F319FFE" w:rsidR="009A20E6" w:rsidRPr="00A11C6E" w:rsidRDefault="009A20E6"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bookmarkStart w:id="63" w:name="_Ref135593478"/>
      <w:r w:rsidRPr="00A11C6E">
        <w:rPr>
          <w:rFonts w:ascii="Times New Roman" w:hAnsi="Times New Roman" w:cs="Times New Roman"/>
          <w:sz w:val="24"/>
          <w:szCs w:val="24"/>
          <w:lang w:val="ru-RU"/>
        </w:rPr>
        <w:t>Акинфеев, Е. В. Формирование и развитие региональных кластеров // Наука. Инновации. Образование. – 2008, №7. – С. 177–191.</w:t>
      </w:r>
      <w:bookmarkEnd w:id="63"/>
    </w:p>
    <w:p w14:paraId="03A95412" w14:textId="0A075CFF" w:rsidR="00D97141" w:rsidRPr="00A11C6E" w:rsidRDefault="00D97141"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bookmarkStart w:id="64" w:name="_Ref459293512"/>
      <w:r w:rsidRPr="00A11C6E">
        <w:rPr>
          <w:rFonts w:ascii="Times New Roman" w:hAnsi="Times New Roman" w:cs="Times New Roman"/>
          <w:color w:val="000000"/>
          <w:sz w:val="24"/>
          <w:szCs w:val="24"/>
          <w:lang w:val="ru-RU"/>
        </w:rPr>
        <w:t>Алексеев, В. Н. Инвестиционный климат Москвы: отдельные аспекты // В.</w:t>
      </w:r>
      <w:r w:rsidR="00094154" w:rsidRPr="00A11C6E">
        <w:rPr>
          <w:rFonts w:ascii="Times New Roman" w:hAnsi="Times New Roman" w:cs="Times New Roman"/>
          <w:color w:val="000000"/>
          <w:sz w:val="24"/>
          <w:szCs w:val="24"/>
        </w:rPr>
        <w:t> </w:t>
      </w:r>
      <w:r w:rsidRPr="00A11C6E">
        <w:rPr>
          <w:rFonts w:ascii="Times New Roman" w:hAnsi="Times New Roman" w:cs="Times New Roman"/>
          <w:color w:val="000000"/>
          <w:sz w:val="24"/>
          <w:szCs w:val="24"/>
          <w:lang w:val="ru-RU"/>
        </w:rPr>
        <w:t>Н.</w:t>
      </w:r>
      <w:r w:rsidR="00094154" w:rsidRPr="00A11C6E">
        <w:rPr>
          <w:rFonts w:ascii="Times New Roman" w:hAnsi="Times New Roman" w:cs="Times New Roman"/>
          <w:color w:val="000000"/>
          <w:sz w:val="24"/>
          <w:szCs w:val="24"/>
        </w:rPr>
        <w:t> </w:t>
      </w:r>
      <w:r w:rsidRPr="00A11C6E">
        <w:rPr>
          <w:rFonts w:ascii="Times New Roman" w:hAnsi="Times New Roman" w:cs="Times New Roman"/>
          <w:color w:val="000000"/>
          <w:sz w:val="24"/>
          <w:szCs w:val="24"/>
          <w:lang w:val="ru-RU"/>
        </w:rPr>
        <w:t>Алексеев, В. Г. Ермилов // Финансы и кредит. – 2010, №13 (397). – С. 2–6.</w:t>
      </w:r>
    </w:p>
    <w:p w14:paraId="4BC5C84D" w14:textId="0059DA85" w:rsidR="00A0665E" w:rsidRPr="00A11C6E" w:rsidRDefault="00A0665E"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sz w:val="24"/>
          <w:szCs w:val="24"/>
          <w:lang w:val="ru-RU"/>
        </w:rPr>
        <w:t>Анисимов, Ю. П. Создание и функции регионального инвестиционного центра / Ю.</w:t>
      </w:r>
      <w:r w:rsidR="0037793B">
        <w:rPr>
          <w:rFonts w:ascii="Times New Roman" w:hAnsi="Times New Roman" w:cs="Times New Roman"/>
          <w:color w:val="000000"/>
          <w:sz w:val="24"/>
          <w:szCs w:val="24"/>
        </w:rPr>
        <w:t> </w:t>
      </w:r>
      <w:r w:rsidRPr="00A11C6E">
        <w:rPr>
          <w:rFonts w:ascii="Times New Roman" w:hAnsi="Times New Roman" w:cs="Times New Roman"/>
          <w:color w:val="000000"/>
          <w:sz w:val="24"/>
          <w:szCs w:val="24"/>
          <w:lang w:val="ru-RU"/>
        </w:rPr>
        <w:t>П. Анисимов, Е. В. Сибирская</w:t>
      </w:r>
      <w:r w:rsidR="008C24D3" w:rsidRPr="00A11C6E">
        <w:rPr>
          <w:rFonts w:ascii="Times New Roman" w:hAnsi="Times New Roman" w:cs="Times New Roman"/>
          <w:color w:val="000000"/>
          <w:sz w:val="24"/>
          <w:szCs w:val="24"/>
          <w:lang w:val="ru-RU"/>
        </w:rPr>
        <w:t xml:space="preserve"> // С. 127–134.</w:t>
      </w:r>
    </w:p>
    <w:p w14:paraId="7D441817" w14:textId="745714CC" w:rsidR="00AE4368" w:rsidRPr="004E7E3E" w:rsidRDefault="002023F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r w:rsidRPr="004E7E3E">
        <w:rPr>
          <w:rFonts w:ascii="Times New Roman" w:hAnsi="Times New Roman" w:cs="Times New Roman"/>
          <w:color w:val="000000" w:themeColor="text1"/>
          <w:sz w:val="24"/>
          <w:szCs w:val="24"/>
          <w:lang w:val="ru-RU"/>
        </w:rPr>
        <w:t>Бацунова, С. Швейцария как мировой финансовый центр /</w:t>
      </w:r>
      <w:r w:rsidR="004F41FA"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lang w:val="ru-RU"/>
        </w:rPr>
        <w:t xml:space="preserve">С. Бацунов // Мировая экономика и международные отношения. </w:t>
      </w:r>
      <w:r w:rsidRPr="004E7E3E">
        <w:rPr>
          <w:rFonts w:ascii="Times New Roman" w:hAnsi="Times New Roman" w:cs="Times New Roman"/>
          <w:sz w:val="24"/>
          <w:szCs w:val="24"/>
          <w:lang w:val="ru-RU"/>
        </w:rPr>
        <w:t>–</w:t>
      </w:r>
      <w:r w:rsidRPr="004E7E3E">
        <w:rPr>
          <w:rFonts w:ascii="Times New Roman" w:hAnsi="Times New Roman" w:cs="Times New Roman"/>
          <w:color w:val="000000" w:themeColor="text1"/>
          <w:sz w:val="24"/>
          <w:szCs w:val="24"/>
          <w:lang w:val="ru-RU"/>
        </w:rPr>
        <w:t xml:space="preserve"> 2008. </w:t>
      </w:r>
      <w:r w:rsidRPr="004E7E3E">
        <w:rPr>
          <w:rFonts w:ascii="Times New Roman" w:hAnsi="Times New Roman" w:cs="Times New Roman"/>
          <w:sz w:val="24"/>
          <w:szCs w:val="24"/>
          <w:lang w:val="ru-RU"/>
        </w:rPr>
        <w:t>–</w:t>
      </w:r>
      <w:r w:rsidRPr="004E7E3E">
        <w:rPr>
          <w:rFonts w:ascii="Times New Roman" w:hAnsi="Times New Roman" w:cs="Times New Roman"/>
          <w:color w:val="000000" w:themeColor="text1"/>
          <w:sz w:val="24"/>
          <w:szCs w:val="24"/>
          <w:lang w:val="ru-RU"/>
        </w:rPr>
        <w:t xml:space="preserve"> № 11. </w:t>
      </w:r>
      <w:r w:rsidRPr="004E7E3E">
        <w:rPr>
          <w:rFonts w:ascii="Times New Roman" w:hAnsi="Times New Roman" w:cs="Times New Roman"/>
          <w:sz w:val="24"/>
          <w:szCs w:val="24"/>
          <w:lang w:val="ru-RU"/>
        </w:rPr>
        <w:t xml:space="preserve">– </w:t>
      </w:r>
      <w:r w:rsidRPr="004E7E3E">
        <w:rPr>
          <w:rFonts w:ascii="Times New Roman" w:hAnsi="Times New Roman" w:cs="Times New Roman"/>
          <w:color w:val="000000" w:themeColor="text1"/>
          <w:sz w:val="24"/>
          <w:szCs w:val="24"/>
          <w:lang w:val="ru-RU"/>
        </w:rPr>
        <w:t>С. 92</w:t>
      </w:r>
      <w:r w:rsidRPr="004E7E3E">
        <w:rPr>
          <w:rFonts w:ascii="Times New Roman" w:hAnsi="Times New Roman" w:cs="Times New Roman"/>
          <w:sz w:val="24"/>
          <w:szCs w:val="24"/>
          <w:lang w:val="ru-RU"/>
        </w:rPr>
        <w:t>–</w:t>
      </w:r>
      <w:r w:rsidRPr="004E7E3E">
        <w:rPr>
          <w:rFonts w:ascii="Times New Roman" w:hAnsi="Times New Roman" w:cs="Times New Roman"/>
          <w:color w:val="000000" w:themeColor="text1"/>
          <w:sz w:val="24"/>
          <w:szCs w:val="24"/>
          <w:lang w:val="ru-RU"/>
        </w:rPr>
        <w:t>93.</w:t>
      </w:r>
      <w:bookmarkEnd w:id="64"/>
    </w:p>
    <w:p w14:paraId="5A4D8D59" w14:textId="63DE0A2C" w:rsidR="00BC2357" w:rsidRPr="00A11C6E" w:rsidRDefault="00BC2357"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bookmarkStart w:id="65" w:name="_Ref499038428"/>
      <w:r w:rsidRPr="00A11C6E">
        <w:rPr>
          <w:rFonts w:ascii="Times New Roman" w:hAnsi="Times New Roman" w:cs="Times New Roman"/>
          <w:color w:val="000000"/>
          <w:sz w:val="24"/>
          <w:szCs w:val="24"/>
          <w:shd w:val="clear" w:color="auto" w:fill="FFFFFF"/>
          <w:lang w:val="ru-RU"/>
        </w:rPr>
        <w:t xml:space="preserve">Беккин, Р.И. Методы кредитования в работе исламских банков / Р. И. Беккин //Банковское кредитовании. – 2008. - №1. </w:t>
      </w:r>
      <w:r w:rsidRPr="00A11C6E">
        <w:rPr>
          <w:rFonts w:ascii="Times New Roman" w:hAnsi="Times New Roman" w:cs="Times New Roman"/>
          <w:sz w:val="24"/>
          <w:szCs w:val="24"/>
          <w:lang w:val="ru-RU"/>
        </w:rPr>
        <w:t>–</w:t>
      </w:r>
      <w:r w:rsidRPr="00A11C6E">
        <w:rPr>
          <w:rFonts w:ascii="Times New Roman" w:hAnsi="Times New Roman" w:cs="Times New Roman"/>
          <w:color w:val="000000"/>
          <w:sz w:val="24"/>
          <w:szCs w:val="24"/>
          <w:shd w:val="clear" w:color="auto" w:fill="FFFFFF"/>
          <w:lang w:val="ru-RU"/>
        </w:rPr>
        <w:t xml:space="preserve"> С. 18</w:t>
      </w:r>
      <w:r w:rsidRPr="00A11C6E">
        <w:rPr>
          <w:rFonts w:ascii="Times New Roman" w:hAnsi="Times New Roman" w:cs="Times New Roman"/>
          <w:sz w:val="24"/>
          <w:szCs w:val="24"/>
          <w:lang w:val="ru-RU"/>
        </w:rPr>
        <w:t>–</w:t>
      </w:r>
      <w:r w:rsidRPr="00A11C6E">
        <w:rPr>
          <w:rFonts w:ascii="Times New Roman" w:hAnsi="Times New Roman" w:cs="Times New Roman"/>
          <w:color w:val="000000"/>
          <w:sz w:val="24"/>
          <w:szCs w:val="24"/>
          <w:shd w:val="clear" w:color="auto" w:fill="FFFFFF"/>
          <w:lang w:val="ru-RU"/>
        </w:rPr>
        <w:t>26</w:t>
      </w:r>
      <w:bookmarkEnd w:id="65"/>
      <w:r w:rsidRPr="00A11C6E">
        <w:rPr>
          <w:rFonts w:ascii="Times New Roman" w:hAnsi="Times New Roman" w:cs="Times New Roman"/>
          <w:color w:val="000000"/>
          <w:sz w:val="24"/>
          <w:szCs w:val="24"/>
          <w:shd w:val="clear" w:color="auto" w:fill="FFFFFF"/>
          <w:lang w:val="ru-RU"/>
        </w:rPr>
        <w:t>.</w:t>
      </w:r>
    </w:p>
    <w:p w14:paraId="385D2AC9" w14:textId="0ACF7A99" w:rsidR="00AE4368" w:rsidRPr="00A11C6E" w:rsidRDefault="002023F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bookmarkStart w:id="66" w:name="_Ref135574457"/>
      <w:r w:rsidRPr="00A11C6E">
        <w:rPr>
          <w:rFonts w:ascii="Times New Roman" w:hAnsi="Times New Roman" w:cs="Times New Roman"/>
          <w:sz w:val="24"/>
          <w:szCs w:val="24"/>
          <w:lang w:val="ru-RU"/>
        </w:rPr>
        <w:t>Беляев, М. К. Международный финансовый центр (на примере лондонского Сити) / М. К. Беляев. – М.: Наука, 2010. – 292 с.</w:t>
      </w:r>
      <w:bookmarkEnd w:id="66"/>
    </w:p>
    <w:p w14:paraId="02F50342" w14:textId="335EF941" w:rsidR="00B04F19" w:rsidRPr="00A11C6E" w:rsidRDefault="00A44786"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 xml:space="preserve">Болвачев, А. И. </w:t>
      </w:r>
      <w:r w:rsidR="00B04F19" w:rsidRPr="00A11C6E">
        <w:rPr>
          <w:rFonts w:ascii="Times New Roman" w:hAnsi="Times New Roman" w:cs="Times New Roman"/>
          <w:sz w:val="24"/>
          <w:szCs w:val="24"/>
          <w:lang w:val="ru-RU"/>
        </w:rPr>
        <w:t>Влияние финансовой системы на образование в процессе формирования международного финансового центра // А. И. Болвачев, К. В. Климова // Вестник РЭУ. – 2013, №5. – С. 52–55.</w:t>
      </w:r>
    </w:p>
    <w:p w14:paraId="35F08791" w14:textId="071FFBA5" w:rsidR="00AE4368" w:rsidRPr="00A11C6E" w:rsidRDefault="002023F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bookmarkStart w:id="67" w:name="_Ref499035048"/>
      <w:r w:rsidRPr="00A11C6E">
        <w:rPr>
          <w:rFonts w:ascii="Times New Roman" w:hAnsi="Times New Roman" w:cs="Times New Roman"/>
          <w:color w:val="000000" w:themeColor="text1"/>
          <w:sz w:val="24"/>
          <w:szCs w:val="24"/>
          <w:lang w:val="ru-RU"/>
        </w:rPr>
        <w:lastRenderedPageBreak/>
        <w:t>Болвачёв, А. И. Об условиях создания мирового финансового центра в России</w:t>
      </w:r>
      <w:r w:rsidR="00625AE4" w:rsidRPr="00A11C6E">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 А.</w:t>
      </w:r>
      <w:r w:rsidR="0037793B">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И</w:t>
      </w:r>
      <w:r w:rsidR="0037793B">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Бовачёв, К. В. Екимова</w:t>
      </w:r>
      <w:r w:rsidR="00625AE4"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rPr>
        <w:t>// Вестик РЭУ. – 2012. - №5. – С. 52</w:t>
      </w:r>
      <w:r w:rsidRPr="00A11C6E">
        <w:rPr>
          <w:rFonts w:ascii="Times New Roman" w:hAnsi="Times New Roman" w:cs="Times New Roman"/>
          <w:sz w:val="24"/>
          <w:szCs w:val="24"/>
          <w:lang w:val="ru-RU"/>
        </w:rPr>
        <w:t>–</w:t>
      </w:r>
      <w:r w:rsidRPr="00A11C6E">
        <w:rPr>
          <w:rFonts w:ascii="Times New Roman" w:hAnsi="Times New Roman" w:cs="Times New Roman"/>
          <w:color w:val="000000" w:themeColor="text1"/>
          <w:sz w:val="24"/>
          <w:szCs w:val="24"/>
          <w:lang w:val="ru-RU"/>
        </w:rPr>
        <w:t>57.</w:t>
      </w:r>
      <w:bookmarkEnd w:id="67"/>
    </w:p>
    <w:p w14:paraId="7E3278CC" w14:textId="77777777" w:rsidR="00FA6F20" w:rsidRPr="00FA6F20" w:rsidRDefault="002023F4" w:rsidP="00FA6F20">
      <w:pPr>
        <w:pStyle w:val="af3"/>
        <w:numPr>
          <w:ilvl w:val="0"/>
          <w:numId w:val="15"/>
        </w:numPr>
        <w:tabs>
          <w:tab w:val="left" w:pos="1276"/>
        </w:tabs>
        <w:spacing w:after="0" w:line="360" w:lineRule="auto"/>
        <w:ind w:left="0" w:firstLine="709"/>
        <w:jc w:val="both"/>
        <w:rPr>
          <w:rFonts w:ascii="Times New Roman" w:hAnsi="Times New Roman" w:cs="Times New Roman"/>
          <w:color w:val="000000" w:themeColor="text1"/>
          <w:sz w:val="24"/>
          <w:szCs w:val="24"/>
          <w:lang w:val="ru-RU"/>
        </w:rPr>
      </w:pPr>
      <w:r w:rsidRPr="00A11C6E">
        <w:rPr>
          <w:rFonts w:ascii="Times New Roman" w:hAnsi="Times New Roman" w:cs="Times New Roman"/>
          <w:color w:val="000000" w:themeColor="text1"/>
          <w:sz w:val="24"/>
          <w:szCs w:val="24"/>
          <w:shd w:val="clear" w:color="auto" w:fill="FFFFFF"/>
          <w:lang w:val="ru-RU"/>
        </w:rPr>
        <w:t>Булатов А.С. Прогноз участия России в экономической глобализации: подход под углом экономических и внеэкономических факторов / А.С. Булатов // Мировое и</w:t>
      </w:r>
      <w:r w:rsidRPr="00A11C6E">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lang w:val="ru-RU"/>
        </w:rPr>
        <w:t xml:space="preserve">национальное хозяйство. – 2017. – №3 (42). </w:t>
      </w:r>
    </w:p>
    <w:p w14:paraId="3D43C6BB" w14:textId="1A9B434F" w:rsidR="00FA6F20" w:rsidRPr="00FA6F20" w:rsidRDefault="00FA6F20" w:rsidP="00FA6F20">
      <w:pPr>
        <w:pStyle w:val="af3"/>
        <w:numPr>
          <w:ilvl w:val="0"/>
          <w:numId w:val="15"/>
        </w:numPr>
        <w:tabs>
          <w:tab w:val="left" w:pos="1276"/>
        </w:tabs>
        <w:spacing w:after="0" w:line="360" w:lineRule="auto"/>
        <w:ind w:left="0" w:firstLine="709"/>
        <w:jc w:val="both"/>
        <w:rPr>
          <w:rFonts w:ascii="Times New Roman" w:hAnsi="Times New Roman" w:cs="Times New Roman"/>
          <w:color w:val="000000" w:themeColor="text1"/>
          <w:sz w:val="24"/>
          <w:szCs w:val="24"/>
          <w:lang w:val="ru-RU"/>
        </w:rPr>
      </w:pPr>
      <w:r w:rsidRPr="00FA6F20">
        <w:rPr>
          <w:rFonts w:ascii="Times New Roman" w:eastAsia="Times New Roman" w:hAnsi="Times New Roman" w:cs="Times New Roman"/>
          <w:color w:val="000000"/>
          <w:sz w:val="24"/>
          <w:szCs w:val="24"/>
          <w:lang w:val="ru-RU" w:eastAsia="ru-RU" w:bidi="ar-SA"/>
        </w:rPr>
        <w:t xml:space="preserve">Власов М.С. Анализ положения Москвы в международных рейтингах финансовых центрах // Известия Юго-Западного Государственного Университета. Серия Экономика. Социология. Менеджмент. </w:t>
      </w:r>
      <w:r w:rsidR="005B5AF1">
        <w:rPr>
          <w:rFonts w:ascii="Times New Roman" w:eastAsia="Times New Roman" w:hAnsi="Times New Roman" w:cs="Times New Roman"/>
          <w:color w:val="000000"/>
          <w:sz w:val="24"/>
          <w:szCs w:val="24"/>
          <w:lang w:val="ru-RU" w:eastAsia="ru-RU" w:bidi="ar-SA"/>
        </w:rPr>
        <w:t xml:space="preserve">– </w:t>
      </w:r>
      <w:r w:rsidRPr="00FA6F20">
        <w:rPr>
          <w:rFonts w:ascii="Times New Roman" w:eastAsia="Times New Roman" w:hAnsi="Times New Roman" w:cs="Times New Roman"/>
          <w:color w:val="000000"/>
          <w:sz w:val="24"/>
          <w:szCs w:val="24"/>
          <w:lang w:val="ru-RU" w:eastAsia="ru-RU" w:bidi="ar-SA"/>
        </w:rPr>
        <w:t xml:space="preserve">2015. № 2 (15). </w:t>
      </w:r>
      <w:r w:rsidR="005B5AF1">
        <w:rPr>
          <w:rFonts w:ascii="Times New Roman" w:eastAsia="Times New Roman" w:hAnsi="Times New Roman" w:cs="Times New Roman"/>
          <w:color w:val="000000"/>
          <w:sz w:val="24"/>
          <w:szCs w:val="24"/>
          <w:lang w:val="ru-RU" w:eastAsia="ru-RU" w:bidi="ar-SA"/>
        </w:rPr>
        <w:t xml:space="preserve">– </w:t>
      </w:r>
      <w:r w:rsidRPr="00FA6F20">
        <w:rPr>
          <w:rFonts w:ascii="Times New Roman" w:eastAsia="Times New Roman" w:hAnsi="Times New Roman" w:cs="Times New Roman"/>
          <w:color w:val="000000"/>
          <w:sz w:val="24"/>
          <w:szCs w:val="24"/>
          <w:lang w:val="ru-RU" w:eastAsia="ru-RU" w:bidi="ar-SA"/>
        </w:rPr>
        <w:t xml:space="preserve">С. 205-210. </w:t>
      </w:r>
    </w:p>
    <w:p w14:paraId="0D0BA8B4" w14:textId="16C47E02" w:rsidR="00FA6F20" w:rsidRPr="005B5AF1" w:rsidRDefault="00FA6F20" w:rsidP="00FA6F20">
      <w:pPr>
        <w:pStyle w:val="af3"/>
        <w:numPr>
          <w:ilvl w:val="0"/>
          <w:numId w:val="15"/>
        </w:numPr>
        <w:tabs>
          <w:tab w:val="left" w:pos="1276"/>
        </w:tabs>
        <w:spacing w:after="0" w:line="360" w:lineRule="auto"/>
        <w:ind w:left="0" w:firstLine="709"/>
        <w:jc w:val="both"/>
        <w:rPr>
          <w:rFonts w:ascii="Times New Roman" w:hAnsi="Times New Roman" w:cs="Times New Roman"/>
          <w:color w:val="000000" w:themeColor="text1"/>
          <w:sz w:val="24"/>
          <w:szCs w:val="24"/>
          <w:lang w:val="ru-RU"/>
        </w:rPr>
      </w:pPr>
      <w:r w:rsidRPr="00FA6F20">
        <w:rPr>
          <w:rFonts w:ascii="Times New Roman" w:eastAsia="Times New Roman" w:hAnsi="Times New Roman" w:cs="Times New Roman"/>
          <w:color w:val="000000"/>
          <w:sz w:val="24"/>
          <w:szCs w:val="24"/>
          <w:lang w:val="ru-RU" w:eastAsia="ru-RU" w:bidi="ar-SA"/>
        </w:rPr>
        <w:t>Власов М.С. Международные финансовые центры Большого Китая // Россия и</w:t>
      </w:r>
      <w:r w:rsidR="005B5AF1">
        <w:rPr>
          <w:rFonts w:ascii="Times New Roman" w:eastAsia="Times New Roman" w:hAnsi="Times New Roman" w:cs="Times New Roman"/>
          <w:color w:val="000000"/>
          <w:sz w:val="24"/>
          <w:szCs w:val="24"/>
          <w:lang w:val="ru-RU" w:eastAsia="ru-RU" w:bidi="ar-SA"/>
        </w:rPr>
        <w:t> </w:t>
      </w:r>
      <w:r w:rsidRPr="00FA6F20">
        <w:rPr>
          <w:rFonts w:ascii="Times New Roman" w:eastAsia="Times New Roman" w:hAnsi="Times New Roman" w:cs="Times New Roman"/>
          <w:color w:val="000000"/>
          <w:sz w:val="24"/>
          <w:szCs w:val="24"/>
          <w:lang w:val="ru-RU" w:eastAsia="ru-RU" w:bidi="ar-SA"/>
        </w:rPr>
        <w:t xml:space="preserve">Санкт-Петербург: экономика и образование в XXI веке: Научная сессия профессорско-преподавательского состава, научных сотрудников и аспирантов по итогам НИР за 2013 год. Факультет экономики и финансов. Отделение национальной экономики. СПб: Изд-во СПбГЭУ, 2014. </w:t>
      </w:r>
      <w:r w:rsidR="005B5AF1">
        <w:rPr>
          <w:rFonts w:ascii="Times New Roman" w:eastAsia="Times New Roman" w:hAnsi="Times New Roman" w:cs="Times New Roman"/>
          <w:color w:val="000000"/>
          <w:sz w:val="24"/>
          <w:szCs w:val="24"/>
          <w:lang w:val="ru-RU" w:eastAsia="ru-RU" w:bidi="ar-SA"/>
        </w:rPr>
        <w:t xml:space="preserve">– </w:t>
      </w:r>
      <w:r w:rsidRPr="00FA6F20">
        <w:rPr>
          <w:rFonts w:ascii="Times New Roman" w:eastAsia="Times New Roman" w:hAnsi="Times New Roman" w:cs="Times New Roman"/>
          <w:color w:val="000000"/>
          <w:sz w:val="24"/>
          <w:szCs w:val="24"/>
          <w:lang w:val="ru-RU" w:eastAsia="ru-RU" w:bidi="ar-SA"/>
        </w:rPr>
        <w:t>С. 275</w:t>
      </w:r>
      <w:r w:rsidR="005B5AF1">
        <w:rPr>
          <w:rFonts w:ascii="Times New Roman" w:eastAsia="Times New Roman" w:hAnsi="Times New Roman" w:cs="Times New Roman"/>
          <w:color w:val="000000"/>
          <w:sz w:val="24"/>
          <w:szCs w:val="24"/>
          <w:lang w:val="ru-RU" w:eastAsia="ru-RU" w:bidi="ar-SA"/>
        </w:rPr>
        <w:t>–</w:t>
      </w:r>
      <w:r w:rsidRPr="00FA6F20">
        <w:rPr>
          <w:rFonts w:ascii="Times New Roman" w:eastAsia="Times New Roman" w:hAnsi="Times New Roman" w:cs="Times New Roman"/>
          <w:color w:val="000000"/>
          <w:sz w:val="24"/>
          <w:szCs w:val="24"/>
          <w:lang w:val="ru-RU" w:eastAsia="ru-RU" w:bidi="ar-SA"/>
        </w:rPr>
        <w:t>280.</w:t>
      </w:r>
    </w:p>
    <w:p w14:paraId="45FA7776" w14:textId="4FAD4F7A" w:rsidR="005B5AF1" w:rsidRPr="005B5AF1" w:rsidRDefault="005B5AF1" w:rsidP="005B5AF1">
      <w:pPr>
        <w:pStyle w:val="af3"/>
        <w:numPr>
          <w:ilvl w:val="0"/>
          <w:numId w:val="15"/>
        </w:numPr>
        <w:tabs>
          <w:tab w:val="left" w:pos="1276"/>
        </w:tabs>
        <w:spacing w:after="0" w:line="360" w:lineRule="auto"/>
        <w:ind w:left="0" w:firstLine="709"/>
        <w:jc w:val="both"/>
        <w:rPr>
          <w:rFonts w:ascii="Times New Roman" w:hAnsi="Times New Roman" w:cs="Times New Roman"/>
          <w:color w:val="000000" w:themeColor="text1"/>
          <w:sz w:val="24"/>
          <w:szCs w:val="24"/>
          <w:lang w:val="ru-RU"/>
        </w:rPr>
      </w:pPr>
      <w:r w:rsidRPr="00FA6F20">
        <w:rPr>
          <w:rFonts w:ascii="Times New Roman" w:eastAsia="Times New Roman" w:hAnsi="Times New Roman" w:cs="Times New Roman"/>
          <w:color w:val="000000"/>
          <w:sz w:val="24"/>
          <w:szCs w:val="24"/>
          <w:lang w:val="ru-RU" w:eastAsia="ru-RU" w:bidi="ar-SA"/>
        </w:rPr>
        <w:t>Власов М.С. Международный финансовый центр в Москве: история развития и перспективы // Россия и Санкт-Петербург: экономика и образование в XXI веке: научная сессия профессорско-преподавательского состава, научных сотрудников и аспирантов по итогам НИР за 2014 год. Факультет экономики и финансов. Отделение национальной экономики. СПб: Изд</w:t>
      </w:r>
      <w:r>
        <w:rPr>
          <w:rFonts w:ascii="Times New Roman" w:eastAsia="Times New Roman" w:hAnsi="Times New Roman" w:cs="Times New Roman"/>
          <w:color w:val="000000"/>
          <w:sz w:val="24"/>
          <w:szCs w:val="24"/>
          <w:lang w:val="ru-RU" w:eastAsia="ru-RU" w:bidi="ar-SA"/>
        </w:rPr>
        <w:t>–</w:t>
      </w:r>
      <w:r w:rsidRPr="00FA6F20">
        <w:rPr>
          <w:rFonts w:ascii="Times New Roman" w:eastAsia="Times New Roman" w:hAnsi="Times New Roman" w:cs="Times New Roman"/>
          <w:color w:val="000000"/>
          <w:sz w:val="24"/>
          <w:szCs w:val="24"/>
          <w:lang w:val="ru-RU" w:eastAsia="ru-RU" w:bidi="ar-SA"/>
        </w:rPr>
        <w:t xml:space="preserve">во СПбГЭУ, 2015. </w:t>
      </w:r>
      <w:r>
        <w:rPr>
          <w:rFonts w:ascii="Times New Roman" w:eastAsia="Times New Roman" w:hAnsi="Times New Roman" w:cs="Times New Roman"/>
          <w:color w:val="000000"/>
          <w:sz w:val="24"/>
          <w:szCs w:val="24"/>
          <w:lang w:val="ru-RU" w:eastAsia="ru-RU" w:bidi="ar-SA"/>
        </w:rPr>
        <w:t xml:space="preserve">– </w:t>
      </w:r>
      <w:r w:rsidRPr="00FA6F20">
        <w:rPr>
          <w:rFonts w:ascii="Times New Roman" w:eastAsia="Times New Roman" w:hAnsi="Times New Roman" w:cs="Times New Roman"/>
          <w:color w:val="000000"/>
          <w:sz w:val="24"/>
          <w:szCs w:val="24"/>
          <w:lang w:val="ru-RU" w:eastAsia="ru-RU" w:bidi="ar-SA"/>
        </w:rPr>
        <w:t>С. 329</w:t>
      </w:r>
      <w:r>
        <w:rPr>
          <w:rFonts w:ascii="Times New Roman" w:eastAsia="Times New Roman" w:hAnsi="Times New Roman" w:cs="Times New Roman"/>
          <w:color w:val="000000"/>
          <w:sz w:val="24"/>
          <w:szCs w:val="24"/>
          <w:lang w:val="ru-RU" w:eastAsia="ru-RU" w:bidi="ar-SA"/>
        </w:rPr>
        <w:t>–</w:t>
      </w:r>
      <w:r w:rsidRPr="00FA6F20">
        <w:rPr>
          <w:rFonts w:ascii="Times New Roman" w:eastAsia="Times New Roman" w:hAnsi="Times New Roman" w:cs="Times New Roman"/>
          <w:color w:val="000000"/>
          <w:sz w:val="24"/>
          <w:szCs w:val="24"/>
          <w:lang w:val="ru-RU" w:eastAsia="ru-RU" w:bidi="ar-SA"/>
        </w:rPr>
        <w:t>332.</w:t>
      </w:r>
    </w:p>
    <w:p w14:paraId="5EF0DF5F" w14:textId="6B7451DB" w:rsidR="005B5AF1" w:rsidRPr="005B5AF1" w:rsidRDefault="005B5AF1" w:rsidP="005B5AF1">
      <w:pPr>
        <w:pStyle w:val="af3"/>
        <w:numPr>
          <w:ilvl w:val="0"/>
          <w:numId w:val="15"/>
        </w:numPr>
        <w:tabs>
          <w:tab w:val="left" w:pos="1276"/>
        </w:tabs>
        <w:spacing w:after="0" w:line="360" w:lineRule="auto"/>
        <w:ind w:left="0" w:firstLine="709"/>
        <w:jc w:val="both"/>
        <w:rPr>
          <w:rFonts w:ascii="Times New Roman" w:hAnsi="Times New Roman" w:cs="Times New Roman"/>
          <w:color w:val="000000" w:themeColor="text1"/>
          <w:sz w:val="24"/>
          <w:szCs w:val="24"/>
          <w:lang w:val="ru-RU"/>
        </w:rPr>
      </w:pPr>
      <w:r w:rsidRPr="00FA6F20">
        <w:rPr>
          <w:rFonts w:ascii="Times New Roman" w:eastAsia="Times New Roman" w:hAnsi="Times New Roman" w:cs="Times New Roman"/>
          <w:color w:val="000000"/>
          <w:sz w:val="24"/>
          <w:szCs w:val="24"/>
          <w:lang w:val="ru-RU" w:eastAsia="ru-RU" w:bidi="ar-SA"/>
        </w:rPr>
        <w:t>Власов М.С. Особенности формирования международного финансового центра в</w:t>
      </w:r>
      <w:r>
        <w:rPr>
          <w:rFonts w:ascii="Times New Roman" w:eastAsia="Times New Roman" w:hAnsi="Times New Roman" w:cs="Times New Roman"/>
          <w:color w:val="000000"/>
          <w:sz w:val="24"/>
          <w:szCs w:val="24"/>
          <w:lang w:val="ru-RU" w:eastAsia="ru-RU" w:bidi="ar-SA"/>
        </w:rPr>
        <w:t> </w:t>
      </w:r>
      <w:r w:rsidRPr="00FA6F20">
        <w:rPr>
          <w:rFonts w:ascii="Times New Roman" w:eastAsia="Times New Roman" w:hAnsi="Times New Roman" w:cs="Times New Roman"/>
          <w:color w:val="000000"/>
          <w:sz w:val="24"/>
          <w:szCs w:val="24"/>
          <w:lang w:val="ru-RU" w:eastAsia="ru-RU" w:bidi="ar-SA"/>
        </w:rPr>
        <w:t>Москве // Приоритеты развития России: институты и рынки / Под ред. Миэринь Л.А. СПб: Изд-во СПбГЭУ, 2018.</w:t>
      </w:r>
      <w:r>
        <w:rPr>
          <w:rFonts w:ascii="Times New Roman" w:eastAsia="Times New Roman" w:hAnsi="Times New Roman" w:cs="Times New Roman"/>
          <w:color w:val="000000"/>
          <w:sz w:val="24"/>
          <w:szCs w:val="24"/>
          <w:lang w:val="ru-RU" w:eastAsia="ru-RU" w:bidi="ar-SA"/>
        </w:rPr>
        <w:t>– С. 83–85.</w:t>
      </w:r>
    </w:p>
    <w:p w14:paraId="56D65EF1" w14:textId="093E0260" w:rsidR="00FA6F20" w:rsidRPr="00FA6F20" w:rsidRDefault="00FA6F20" w:rsidP="00FA6F20">
      <w:pPr>
        <w:pStyle w:val="af3"/>
        <w:numPr>
          <w:ilvl w:val="0"/>
          <w:numId w:val="15"/>
        </w:numPr>
        <w:tabs>
          <w:tab w:val="left" w:pos="1276"/>
        </w:tabs>
        <w:spacing w:after="0" w:line="360" w:lineRule="auto"/>
        <w:ind w:left="0" w:firstLine="709"/>
        <w:jc w:val="both"/>
        <w:rPr>
          <w:rFonts w:ascii="Times New Roman" w:hAnsi="Times New Roman" w:cs="Times New Roman"/>
          <w:color w:val="000000" w:themeColor="text1"/>
          <w:sz w:val="24"/>
          <w:szCs w:val="24"/>
          <w:lang w:val="ru-RU"/>
        </w:rPr>
      </w:pPr>
      <w:r w:rsidRPr="00FA6F20">
        <w:rPr>
          <w:rFonts w:ascii="Times New Roman" w:eastAsia="Times New Roman" w:hAnsi="Times New Roman" w:cs="Times New Roman"/>
          <w:color w:val="000000"/>
          <w:sz w:val="24"/>
          <w:szCs w:val="24"/>
          <w:lang w:val="ru-RU" w:eastAsia="ru-RU" w:bidi="ar-SA"/>
        </w:rPr>
        <w:t xml:space="preserve">Власов М.С. Риски экономического развития: взгляд изнутри // Предпринимательство и реформы в России: Материалы работы XXI Международной конференции молодых учёных-экономистов. Санкт-Петербург, 11-12 ноября 2015. </w:t>
      </w:r>
      <w:r w:rsidR="005B5AF1">
        <w:rPr>
          <w:rFonts w:ascii="Times New Roman" w:eastAsia="Times New Roman" w:hAnsi="Times New Roman" w:cs="Times New Roman"/>
          <w:color w:val="000000"/>
          <w:sz w:val="24"/>
          <w:szCs w:val="24"/>
          <w:lang w:val="ru-RU" w:eastAsia="ru-RU" w:bidi="ar-SA"/>
        </w:rPr>
        <w:t xml:space="preserve">– </w:t>
      </w:r>
      <w:r w:rsidRPr="00FA6F20">
        <w:rPr>
          <w:rFonts w:ascii="Times New Roman" w:eastAsia="Times New Roman" w:hAnsi="Times New Roman" w:cs="Times New Roman"/>
          <w:color w:val="000000"/>
          <w:sz w:val="24"/>
          <w:szCs w:val="24"/>
          <w:lang w:val="ru-RU" w:eastAsia="ru-RU" w:bidi="ar-SA"/>
        </w:rPr>
        <w:t>С. 7</w:t>
      </w:r>
      <w:r w:rsidR="005B5AF1">
        <w:rPr>
          <w:rFonts w:ascii="Times New Roman" w:eastAsia="Times New Roman" w:hAnsi="Times New Roman" w:cs="Times New Roman"/>
          <w:color w:val="000000"/>
          <w:sz w:val="24"/>
          <w:szCs w:val="24"/>
          <w:lang w:val="ru-RU" w:eastAsia="ru-RU" w:bidi="ar-SA"/>
        </w:rPr>
        <w:t>0–</w:t>
      </w:r>
      <w:r w:rsidRPr="00FA6F20">
        <w:rPr>
          <w:rFonts w:ascii="Times New Roman" w:eastAsia="Times New Roman" w:hAnsi="Times New Roman" w:cs="Times New Roman"/>
          <w:color w:val="000000"/>
          <w:sz w:val="24"/>
          <w:szCs w:val="24"/>
          <w:lang w:val="ru-RU" w:eastAsia="ru-RU" w:bidi="ar-SA"/>
        </w:rPr>
        <w:t>71.</w:t>
      </w:r>
    </w:p>
    <w:p w14:paraId="6F44DC1C" w14:textId="72F307A9" w:rsidR="00FA6F20" w:rsidRPr="00FA6F20" w:rsidRDefault="00FA6F20" w:rsidP="00FA6F20">
      <w:pPr>
        <w:pStyle w:val="af3"/>
        <w:numPr>
          <w:ilvl w:val="0"/>
          <w:numId w:val="15"/>
        </w:numPr>
        <w:tabs>
          <w:tab w:val="left" w:pos="1276"/>
        </w:tabs>
        <w:spacing w:after="0" w:line="360" w:lineRule="auto"/>
        <w:ind w:left="0" w:firstLine="709"/>
        <w:jc w:val="both"/>
        <w:rPr>
          <w:rFonts w:ascii="Times New Roman" w:hAnsi="Times New Roman" w:cs="Times New Roman"/>
          <w:color w:val="000000" w:themeColor="text1"/>
          <w:sz w:val="24"/>
          <w:szCs w:val="24"/>
          <w:lang w:val="ru-RU"/>
        </w:rPr>
      </w:pPr>
      <w:r w:rsidRPr="00FA6F20">
        <w:rPr>
          <w:rFonts w:ascii="Times New Roman" w:eastAsia="Times New Roman" w:hAnsi="Times New Roman" w:cs="Times New Roman"/>
          <w:color w:val="000000"/>
          <w:sz w:val="24"/>
          <w:szCs w:val="24"/>
          <w:lang w:val="ru-RU" w:eastAsia="ru-RU" w:bidi="ar-SA"/>
        </w:rPr>
        <w:t>Власов М.С. Риски экономического развития КНР: взгляд изнутри // Россия и</w:t>
      </w:r>
      <w:r w:rsidR="005B5AF1">
        <w:rPr>
          <w:rFonts w:ascii="Times New Roman" w:eastAsia="Times New Roman" w:hAnsi="Times New Roman" w:cs="Times New Roman"/>
          <w:color w:val="000000"/>
          <w:sz w:val="24"/>
          <w:szCs w:val="24"/>
          <w:lang w:val="ru-RU" w:eastAsia="ru-RU" w:bidi="ar-SA"/>
        </w:rPr>
        <w:t> </w:t>
      </w:r>
      <w:r w:rsidRPr="00FA6F20">
        <w:rPr>
          <w:rFonts w:ascii="Times New Roman" w:eastAsia="Times New Roman" w:hAnsi="Times New Roman" w:cs="Times New Roman"/>
          <w:color w:val="000000"/>
          <w:sz w:val="24"/>
          <w:szCs w:val="24"/>
          <w:lang w:val="ru-RU" w:eastAsia="ru-RU" w:bidi="ar-SA"/>
        </w:rPr>
        <w:t xml:space="preserve">Германия: экономика регионов после санкций / Под ред. Совершаевой Л.П. СПб: Скифия-принт, 2015. </w:t>
      </w:r>
      <w:r w:rsidR="005B5AF1">
        <w:rPr>
          <w:rFonts w:ascii="Times New Roman" w:eastAsia="Times New Roman" w:hAnsi="Times New Roman" w:cs="Times New Roman"/>
          <w:color w:val="000000"/>
          <w:sz w:val="24"/>
          <w:szCs w:val="24"/>
          <w:lang w:val="ru-RU" w:eastAsia="ru-RU" w:bidi="ar-SA"/>
        </w:rPr>
        <w:t xml:space="preserve">– </w:t>
      </w:r>
      <w:r w:rsidRPr="00FA6F20">
        <w:rPr>
          <w:rFonts w:ascii="Times New Roman" w:eastAsia="Times New Roman" w:hAnsi="Times New Roman" w:cs="Times New Roman"/>
          <w:color w:val="000000"/>
          <w:sz w:val="24"/>
          <w:szCs w:val="24"/>
          <w:lang w:val="ru-RU" w:eastAsia="ru-RU" w:bidi="ar-SA"/>
        </w:rPr>
        <w:t>С. 179</w:t>
      </w:r>
      <w:r w:rsidR="005B5AF1">
        <w:rPr>
          <w:rFonts w:ascii="Times New Roman" w:eastAsia="Times New Roman" w:hAnsi="Times New Roman" w:cs="Times New Roman"/>
          <w:color w:val="000000"/>
          <w:sz w:val="24"/>
          <w:szCs w:val="24"/>
          <w:lang w:val="ru-RU" w:eastAsia="ru-RU" w:bidi="ar-SA"/>
        </w:rPr>
        <w:t>–</w:t>
      </w:r>
      <w:r w:rsidRPr="00FA6F20">
        <w:rPr>
          <w:rFonts w:ascii="Times New Roman" w:eastAsia="Times New Roman" w:hAnsi="Times New Roman" w:cs="Times New Roman"/>
          <w:color w:val="000000"/>
          <w:sz w:val="24"/>
          <w:szCs w:val="24"/>
          <w:lang w:val="ru-RU" w:eastAsia="ru-RU" w:bidi="ar-SA"/>
        </w:rPr>
        <w:t>181.</w:t>
      </w:r>
    </w:p>
    <w:p w14:paraId="1092F4B1" w14:textId="3DF40347" w:rsidR="00FA6F20" w:rsidRPr="00FA6F20" w:rsidRDefault="00FA6F20" w:rsidP="00FA6F20">
      <w:pPr>
        <w:pStyle w:val="af3"/>
        <w:numPr>
          <w:ilvl w:val="0"/>
          <w:numId w:val="15"/>
        </w:numPr>
        <w:tabs>
          <w:tab w:val="left" w:pos="1276"/>
        </w:tabs>
        <w:spacing w:after="0" w:line="360" w:lineRule="auto"/>
        <w:ind w:left="0" w:firstLine="709"/>
        <w:jc w:val="both"/>
        <w:rPr>
          <w:rFonts w:ascii="Times New Roman" w:hAnsi="Times New Roman" w:cs="Times New Roman"/>
          <w:color w:val="000000" w:themeColor="text1"/>
          <w:sz w:val="24"/>
          <w:szCs w:val="24"/>
          <w:lang w:val="ru-RU"/>
        </w:rPr>
      </w:pPr>
      <w:r w:rsidRPr="00FA6F20">
        <w:rPr>
          <w:rFonts w:ascii="Times New Roman" w:eastAsia="Times New Roman" w:hAnsi="Times New Roman" w:cs="Times New Roman"/>
          <w:color w:val="000000"/>
          <w:sz w:val="24"/>
          <w:szCs w:val="24"/>
          <w:lang w:val="ru-RU" w:eastAsia="ru-RU" w:bidi="ar-SA"/>
        </w:rPr>
        <w:t xml:space="preserve">Власов М.С. Роль международного финансового центра в развитии национального финансового рынка: социальный аспект // Известия Санкт-Петербургского Государственного Экономического Университета. 2015. № 2 (92). </w:t>
      </w:r>
      <w:r w:rsidR="005B5AF1">
        <w:rPr>
          <w:rFonts w:ascii="Times New Roman" w:eastAsia="Times New Roman" w:hAnsi="Times New Roman" w:cs="Times New Roman"/>
          <w:color w:val="000000"/>
          <w:sz w:val="24"/>
          <w:szCs w:val="24"/>
          <w:lang w:val="ru-RU" w:eastAsia="ru-RU" w:bidi="ar-SA"/>
        </w:rPr>
        <w:t xml:space="preserve">– </w:t>
      </w:r>
      <w:r w:rsidRPr="00FA6F20">
        <w:rPr>
          <w:rFonts w:ascii="Times New Roman" w:eastAsia="Times New Roman" w:hAnsi="Times New Roman" w:cs="Times New Roman"/>
          <w:color w:val="000000"/>
          <w:sz w:val="24"/>
          <w:szCs w:val="24"/>
          <w:lang w:val="ru-RU" w:eastAsia="ru-RU" w:bidi="ar-SA"/>
        </w:rPr>
        <w:t>С. 79</w:t>
      </w:r>
      <w:r w:rsidR="005B5AF1">
        <w:rPr>
          <w:rFonts w:ascii="Times New Roman" w:eastAsia="Times New Roman" w:hAnsi="Times New Roman" w:cs="Times New Roman"/>
          <w:color w:val="000000"/>
          <w:sz w:val="24"/>
          <w:szCs w:val="24"/>
          <w:lang w:val="ru-RU" w:eastAsia="ru-RU" w:bidi="ar-SA"/>
        </w:rPr>
        <w:t>–</w:t>
      </w:r>
      <w:r w:rsidRPr="00FA6F20">
        <w:rPr>
          <w:rFonts w:ascii="Times New Roman" w:eastAsia="Times New Roman" w:hAnsi="Times New Roman" w:cs="Times New Roman"/>
          <w:color w:val="000000"/>
          <w:sz w:val="24"/>
          <w:szCs w:val="24"/>
          <w:lang w:val="ru-RU" w:eastAsia="ru-RU" w:bidi="ar-SA"/>
        </w:rPr>
        <w:t>82.</w:t>
      </w:r>
    </w:p>
    <w:p w14:paraId="417ECB9B" w14:textId="321E9EE1" w:rsidR="00FA6F20" w:rsidRPr="00FA6F20" w:rsidRDefault="00FA6F20" w:rsidP="00FA6F20">
      <w:pPr>
        <w:pStyle w:val="af3"/>
        <w:numPr>
          <w:ilvl w:val="0"/>
          <w:numId w:val="15"/>
        </w:numPr>
        <w:tabs>
          <w:tab w:val="left" w:pos="1276"/>
        </w:tabs>
        <w:spacing w:after="0" w:line="360" w:lineRule="auto"/>
        <w:ind w:left="0" w:firstLine="709"/>
        <w:jc w:val="both"/>
        <w:rPr>
          <w:rFonts w:ascii="Times New Roman" w:hAnsi="Times New Roman" w:cs="Times New Roman"/>
          <w:color w:val="000000" w:themeColor="text1"/>
          <w:sz w:val="24"/>
          <w:szCs w:val="24"/>
          <w:lang w:val="ru-RU"/>
        </w:rPr>
      </w:pPr>
      <w:r w:rsidRPr="00FA6F20">
        <w:rPr>
          <w:rFonts w:ascii="Times New Roman" w:eastAsia="Times New Roman" w:hAnsi="Times New Roman" w:cs="Times New Roman"/>
          <w:color w:val="000000"/>
          <w:sz w:val="24"/>
          <w:szCs w:val="24"/>
          <w:lang w:val="ru-RU" w:eastAsia="ru-RU" w:bidi="ar-SA"/>
        </w:rPr>
        <w:t>Власов М.С. Система Большого Китая и международный финансовый центр в</w:t>
      </w:r>
      <w:r>
        <w:rPr>
          <w:rFonts w:ascii="Times New Roman" w:eastAsia="Times New Roman" w:hAnsi="Times New Roman" w:cs="Times New Roman"/>
          <w:color w:val="000000"/>
          <w:sz w:val="24"/>
          <w:szCs w:val="24"/>
          <w:lang w:val="ru-RU" w:eastAsia="ru-RU" w:bidi="ar-SA"/>
        </w:rPr>
        <w:t> </w:t>
      </w:r>
      <w:r w:rsidRPr="00FA6F20">
        <w:rPr>
          <w:rFonts w:ascii="Times New Roman" w:eastAsia="Times New Roman" w:hAnsi="Times New Roman" w:cs="Times New Roman"/>
          <w:color w:val="000000"/>
          <w:sz w:val="24"/>
          <w:szCs w:val="24"/>
          <w:lang w:val="ru-RU" w:eastAsia="ru-RU" w:bidi="ar-SA"/>
        </w:rPr>
        <w:t xml:space="preserve">Шанхае // Экономика и управление. 2015. №6 (116). </w:t>
      </w:r>
      <w:r w:rsidR="005B5AF1">
        <w:rPr>
          <w:rFonts w:ascii="Times New Roman" w:eastAsia="Times New Roman" w:hAnsi="Times New Roman" w:cs="Times New Roman"/>
          <w:color w:val="000000"/>
          <w:sz w:val="24"/>
          <w:szCs w:val="24"/>
          <w:lang w:val="ru-RU" w:eastAsia="ru-RU" w:bidi="ar-SA"/>
        </w:rPr>
        <w:t xml:space="preserve">– </w:t>
      </w:r>
      <w:r w:rsidRPr="00FA6F20">
        <w:rPr>
          <w:rFonts w:ascii="Times New Roman" w:eastAsia="Times New Roman" w:hAnsi="Times New Roman" w:cs="Times New Roman"/>
          <w:color w:val="000000"/>
          <w:sz w:val="24"/>
          <w:szCs w:val="24"/>
          <w:lang w:val="ru-RU" w:eastAsia="ru-RU" w:bidi="ar-SA"/>
        </w:rPr>
        <w:t>С. 67</w:t>
      </w:r>
      <w:r w:rsidR="005B5AF1">
        <w:rPr>
          <w:rFonts w:ascii="Times New Roman" w:eastAsia="Times New Roman" w:hAnsi="Times New Roman" w:cs="Times New Roman"/>
          <w:color w:val="000000"/>
          <w:sz w:val="24"/>
          <w:szCs w:val="24"/>
          <w:lang w:val="ru-RU" w:eastAsia="ru-RU" w:bidi="ar-SA"/>
        </w:rPr>
        <w:t>–</w:t>
      </w:r>
      <w:r w:rsidRPr="00FA6F20">
        <w:rPr>
          <w:rFonts w:ascii="Times New Roman" w:eastAsia="Times New Roman" w:hAnsi="Times New Roman" w:cs="Times New Roman"/>
          <w:color w:val="000000"/>
          <w:sz w:val="24"/>
          <w:szCs w:val="24"/>
          <w:lang w:val="ru-RU" w:eastAsia="ru-RU" w:bidi="ar-SA"/>
        </w:rPr>
        <w:t>69.</w:t>
      </w:r>
    </w:p>
    <w:p w14:paraId="42877A02" w14:textId="70F17604" w:rsidR="00331C72" w:rsidRPr="00A11C6E" w:rsidRDefault="00331C72"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themeColor="text1"/>
          <w:sz w:val="24"/>
          <w:szCs w:val="24"/>
          <w:lang w:val="ru-RU"/>
        </w:rPr>
      </w:pPr>
      <w:r w:rsidRPr="00A11C6E">
        <w:rPr>
          <w:rFonts w:ascii="Times New Roman" w:hAnsi="Times New Roman" w:cs="Times New Roman"/>
          <w:color w:val="000000" w:themeColor="text1"/>
          <w:sz w:val="24"/>
          <w:szCs w:val="24"/>
          <w:shd w:val="clear" w:color="auto" w:fill="FFFFFF"/>
          <w:lang w:val="ru-RU"/>
        </w:rPr>
        <w:lastRenderedPageBreak/>
        <w:t xml:space="preserve">Головин, М. Ю. </w:t>
      </w:r>
      <w:r w:rsidR="002F508F" w:rsidRPr="00A11C6E">
        <w:rPr>
          <w:rFonts w:ascii="Times New Roman" w:hAnsi="Times New Roman" w:cs="Times New Roman"/>
          <w:color w:val="000000" w:themeColor="text1"/>
          <w:sz w:val="24"/>
          <w:szCs w:val="24"/>
          <w:shd w:val="clear" w:color="auto" w:fill="FFFFFF"/>
          <w:lang w:val="ru-RU"/>
        </w:rPr>
        <w:t>Новые тенденции участия России в международном движении капитала / М. Ю. Головин // Вестник Института экономики Российской академии наук. – 2018, №6. – С. 9–23.</w:t>
      </w:r>
    </w:p>
    <w:p w14:paraId="131E6299" w14:textId="6A142836" w:rsidR="00F901CF" w:rsidRPr="00A11C6E" w:rsidRDefault="00F901CF"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themeColor="text1"/>
          <w:sz w:val="24"/>
          <w:szCs w:val="24"/>
          <w:lang w:val="ru-RU"/>
        </w:rPr>
      </w:pPr>
      <w:r w:rsidRPr="00A11C6E">
        <w:rPr>
          <w:rFonts w:ascii="Times New Roman" w:hAnsi="Times New Roman" w:cs="Times New Roman"/>
          <w:color w:val="000000" w:themeColor="text1"/>
          <w:sz w:val="24"/>
          <w:szCs w:val="24"/>
          <w:shd w:val="clear" w:color="auto" w:fill="FFFFFF"/>
          <w:lang w:val="ru-RU"/>
        </w:rPr>
        <w:t xml:space="preserve">Голуб, Е. Опыт создания международных финансовых центров на пространстве Содружества Независимых Государств [Электронный ресурс] / Е. Голуб, аналитический центр «Форум». – Сентябрь 2018. – 12 с. – Режим доступа: </w:t>
      </w:r>
      <w:r w:rsidRPr="00A11C6E">
        <w:rPr>
          <w:rFonts w:ascii="Times New Roman" w:hAnsi="Times New Roman" w:cs="Times New Roman"/>
          <w:color w:val="000000" w:themeColor="text1"/>
          <w:sz w:val="24"/>
          <w:szCs w:val="24"/>
          <w:shd w:val="clear" w:color="auto" w:fill="FFFFFF"/>
        </w:rPr>
        <w:t>URL</w:t>
      </w:r>
      <w:r w:rsidRPr="00A11C6E">
        <w:rPr>
          <w:rFonts w:ascii="Times New Roman" w:hAnsi="Times New Roman" w:cs="Times New Roman"/>
          <w:color w:val="000000" w:themeColor="text1"/>
          <w:sz w:val="24"/>
          <w:szCs w:val="24"/>
          <w:shd w:val="clear" w:color="auto" w:fill="FFFFFF"/>
          <w:lang w:val="ru-RU"/>
        </w:rPr>
        <w:t>:</w:t>
      </w:r>
      <w:r w:rsidR="0037793B">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rPr>
        <w:t>https</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cbr</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ru</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content</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document</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file</w:t>
      </w:r>
      <w:r w:rsidRPr="00A11C6E">
        <w:rPr>
          <w:rFonts w:ascii="Times New Roman" w:hAnsi="Times New Roman" w:cs="Times New Roman"/>
          <w:color w:val="000000" w:themeColor="text1"/>
          <w:sz w:val="24"/>
          <w:szCs w:val="24"/>
          <w:shd w:val="clear" w:color="auto" w:fill="FFFFFF"/>
          <w:lang w:val="ru-RU"/>
        </w:rPr>
        <w:t>/48265/</w:t>
      </w:r>
      <w:r w:rsidRPr="00A11C6E">
        <w:rPr>
          <w:rFonts w:ascii="Times New Roman" w:hAnsi="Times New Roman" w:cs="Times New Roman"/>
          <w:color w:val="000000" w:themeColor="text1"/>
          <w:sz w:val="24"/>
          <w:szCs w:val="24"/>
          <w:shd w:val="clear" w:color="auto" w:fill="FFFFFF"/>
        </w:rPr>
        <w:t>pr</w:t>
      </w:r>
      <w:r w:rsidRPr="00A11C6E">
        <w:rPr>
          <w:rFonts w:ascii="Times New Roman" w:hAnsi="Times New Roman" w:cs="Times New Roman"/>
          <w:color w:val="000000" w:themeColor="text1"/>
          <w:sz w:val="24"/>
          <w:szCs w:val="24"/>
          <w:shd w:val="clear" w:color="auto" w:fill="FFFFFF"/>
          <w:lang w:val="ru-RU"/>
        </w:rPr>
        <w:t>_1809_3.</w:t>
      </w:r>
      <w:r w:rsidRPr="00A11C6E">
        <w:rPr>
          <w:rFonts w:ascii="Times New Roman" w:hAnsi="Times New Roman" w:cs="Times New Roman"/>
          <w:color w:val="000000" w:themeColor="text1"/>
          <w:sz w:val="24"/>
          <w:szCs w:val="24"/>
          <w:shd w:val="clear" w:color="auto" w:fill="FFFFFF"/>
        </w:rPr>
        <w:t>pdf</w:t>
      </w:r>
      <w:r w:rsidRPr="00A11C6E">
        <w:rPr>
          <w:rFonts w:ascii="Times New Roman" w:hAnsi="Times New Roman" w:cs="Times New Roman"/>
          <w:color w:val="000000" w:themeColor="text1"/>
          <w:sz w:val="24"/>
          <w:szCs w:val="24"/>
          <w:shd w:val="clear" w:color="auto" w:fill="FFFFFF"/>
          <w:lang w:val="ru-RU"/>
        </w:rPr>
        <w:t xml:space="preserve"> (дата обращения: 04.04.2023).</w:t>
      </w:r>
    </w:p>
    <w:p w14:paraId="3C5EBCF5" w14:textId="6D4C9698" w:rsidR="00AE4368" w:rsidRPr="00A11C6E" w:rsidRDefault="002023F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bookmarkStart w:id="68" w:name="_Ref130325281"/>
      <w:r w:rsidRPr="00A11C6E">
        <w:rPr>
          <w:rFonts w:ascii="Times New Roman" w:hAnsi="Times New Roman" w:cs="Times New Roman"/>
          <w:color w:val="000000" w:themeColor="text1"/>
          <w:sz w:val="24"/>
          <w:szCs w:val="24"/>
          <w:lang w:val="ru-RU"/>
        </w:rPr>
        <w:t>Гусев, Ю. Н. Стратегия формирования и развития международного финансового центра в России: автореф. дис. ... док. экон. наук : 08.00.10</w:t>
      </w:r>
      <w:r w:rsidR="00625AE4"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rPr>
        <w:t>/</w:t>
      </w:r>
      <w:r w:rsidR="00625AE4"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rPr>
        <w:t xml:space="preserve">Гусев Юрий Николаевич. </w:t>
      </w:r>
      <w:r w:rsidRPr="00A11C6E">
        <w:rPr>
          <w:rFonts w:ascii="Times New Roman" w:hAnsi="Times New Roman" w:cs="Times New Roman"/>
          <w:sz w:val="24"/>
          <w:szCs w:val="24"/>
          <w:lang w:val="ru-RU"/>
        </w:rPr>
        <w:t>–</w:t>
      </w:r>
      <w:r w:rsidRPr="00A11C6E">
        <w:rPr>
          <w:rFonts w:ascii="Times New Roman" w:hAnsi="Times New Roman" w:cs="Times New Roman"/>
          <w:color w:val="000000" w:themeColor="text1"/>
          <w:sz w:val="24"/>
          <w:szCs w:val="24"/>
          <w:lang w:val="ru-RU"/>
        </w:rPr>
        <w:t xml:space="preserve"> М., 2012. </w:t>
      </w:r>
      <w:r w:rsidRPr="00A11C6E">
        <w:rPr>
          <w:rFonts w:ascii="Times New Roman" w:hAnsi="Times New Roman" w:cs="Times New Roman"/>
          <w:sz w:val="24"/>
          <w:szCs w:val="24"/>
          <w:lang w:val="ru-RU"/>
        </w:rPr>
        <w:t>–</w:t>
      </w:r>
      <w:r w:rsidRPr="00A11C6E">
        <w:rPr>
          <w:rFonts w:ascii="Times New Roman" w:hAnsi="Times New Roman" w:cs="Times New Roman"/>
          <w:color w:val="000000" w:themeColor="text1"/>
          <w:sz w:val="24"/>
          <w:szCs w:val="24"/>
          <w:lang w:val="ru-RU"/>
        </w:rPr>
        <w:t xml:space="preserve"> 49 с</w:t>
      </w:r>
      <w:r w:rsidRPr="00A11C6E">
        <w:rPr>
          <w:rFonts w:ascii="Times New Roman" w:hAnsi="Times New Roman" w:cs="Times New Roman"/>
          <w:sz w:val="24"/>
          <w:szCs w:val="24"/>
          <w:lang w:val="ru-RU"/>
        </w:rPr>
        <w:t>.</w:t>
      </w:r>
      <w:bookmarkEnd w:id="68"/>
    </w:p>
    <w:p w14:paraId="114CE84B" w14:textId="40706C12" w:rsidR="00766BDA" w:rsidRPr="00A11C6E" w:rsidRDefault="002023F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Гусев, Ю. Н. Тенденция развития международных финансовых центров / Ю.</w:t>
      </w:r>
      <w:r w:rsidR="0037793B">
        <w:rPr>
          <w:rFonts w:ascii="Times New Roman" w:hAnsi="Times New Roman" w:cs="Times New Roman"/>
          <w:sz w:val="24"/>
          <w:szCs w:val="24"/>
        </w:rPr>
        <w:t> </w:t>
      </w:r>
      <w:r w:rsidRPr="00A11C6E">
        <w:rPr>
          <w:rFonts w:ascii="Times New Roman" w:hAnsi="Times New Roman" w:cs="Times New Roman"/>
          <w:sz w:val="24"/>
          <w:szCs w:val="24"/>
          <w:lang w:val="ru-RU"/>
        </w:rPr>
        <w:t>Н.</w:t>
      </w:r>
      <w:r w:rsidR="0037793B">
        <w:rPr>
          <w:rFonts w:ascii="Times New Roman" w:hAnsi="Times New Roman" w:cs="Times New Roman"/>
          <w:sz w:val="24"/>
          <w:szCs w:val="24"/>
        </w:rPr>
        <w:t> </w:t>
      </w:r>
      <w:r w:rsidRPr="00A11C6E">
        <w:rPr>
          <w:rFonts w:ascii="Times New Roman" w:hAnsi="Times New Roman" w:cs="Times New Roman"/>
          <w:sz w:val="24"/>
          <w:szCs w:val="24"/>
          <w:lang w:val="ru-RU"/>
        </w:rPr>
        <w:t>Гусев // МИР (Модернизация. Инновации. Развитие). – 2012. – № 10. – С. 107-110.</w:t>
      </w:r>
    </w:p>
    <w:p w14:paraId="71D6267C" w14:textId="4A129D04" w:rsidR="00AE4368" w:rsidRPr="00A11C6E" w:rsidRDefault="002023F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Долгова, А. Ю. Международные финансовые центры: макроэкономическая роль и</w:t>
      </w:r>
      <w:r w:rsidR="0037793B">
        <w:rPr>
          <w:rFonts w:ascii="Times New Roman" w:hAnsi="Times New Roman" w:cs="Times New Roman"/>
          <w:sz w:val="24"/>
          <w:szCs w:val="24"/>
        </w:rPr>
        <w:t> </w:t>
      </w:r>
      <w:r w:rsidRPr="00A11C6E">
        <w:rPr>
          <w:rFonts w:ascii="Times New Roman" w:hAnsi="Times New Roman" w:cs="Times New Roman"/>
          <w:sz w:val="24"/>
          <w:szCs w:val="24"/>
          <w:lang w:val="ru-RU"/>
        </w:rPr>
        <w:t>факторы конкурентоспособности: автореф. дис. ... канд. экон. наук : 08.00.01/Долгова Алёна Юрьевна. – М., 2018. – 32 с.</w:t>
      </w:r>
    </w:p>
    <w:p w14:paraId="3F8F5337" w14:textId="530DAAB5" w:rsidR="00AE4368" w:rsidRPr="00A11C6E" w:rsidRDefault="002023F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bookmarkStart w:id="69" w:name="_Ref135578059"/>
      <w:r w:rsidRPr="00A11C6E">
        <w:rPr>
          <w:rFonts w:ascii="Times New Roman" w:hAnsi="Times New Roman" w:cs="Times New Roman"/>
          <w:sz w:val="24"/>
          <w:szCs w:val="24"/>
          <w:lang w:val="ru-RU"/>
        </w:rPr>
        <w:t xml:space="preserve">Дробышевский, С. М. </w:t>
      </w:r>
      <w:bookmarkStart w:id="70" w:name="_Ref459294333"/>
      <w:r w:rsidRPr="00A11C6E">
        <w:rPr>
          <w:rFonts w:ascii="Times New Roman" w:hAnsi="Times New Roman" w:cs="Times New Roman"/>
          <w:sz w:val="24"/>
          <w:szCs w:val="24"/>
          <w:lang w:val="ru-RU"/>
        </w:rPr>
        <w:t>Перспективы создания международного финансового центра в Российской Федерации/ Дробышевский С.М., Худько Е.В., Великова Е.Е. – М.: Институт Гайдара, 2010. – 108 с.</w:t>
      </w:r>
      <w:bookmarkEnd w:id="69"/>
      <w:r w:rsidRPr="00A11C6E">
        <w:rPr>
          <w:rFonts w:ascii="Times New Roman" w:hAnsi="Times New Roman" w:cs="Times New Roman"/>
          <w:sz w:val="24"/>
          <w:szCs w:val="24"/>
          <w:lang w:val="ru-RU"/>
        </w:rPr>
        <w:t xml:space="preserve"> </w:t>
      </w:r>
    </w:p>
    <w:p w14:paraId="4E5ABED0" w14:textId="0F75F26C" w:rsidR="0003571B" w:rsidRPr="00A11C6E" w:rsidRDefault="0003571B"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 xml:space="preserve">Доробышевский, С. М. Проблемы создания единой валютной зоны в странах СНГ / Дробышевский С. М., Полевой Д. И. – М.: ИЭПП. – 110 с. </w:t>
      </w:r>
    </w:p>
    <w:p w14:paraId="3AE1C598" w14:textId="1E52CB6E" w:rsidR="0045179A" w:rsidRPr="00A11C6E" w:rsidRDefault="0045179A"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Доронина Н. Г. Правовые условия формирования благоприятного инвестиционного климата и информационной среды в Российской Федерации // Н.</w:t>
      </w:r>
      <w:r w:rsidR="00D97141" w:rsidRPr="00A11C6E">
        <w:rPr>
          <w:rFonts w:ascii="Times New Roman" w:hAnsi="Times New Roman" w:cs="Times New Roman"/>
          <w:sz w:val="24"/>
          <w:szCs w:val="24"/>
          <w:lang w:val="ru-RU"/>
        </w:rPr>
        <w:t> </w:t>
      </w:r>
      <w:r w:rsidRPr="00A11C6E">
        <w:rPr>
          <w:rFonts w:ascii="Times New Roman" w:hAnsi="Times New Roman" w:cs="Times New Roman"/>
          <w:sz w:val="24"/>
          <w:szCs w:val="24"/>
          <w:lang w:val="ru-RU"/>
        </w:rPr>
        <w:t>Г.</w:t>
      </w:r>
      <w:r w:rsidR="00D97141" w:rsidRPr="00A11C6E">
        <w:rPr>
          <w:rFonts w:ascii="Times New Roman" w:hAnsi="Times New Roman" w:cs="Times New Roman"/>
          <w:sz w:val="24"/>
          <w:szCs w:val="24"/>
          <w:lang w:val="ru-RU"/>
        </w:rPr>
        <w:t> </w:t>
      </w:r>
      <w:r w:rsidRPr="00A11C6E">
        <w:rPr>
          <w:rFonts w:ascii="Times New Roman" w:hAnsi="Times New Roman" w:cs="Times New Roman"/>
          <w:sz w:val="24"/>
          <w:szCs w:val="24"/>
          <w:lang w:val="ru-RU"/>
        </w:rPr>
        <w:t xml:space="preserve">Доронина, Н. Г. Семилютина // </w:t>
      </w:r>
      <w:r w:rsidR="00D97141" w:rsidRPr="00A11C6E">
        <w:rPr>
          <w:rFonts w:ascii="Times New Roman" w:hAnsi="Times New Roman" w:cs="Times New Roman"/>
          <w:sz w:val="24"/>
          <w:szCs w:val="24"/>
          <w:lang w:val="ru-RU"/>
        </w:rPr>
        <w:t>Журнал российского права. – 2012, №10. – С. 5–13.</w:t>
      </w:r>
    </w:p>
    <w:p w14:paraId="78783BAB" w14:textId="2132CF98" w:rsidR="00AE4368" w:rsidRPr="00A11C6E" w:rsidRDefault="002023F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Завадский, М. Малайзия для малайских /М. Завадский // Эксперт. – 2011. </w:t>
      </w:r>
      <w:r w:rsidRPr="00A11C6E">
        <w:rPr>
          <w:rFonts w:ascii="Times New Roman" w:hAnsi="Times New Roman" w:cs="Times New Roman"/>
          <w:sz w:val="24"/>
          <w:szCs w:val="24"/>
          <w:lang w:val="ru-RU"/>
        </w:rPr>
        <w:t>–</w:t>
      </w:r>
      <w:r w:rsidRPr="00A11C6E">
        <w:rPr>
          <w:rFonts w:ascii="Times New Roman" w:hAnsi="Times New Roman" w:cs="Times New Roman"/>
          <w:color w:val="000000" w:themeColor="text1"/>
          <w:sz w:val="24"/>
          <w:szCs w:val="24"/>
          <w:lang w:val="ru-RU"/>
        </w:rPr>
        <w:t xml:space="preserve"> №</w:t>
      </w:r>
      <w:r w:rsidR="0031458E" w:rsidRPr="00A11C6E">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15.</w:t>
      </w:r>
      <w:bookmarkEnd w:id="70"/>
      <w:r w:rsidRPr="00A11C6E">
        <w:rPr>
          <w:rFonts w:ascii="Times New Roman" w:hAnsi="Times New Roman" w:cs="Times New Roman"/>
          <w:color w:val="000000" w:themeColor="text1"/>
          <w:sz w:val="24"/>
          <w:szCs w:val="24"/>
          <w:lang w:val="ru-RU"/>
        </w:rPr>
        <w:t xml:space="preserve"> </w:t>
      </w:r>
    </w:p>
    <w:p w14:paraId="3552B8C9" w14:textId="30A55976" w:rsidR="005E0435" w:rsidRPr="00A11C6E" w:rsidRDefault="005E0435"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Зимин, В. Международный финансовый центр: точки роста [Электронный ресурс] // Консультант. – 2013, №15 (август)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shd w:val="clear" w:color="auto" w:fill="FFFFFF"/>
        </w:rPr>
        <w:t>https</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internet</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garant</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ru</w:t>
      </w:r>
      <w:r w:rsidRPr="00A11C6E">
        <w:rPr>
          <w:rFonts w:ascii="Times New Roman" w:hAnsi="Times New Roman" w:cs="Times New Roman"/>
          <w:color w:val="000000" w:themeColor="text1"/>
          <w:sz w:val="24"/>
          <w:szCs w:val="24"/>
          <w:shd w:val="clear" w:color="auto" w:fill="FFFFFF"/>
          <w:lang w:val="ru-RU"/>
        </w:rPr>
        <w:t xml:space="preserve"> </w:t>
      </w:r>
      <w:r w:rsidRPr="00A11C6E">
        <w:rPr>
          <w:rFonts w:ascii="Times New Roman" w:hAnsi="Times New Roman" w:cs="Times New Roman"/>
          <w:color w:val="000000" w:themeColor="text1"/>
          <w:sz w:val="24"/>
          <w:szCs w:val="24"/>
          <w:lang w:val="ru-RU"/>
        </w:rPr>
        <w:t xml:space="preserve">(дата обращения: 05.04.2023) </w:t>
      </w:r>
    </w:p>
    <w:p w14:paraId="34E9DC4F" w14:textId="1926DF78" w:rsidR="0031458E" w:rsidRPr="00A11C6E" w:rsidRDefault="0031458E"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Зиядуллаев, Н. С. Создание международного финансового центра в Москве как важнейшая составляющая экономической безопасности России/ Н. С. Зиядуллов, Д. А. Иванова // Национальные интересы: приоритеты и безопасность. – 2014. – 33 (270). – С. 2</w:t>
      </w:r>
      <w:r w:rsidRPr="00A11C6E">
        <w:rPr>
          <w:rFonts w:ascii="Times New Roman" w:hAnsi="Times New Roman" w:cs="Times New Roman"/>
          <w:sz w:val="24"/>
          <w:szCs w:val="24"/>
          <w:lang w:val="ru-RU"/>
        </w:rPr>
        <w:t>–15</w:t>
      </w:r>
      <w:r w:rsidRPr="00A11C6E">
        <w:rPr>
          <w:rFonts w:ascii="Times New Roman" w:hAnsi="Times New Roman" w:cs="Times New Roman"/>
          <w:color w:val="000000" w:themeColor="text1"/>
          <w:sz w:val="24"/>
          <w:szCs w:val="24"/>
          <w:lang w:val="ru-RU"/>
        </w:rPr>
        <w:t xml:space="preserve">. </w:t>
      </w:r>
    </w:p>
    <w:p w14:paraId="37961565" w14:textId="7EFB6322" w:rsidR="00AE4368" w:rsidRPr="00A11C6E" w:rsidRDefault="0031458E"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Зиядуллаев</w:t>
      </w:r>
      <w:r w:rsidR="002023F4" w:rsidRPr="00A11C6E">
        <w:rPr>
          <w:rFonts w:ascii="Times New Roman" w:hAnsi="Times New Roman" w:cs="Times New Roman"/>
          <w:color w:val="000000" w:themeColor="text1"/>
          <w:sz w:val="24"/>
          <w:szCs w:val="24"/>
          <w:lang w:val="ru-RU"/>
        </w:rPr>
        <w:t>, Н. С. Экономическая безопасность и механизмы создания Международного финансового центра в Москве / Н. С. Зиядуллов, И. В. Горн, Д. А. Иванова, Ю.</w:t>
      </w:r>
      <w:r w:rsidR="0037793B">
        <w:rPr>
          <w:rFonts w:ascii="Times New Roman" w:hAnsi="Times New Roman" w:cs="Times New Roman"/>
          <w:color w:val="000000" w:themeColor="text1"/>
          <w:sz w:val="24"/>
          <w:szCs w:val="24"/>
        </w:rPr>
        <w:t> </w:t>
      </w:r>
      <w:r w:rsidR="002023F4" w:rsidRPr="00A11C6E">
        <w:rPr>
          <w:rFonts w:ascii="Times New Roman" w:hAnsi="Times New Roman" w:cs="Times New Roman"/>
          <w:color w:val="000000" w:themeColor="text1"/>
          <w:sz w:val="24"/>
          <w:szCs w:val="24"/>
          <w:lang w:val="ru-RU"/>
        </w:rPr>
        <w:t>С. Кибардина // Российский внешнеэкономический вестник. – 2014. – №6. – С. 29</w:t>
      </w:r>
      <w:r w:rsidR="002023F4" w:rsidRPr="00A11C6E">
        <w:rPr>
          <w:rFonts w:ascii="Times New Roman" w:hAnsi="Times New Roman" w:cs="Times New Roman"/>
          <w:sz w:val="24"/>
          <w:szCs w:val="24"/>
          <w:lang w:val="ru-RU"/>
        </w:rPr>
        <w:t>–</w:t>
      </w:r>
      <w:r w:rsidR="002023F4" w:rsidRPr="00A11C6E">
        <w:rPr>
          <w:rFonts w:ascii="Times New Roman" w:hAnsi="Times New Roman" w:cs="Times New Roman"/>
          <w:color w:val="000000" w:themeColor="text1"/>
          <w:sz w:val="24"/>
          <w:szCs w:val="24"/>
          <w:lang w:val="ru-RU"/>
        </w:rPr>
        <w:t xml:space="preserve">43. </w:t>
      </w:r>
    </w:p>
    <w:p w14:paraId="13BF8A5A"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A11C6E">
        <w:rPr>
          <w:rFonts w:ascii="Times New Roman" w:hAnsi="Times New Roman" w:cs="Times New Roman"/>
          <w:color w:val="000000" w:themeColor="text1"/>
          <w:sz w:val="24"/>
          <w:szCs w:val="24"/>
          <w:lang w:val="ru-RU"/>
        </w:rPr>
        <w:lastRenderedPageBreak/>
        <w:t xml:space="preserve">Иванова, Д. А. Региональные механизмы формирования международного финансового центра в Москве: автореф. дис. … канд. экон. наук: 08.00.05 / Иванова Дарья Алексеевна. – М., 2013. – 29 </w:t>
      </w:r>
      <w:r w:rsidRPr="00A11C6E">
        <w:rPr>
          <w:rFonts w:ascii="Times New Roman" w:hAnsi="Times New Roman" w:cs="Times New Roman"/>
          <w:color w:val="000000" w:themeColor="text1"/>
          <w:sz w:val="24"/>
          <w:szCs w:val="24"/>
        </w:rPr>
        <w:t>c</w:t>
      </w:r>
      <w:r w:rsidRPr="00A11C6E">
        <w:rPr>
          <w:rFonts w:ascii="Times New Roman" w:hAnsi="Times New Roman" w:cs="Times New Roman"/>
          <w:color w:val="000000" w:themeColor="text1"/>
          <w:sz w:val="24"/>
          <w:szCs w:val="24"/>
          <w:lang w:val="ru-RU"/>
        </w:rPr>
        <w:t>.</w:t>
      </w:r>
    </w:p>
    <w:p w14:paraId="362B5D30"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A11C6E">
        <w:rPr>
          <w:rFonts w:ascii="Times New Roman" w:eastAsia="Times New Roman" w:hAnsi="Times New Roman" w:cs="Times New Roman"/>
          <w:color w:val="000000" w:themeColor="text1"/>
          <w:sz w:val="24"/>
          <w:szCs w:val="24"/>
          <w:lang w:val="ru-RU" w:eastAsia="ru-RU" w:bidi="ar-SA"/>
        </w:rPr>
        <w:t>Иноземцев В.Л. Современная глобализация и ее восприятие в мире / В.</w:t>
      </w:r>
      <w:r w:rsidRPr="00A11C6E">
        <w:rPr>
          <w:rFonts w:ascii="Times New Roman" w:eastAsia="Times New Roman" w:hAnsi="Times New Roman" w:cs="Times New Roman"/>
          <w:color w:val="000000" w:themeColor="text1"/>
          <w:sz w:val="24"/>
          <w:szCs w:val="24"/>
          <w:lang w:eastAsia="ru-RU" w:bidi="ar-SA"/>
        </w:rPr>
        <w:t> </w:t>
      </w:r>
      <w:r w:rsidRPr="00A11C6E">
        <w:rPr>
          <w:rFonts w:ascii="Times New Roman" w:eastAsia="Times New Roman" w:hAnsi="Times New Roman" w:cs="Times New Roman"/>
          <w:color w:val="000000" w:themeColor="text1"/>
          <w:sz w:val="24"/>
          <w:szCs w:val="24"/>
          <w:lang w:val="ru-RU" w:eastAsia="ru-RU" w:bidi="ar-SA"/>
        </w:rPr>
        <w:t>Л.</w:t>
      </w:r>
      <w:r w:rsidRPr="00A11C6E">
        <w:rPr>
          <w:rFonts w:ascii="Times New Roman" w:eastAsia="Times New Roman" w:hAnsi="Times New Roman" w:cs="Times New Roman"/>
          <w:color w:val="000000" w:themeColor="text1"/>
          <w:sz w:val="24"/>
          <w:szCs w:val="24"/>
          <w:lang w:eastAsia="ru-RU" w:bidi="ar-SA"/>
        </w:rPr>
        <w:t> </w:t>
      </w:r>
      <w:r w:rsidRPr="00A11C6E">
        <w:rPr>
          <w:rFonts w:ascii="Times New Roman" w:eastAsia="Times New Roman" w:hAnsi="Times New Roman" w:cs="Times New Roman"/>
          <w:color w:val="000000" w:themeColor="text1"/>
          <w:sz w:val="24"/>
          <w:szCs w:val="24"/>
          <w:lang w:val="ru-RU" w:eastAsia="ru-RU" w:bidi="ar-SA"/>
        </w:rPr>
        <w:t xml:space="preserve">Иноземцев // Век глобализации. 2008. </w:t>
      </w:r>
      <w:r w:rsidRPr="00A11C6E">
        <w:rPr>
          <w:rFonts w:ascii="Times New Roman" w:hAnsi="Times New Roman" w:cs="Times New Roman"/>
          <w:color w:val="000000" w:themeColor="text1"/>
          <w:sz w:val="24"/>
          <w:szCs w:val="24"/>
          <w:lang w:val="ru-RU"/>
        </w:rPr>
        <w:t>–</w:t>
      </w:r>
      <w:r w:rsidRPr="00A11C6E">
        <w:rPr>
          <w:rFonts w:ascii="Times New Roman" w:eastAsia="Times New Roman" w:hAnsi="Times New Roman" w:cs="Times New Roman"/>
          <w:color w:val="000000" w:themeColor="text1"/>
          <w:sz w:val="24"/>
          <w:szCs w:val="24"/>
          <w:lang w:val="ru-RU" w:eastAsia="ru-RU" w:bidi="ar-SA"/>
        </w:rPr>
        <w:t xml:space="preserve"> № 1. </w:t>
      </w:r>
      <w:r w:rsidRPr="00A11C6E">
        <w:rPr>
          <w:rFonts w:ascii="Times New Roman" w:hAnsi="Times New Roman" w:cs="Times New Roman"/>
          <w:color w:val="000000" w:themeColor="text1"/>
          <w:sz w:val="24"/>
          <w:szCs w:val="24"/>
          <w:lang w:val="ru-RU"/>
        </w:rPr>
        <w:t xml:space="preserve">– </w:t>
      </w:r>
      <w:r w:rsidRPr="00A11C6E">
        <w:rPr>
          <w:rFonts w:ascii="Times New Roman" w:eastAsia="Times New Roman" w:hAnsi="Times New Roman" w:cs="Times New Roman"/>
          <w:color w:val="000000" w:themeColor="text1"/>
          <w:sz w:val="24"/>
          <w:szCs w:val="24"/>
          <w:lang w:val="ru-RU" w:eastAsia="ru-RU" w:bidi="ar-SA"/>
        </w:rPr>
        <w:t>С.1</w:t>
      </w:r>
      <w:r w:rsidRPr="00A11C6E">
        <w:rPr>
          <w:rFonts w:ascii="Times New Roman" w:hAnsi="Times New Roman" w:cs="Times New Roman"/>
          <w:color w:val="000000" w:themeColor="text1"/>
          <w:sz w:val="24"/>
          <w:szCs w:val="24"/>
          <w:lang w:val="ru-RU"/>
        </w:rPr>
        <w:t>–</w:t>
      </w:r>
      <w:r w:rsidRPr="00A11C6E">
        <w:rPr>
          <w:rFonts w:ascii="Times New Roman" w:eastAsia="Times New Roman" w:hAnsi="Times New Roman" w:cs="Times New Roman"/>
          <w:color w:val="000000" w:themeColor="text1"/>
          <w:sz w:val="24"/>
          <w:szCs w:val="24"/>
          <w:lang w:val="ru-RU" w:eastAsia="ru-RU" w:bidi="ar-SA"/>
        </w:rPr>
        <w:t>14.</w:t>
      </w:r>
    </w:p>
    <w:p w14:paraId="38A2C0A5" w14:textId="14E37C2C" w:rsidR="00AE4368" w:rsidRPr="00A11C6E" w:rsidRDefault="002023F4" w:rsidP="00A134D2">
      <w:pPr>
        <w:pStyle w:val="af3"/>
        <w:numPr>
          <w:ilvl w:val="0"/>
          <w:numId w:val="15"/>
        </w:numPr>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Климачев, В. В. Ме</w:t>
      </w:r>
      <w:r w:rsidR="00B92467" w:rsidRPr="00A11C6E">
        <w:rPr>
          <w:rFonts w:ascii="Times New Roman" w:hAnsi="Times New Roman" w:cs="Times New Roman"/>
          <w:color w:val="000000" w:themeColor="text1"/>
          <w:sz w:val="24"/>
          <w:szCs w:val="24"/>
          <w:lang w:val="ru-RU"/>
        </w:rPr>
        <w:t xml:space="preserve">ждународные финансовые центры в </w:t>
      </w:r>
      <w:r w:rsidRPr="00A11C6E">
        <w:rPr>
          <w:rFonts w:ascii="Times New Roman" w:hAnsi="Times New Roman" w:cs="Times New Roman"/>
          <w:color w:val="000000" w:themeColor="text1"/>
          <w:sz w:val="24"/>
          <w:szCs w:val="24"/>
          <w:lang w:val="ru-RU"/>
        </w:rPr>
        <w:t>глобальной</w:t>
      </w:r>
      <w:r w:rsidR="00B92467"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rPr>
        <w:t>финансов</w:t>
      </w:r>
      <w:r w:rsidR="00B92467" w:rsidRPr="00A11C6E">
        <w:rPr>
          <w:rFonts w:ascii="Times New Roman" w:hAnsi="Times New Roman" w:cs="Times New Roman"/>
          <w:color w:val="000000" w:themeColor="text1"/>
          <w:sz w:val="24"/>
          <w:szCs w:val="24"/>
          <w:lang w:val="ru-RU"/>
        </w:rPr>
        <w:t>ой</w:t>
      </w:r>
      <w:r w:rsidRPr="00A11C6E">
        <w:rPr>
          <w:rFonts w:ascii="Times New Roman" w:hAnsi="Times New Roman" w:cs="Times New Roman"/>
          <w:color w:val="000000" w:themeColor="text1"/>
          <w:sz w:val="24"/>
          <w:szCs w:val="24"/>
          <w:lang w:val="ru-RU"/>
        </w:rPr>
        <w:t xml:space="preserve"> систем</w:t>
      </w:r>
      <w:r w:rsidR="00B92467" w:rsidRPr="00A11C6E">
        <w:rPr>
          <w:rFonts w:ascii="Times New Roman" w:hAnsi="Times New Roman" w:cs="Times New Roman"/>
          <w:color w:val="000000" w:themeColor="text1"/>
          <w:sz w:val="24"/>
          <w:szCs w:val="24"/>
          <w:lang w:val="ru-RU"/>
        </w:rPr>
        <w:t>е</w:t>
      </w:r>
      <w:r w:rsidRPr="00A11C6E">
        <w:rPr>
          <w:rFonts w:ascii="Times New Roman" w:hAnsi="Times New Roman" w:cs="Times New Roman"/>
          <w:color w:val="000000" w:themeColor="text1"/>
          <w:sz w:val="24"/>
          <w:szCs w:val="24"/>
          <w:lang w:val="ru-RU"/>
        </w:rPr>
        <w:t>: автореф. дис. … канд. экон. наук: 08.00.14 / Климачев Вадим Владимирович. – М.: Российский Государственный Торгово-Экономический Университет, 2011. – 25 с.</w:t>
      </w:r>
    </w:p>
    <w:p w14:paraId="56C55B59" w14:textId="0018EA0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71" w:name="_Ref135077669"/>
      <w:r w:rsidRPr="00A11C6E">
        <w:rPr>
          <w:rFonts w:ascii="Times New Roman" w:hAnsi="Times New Roman" w:cs="Times New Roman"/>
          <w:color w:val="000000" w:themeColor="text1"/>
          <w:sz w:val="24"/>
          <w:szCs w:val="24"/>
          <w:lang w:val="ru-RU"/>
        </w:rPr>
        <w:t>Ключников, И. К. Мировые финансовые центры: учеб. пособие / И.</w:t>
      </w:r>
      <w:r w:rsidR="00D97141" w:rsidRPr="00A11C6E">
        <w:rPr>
          <w:rFonts w:ascii="Times New Roman" w:hAnsi="Times New Roman" w:cs="Times New Roman"/>
          <w:color w:val="000000" w:themeColor="text1"/>
          <w:sz w:val="24"/>
          <w:szCs w:val="24"/>
          <w:lang w:val="ru-RU"/>
        </w:rPr>
        <w:t> </w:t>
      </w:r>
      <w:r w:rsidRPr="00A11C6E">
        <w:rPr>
          <w:rFonts w:ascii="Times New Roman" w:hAnsi="Times New Roman" w:cs="Times New Roman"/>
          <w:color w:val="000000" w:themeColor="text1"/>
          <w:sz w:val="24"/>
          <w:szCs w:val="24"/>
          <w:lang w:val="ru-RU"/>
        </w:rPr>
        <w:t>К.</w:t>
      </w:r>
      <w:r w:rsidR="00D97141" w:rsidRPr="00A11C6E">
        <w:rPr>
          <w:rFonts w:ascii="Times New Roman" w:hAnsi="Times New Roman" w:cs="Times New Roman"/>
          <w:color w:val="000000" w:themeColor="text1"/>
          <w:sz w:val="24"/>
          <w:szCs w:val="24"/>
          <w:lang w:val="ru-RU"/>
        </w:rPr>
        <w:t> </w:t>
      </w:r>
      <w:r w:rsidRPr="00A11C6E">
        <w:rPr>
          <w:rFonts w:ascii="Times New Roman" w:hAnsi="Times New Roman" w:cs="Times New Roman"/>
          <w:color w:val="000000" w:themeColor="text1"/>
          <w:sz w:val="24"/>
          <w:szCs w:val="24"/>
          <w:lang w:val="ru-RU"/>
        </w:rPr>
        <w:t>Ключников. – Москва: Проспект, 2018. – 280 с.</w:t>
      </w:r>
      <w:bookmarkEnd w:id="71"/>
    </w:p>
    <w:p w14:paraId="23F3EA94" w14:textId="6CE89059" w:rsidR="00D97141" w:rsidRPr="00A11C6E" w:rsidRDefault="00D97141"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Ключников, И. К. Методологические и теоретические подходы к исследованию финансовых центров // Вестник Санкт-Петербургского университета. Сер. 5. – 2013, вып. 2 – С.</w:t>
      </w:r>
      <w:r w:rsidR="0037793B">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63</w:t>
      </w:r>
      <w:r w:rsidRPr="00A11C6E">
        <w:rPr>
          <w:rFonts w:ascii="Times New Roman" w:hAnsi="Times New Roman" w:cs="Times New Roman"/>
          <w:color w:val="000000"/>
          <w:sz w:val="24"/>
          <w:szCs w:val="24"/>
          <w:shd w:val="clear" w:color="auto" w:fill="FFFFFF"/>
          <w:lang w:val="ru-RU"/>
        </w:rPr>
        <w:t>–</w:t>
      </w:r>
      <w:r w:rsidRPr="00A11C6E">
        <w:rPr>
          <w:rFonts w:ascii="Times New Roman" w:hAnsi="Times New Roman" w:cs="Times New Roman"/>
          <w:color w:val="000000" w:themeColor="text1"/>
          <w:sz w:val="24"/>
          <w:szCs w:val="24"/>
          <w:lang w:val="ru-RU"/>
        </w:rPr>
        <w:t>78.</w:t>
      </w:r>
    </w:p>
    <w:p w14:paraId="6C4E4444"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«Ключевой риск </w:t>
      </w:r>
      <w:r w:rsidRPr="00A11C6E">
        <w:rPr>
          <w:rFonts w:ascii="Times New Roman" w:hAnsi="Times New Roman" w:cs="Times New Roman"/>
          <w:sz w:val="24"/>
          <w:szCs w:val="24"/>
          <w:lang w:val="ru-RU"/>
        </w:rPr>
        <w:t>–</w:t>
      </w:r>
      <w:r w:rsidRPr="00A11C6E">
        <w:rPr>
          <w:rFonts w:ascii="Times New Roman" w:hAnsi="Times New Roman" w:cs="Times New Roman"/>
          <w:color w:val="000000" w:themeColor="text1"/>
          <w:sz w:val="24"/>
          <w:szCs w:val="24"/>
          <w:lang w:val="ru-RU"/>
        </w:rPr>
        <w:t xml:space="preserve"> в нас самих» // Ведомости. 30.06.2011 </w:t>
      </w:r>
    </w:p>
    <w:p w14:paraId="119DC3DD" w14:textId="05800FE1"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72" w:name="_Ref499131173"/>
      <w:bookmarkStart w:id="73" w:name="_Ref497924853"/>
      <w:r w:rsidRPr="00A11C6E">
        <w:rPr>
          <w:rFonts w:ascii="Times New Roman" w:hAnsi="Times New Roman" w:cs="Times New Roman"/>
          <w:color w:val="000000" w:themeColor="text1"/>
          <w:sz w:val="24"/>
          <w:szCs w:val="24"/>
          <w:lang w:val="ru-RU"/>
        </w:rPr>
        <w:t>Коваленко, В. Н. Тенденции и перспективы взаимодействия экономик Гонконга и</w:t>
      </w:r>
      <w:r w:rsidR="0037793B">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Китая. / В. Н. Коваленко. Автореферат диссертации на соискание научной степени кандидата экономических наук. СПбГУ, 2011.</w:t>
      </w:r>
      <w:bookmarkEnd w:id="72"/>
      <w:r w:rsidRPr="00A11C6E">
        <w:rPr>
          <w:rFonts w:ascii="Times New Roman" w:hAnsi="Times New Roman" w:cs="Times New Roman"/>
          <w:color w:val="000000" w:themeColor="text1"/>
          <w:sz w:val="24"/>
          <w:szCs w:val="24"/>
          <w:lang w:val="ru-RU"/>
        </w:rPr>
        <w:t xml:space="preserve"> </w:t>
      </w:r>
    </w:p>
    <w:p w14:paraId="3DFE2923" w14:textId="586BBDD5" w:rsidR="001F3008" w:rsidRPr="00A11C6E" w:rsidRDefault="001F3008"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Козлова, Н. А. Функционирование свободных экономических зон в Китае / Н. А. Козлова // </w:t>
      </w:r>
      <w:r w:rsidRPr="00A11C6E">
        <w:rPr>
          <w:rFonts w:ascii="Times New Roman" w:hAnsi="Times New Roman" w:cs="Times New Roman"/>
          <w:sz w:val="24"/>
          <w:szCs w:val="24"/>
          <w:lang w:val="ru-RU"/>
        </w:rPr>
        <w:t xml:space="preserve">Вестник Приамурского государственного университета им. Шолом-Алейхема. – 2015, № 4 (21) - С. 50-57. </w:t>
      </w:r>
    </w:p>
    <w:p w14:paraId="20505D98" w14:textId="7CF508EF" w:rsidR="00331C72" w:rsidRPr="00A11C6E" w:rsidRDefault="00331C72"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Кузнецов, А. В. Международные финансовые институты и вызовы многополярности / А. В. Кузнецов // Вестник РУДН. Серия: Международные отношения. – 2017, том 17, № 1. – С. 9–21. </w:t>
      </w:r>
    </w:p>
    <w:p w14:paraId="486F30F0" w14:textId="1F0D3987" w:rsidR="00331C72"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sz w:val="24"/>
          <w:szCs w:val="24"/>
          <w:shd w:val="clear" w:color="auto" w:fill="FFFFFF"/>
          <w:lang w:val="ru-RU"/>
        </w:rPr>
        <w:t>Кузьминов, Я. И. Институты:</w:t>
      </w:r>
      <w:r w:rsidR="00331C72" w:rsidRPr="00A11C6E">
        <w:rPr>
          <w:rFonts w:ascii="Times New Roman" w:hAnsi="Times New Roman" w:cs="Times New Roman"/>
          <w:color w:val="000000"/>
          <w:sz w:val="24"/>
          <w:szCs w:val="24"/>
          <w:shd w:val="clear" w:color="auto" w:fill="FFFFFF"/>
          <w:lang w:val="ru-RU"/>
        </w:rPr>
        <w:t xml:space="preserve"> о</w:t>
      </w:r>
      <w:r w:rsidRPr="00A11C6E">
        <w:rPr>
          <w:rFonts w:ascii="Times New Roman" w:hAnsi="Times New Roman" w:cs="Times New Roman"/>
          <w:color w:val="000000"/>
          <w:sz w:val="24"/>
          <w:szCs w:val="24"/>
          <w:shd w:val="clear" w:color="auto" w:fill="FFFFFF"/>
          <w:lang w:val="ru-RU"/>
        </w:rPr>
        <w:t>т заимствования к выращиванию: Опыт российских реформ и возможное культивирование институциональных изменений. /Я. И Кузьминов, В.</w:t>
      </w:r>
      <w:r w:rsidR="0037793B">
        <w:rPr>
          <w:rFonts w:ascii="Times New Roman" w:hAnsi="Times New Roman" w:cs="Times New Roman"/>
          <w:color w:val="000000"/>
          <w:sz w:val="24"/>
          <w:szCs w:val="24"/>
          <w:shd w:val="clear" w:color="auto" w:fill="FFFFFF"/>
        </w:rPr>
        <w:t> </w:t>
      </w:r>
      <w:r w:rsidRPr="00A11C6E">
        <w:rPr>
          <w:rFonts w:ascii="Times New Roman" w:hAnsi="Times New Roman" w:cs="Times New Roman"/>
          <w:color w:val="000000"/>
          <w:sz w:val="24"/>
          <w:szCs w:val="24"/>
          <w:shd w:val="clear" w:color="auto" w:fill="FFFFFF"/>
          <w:lang w:val="ru-RU"/>
        </w:rPr>
        <w:t>В.</w:t>
      </w:r>
      <w:r w:rsidR="0037793B">
        <w:rPr>
          <w:rFonts w:ascii="Times New Roman" w:hAnsi="Times New Roman" w:cs="Times New Roman"/>
          <w:color w:val="000000"/>
          <w:sz w:val="24"/>
          <w:szCs w:val="24"/>
          <w:shd w:val="clear" w:color="auto" w:fill="FFFFFF"/>
        </w:rPr>
        <w:t> </w:t>
      </w:r>
      <w:r w:rsidRPr="00A11C6E">
        <w:rPr>
          <w:rFonts w:ascii="Times New Roman" w:hAnsi="Times New Roman" w:cs="Times New Roman"/>
          <w:color w:val="000000"/>
          <w:sz w:val="24"/>
          <w:szCs w:val="24"/>
          <w:shd w:val="clear" w:color="auto" w:fill="FFFFFF"/>
          <w:lang w:val="ru-RU"/>
        </w:rPr>
        <w:t>Радаев, А. А. Яковлев, Е. Г. Ясин [и др.]. – М.: ГУ–ВШЭ. 2005.</w:t>
      </w:r>
      <w:bookmarkEnd w:id="73"/>
    </w:p>
    <w:p w14:paraId="169DE4FE" w14:textId="22DAE0E5" w:rsidR="00AE4368" w:rsidRPr="00A11C6E" w:rsidRDefault="002023F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sz w:val="24"/>
          <w:szCs w:val="24"/>
          <w:shd w:val="clear" w:color="auto" w:fill="FFFFFF"/>
          <w:lang w:val="ru-RU"/>
        </w:rPr>
        <w:t xml:space="preserve">Куран, Т. Исламская экономическая мысль и исламская экономика /Т. Куран // Христианство и Ислам об экономике / Под ред. М.А. Румянцева, Д.Е. Раскова. </w:t>
      </w:r>
      <w:r w:rsidRPr="00A11C6E">
        <w:rPr>
          <w:rFonts w:ascii="Times New Roman" w:hAnsi="Times New Roman" w:cs="Times New Roman"/>
          <w:sz w:val="24"/>
          <w:szCs w:val="24"/>
          <w:lang w:val="ru-RU"/>
        </w:rPr>
        <w:t>–</w:t>
      </w:r>
      <w:r w:rsidRPr="00A11C6E">
        <w:rPr>
          <w:rFonts w:ascii="Times New Roman" w:hAnsi="Times New Roman" w:cs="Times New Roman"/>
          <w:color w:val="000000"/>
          <w:sz w:val="24"/>
          <w:szCs w:val="24"/>
          <w:shd w:val="clear" w:color="auto" w:fill="FFFFFF"/>
          <w:lang w:val="ru-RU"/>
        </w:rPr>
        <w:t xml:space="preserve"> СПб., 2008. — 298 с.</w:t>
      </w:r>
    </w:p>
    <w:p w14:paraId="41F27EAB" w14:textId="3CBF9E71" w:rsidR="00BC6064" w:rsidRPr="00A11C6E" w:rsidRDefault="00BC606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sz w:val="24"/>
          <w:szCs w:val="24"/>
          <w:shd w:val="clear" w:color="auto" w:fill="FFFFFF"/>
          <w:lang w:val="ru-RU"/>
        </w:rPr>
        <w:t xml:space="preserve">Логинов, Б. Б. Международный банковский бизнес в контексте правил и норм ВТО / Б. Б. Логинов // Вестник </w:t>
      </w:r>
      <w:r w:rsidR="00963177" w:rsidRPr="00A11C6E">
        <w:rPr>
          <w:rFonts w:ascii="Times New Roman" w:hAnsi="Times New Roman" w:cs="Times New Roman"/>
          <w:color w:val="000000"/>
          <w:sz w:val="24"/>
          <w:szCs w:val="24"/>
          <w:shd w:val="clear" w:color="auto" w:fill="FFFFFF"/>
          <w:lang w:val="ru-RU"/>
        </w:rPr>
        <w:t>университета. – 2017, №2. – С. 141–145.</w:t>
      </w:r>
    </w:p>
    <w:p w14:paraId="37D24271" w14:textId="1E2E1F88" w:rsidR="00963177" w:rsidRPr="00A11C6E" w:rsidRDefault="00963177"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Логинов, Б. Б. Международный банковский бизнес / Б. Б. Логинов. – М.: Юрайт, 2016. – 179 с.</w:t>
      </w:r>
    </w:p>
    <w:p w14:paraId="42669EA5" w14:textId="6C7A5282"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74" w:name="_Ref459293607"/>
      <w:r w:rsidRPr="00A11C6E">
        <w:rPr>
          <w:rFonts w:ascii="Times New Roman" w:hAnsi="Times New Roman" w:cs="Times New Roman"/>
          <w:color w:val="000000" w:themeColor="text1"/>
          <w:sz w:val="24"/>
          <w:szCs w:val="24"/>
          <w:lang w:val="ru-RU"/>
        </w:rPr>
        <w:lastRenderedPageBreak/>
        <w:t xml:space="preserve">Лялин, С. Столица </w:t>
      </w:r>
      <w:r w:rsidRPr="00A11C6E">
        <w:rPr>
          <w:rFonts w:ascii="Times New Roman" w:hAnsi="Times New Roman" w:cs="Times New Roman"/>
          <w:color w:val="000000" w:themeColor="text1"/>
          <w:sz w:val="24"/>
          <w:szCs w:val="24"/>
        </w:rPr>
        <w:t>CNH</w:t>
      </w:r>
      <w:r w:rsidRPr="00A11C6E">
        <w:rPr>
          <w:rFonts w:ascii="Times New Roman" w:hAnsi="Times New Roman" w:cs="Times New Roman"/>
          <w:color w:val="000000" w:themeColor="text1"/>
          <w:sz w:val="24"/>
          <w:szCs w:val="24"/>
          <w:lang w:val="ru-RU"/>
        </w:rPr>
        <w:t>: заметки о Гонконге /С. Лялин //</w:t>
      </w:r>
      <w:r w:rsidR="004F41FA"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Cbonds</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Review</w:t>
      </w:r>
      <w:r w:rsidRPr="00A11C6E">
        <w:rPr>
          <w:rFonts w:ascii="Times New Roman" w:hAnsi="Times New Roman" w:cs="Times New Roman"/>
          <w:color w:val="000000" w:themeColor="text1"/>
          <w:sz w:val="24"/>
          <w:szCs w:val="24"/>
          <w:lang w:val="ru-RU"/>
        </w:rPr>
        <w:t xml:space="preserve">. – 2015. </w:t>
      </w:r>
      <w:r w:rsidR="0037793B"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lang w:val="ru-RU"/>
        </w:rPr>
        <w:t xml:space="preserve"> № 1.</w:t>
      </w:r>
      <w:bookmarkEnd w:id="74"/>
      <w:r w:rsidRPr="00A11C6E">
        <w:rPr>
          <w:rFonts w:ascii="Times New Roman" w:hAnsi="Times New Roman" w:cs="Times New Roman"/>
          <w:color w:val="000000" w:themeColor="text1"/>
          <w:sz w:val="24"/>
          <w:szCs w:val="24"/>
          <w:lang w:val="ru-RU"/>
        </w:rPr>
        <w:t xml:space="preserve"> </w:t>
      </w:r>
    </w:p>
    <w:p w14:paraId="30B77E38" w14:textId="471C5D0B" w:rsidR="006E3674" w:rsidRPr="00A11C6E" w:rsidRDefault="006E3674" w:rsidP="003666C0">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Ляско, А. Роль институтов доверия и контроля в неформальных денежных трансакциях // Вопросы экономики. 2021, №6. М: Издательство НП «Редакция журнала «Вопросы экономики», 2012. – С. 48-64. </w:t>
      </w:r>
    </w:p>
    <w:p w14:paraId="4FF88090" w14:textId="7DE50DFA" w:rsidR="00AE4368" w:rsidRPr="00A11C6E" w:rsidRDefault="002023F4" w:rsidP="003666C0">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75" w:name="_Ref498619482"/>
      <w:r w:rsidRPr="00A11C6E">
        <w:rPr>
          <w:rFonts w:ascii="Times New Roman" w:hAnsi="Times New Roman" w:cs="Times New Roman"/>
          <w:color w:val="000000" w:themeColor="text1"/>
          <w:sz w:val="24"/>
          <w:szCs w:val="24"/>
          <w:lang w:val="ru-RU" w:bidi="ar-SA"/>
        </w:rPr>
        <w:t>Малкина</w:t>
      </w:r>
      <w:r w:rsidR="00AB608D" w:rsidRPr="00A11C6E">
        <w:rPr>
          <w:rFonts w:ascii="Times New Roman" w:hAnsi="Times New Roman" w:cs="Times New Roman"/>
          <w:color w:val="000000" w:themeColor="text1"/>
          <w:sz w:val="24"/>
          <w:szCs w:val="24"/>
          <w:lang w:val="ru-RU" w:bidi="ar-SA"/>
        </w:rPr>
        <w:t>,</w:t>
      </w:r>
      <w:r w:rsidRPr="00A11C6E">
        <w:rPr>
          <w:rFonts w:ascii="Times New Roman" w:hAnsi="Times New Roman" w:cs="Times New Roman"/>
          <w:color w:val="000000" w:themeColor="text1"/>
          <w:sz w:val="24"/>
          <w:szCs w:val="24"/>
          <w:lang w:val="ru-RU" w:bidi="ar-SA"/>
        </w:rPr>
        <w:t xml:space="preserve"> М. Ю. Анализ позиционирования мировых финансовых центров в</w:t>
      </w:r>
      <w:r w:rsidR="0037793B">
        <w:rPr>
          <w:rFonts w:ascii="Times New Roman" w:hAnsi="Times New Roman" w:cs="Times New Roman"/>
          <w:color w:val="000000" w:themeColor="text1"/>
          <w:sz w:val="24"/>
          <w:szCs w:val="24"/>
          <w:lang w:bidi="ar-SA"/>
        </w:rPr>
        <w:t> </w:t>
      </w:r>
      <w:r w:rsidRPr="00A11C6E">
        <w:rPr>
          <w:rFonts w:ascii="Times New Roman" w:hAnsi="Times New Roman" w:cs="Times New Roman"/>
          <w:color w:val="000000" w:themeColor="text1"/>
          <w:sz w:val="24"/>
          <w:szCs w:val="24"/>
          <w:lang w:val="ru-RU" w:bidi="ar-SA"/>
        </w:rPr>
        <w:t>международной финансовой систем/ М. Ю. Малкина // Финансы и кредит. – 2012. – №4. – С. 31</w:t>
      </w:r>
      <w:r w:rsidRPr="00A11C6E">
        <w:rPr>
          <w:rFonts w:ascii="Times New Roman" w:hAnsi="Times New Roman" w:cs="Times New Roman"/>
          <w:sz w:val="24"/>
          <w:szCs w:val="24"/>
          <w:lang w:val="ru-RU"/>
        </w:rPr>
        <w:t>–</w:t>
      </w:r>
      <w:r w:rsidRPr="00A11C6E">
        <w:rPr>
          <w:rFonts w:ascii="Times New Roman" w:hAnsi="Times New Roman" w:cs="Times New Roman"/>
          <w:color w:val="000000" w:themeColor="text1"/>
          <w:sz w:val="24"/>
          <w:szCs w:val="24"/>
          <w:lang w:val="ru-RU" w:bidi="ar-SA"/>
        </w:rPr>
        <w:t>40.</w:t>
      </w:r>
      <w:bookmarkEnd w:id="75"/>
    </w:p>
    <w:p w14:paraId="0B690515" w14:textId="4E1FCFDF" w:rsidR="00AE4368" w:rsidRPr="00A11C6E" w:rsidRDefault="002023F4" w:rsidP="003666C0">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76" w:name="_Ref135307314"/>
      <w:r w:rsidRPr="00A11C6E">
        <w:rPr>
          <w:rFonts w:ascii="Times New Roman" w:hAnsi="Times New Roman" w:cs="Times New Roman"/>
          <w:color w:val="000000" w:themeColor="text1"/>
          <w:sz w:val="24"/>
          <w:szCs w:val="24"/>
          <w:lang w:val="ru-RU" w:bidi="ar-SA"/>
        </w:rPr>
        <w:t xml:space="preserve">Матюхин Г. Г. </w:t>
      </w:r>
      <w:r w:rsidRPr="00A11C6E">
        <w:rPr>
          <w:rFonts w:ascii="Times New Roman" w:hAnsi="Times New Roman" w:cs="Times New Roman"/>
          <w:color w:val="000000" w:themeColor="text1"/>
          <w:sz w:val="24"/>
          <w:szCs w:val="24"/>
          <w:lang w:val="ru-RU"/>
        </w:rPr>
        <w:t xml:space="preserve">Мировые финансовые центры/ Г. Г. </w:t>
      </w:r>
      <w:r w:rsidRPr="00A11C6E">
        <w:rPr>
          <w:rFonts w:ascii="Times New Roman" w:hAnsi="Times New Roman" w:cs="Times New Roman"/>
          <w:bCs/>
          <w:color w:val="000000" w:themeColor="text1"/>
          <w:sz w:val="24"/>
          <w:szCs w:val="24"/>
          <w:lang w:val="ru-RU"/>
        </w:rPr>
        <w:t>Матюхин</w:t>
      </w:r>
      <w:r w:rsidRPr="00A11C6E">
        <w:rPr>
          <w:rFonts w:ascii="Times New Roman" w:hAnsi="Times New Roman" w:cs="Times New Roman"/>
          <w:color w:val="000000" w:themeColor="text1"/>
          <w:sz w:val="24"/>
          <w:szCs w:val="24"/>
          <w:lang w:val="ru-RU"/>
        </w:rPr>
        <w:t>. – М.: Международные отношения, 1979. – 212 с.</w:t>
      </w:r>
      <w:bookmarkEnd w:id="76"/>
      <w:r w:rsidRPr="00A11C6E">
        <w:rPr>
          <w:rFonts w:ascii="Times New Roman" w:hAnsi="Times New Roman" w:cs="Times New Roman"/>
          <w:color w:val="000000" w:themeColor="text1"/>
          <w:sz w:val="24"/>
          <w:szCs w:val="24"/>
          <w:lang w:val="ru-RU"/>
        </w:rPr>
        <w:t xml:space="preserve"> </w:t>
      </w:r>
    </w:p>
    <w:p w14:paraId="35768617" w14:textId="1396830B" w:rsidR="00601723" w:rsidRPr="00A11C6E" w:rsidRDefault="00601723"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77" w:name="_Ref497916899"/>
      <w:r w:rsidRPr="00A11C6E">
        <w:rPr>
          <w:rFonts w:ascii="Times New Roman" w:eastAsia="TimesNewRomanPSMT" w:hAnsi="Times New Roman" w:cs="Times New Roman"/>
          <w:color w:val="000000" w:themeColor="text1"/>
          <w:sz w:val="24"/>
          <w:szCs w:val="24"/>
          <w:lang w:val="ru-RU" w:bidi="ar-SA"/>
        </w:rPr>
        <w:t>Международные финансовые центры и их роль в развитии мировой экономики</w:t>
      </w:r>
      <w:r w:rsidRPr="00A11C6E">
        <w:rPr>
          <w:rFonts w:ascii="Times New Roman" w:hAnsi="Times New Roman" w:cs="Times New Roman"/>
          <w:color w:val="000000" w:themeColor="text1"/>
          <w:sz w:val="24"/>
          <w:szCs w:val="24"/>
          <w:lang w:val="ru-RU" w:bidi="ar-SA"/>
        </w:rPr>
        <w:t xml:space="preserve">. </w:t>
      </w:r>
      <w:r w:rsidRPr="00A11C6E">
        <w:rPr>
          <w:rFonts w:ascii="Times New Roman" w:eastAsia="TimesNewRomanPSMT" w:hAnsi="Times New Roman" w:cs="Times New Roman"/>
          <w:color w:val="000000" w:themeColor="text1"/>
          <w:sz w:val="24"/>
          <w:szCs w:val="24"/>
          <w:lang w:val="ru-RU" w:bidi="ar-SA"/>
        </w:rPr>
        <w:t>Аналитический обзор</w:t>
      </w:r>
      <w:r w:rsidRPr="00A11C6E">
        <w:rPr>
          <w:rFonts w:ascii="Times New Roman" w:hAnsi="Times New Roman" w:cs="Times New Roman"/>
          <w:color w:val="000000" w:themeColor="text1"/>
          <w:sz w:val="24"/>
          <w:szCs w:val="24"/>
          <w:lang w:val="ru-RU" w:bidi="ar-SA"/>
        </w:rPr>
        <w:t xml:space="preserve">. – </w:t>
      </w:r>
      <w:r w:rsidRPr="00A11C6E">
        <w:rPr>
          <w:rFonts w:ascii="Times New Roman" w:eastAsia="TimesNewRomanPSMT" w:hAnsi="Times New Roman" w:cs="Times New Roman"/>
          <w:color w:val="000000" w:themeColor="text1"/>
          <w:sz w:val="24"/>
          <w:szCs w:val="24"/>
          <w:lang w:val="ru-RU" w:bidi="ar-SA"/>
        </w:rPr>
        <w:t>М</w:t>
      </w:r>
      <w:r w:rsidRPr="00A11C6E">
        <w:rPr>
          <w:rFonts w:ascii="Times New Roman" w:hAnsi="Times New Roman" w:cs="Times New Roman"/>
          <w:color w:val="000000" w:themeColor="text1"/>
          <w:sz w:val="24"/>
          <w:szCs w:val="24"/>
          <w:lang w:val="ru-RU" w:bidi="ar-SA"/>
        </w:rPr>
        <w:t xml:space="preserve">.: </w:t>
      </w:r>
      <w:r w:rsidRPr="00A11C6E">
        <w:rPr>
          <w:rFonts w:ascii="Times New Roman" w:eastAsia="TimesNewRomanPSMT" w:hAnsi="Times New Roman" w:cs="Times New Roman"/>
          <w:color w:val="000000" w:themeColor="text1"/>
          <w:sz w:val="24"/>
          <w:szCs w:val="24"/>
          <w:lang w:val="ru-RU" w:bidi="ar-SA"/>
        </w:rPr>
        <w:t>Финансовый университет при Правительстве Российской Федерации</w:t>
      </w:r>
      <w:r w:rsidRPr="00A11C6E">
        <w:rPr>
          <w:rFonts w:ascii="Times New Roman" w:hAnsi="Times New Roman" w:cs="Times New Roman"/>
          <w:color w:val="000000" w:themeColor="text1"/>
          <w:sz w:val="24"/>
          <w:szCs w:val="24"/>
          <w:lang w:val="ru-RU" w:bidi="ar-SA"/>
        </w:rPr>
        <w:t xml:space="preserve">. 2012 </w:t>
      </w:r>
      <w:r w:rsidRPr="00A11C6E">
        <w:rPr>
          <w:rFonts w:ascii="Times New Roman" w:eastAsia="TimesNewRomanPSMT" w:hAnsi="Times New Roman" w:cs="Times New Roman"/>
          <w:color w:val="000000" w:themeColor="text1"/>
          <w:sz w:val="24"/>
          <w:szCs w:val="24"/>
          <w:lang w:val="ru-RU" w:bidi="ar-SA"/>
        </w:rPr>
        <w:t>г</w:t>
      </w:r>
      <w:r w:rsidRPr="00A11C6E">
        <w:rPr>
          <w:rFonts w:ascii="Times New Roman" w:hAnsi="Times New Roman" w:cs="Times New Roman"/>
          <w:color w:val="000000" w:themeColor="text1"/>
          <w:sz w:val="24"/>
          <w:szCs w:val="24"/>
          <w:lang w:val="ru-RU" w:bidi="ar-SA"/>
        </w:rPr>
        <w:t xml:space="preserve">. – </w:t>
      </w:r>
      <w:r w:rsidRPr="00A11C6E">
        <w:rPr>
          <w:rFonts w:ascii="Times New Roman" w:eastAsia="TimesNewRomanPSMT" w:hAnsi="Times New Roman" w:cs="Times New Roman"/>
          <w:color w:val="000000" w:themeColor="text1"/>
          <w:sz w:val="24"/>
          <w:szCs w:val="24"/>
          <w:lang w:val="ru-RU" w:bidi="ar-SA"/>
        </w:rPr>
        <w:t>с</w:t>
      </w:r>
      <w:r w:rsidRPr="00A11C6E">
        <w:rPr>
          <w:rFonts w:ascii="Times New Roman" w:hAnsi="Times New Roman" w:cs="Times New Roman"/>
          <w:color w:val="000000" w:themeColor="text1"/>
          <w:sz w:val="24"/>
          <w:szCs w:val="24"/>
          <w:lang w:val="ru-RU" w:bidi="ar-SA"/>
        </w:rPr>
        <w:t>. 444.</w:t>
      </w:r>
      <w:bookmarkEnd w:id="77"/>
    </w:p>
    <w:p w14:paraId="56F4B844" w14:textId="6A73C27F"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78" w:name="_Hlk136106379"/>
      <w:r w:rsidRPr="00A11C6E">
        <w:rPr>
          <w:rFonts w:ascii="Times New Roman" w:hAnsi="Times New Roman" w:cs="Times New Roman"/>
          <w:color w:val="000000" w:themeColor="text1"/>
          <w:sz w:val="24"/>
          <w:szCs w:val="24"/>
          <w:lang w:val="ru-RU"/>
        </w:rPr>
        <w:t>Международный финансовый центр в России. Экономические проблемы и</w:t>
      </w:r>
      <w:r w:rsidR="0037793B">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 xml:space="preserve">юридические решения / Под. ред. С. Е. Нарышкина, В. А. Мау, Т. Я. Хабриевой. – М.: ИД «Дело» РАНХиГС, 2011. – 344 с. </w:t>
      </w:r>
    </w:p>
    <w:bookmarkEnd w:id="78"/>
    <w:p w14:paraId="054DE70B" w14:textId="051E34A3"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A11C6E">
        <w:rPr>
          <w:rFonts w:ascii="Times New Roman" w:hAnsi="Times New Roman" w:cs="Times New Roman"/>
          <w:color w:val="000000" w:themeColor="text1"/>
          <w:sz w:val="24"/>
          <w:szCs w:val="24"/>
          <w:shd w:val="clear" w:color="auto" w:fill="FFFFFF"/>
          <w:lang w:val="ru-RU"/>
        </w:rPr>
        <w:t>Мельникова О.А. Мировые финансовые центры: условия формирования и</w:t>
      </w:r>
      <w:r w:rsidRPr="00A11C6E">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lang w:val="ru-RU"/>
        </w:rPr>
        <w:t>тенденции развития. Барнаул, 1997.</w:t>
      </w:r>
    </w:p>
    <w:p w14:paraId="72D60A28" w14:textId="1FD83030" w:rsidR="00AB608D" w:rsidRPr="00386A72" w:rsidRDefault="00AB608D"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79" w:name="_Ref136428134"/>
      <w:r w:rsidRPr="00A11C6E">
        <w:rPr>
          <w:rFonts w:ascii="Times New Roman" w:hAnsi="Times New Roman" w:cs="Times New Roman"/>
          <w:color w:val="000000" w:themeColor="text1"/>
          <w:sz w:val="24"/>
          <w:szCs w:val="24"/>
          <w:lang w:val="ru-RU" w:bidi="ar-SA"/>
        </w:rPr>
        <w:t xml:space="preserve">Миркин, Я. М. </w:t>
      </w:r>
      <w:r w:rsidRPr="00A11C6E">
        <w:rPr>
          <w:rFonts w:ascii="Times New Roman" w:hAnsi="Times New Roman" w:cs="Times New Roman"/>
          <w:sz w:val="24"/>
          <w:szCs w:val="24"/>
          <w:lang w:val="ru-RU"/>
        </w:rPr>
        <w:t>Развивающиеся рынки и Ро</w:t>
      </w:r>
      <w:r w:rsidR="004C4727" w:rsidRPr="00A11C6E">
        <w:rPr>
          <w:rFonts w:ascii="Times New Roman" w:hAnsi="Times New Roman" w:cs="Times New Roman"/>
          <w:sz w:val="24"/>
          <w:szCs w:val="24"/>
          <w:lang w:val="ru-RU"/>
        </w:rPr>
        <w:t>ссия в структуре глобальных фи</w:t>
      </w:r>
      <w:r w:rsidRPr="00A11C6E">
        <w:rPr>
          <w:rFonts w:ascii="Times New Roman" w:hAnsi="Times New Roman" w:cs="Times New Roman"/>
          <w:sz w:val="24"/>
          <w:szCs w:val="24"/>
          <w:lang w:val="ru-RU"/>
        </w:rPr>
        <w:t>нансов: финансовое будущее, многол</w:t>
      </w:r>
      <w:r w:rsidR="004C4727" w:rsidRPr="00A11C6E">
        <w:rPr>
          <w:rFonts w:ascii="Times New Roman" w:hAnsi="Times New Roman" w:cs="Times New Roman"/>
          <w:sz w:val="24"/>
          <w:szCs w:val="24"/>
          <w:lang w:val="ru-RU"/>
        </w:rPr>
        <w:t xml:space="preserve">етние тренды / Я. М. Миркин. – </w:t>
      </w:r>
      <w:r w:rsidRPr="00A11C6E">
        <w:rPr>
          <w:rFonts w:ascii="Times New Roman" w:hAnsi="Times New Roman" w:cs="Times New Roman"/>
          <w:sz w:val="24"/>
          <w:szCs w:val="24"/>
          <w:lang w:val="ru-RU"/>
        </w:rPr>
        <w:t>М.: Магистр, 2015. — 176 с.</w:t>
      </w:r>
      <w:bookmarkEnd w:id="79"/>
    </w:p>
    <w:p w14:paraId="43BD75F5" w14:textId="0FF65693" w:rsidR="00386A72" w:rsidRPr="00A11C6E" w:rsidRDefault="00386A72"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80" w:name="_Ref136181583"/>
      <w:r>
        <w:rPr>
          <w:rFonts w:ascii="Times New Roman" w:hAnsi="Times New Roman" w:cs="Times New Roman"/>
          <w:color w:val="000000" w:themeColor="text1"/>
          <w:sz w:val="24"/>
          <w:szCs w:val="24"/>
          <w:lang w:val="ru-RU" w:bidi="ar-SA"/>
        </w:rPr>
        <w:t>Михайлин, А.</w:t>
      </w:r>
      <w:r>
        <w:rPr>
          <w:rFonts w:ascii="Times New Roman" w:hAnsi="Times New Roman" w:cs="Times New Roman"/>
          <w:color w:val="000000"/>
          <w:sz w:val="24"/>
          <w:szCs w:val="24"/>
          <w:lang w:val="ru-RU"/>
        </w:rPr>
        <w:t xml:space="preserve"> Н. Международный офшорный бизнес: учеб. пособие для бакалавриата и магистратуры / А. Н. Михайлин, Е. Н. Смирнов, Б. Б. Логинов. – М.: Издетельство Юрайт, 2019. – 191 с.</w:t>
      </w:r>
      <w:bookmarkEnd w:id="80"/>
    </w:p>
    <w:p w14:paraId="16C1B276" w14:textId="18DD32D0" w:rsidR="0054231D" w:rsidRPr="00A11C6E" w:rsidRDefault="0054231D"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bidi="ar-SA"/>
        </w:rPr>
        <w:t>На</w:t>
      </w:r>
      <w:r w:rsidR="0045179A" w:rsidRPr="00A11C6E">
        <w:rPr>
          <w:rFonts w:ascii="Times New Roman" w:hAnsi="Times New Roman" w:cs="Times New Roman"/>
          <w:color w:val="000000" w:themeColor="text1"/>
          <w:sz w:val="24"/>
          <w:szCs w:val="24"/>
          <w:lang w:val="ru-RU" w:bidi="ar-SA"/>
        </w:rPr>
        <w:t>вой, А. В. Институциональные проблемы создания международного финансового центра в России (Точка зрения) / А. В. Навой // Деньги и кредит. – 2011, 9. – С. 9–12.</w:t>
      </w:r>
    </w:p>
    <w:p w14:paraId="18A53869" w14:textId="12729382"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81" w:name="_Ref446782663"/>
      <w:bookmarkStart w:id="82" w:name="_Hlk60769071"/>
      <w:r w:rsidRPr="00A11C6E">
        <w:rPr>
          <w:rFonts w:ascii="Times New Roman" w:hAnsi="Times New Roman" w:cs="Times New Roman"/>
          <w:color w:val="000000" w:themeColor="text1"/>
          <w:sz w:val="24"/>
          <w:szCs w:val="24"/>
          <w:lang w:val="ru-RU"/>
        </w:rPr>
        <w:t>Никода</w:t>
      </w:r>
      <w:r w:rsidR="00386A72">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lang w:val="ru-RU"/>
        </w:rPr>
        <w:t xml:space="preserve"> К. В. Текущее состояние и прогноз рынка контейнерных перевозок в</w:t>
      </w:r>
      <w:r w:rsidRPr="00A11C6E">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России /К. В. Никода // Транспорт Российской Федерации. – № 5. – 2013 г. – 49 с.</w:t>
      </w:r>
      <w:bookmarkEnd w:id="81"/>
      <w:r w:rsidRPr="00A11C6E">
        <w:rPr>
          <w:rFonts w:ascii="Times New Roman" w:hAnsi="Times New Roman" w:cs="Times New Roman"/>
          <w:color w:val="000000" w:themeColor="text1"/>
          <w:sz w:val="24"/>
          <w:szCs w:val="24"/>
          <w:lang w:val="ru-RU"/>
        </w:rPr>
        <w:t xml:space="preserve"> </w:t>
      </w:r>
    </w:p>
    <w:p w14:paraId="4FE98023" w14:textId="50A97C75" w:rsidR="00D94174" w:rsidRPr="00A11C6E" w:rsidRDefault="00D9417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83" w:name="_Ref135576478"/>
      <w:r w:rsidRPr="00A11C6E">
        <w:rPr>
          <w:rFonts w:ascii="Times New Roman" w:hAnsi="Times New Roman" w:cs="Times New Roman"/>
          <w:sz w:val="24"/>
          <w:szCs w:val="24"/>
          <w:lang w:val="ru-RU"/>
        </w:rPr>
        <w:t xml:space="preserve">Новиков А.В., Новикова И.Я. Финансовые центры: рейтинги и российский потенциал // ЭКО. 2010. </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sz w:val="24"/>
          <w:szCs w:val="24"/>
          <w:lang w:val="ru-RU"/>
        </w:rPr>
        <w:t xml:space="preserve">№ 8. </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sz w:val="24"/>
          <w:szCs w:val="24"/>
          <w:lang w:val="ru-RU"/>
        </w:rPr>
        <w:t>С. 140</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sz w:val="24"/>
          <w:szCs w:val="24"/>
          <w:lang w:val="ru-RU"/>
        </w:rPr>
        <w:t>142.</w:t>
      </w:r>
      <w:bookmarkEnd w:id="83"/>
    </w:p>
    <w:p w14:paraId="1571DC74" w14:textId="68EFF3FF"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84" w:name="_Ref497923666"/>
      <w:bookmarkStart w:id="85" w:name="_Ref459294641"/>
      <w:bookmarkEnd w:id="82"/>
      <w:r w:rsidRPr="00A11C6E">
        <w:rPr>
          <w:rFonts w:ascii="Times New Roman" w:hAnsi="Times New Roman" w:cs="Times New Roman"/>
          <w:color w:val="000000"/>
          <w:sz w:val="24"/>
          <w:szCs w:val="24"/>
          <w:shd w:val="clear" w:color="auto" w:fill="FFFFFF"/>
          <w:lang w:val="ru-RU"/>
        </w:rPr>
        <w:t>Норт Д. К. Институты и экономический рост: историческое введение / Д.</w:t>
      </w:r>
      <w:r w:rsidR="008B69B1" w:rsidRPr="00A11C6E">
        <w:rPr>
          <w:rFonts w:ascii="Times New Roman" w:hAnsi="Times New Roman" w:cs="Times New Roman"/>
          <w:color w:val="000000"/>
          <w:sz w:val="24"/>
          <w:szCs w:val="24"/>
          <w:shd w:val="clear" w:color="auto" w:fill="FFFFFF"/>
          <w:lang w:val="ru-RU"/>
        </w:rPr>
        <w:t> </w:t>
      </w:r>
      <w:r w:rsidRPr="00A11C6E">
        <w:rPr>
          <w:rFonts w:ascii="Times New Roman" w:hAnsi="Times New Roman" w:cs="Times New Roman"/>
          <w:color w:val="000000"/>
          <w:sz w:val="24"/>
          <w:szCs w:val="24"/>
          <w:shd w:val="clear" w:color="auto" w:fill="FFFFFF"/>
          <w:lang w:val="ru-RU"/>
        </w:rPr>
        <w:t>К.</w:t>
      </w:r>
      <w:r w:rsidR="008B69B1" w:rsidRPr="00A11C6E">
        <w:rPr>
          <w:rFonts w:ascii="Times New Roman" w:hAnsi="Times New Roman" w:cs="Times New Roman"/>
          <w:color w:val="000000"/>
          <w:sz w:val="24"/>
          <w:szCs w:val="24"/>
          <w:shd w:val="clear" w:color="auto" w:fill="FFFFFF"/>
          <w:lang w:val="ru-RU"/>
        </w:rPr>
        <w:t> </w:t>
      </w:r>
      <w:r w:rsidRPr="00A11C6E">
        <w:rPr>
          <w:rFonts w:ascii="Times New Roman" w:hAnsi="Times New Roman" w:cs="Times New Roman"/>
          <w:color w:val="000000"/>
          <w:sz w:val="24"/>
          <w:szCs w:val="24"/>
          <w:shd w:val="clear" w:color="auto" w:fill="FFFFFF"/>
          <w:lang w:val="ru-RU"/>
        </w:rPr>
        <w:t>Норт.</w:t>
      </w:r>
      <w:r w:rsidR="0037793B">
        <w:rPr>
          <w:rFonts w:ascii="Times New Roman" w:hAnsi="Times New Roman" w:cs="Times New Roman"/>
          <w:color w:val="000000"/>
          <w:sz w:val="24"/>
          <w:szCs w:val="24"/>
          <w:shd w:val="clear" w:color="auto" w:fill="FFFFFF"/>
        </w:rPr>
        <w:t> </w:t>
      </w:r>
      <w:r w:rsidRPr="00A11C6E">
        <w:rPr>
          <w:rFonts w:ascii="Times New Roman" w:hAnsi="Times New Roman" w:cs="Times New Roman"/>
          <w:color w:val="000000"/>
          <w:sz w:val="24"/>
          <w:szCs w:val="24"/>
          <w:shd w:val="clear" w:color="auto" w:fill="FFFFFF"/>
          <w:lang w:val="ru-RU"/>
        </w:rPr>
        <w:t xml:space="preserve">// ТНЕSIS. 1993. </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sz w:val="24"/>
          <w:szCs w:val="24"/>
          <w:shd w:val="clear" w:color="auto" w:fill="FFFFFF"/>
          <w:lang w:val="ru-RU"/>
        </w:rPr>
        <w:t xml:space="preserve"> Т. 1.</w:t>
      </w:r>
      <w:r w:rsidR="00D94174"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sz w:val="24"/>
          <w:szCs w:val="24"/>
          <w:shd w:val="clear" w:color="auto" w:fill="FFFFFF"/>
          <w:lang w:val="ru-RU"/>
        </w:rPr>
        <w:t xml:space="preserve"> Вып. 2.</w:t>
      </w:r>
      <w:bookmarkEnd w:id="84"/>
      <w:r w:rsidRPr="00A11C6E">
        <w:rPr>
          <w:rFonts w:ascii="Times New Roman" w:hAnsi="Times New Roman" w:cs="Times New Roman"/>
          <w:color w:val="000000"/>
          <w:sz w:val="24"/>
          <w:szCs w:val="24"/>
          <w:shd w:val="clear" w:color="auto" w:fill="FFFFFF"/>
          <w:lang w:val="ru-RU"/>
        </w:rPr>
        <w:t xml:space="preserve"> </w:t>
      </w:r>
    </w:p>
    <w:p w14:paraId="4C230C7B"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lastRenderedPageBreak/>
        <w:t>Осипян, Г. В. Международные финансовые центры Восточной Азии в</w:t>
      </w:r>
      <w:r w:rsidRPr="00A11C6E">
        <w:rPr>
          <w:rFonts w:ascii="Times New Roman" w:hAnsi="Times New Roman" w:cs="Times New Roman"/>
          <w:sz w:val="24"/>
          <w:szCs w:val="24"/>
        </w:rPr>
        <w:t> </w:t>
      </w:r>
      <w:r w:rsidRPr="00A11C6E">
        <w:rPr>
          <w:rFonts w:ascii="Times New Roman" w:hAnsi="Times New Roman" w:cs="Times New Roman"/>
          <w:sz w:val="24"/>
          <w:szCs w:val="24"/>
          <w:lang w:val="ru-RU"/>
        </w:rPr>
        <w:t>системе мировой экономики: автореф. дис. … канд. экон. наук : 08.00.14 / Осипян Гарри Владимирович. – М., 2006. – 28 с.</w:t>
      </w:r>
    </w:p>
    <w:p w14:paraId="77A2A951" w14:textId="7AB91B6A" w:rsidR="00AE4368" w:rsidRPr="00A11C6E" w:rsidRDefault="002023F4" w:rsidP="00A134D2">
      <w:pPr>
        <w:pStyle w:val="af3"/>
        <w:numPr>
          <w:ilvl w:val="0"/>
          <w:numId w:val="15"/>
        </w:numPr>
        <w:spacing w:after="0" w:line="360" w:lineRule="auto"/>
        <w:ind w:left="0" w:firstLine="709"/>
        <w:jc w:val="both"/>
        <w:rPr>
          <w:rFonts w:ascii="Times New Roman" w:hAnsi="Times New Roman" w:cs="Times New Roman"/>
          <w:color w:val="000000"/>
          <w:sz w:val="24"/>
          <w:szCs w:val="24"/>
          <w:lang w:val="ru-RU"/>
        </w:rPr>
      </w:pPr>
      <w:bookmarkStart w:id="86" w:name="_Ref131437527"/>
      <w:r w:rsidRPr="00A11C6E">
        <w:rPr>
          <w:rFonts w:ascii="Times New Roman" w:hAnsi="Times New Roman" w:cs="Times New Roman"/>
          <w:color w:val="000000" w:themeColor="text1"/>
          <w:sz w:val="24"/>
          <w:szCs w:val="24"/>
          <w:lang w:val="ru-RU"/>
        </w:rPr>
        <w:t xml:space="preserve">Отчёт о научно-исследовательской работе </w:t>
      </w:r>
      <w:r w:rsidRPr="00A11C6E">
        <w:rPr>
          <w:rFonts w:ascii="Times New Roman" w:hAnsi="Times New Roman" w:cs="Times New Roman"/>
          <w:sz w:val="24"/>
          <w:szCs w:val="24"/>
          <w:lang w:val="ru-RU"/>
        </w:rPr>
        <w:t>по Договору № Н-09/89 от 08 августа 2014г. п</w:t>
      </w:r>
      <w:r w:rsidRPr="00A11C6E">
        <w:rPr>
          <w:rFonts w:ascii="Times New Roman" w:hAnsi="Times New Roman" w:cs="Times New Roman"/>
          <w:bCs/>
          <w:sz w:val="24"/>
          <w:szCs w:val="24"/>
          <w:lang w:val="ru-RU"/>
        </w:rPr>
        <w:t>о теме «Разработка Стратегии развития финансовых рынков государств-членов ТС и ЕЭП на период до 2025 года». Этапы 1–4 / Рук. НИР Миркин Я. М. – М., 2015 [Электронный ресурс].</w:t>
      </w:r>
      <w:r w:rsidR="003666C0" w:rsidRPr="00A11C6E">
        <w:rPr>
          <w:rFonts w:ascii="Times New Roman" w:hAnsi="Times New Roman" w:cs="Times New Roman"/>
          <w:bCs/>
          <w:sz w:val="24"/>
          <w:szCs w:val="24"/>
          <w:lang w:val="ru-RU"/>
        </w:rPr>
        <w:t xml:space="preserve"> – </w:t>
      </w:r>
      <w:r w:rsidR="008B69B1" w:rsidRPr="00A11C6E">
        <w:rPr>
          <w:rFonts w:ascii="Times New Roman" w:hAnsi="Times New Roman" w:cs="Times New Roman"/>
          <w:bCs/>
          <w:sz w:val="24"/>
          <w:szCs w:val="24"/>
          <w:lang w:val="ru-RU"/>
        </w:rPr>
        <w:t>Режим</w:t>
      </w:r>
      <w:r w:rsidR="003666C0" w:rsidRPr="00A11C6E">
        <w:rPr>
          <w:rFonts w:ascii="Times New Roman" w:hAnsi="Times New Roman" w:cs="Times New Roman"/>
          <w:bCs/>
          <w:sz w:val="24"/>
          <w:szCs w:val="24"/>
          <w:lang w:val="ru-RU"/>
        </w:rPr>
        <w:t> </w:t>
      </w:r>
      <w:r w:rsidR="008B69B1" w:rsidRPr="00A11C6E">
        <w:rPr>
          <w:rFonts w:ascii="Times New Roman" w:hAnsi="Times New Roman" w:cs="Times New Roman"/>
          <w:bCs/>
          <w:sz w:val="24"/>
          <w:szCs w:val="24"/>
          <w:lang w:val="ru-RU"/>
        </w:rPr>
        <w:t>доступа:</w:t>
      </w:r>
      <w:r w:rsidR="003666C0" w:rsidRPr="00A11C6E">
        <w:rPr>
          <w:rFonts w:ascii="Times New Roman" w:hAnsi="Times New Roman" w:cs="Times New Roman"/>
          <w:bCs/>
          <w:sz w:val="24"/>
          <w:szCs w:val="24"/>
          <w:lang w:val="ru-RU"/>
        </w:rPr>
        <w:t> </w:t>
      </w:r>
      <w:r w:rsidRPr="00A11C6E">
        <w:rPr>
          <w:rFonts w:ascii="Times New Roman" w:hAnsi="Times New Roman" w:cs="Times New Roman"/>
          <w:bCs/>
          <w:sz w:val="24"/>
          <w:szCs w:val="24"/>
        </w:rPr>
        <w:t>URL</w:t>
      </w:r>
      <w:r w:rsidRPr="00A11C6E">
        <w:rPr>
          <w:rFonts w:ascii="Times New Roman" w:hAnsi="Times New Roman" w:cs="Times New Roman"/>
          <w:bCs/>
          <w:sz w:val="24"/>
          <w:szCs w:val="24"/>
          <w:lang w:val="ru-RU"/>
        </w:rPr>
        <w:t>:</w:t>
      </w:r>
      <w:r w:rsidR="003666C0" w:rsidRPr="00A11C6E">
        <w:rPr>
          <w:rFonts w:ascii="Times New Roman" w:hAnsi="Times New Roman" w:cs="Times New Roman"/>
          <w:bCs/>
          <w:sz w:val="24"/>
          <w:szCs w:val="24"/>
          <w:lang w:val="ru-RU"/>
        </w:rPr>
        <w:t> </w:t>
      </w:r>
      <w:r w:rsidRPr="00A11C6E">
        <w:rPr>
          <w:rFonts w:ascii="Times New Roman" w:hAnsi="Times New Roman" w:cs="Times New Roman"/>
          <w:color w:val="000000" w:themeColor="text1"/>
          <w:sz w:val="24"/>
          <w:szCs w:val="24"/>
          <w:lang w:val="ru-RU"/>
        </w:rPr>
        <w:t>http://www.mirkin.ru/index.php?option=com_content&amp;view=article&amp;id=1742:-------------2025-&amp;catid=54:-----&amp;Itemid=115 (дата обращения: 23.02.2023).</w:t>
      </w:r>
      <w:bookmarkEnd w:id="85"/>
      <w:bookmarkEnd w:id="86"/>
    </w:p>
    <w:p w14:paraId="22929A3F" w14:textId="736B8FED" w:rsidR="00A44786" w:rsidRPr="00A11C6E" w:rsidRDefault="00A44786" w:rsidP="00A134D2">
      <w:pPr>
        <w:pStyle w:val="af3"/>
        <w:numPr>
          <w:ilvl w:val="0"/>
          <w:numId w:val="15"/>
        </w:numPr>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Петренко, В. Ю. </w:t>
      </w:r>
      <w:r w:rsidRPr="00A11C6E">
        <w:rPr>
          <w:rFonts w:ascii="Times New Roman" w:hAnsi="Times New Roman" w:cs="Times New Roman"/>
          <w:sz w:val="24"/>
          <w:szCs w:val="24"/>
          <w:lang w:val="ru-RU"/>
        </w:rPr>
        <w:t>Роль офшорных финансовых центров в системе финансовой глобализации / В. Ю. Петренко // Инновации и инвестиции. – 2020, №4. – 69–72.</w:t>
      </w:r>
    </w:p>
    <w:p w14:paraId="51318AF9" w14:textId="17FC579F" w:rsidR="00796183" w:rsidRPr="00A11C6E" w:rsidRDefault="00796183" w:rsidP="00A134D2">
      <w:pPr>
        <w:pStyle w:val="af3"/>
        <w:numPr>
          <w:ilvl w:val="0"/>
          <w:numId w:val="15"/>
        </w:numPr>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sz w:val="24"/>
          <w:szCs w:val="24"/>
          <w:lang w:val="ru-RU"/>
        </w:rPr>
        <w:t xml:space="preserve">Поспелова, Е. А. </w:t>
      </w:r>
      <w:r w:rsidRPr="00A11C6E">
        <w:rPr>
          <w:rFonts w:ascii="Times New Roman" w:hAnsi="Times New Roman" w:cs="Times New Roman"/>
          <w:sz w:val="24"/>
          <w:szCs w:val="24"/>
          <w:lang w:val="ru-RU"/>
        </w:rPr>
        <w:t>Влияние государственного присутствия в банковском секторе на экономическое развитие страны / Е. А. Поспелова // Экономические отношения. – 2020, №1 (январь–март). – С. 161–173.</w:t>
      </w:r>
    </w:p>
    <w:p w14:paraId="36467213" w14:textId="02BABEAC" w:rsidR="00AE4368" w:rsidRPr="00A11C6E" w:rsidRDefault="002023F4" w:rsidP="00A134D2">
      <w:pPr>
        <w:pStyle w:val="af3"/>
        <w:numPr>
          <w:ilvl w:val="0"/>
          <w:numId w:val="15"/>
        </w:numPr>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Рассказов, Д. А. Формирование и развитие международных финансовых центров: теория и мировые сопоставления: автореф. дис. … канд. экон. наук : 08.00.01 / Рассказов Денис Александрович. – М., 2017. – 25 с.</w:t>
      </w:r>
    </w:p>
    <w:p w14:paraId="4793213D" w14:textId="5ADD66AF"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87" w:name="_Ref459294865"/>
      <w:r w:rsidRPr="00A11C6E">
        <w:rPr>
          <w:rFonts w:ascii="Times New Roman" w:hAnsi="Times New Roman" w:cs="Times New Roman"/>
          <w:color w:val="000000" w:themeColor="text1"/>
          <w:sz w:val="24"/>
          <w:szCs w:val="24"/>
          <w:lang w:val="ru-RU"/>
        </w:rPr>
        <w:t xml:space="preserve">Рахманин О. Б. Последний приезд Мао / О. Б. Разманин // Советская Россия. </w:t>
      </w:r>
      <w:r w:rsidR="0037793B"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lang w:val="ru-RU"/>
        </w:rPr>
        <w:t xml:space="preserve"> №</w:t>
      </w:r>
      <w:r w:rsidR="0037793B">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117 (12729). – 1 сентября 2005 г.</w:t>
      </w:r>
      <w:bookmarkEnd w:id="87"/>
      <w:r w:rsidRPr="00A11C6E">
        <w:rPr>
          <w:rFonts w:ascii="Times New Roman" w:hAnsi="Times New Roman" w:cs="Times New Roman"/>
          <w:color w:val="000000" w:themeColor="text1"/>
          <w:sz w:val="24"/>
          <w:szCs w:val="24"/>
          <w:lang w:val="ru-RU"/>
        </w:rPr>
        <w:t xml:space="preserve"> </w:t>
      </w:r>
    </w:p>
    <w:p w14:paraId="726EEEEF"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88" w:name="_Ref446781184"/>
      <w:r w:rsidRPr="00A11C6E">
        <w:rPr>
          <w:rFonts w:ascii="Times New Roman" w:hAnsi="Times New Roman" w:cs="Times New Roman"/>
          <w:color w:val="000000" w:themeColor="text1"/>
          <w:sz w:val="24"/>
          <w:szCs w:val="24"/>
          <w:lang w:val="ru-RU"/>
        </w:rPr>
        <w:t>Розинский И. Международные финансовые центры: Мировой опыт и возможности для России /И. Розинский // Вопросы экономики. - № 9. - 2008. - С. 24-36.</w:t>
      </w:r>
      <w:bookmarkEnd w:id="88"/>
    </w:p>
    <w:p w14:paraId="24D1357F"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A11C6E">
        <w:rPr>
          <w:rFonts w:ascii="Times New Roman" w:hAnsi="Times New Roman" w:cs="Times New Roman"/>
          <w:color w:val="000000" w:themeColor="text1"/>
          <w:sz w:val="24"/>
          <w:szCs w:val="24"/>
          <w:shd w:val="clear" w:color="auto" w:fill="FFFFFF"/>
          <w:lang w:val="ru-RU"/>
        </w:rPr>
        <w:t xml:space="preserve">Российский фондовый рынок и создание МФЦ. Идеальная модель фондового рынка России на долгосрочную перспективу (до 2020 г.). </w:t>
      </w:r>
      <w:r w:rsidRPr="00A11C6E">
        <w:rPr>
          <w:rFonts w:ascii="Times New Roman" w:hAnsi="Times New Roman" w:cs="Times New Roman"/>
          <w:color w:val="000000" w:themeColor="text1"/>
          <w:sz w:val="24"/>
          <w:szCs w:val="24"/>
          <w:shd w:val="clear" w:color="auto" w:fill="FFFFFF"/>
        </w:rPr>
        <w:t>М.: НАУФОР, 2008.</w:t>
      </w:r>
    </w:p>
    <w:p w14:paraId="08FE078E"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A11C6E">
        <w:rPr>
          <w:rFonts w:ascii="Times New Roman" w:hAnsi="Times New Roman" w:cs="Times New Roman"/>
          <w:color w:val="000000" w:themeColor="text1"/>
          <w:sz w:val="24"/>
          <w:szCs w:val="24"/>
          <w:shd w:val="clear" w:color="auto" w:fill="FFFFFF"/>
          <w:lang w:val="ru-RU"/>
        </w:rPr>
        <w:t>Российская Федерация: анализ и диагностика финансовой, регуляторной и институциональной политики, необходимой для создания международного финансового центра /Всемирный банк. – 06.2012. – 117 с.</w:t>
      </w:r>
    </w:p>
    <w:p w14:paraId="147491D4" w14:textId="4E4EC600"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Сассен С. Глобальный город: введение понятия /</w:t>
      </w:r>
      <w:r w:rsidR="004F41FA"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rPr>
        <w:t xml:space="preserve">С. Сассен // </w:t>
      </w:r>
      <w:r w:rsidRPr="00A11C6E">
        <w:rPr>
          <w:rFonts w:ascii="Times New Roman" w:hAnsi="Times New Roman" w:cs="Times New Roman"/>
          <w:iCs/>
          <w:sz w:val="24"/>
          <w:szCs w:val="24"/>
          <w:lang w:val="ru-RU"/>
        </w:rPr>
        <w:t>Глобальный город: теория и реальность / Под ред. Н.А. Слуки. -М.: ООО "Аванглион", 2007. – С. 9-27.</w:t>
      </w:r>
    </w:p>
    <w:p w14:paraId="3F0ED999" w14:textId="7DF74154" w:rsidR="005E0435" w:rsidRPr="00A11C6E" w:rsidRDefault="005E0435"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89" w:name="_Ref135578092"/>
      <w:r w:rsidRPr="00A11C6E">
        <w:rPr>
          <w:rFonts w:ascii="Times New Roman" w:hAnsi="Times New Roman" w:cs="Times New Roman"/>
          <w:color w:val="000000" w:themeColor="text1"/>
          <w:sz w:val="24"/>
          <w:szCs w:val="24"/>
          <w:lang w:val="ru-RU"/>
        </w:rPr>
        <w:t xml:space="preserve">Сахаров, А. А. Международные финансовые центры [Электронный ресурс] // Регламентация банковских операций. Документы и комментарии. – 2009, №2 (март–апрель)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shd w:val="clear" w:color="auto" w:fill="FFFFFF"/>
        </w:rPr>
        <w:t>https</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internet</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garant</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ru</w:t>
      </w:r>
      <w:r w:rsidRPr="00A11C6E">
        <w:rPr>
          <w:rFonts w:ascii="Times New Roman" w:hAnsi="Times New Roman" w:cs="Times New Roman"/>
          <w:color w:val="000000" w:themeColor="text1"/>
          <w:sz w:val="24"/>
          <w:szCs w:val="24"/>
          <w:shd w:val="clear" w:color="auto" w:fill="FFFFFF"/>
          <w:lang w:val="ru-RU"/>
        </w:rPr>
        <w:t xml:space="preserve"> </w:t>
      </w:r>
      <w:r w:rsidRPr="00A11C6E">
        <w:rPr>
          <w:rFonts w:ascii="Times New Roman" w:hAnsi="Times New Roman" w:cs="Times New Roman"/>
          <w:color w:val="000000" w:themeColor="text1"/>
          <w:sz w:val="24"/>
          <w:szCs w:val="24"/>
          <w:lang w:val="ru-RU"/>
        </w:rPr>
        <w:t>(дата обращения: 05.04.2023).</w:t>
      </w:r>
      <w:bookmarkEnd w:id="89"/>
      <w:r w:rsidRPr="00A11C6E">
        <w:rPr>
          <w:rFonts w:ascii="Times New Roman" w:hAnsi="Times New Roman" w:cs="Times New Roman"/>
          <w:color w:val="000000" w:themeColor="text1"/>
          <w:sz w:val="24"/>
          <w:szCs w:val="24"/>
          <w:lang w:val="ru-RU"/>
        </w:rPr>
        <w:t xml:space="preserve"> </w:t>
      </w:r>
    </w:p>
    <w:p w14:paraId="570B312E" w14:textId="7385ED7D" w:rsidR="00AE4368" w:rsidRPr="00A11C6E" w:rsidRDefault="002023F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bookmarkStart w:id="90" w:name="_Ref498526579"/>
      <w:r w:rsidRPr="00A11C6E">
        <w:rPr>
          <w:rFonts w:ascii="Times New Roman" w:hAnsi="Times New Roman" w:cs="Times New Roman"/>
          <w:color w:val="000000" w:themeColor="text1"/>
          <w:sz w:val="24"/>
          <w:szCs w:val="24"/>
          <w:lang w:val="ru-RU"/>
        </w:rPr>
        <w:t>Семенцова Е. В. Анализ подходов к определению и классификации международных финансовых центров/ Е. В. Семенцова</w:t>
      </w:r>
      <w:r w:rsidR="00625AE4"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rPr>
        <w:t>// Банки и финансовые инновации. – 2012. - №5. – С. 41–46.</w:t>
      </w:r>
      <w:bookmarkEnd w:id="90"/>
      <w:r w:rsidRPr="00A11C6E">
        <w:rPr>
          <w:rFonts w:ascii="Times New Roman" w:hAnsi="Times New Roman" w:cs="Times New Roman"/>
          <w:sz w:val="24"/>
          <w:szCs w:val="24"/>
          <w:lang w:val="ru-RU"/>
        </w:rPr>
        <w:t xml:space="preserve"> </w:t>
      </w:r>
    </w:p>
    <w:p w14:paraId="73F4D43C" w14:textId="6BF02580" w:rsidR="00AB608D" w:rsidRPr="00A11C6E" w:rsidRDefault="00AB608D"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bookmarkStart w:id="91" w:name="_Ref136081694"/>
      <w:r w:rsidRPr="00A11C6E">
        <w:rPr>
          <w:rFonts w:ascii="Times New Roman" w:hAnsi="Times New Roman" w:cs="Times New Roman"/>
          <w:sz w:val="24"/>
          <w:szCs w:val="24"/>
          <w:lang w:val="ru-RU"/>
        </w:rPr>
        <w:lastRenderedPageBreak/>
        <w:t>Семенцова, Е. В. Исследование некоторых характеристик международных финансовых центров // Вестник НГУЭУ. – 2012, №4. – 79–91.</w:t>
      </w:r>
      <w:bookmarkEnd w:id="91"/>
    </w:p>
    <w:p w14:paraId="636A9045" w14:textId="778FC954" w:rsidR="00AE4368" w:rsidRPr="00A11C6E" w:rsidRDefault="002023F4" w:rsidP="00A134D2">
      <w:pPr>
        <w:pStyle w:val="af3"/>
        <w:numPr>
          <w:ilvl w:val="0"/>
          <w:numId w:val="15"/>
        </w:numPr>
        <w:tabs>
          <w:tab w:val="left" w:pos="1276"/>
        </w:tabs>
        <w:spacing w:after="0" w:line="360" w:lineRule="auto"/>
        <w:ind w:left="0" w:firstLine="709"/>
        <w:jc w:val="both"/>
        <w:rPr>
          <w:rFonts w:ascii="Times New Roman" w:hAnsi="Times New Roman" w:cs="Times New Roman"/>
          <w:color w:val="000000"/>
          <w:sz w:val="24"/>
          <w:szCs w:val="24"/>
          <w:lang w:val="ru-RU"/>
        </w:rPr>
      </w:pPr>
      <w:bookmarkStart w:id="92" w:name="_Ref131432940"/>
      <w:r w:rsidRPr="00A11C6E">
        <w:rPr>
          <w:rFonts w:ascii="Times New Roman" w:hAnsi="Times New Roman" w:cs="Times New Roman"/>
          <w:sz w:val="24"/>
          <w:szCs w:val="24"/>
          <w:lang w:val="ru-RU"/>
        </w:rPr>
        <w:t xml:space="preserve">Семенцова, Е. В. Методические основы оценки уровня развития финансовых центров: автореф. дис. ... канд. экон. наук: 08.00.10/Семенцова Елена Владимировна. — Новосибирск, 2013. </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sz w:val="24"/>
          <w:szCs w:val="24"/>
          <w:lang w:val="ru-RU"/>
        </w:rPr>
        <w:t>24 с.</w:t>
      </w:r>
      <w:bookmarkEnd w:id="92"/>
    </w:p>
    <w:p w14:paraId="0A2D89C0" w14:textId="6DA7CD5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93" w:name="_Ref498525846"/>
      <w:r w:rsidRPr="00A11C6E">
        <w:rPr>
          <w:rFonts w:ascii="Times New Roman" w:hAnsi="Times New Roman" w:cs="Times New Roman"/>
          <w:color w:val="000000" w:themeColor="text1"/>
          <w:sz w:val="24"/>
          <w:szCs w:val="24"/>
          <w:lang w:val="ru-RU"/>
        </w:rPr>
        <w:t>Семенцова Е. В. Оценка уровня развития финансовых центров с применением методов многомерного дискриминантного анализа / Е. В. Семенцова // Финансы и кредит. – 2013.</w:t>
      </w:r>
      <w:r w:rsidR="0037793B">
        <w:rPr>
          <w:rFonts w:ascii="Times New Roman" w:hAnsi="Times New Roman" w:cs="Times New Roman"/>
          <w:color w:val="000000" w:themeColor="text1"/>
          <w:sz w:val="24"/>
          <w:szCs w:val="24"/>
        </w:rPr>
        <w:t> </w:t>
      </w:r>
      <w:r w:rsidR="00AB608D"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lang w:val="ru-RU"/>
        </w:rPr>
        <w:t xml:space="preserve"> №2. – С. 51-70.</w:t>
      </w:r>
      <w:bookmarkEnd w:id="93"/>
    </w:p>
    <w:p w14:paraId="4BC054B1" w14:textId="286C821D" w:rsidR="008C24D3" w:rsidRPr="00A11C6E" w:rsidRDefault="008C24D3"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Сибирская Е. В. </w:t>
      </w:r>
      <w:r w:rsidRPr="00A11C6E">
        <w:rPr>
          <w:rFonts w:ascii="Times New Roman" w:hAnsi="Times New Roman" w:cs="Times New Roman"/>
          <w:sz w:val="24"/>
          <w:szCs w:val="24"/>
          <w:lang w:val="ru-RU"/>
        </w:rPr>
        <w:t>Формирование и реализация инвестиционной стратегии регионального производственного комплекса / Е. В. Сибирская, Н. Н. Буцына, Н. В. Пьянова</w:t>
      </w:r>
      <w:r w:rsidRPr="00A11C6E">
        <w:rPr>
          <w:rFonts w:ascii="Times New Roman" w:hAnsi="Times New Roman" w:cs="Times New Roman"/>
          <w:color w:val="000000" w:themeColor="text1"/>
          <w:sz w:val="24"/>
          <w:szCs w:val="24"/>
          <w:lang w:val="ru-RU"/>
        </w:rPr>
        <w:t xml:space="preserve"> // Региональная экономика: теория и практика. – 2007, №7 (46). – </w:t>
      </w:r>
      <w:r w:rsidR="00D13A5B" w:rsidRPr="00A11C6E">
        <w:rPr>
          <w:rFonts w:ascii="Times New Roman" w:hAnsi="Times New Roman" w:cs="Times New Roman"/>
          <w:color w:val="000000" w:themeColor="text1"/>
          <w:sz w:val="24"/>
          <w:szCs w:val="24"/>
          <w:lang w:val="ru-RU"/>
        </w:rPr>
        <w:t xml:space="preserve">С. </w:t>
      </w:r>
      <w:r w:rsidRPr="00A11C6E">
        <w:rPr>
          <w:rFonts w:ascii="Times New Roman" w:hAnsi="Times New Roman" w:cs="Times New Roman"/>
          <w:color w:val="000000" w:themeColor="text1"/>
          <w:sz w:val="24"/>
          <w:szCs w:val="24"/>
          <w:lang w:val="ru-RU"/>
        </w:rPr>
        <w:t>40</w:t>
      </w:r>
      <w:r w:rsidR="00D13A5B"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lang w:val="ru-RU"/>
        </w:rPr>
        <w:t>46.</w:t>
      </w:r>
    </w:p>
    <w:p w14:paraId="79C8E3A7" w14:textId="4B5B3F88" w:rsidR="00766BDA" w:rsidRPr="00A11C6E" w:rsidRDefault="00766BDA"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Сичжэ, В. Свободные экономическое зоны Китая: история и современность / В.</w:t>
      </w:r>
      <w:r w:rsidR="0037793B">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 xml:space="preserve">Сичжэ // Информация и инновации. – 2020, том 15, №4. – С.84–90. </w:t>
      </w:r>
    </w:p>
    <w:p w14:paraId="100A46B2" w14:textId="345085E8"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shd w:val="clear" w:color="auto" w:fill="FFFFFF"/>
          <w:lang w:val="ru-RU"/>
        </w:rPr>
        <w:t>Слука, Н. А. Эволюция концепции «мировых городов» [Электронный ресурс] / Н.</w:t>
      </w:r>
      <w:r w:rsidR="0037793B">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lang w:val="ru-RU"/>
        </w:rPr>
        <w:t>А.</w:t>
      </w:r>
      <w:r w:rsidR="0037793B">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lang w:val="ru-RU"/>
        </w:rPr>
        <w:t xml:space="preserve">Слука // Демоскоп </w:t>
      </w:r>
      <w:r w:rsidRPr="00A11C6E">
        <w:rPr>
          <w:rFonts w:ascii="Times New Roman" w:hAnsi="Times New Roman" w:cs="Times New Roman"/>
          <w:color w:val="000000" w:themeColor="text1"/>
          <w:sz w:val="24"/>
          <w:szCs w:val="24"/>
          <w:shd w:val="clear" w:color="auto" w:fill="FFFFFF"/>
        </w:rPr>
        <w:t>Weekly</w:t>
      </w:r>
      <w:r w:rsidRPr="00A11C6E">
        <w:rPr>
          <w:rFonts w:ascii="Times New Roman" w:hAnsi="Times New Roman" w:cs="Times New Roman"/>
          <w:color w:val="000000" w:themeColor="text1"/>
          <w:sz w:val="24"/>
          <w:szCs w:val="24"/>
          <w:shd w:val="clear" w:color="auto" w:fill="FFFFFF"/>
          <w:lang w:val="ru-RU"/>
        </w:rPr>
        <w:t xml:space="preserve">. – 2008. – № 343-344. – Режим доступа: </w:t>
      </w:r>
      <w:r w:rsidRPr="00A11C6E">
        <w:rPr>
          <w:rFonts w:ascii="Times New Roman" w:hAnsi="Times New Roman" w:cs="Times New Roman"/>
          <w:color w:val="000000" w:themeColor="text1"/>
          <w:sz w:val="24"/>
          <w:szCs w:val="24"/>
          <w:shd w:val="clear" w:color="auto" w:fill="FFFFFF"/>
        </w:rPr>
        <w:t>http</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www</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demoscope</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ru</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weekly</w:t>
      </w:r>
      <w:r w:rsidRPr="00A11C6E">
        <w:rPr>
          <w:rFonts w:ascii="Times New Roman" w:hAnsi="Times New Roman" w:cs="Times New Roman"/>
          <w:color w:val="000000" w:themeColor="text1"/>
          <w:sz w:val="24"/>
          <w:szCs w:val="24"/>
          <w:shd w:val="clear" w:color="auto" w:fill="FFFFFF"/>
          <w:lang w:val="ru-RU"/>
        </w:rPr>
        <w:t>/2008/0343/</w:t>
      </w:r>
      <w:r w:rsidRPr="00A11C6E">
        <w:rPr>
          <w:rFonts w:ascii="Times New Roman" w:hAnsi="Times New Roman" w:cs="Times New Roman"/>
          <w:color w:val="000000" w:themeColor="text1"/>
          <w:sz w:val="24"/>
          <w:szCs w:val="24"/>
          <w:shd w:val="clear" w:color="auto" w:fill="FFFFFF"/>
        </w:rPr>
        <w:t>analit</w:t>
      </w:r>
      <w:r w:rsidRPr="00A11C6E">
        <w:rPr>
          <w:rFonts w:ascii="Times New Roman" w:hAnsi="Times New Roman" w:cs="Times New Roman"/>
          <w:color w:val="000000" w:themeColor="text1"/>
          <w:sz w:val="24"/>
          <w:szCs w:val="24"/>
          <w:shd w:val="clear" w:color="auto" w:fill="FFFFFF"/>
          <w:lang w:val="ru-RU"/>
        </w:rPr>
        <w:t>01.</w:t>
      </w:r>
      <w:r w:rsidRPr="00A11C6E">
        <w:rPr>
          <w:rFonts w:ascii="Times New Roman" w:hAnsi="Times New Roman" w:cs="Times New Roman"/>
          <w:color w:val="000000" w:themeColor="text1"/>
          <w:sz w:val="24"/>
          <w:szCs w:val="24"/>
          <w:shd w:val="clear" w:color="auto" w:fill="FFFFFF"/>
        </w:rPr>
        <w:t>php</w:t>
      </w:r>
      <w:r w:rsidRPr="00A11C6E">
        <w:rPr>
          <w:rFonts w:ascii="Times New Roman" w:hAnsi="Times New Roman" w:cs="Times New Roman"/>
          <w:color w:val="000000" w:themeColor="text1"/>
          <w:sz w:val="24"/>
          <w:szCs w:val="24"/>
          <w:shd w:val="clear" w:color="auto" w:fill="FFFFFF"/>
          <w:lang w:val="ru-RU"/>
        </w:rPr>
        <w:t xml:space="preserve"> (дата обращения: 01.03.2023).</w:t>
      </w:r>
    </w:p>
    <w:p w14:paraId="5BF014DB" w14:textId="798F0459" w:rsidR="0045179A" w:rsidRPr="00A11C6E" w:rsidRDefault="0045179A"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shd w:val="clear" w:color="auto" w:fill="FFFFFF"/>
          <w:lang w:val="ru-RU"/>
        </w:rPr>
        <w:t>Сургуладзе, В. Ш. Проблемы мониторинга и организации контроля реализации документов стратегического планирования в Российской Федерации // Власть. – 2016, 09. – С.29–38.</w:t>
      </w:r>
    </w:p>
    <w:p w14:paraId="6ED19578" w14:textId="73066FD7" w:rsidR="0045179A" w:rsidRPr="00A11C6E" w:rsidRDefault="0045179A"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shd w:val="clear" w:color="auto" w:fill="FFFFFF"/>
          <w:lang w:val="ru-RU"/>
        </w:rPr>
        <w:t>Татаринцева, С. Г. Рейтинговый анализ финансового положения корпорации / С.</w:t>
      </w:r>
      <w:r w:rsidR="004A0184">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lang w:val="ru-RU"/>
        </w:rPr>
        <w:t>Г.</w:t>
      </w:r>
      <w:r w:rsidR="004A0184">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lang w:val="ru-RU"/>
        </w:rPr>
        <w:t xml:space="preserve">Татаринцева, Д. В. Удалова // </w:t>
      </w:r>
      <w:r w:rsidRPr="00A11C6E">
        <w:rPr>
          <w:rFonts w:ascii="Times New Roman" w:hAnsi="Times New Roman" w:cs="Times New Roman"/>
          <w:sz w:val="24"/>
          <w:szCs w:val="24"/>
          <w:lang w:val="ru-RU"/>
        </w:rPr>
        <w:t>Теория и практика сервиса: экономика, социальная сфера, технологии. – 2020, № 1 (43). – С. 34–37.</w:t>
      </w:r>
    </w:p>
    <w:p w14:paraId="7546DA20" w14:textId="49144228"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Финансовая диагностика и оценка публичных компаний / Н. Р. Абрамишвили, Н.</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С.</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Воронова, И. А. Дарушина [и др.]; под ред. Н. С. Вороновой, Н. А. Львовой. – Москва: Проспект, 2017. – 192 с.</w:t>
      </w:r>
    </w:p>
    <w:p w14:paraId="66740493" w14:textId="6FF24604" w:rsidR="00D9304E" w:rsidRPr="00A11C6E" w:rsidRDefault="00D9304E"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94" w:name="_Ref135681508"/>
      <w:r w:rsidRPr="00A11C6E">
        <w:rPr>
          <w:rFonts w:ascii="Times New Roman" w:hAnsi="Times New Roman" w:cs="Times New Roman"/>
          <w:color w:val="000000" w:themeColor="text1"/>
          <w:sz w:val="24"/>
          <w:szCs w:val="24"/>
          <w:lang w:val="ru-RU"/>
        </w:rPr>
        <w:t>Финансовая экономик: учебник: в 2 т. Т. 1 / под науч. Ред. В. В. Иванова, Н. А. Львовой. – Москва: Проспект, 2022. – 784 с.</w:t>
      </w:r>
      <w:bookmarkEnd w:id="94"/>
      <w:r w:rsidRPr="00A11C6E">
        <w:rPr>
          <w:rFonts w:ascii="Times New Roman" w:hAnsi="Times New Roman" w:cs="Times New Roman"/>
          <w:color w:val="000000" w:themeColor="text1"/>
          <w:sz w:val="24"/>
          <w:szCs w:val="24"/>
          <w:lang w:val="ru-RU"/>
        </w:rPr>
        <w:t xml:space="preserve"> </w:t>
      </w:r>
    </w:p>
    <w:p w14:paraId="3C7505DC" w14:textId="23B53F6B" w:rsidR="00373761" w:rsidRPr="00A11C6E" w:rsidRDefault="00373761" w:rsidP="00373761">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95" w:name="_Ref135940613"/>
      <w:r w:rsidRPr="00A11C6E">
        <w:rPr>
          <w:rFonts w:ascii="Times New Roman" w:hAnsi="Times New Roman" w:cs="Times New Roman"/>
          <w:color w:val="000000" w:themeColor="text1"/>
          <w:sz w:val="24"/>
          <w:szCs w:val="24"/>
          <w:lang w:val="ru-RU"/>
        </w:rPr>
        <w:t>Финансовая экономик: учебник: в 2 т. Т. 2 / под науч. Ред. В. В. Иванова, Н. А. Львовой. – Москва: Проспект, 2022. – 688 с.</w:t>
      </w:r>
      <w:bookmarkEnd w:id="95"/>
      <w:r w:rsidRPr="00A11C6E">
        <w:rPr>
          <w:rFonts w:ascii="Times New Roman" w:hAnsi="Times New Roman" w:cs="Times New Roman"/>
          <w:color w:val="000000" w:themeColor="text1"/>
          <w:sz w:val="24"/>
          <w:szCs w:val="24"/>
          <w:lang w:val="ru-RU"/>
        </w:rPr>
        <w:t xml:space="preserve"> </w:t>
      </w:r>
    </w:p>
    <w:p w14:paraId="08341B94" w14:textId="7B316095" w:rsidR="00E54CDA" w:rsidRPr="00A11C6E" w:rsidRDefault="00E54CDA"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96" w:name="_Ref131438357"/>
      <w:r w:rsidRPr="00A11C6E">
        <w:rPr>
          <w:rFonts w:ascii="Times New Roman" w:hAnsi="Times New Roman" w:cs="Times New Roman"/>
          <w:bCs/>
          <w:sz w:val="24"/>
          <w:szCs w:val="24"/>
          <w:lang w:val="ru-RU" w:bidi="ar-SA"/>
        </w:rPr>
        <w:t xml:space="preserve">Финансовые </w:t>
      </w:r>
      <w:r w:rsidRPr="00A11C6E">
        <w:rPr>
          <w:rFonts w:ascii="Times New Roman" w:hAnsi="Times New Roman" w:cs="Times New Roman"/>
          <w:sz w:val="24"/>
          <w:szCs w:val="24"/>
          <w:lang w:val="ru-RU" w:bidi="ar-SA"/>
        </w:rPr>
        <w:t>рынки Евразии: устройство, динамика, будущее / под ред. проф. Я.</w:t>
      </w:r>
      <w:r w:rsidR="004A0184">
        <w:rPr>
          <w:rFonts w:ascii="Times New Roman" w:hAnsi="Times New Roman" w:cs="Times New Roman"/>
          <w:sz w:val="24"/>
          <w:szCs w:val="24"/>
          <w:lang w:bidi="ar-SA"/>
        </w:rPr>
        <w:t> </w:t>
      </w:r>
      <w:r w:rsidRPr="00A11C6E">
        <w:rPr>
          <w:rFonts w:ascii="Times New Roman" w:hAnsi="Times New Roman" w:cs="Times New Roman"/>
          <w:sz w:val="24"/>
          <w:szCs w:val="24"/>
          <w:lang w:val="ru-RU" w:bidi="ar-SA"/>
        </w:rPr>
        <w:t>М.</w:t>
      </w:r>
      <w:r w:rsidR="004A0184">
        <w:rPr>
          <w:rFonts w:ascii="Times New Roman" w:hAnsi="Times New Roman" w:cs="Times New Roman"/>
          <w:sz w:val="24"/>
          <w:szCs w:val="24"/>
          <w:lang w:bidi="ar-SA"/>
        </w:rPr>
        <w:t> </w:t>
      </w:r>
      <w:r w:rsidRPr="00A11C6E">
        <w:rPr>
          <w:rFonts w:ascii="Times New Roman" w:hAnsi="Times New Roman" w:cs="Times New Roman"/>
          <w:sz w:val="24"/>
          <w:szCs w:val="24"/>
          <w:lang w:val="ru-RU" w:bidi="ar-SA"/>
        </w:rPr>
        <w:t xml:space="preserve">Миркина. </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sz w:val="24"/>
          <w:szCs w:val="24"/>
          <w:lang w:val="ru-RU" w:bidi="ar-SA"/>
        </w:rPr>
        <w:t xml:space="preserve"> М.: Магистр, 2017. </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sz w:val="24"/>
          <w:szCs w:val="24"/>
          <w:lang w:val="ru-RU" w:bidi="ar-SA"/>
        </w:rPr>
        <w:t xml:space="preserve"> 384 с.</w:t>
      </w:r>
      <w:bookmarkEnd w:id="96"/>
    </w:p>
    <w:p w14:paraId="3A2AF80F" w14:textId="11D0F952"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97" w:name="_Ref135997911"/>
      <w:r w:rsidRPr="00A11C6E">
        <w:rPr>
          <w:rFonts w:ascii="Times New Roman" w:hAnsi="Times New Roman" w:cs="Times New Roman"/>
          <w:color w:val="000000" w:themeColor="text1"/>
          <w:sz w:val="24"/>
          <w:szCs w:val="24"/>
          <w:lang w:val="ru-RU"/>
        </w:rPr>
        <w:t>Финансовая система Китая: учебник / под ред. В. В. Иванова, Н. В. Покровской. – Москва: Проспект, 2020. – 352 с.</w:t>
      </w:r>
      <w:bookmarkEnd w:id="97"/>
    </w:p>
    <w:p w14:paraId="18F98320" w14:textId="35A56D05" w:rsidR="00E54CDA" w:rsidRPr="00A11C6E" w:rsidRDefault="00E54CDA"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lastRenderedPageBreak/>
        <w:t>Финансовые стратегии модернизации экономики: мировая практика / под ред. Я.</w:t>
      </w:r>
      <w:r w:rsidR="004A0184">
        <w:rPr>
          <w:rFonts w:ascii="Times New Roman" w:hAnsi="Times New Roman" w:cs="Times New Roman"/>
          <w:sz w:val="24"/>
          <w:szCs w:val="24"/>
        </w:rPr>
        <w:t> </w:t>
      </w:r>
      <w:r w:rsidRPr="00A11C6E">
        <w:rPr>
          <w:rFonts w:ascii="Times New Roman" w:hAnsi="Times New Roman" w:cs="Times New Roman"/>
          <w:sz w:val="24"/>
          <w:szCs w:val="24"/>
          <w:lang w:val="ru-RU"/>
        </w:rPr>
        <w:t xml:space="preserve">М. Миркина.  М.: Магистр, 2014. </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sz w:val="24"/>
          <w:szCs w:val="24"/>
          <w:lang w:val="ru-RU"/>
        </w:rPr>
        <w:t xml:space="preserve"> 496 с.</w:t>
      </w:r>
    </w:p>
    <w:p w14:paraId="1D7B29CC" w14:textId="29C8262B"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Финансовая экономика: учебник: в 2 т. Т. 2 / под науч. Ред. В. В. Иванова, Н.</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А.</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 xml:space="preserve">Львовой. – Москва: Проспект, 2022. – 688 с. </w:t>
      </w:r>
      <w:bookmarkStart w:id="98" w:name="_Ref498686162"/>
    </w:p>
    <w:bookmarkEnd w:id="98"/>
    <w:p w14:paraId="13A684E9" w14:textId="637FF311"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shd w:val="clear" w:color="auto" w:fill="FFFFFF"/>
          <w:lang w:val="ru-RU"/>
        </w:rPr>
        <w:t>Хань, Ч. Соответствие китайского юаня требованиям МВФ для включения в</w:t>
      </w:r>
      <w:r w:rsidR="00EF43AA" w:rsidRPr="00A11C6E">
        <w:rPr>
          <w:rFonts w:ascii="Times New Roman" w:hAnsi="Times New Roman" w:cs="Times New Roman"/>
          <w:color w:val="000000" w:themeColor="text1"/>
          <w:sz w:val="24"/>
          <w:szCs w:val="24"/>
          <w:shd w:val="clear" w:color="auto" w:fill="FFFFFF"/>
          <w:lang w:val="ru-RU"/>
        </w:rPr>
        <w:t> </w:t>
      </w:r>
      <w:r w:rsidRPr="00A11C6E">
        <w:rPr>
          <w:rFonts w:ascii="Times New Roman" w:hAnsi="Times New Roman" w:cs="Times New Roman"/>
          <w:color w:val="000000" w:themeColor="text1"/>
          <w:sz w:val="24"/>
          <w:szCs w:val="24"/>
          <w:shd w:val="clear" w:color="auto" w:fill="FFFFFF"/>
          <w:lang w:val="ru-RU"/>
        </w:rPr>
        <w:t xml:space="preserve">корзину СДР </w:t>
      </w:r>
      <w:r w:rsidRPr="00A11C6E">
        <w:rPr>
          <w:rFonts w:ascii="Times New Roman" w:hAnsi="Times New Roman" w:cs="Times New Roman"/>
          <w:color w:val="000000" w:themeColor="text1"/>
          <w:sz w:val="24"/>
          <w:szCs w:val="24"/>
          <w:lang w:val="ru-RU" w:eastAsia="zh-CN"/>
        </w:rPr>
        <w:t>[Электронный ресурс]</w:t>
      </w:r>
      <w:r w:rsidRPr="00A11C6E">
        <w:rPr>
          <w:rFonts w:ascii="Times New Roman" w:hAnsi="Times New Roman" w:cs="Times New Roman"/>
          <w:color w:val="000000" w:themeColor="text1"/>
          <w:sz w:val="24"/>
          <w:szCs w:val="24"/>
          <w:shd w:val="clear" w:color="auto" w:fill="FFFFFF"/>
          <w:lang w:val="ru-RU"/>
        </w:rPr>
        <w:t xml:space="preserve"> / Ч. Хань // Научное обозрение. Международный научно-практический журнал. – 2017. – № 1. –</w:t>
      </w:r>
      <w:r w:rsidRPr="00A11C6E">
        <w:rPr>
          <w:rFonts w:ascii="Times New Roman" w:hAnsi="Times New Roman" w:cs="Times New Roman"/>
          <w:color w:val="000000" w:themeColor="text1"/>
          <w:sz w:val="24"/>
          <w:szCs w:val="24"/>
          <w:lang w:val="ru-RU" w:eastAsia="zh-CN"/>
        </w:rPr>
        <w:t xml:space="preserve">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shd w:val="clear" w:color="auto" w:fill="FFFFFF"/>
        </w:rPr>
        <w:t>https</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srjournal</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ru</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wp</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content</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uploads</w:t>
      </w:r>
      <w:r w:rsidRPr="00A11C6E">
        <w:rPr>
          <w:rFonts w:ascii="Times New Roman" w:hAnsi="Times New Roman" w:cs="Times New Roman"/>
          <w:color w:val="000000" w:themeColor="text1"/>
          <w:sz w:val="24"/>
          <w:szCs w:val="24"/>
          <w:shd w:val="clear" w:color="auto" w:fill="FFFFFF"/>
          <w:lang w:val="ru-RU"/>
        </w:rPr>
        <w:t>/2017/03/</w:t>
      </w:r>
      <w:r w:rsidRPr="00A11C6E">
        <w:rPr>
          <w:rFonts w:ascii="Times New Roman" w:hAnsi="Times New Roman" w:cs="Times New Roman"/>
          <w:color w:val="000000" w:themeColor="text1"/>
          <w:sz w:val="24"/>
          <w:szCs w:val="24"/>
          <w:shd w:val="clear" w:color="auto" w:fill="FFFFFF"/>
        </w:rPr>
        <w:t>ID</w:t>
      </w:r>
      <w:r w:rsidRPr="00A11C6E">
        <w:rPr>
          <w:rFonts w:ascii="Times New Roman" w:hAnsi="Times New Roman" w:cs="Times New Roman"/>
          <w:color w:val="000000" w:themeColor="text1"/>
          <w:sz w:val="24"/>
          <w:szCs w:val="24"/>
          <w:shd w:val="clear" w:color="auto" w:fill="FFFFFF"/>
          <w:lang w:val="ru-RU"/>
        </w:rPr>
        <w:t>34.</w:t>
      </w:r>
      <w:r w:rsidRPr="00A11C6E">
        <w:rPr>
          <w:rFonts w:ascii="Times New Roman" w:hAnsi="Times New Roman" w:cs="Times New Roman"/>
          <w:color w:val="000000" w:themeColor="text1"/>
          <w:sz w:val="24"/>
          <w:szCs w:val="24"/>
          <w:shd w:val="clear" w:color="auto" w:fill="FFFFFF"/>
        </w:rPr>
        <w:t>pdf</w:t>
      </w:r>
      <w:r w:rsidRPr="00A11C6E">
        <w:rPr>
          <w:rFonts w:ascii="Times New Roman" w:hAnsi="Times New Roman" w:cs="Times New Roman"/>
          <w:color w:val="000000" w:themeColor="text1"/>
          <w:sz w:val="24"/>
          <w:szCs w:val="24"/>
          <w:shd w:val="clear" w:color="auto" w:fill="FFFFFF"/>
          <w:lang w:val="ru-RU"/>
        </w:rPr>
        <w:t>. (дата обращения: 23.02.2023).</w:t>
      </w:r>
      <w:bookmarkStart w:id="99" w:name="_Ref498897419"/>
    </w:p>
    <w:p w14:paraId="7645ADC4"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bidi="ar-SA"/>
        </w:rPr>
        <w:t>Хватов Ю. Ю. Сравнительный анализ рейтингов конкурентоспособности финансовых центров / Ю. Ю. Хватов // Академ</w:t>
      </w:r>
      <w:r w:rsidRPr="00A11C6E">
        <w:rPr>
          <w:rFonts w:ascii="Times New Roman" w:hAnsi="Times New Roman" w:cs="Times New Roman"/>
          <w:sz w:val="24"/>
          <w:szCs w:val="24"/>
          <w:lang w:bidi="ar-SA"/>
        </w:rPr>
        <w:t>i</w:t>
      </w:r>
      <w:r w:rsidRPr="00A11C6E">
        <w:rPr>
          <w:rFonts w:ascii="Times New Roman" w:hAnsi="Times New Roman" w:cs="Times New Roman"/>
          <w:sz w:val="24"/>
          <w:szCs w:val="24"/>
          <w:lang w:val="ru-RU" w:bidi="ar-SA"/>
        </w:rPr>
        <w:t>чний огляд. – 2015. – №2. – С. 111-116.</w:t>
      </w:r>
      <w:bookmarkEnd w:id="99"/>
    </w:p>
    <w:p w14:paraId="6A283136" w14:textId="6F0103C6"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Хмыз, О. В. Институциональные проблемы формирования международного финансового центра в Москве / О. В. Хмыз // Финансовый бизнес. – 2011. – № 5. – С. 44-54.</w:t>
      </w:r>
    </w:p>
    <w:p w14:paraId="14FAAB28" w14:textId="09C746EE" w:rsidR="004C4727" w:rsidRPr="00A11C6E" w:rsidRDefault="004C472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 xml:space="preserve">Хмыз, О. В. Проблемы реформирования мировой валютно-финансовой архитектуры / О. В. Хмыз // Экономика и управление. – 2016, №2. </w:t>
      </w:r>
      <w:r w:rsidRPr="00A11C6E">
        <w:rPr>
          <w:rFonts w:ascii="Times New Roman" w:hAnsi="Times New Roman" w:cs="Times New Roman"/>
          <w:sz w:val="24"/>
          <w:szCs w:val="24"/>
          <w:lang w:val="ru-RU" w:bidi="ar-SA"/>
        </w:rPr>
        <w:t>–</w:t>
      </w:r>
      <w:r w:rsidRPr="00A11C6E">
        <w:rPr>
          <w:rFonts w:ascii="Times New Roman" w:hAnsi="Times New Roman" w:cs="Times New Roman"/>
          <w:sz w:val="24"/>
          <w:szCs w:val="24"/>
          <w:lang w:val="ru-RU"/>
        </w:rPr>
        <w:t xml:space="preserve"> 30</w:t>
      </w:r>
      <w:r w:rsidRPr="00A11C6E">
        <w:rPr>
          <w:rFonts w:ascii="Times New Roman" w:hAnsi="Times New Roman" w:cs="Times New Roman"/>
          <w:sz w:val="24"/>
          <w:szCs w:val="24"/>
          <w:lang w:val="ru-RU" w:bidi="ar-SA"/>
        </w:rPr>
        <w:t>–</w:t>
      </w:r>
      <w:r w:rsidRPr="00A11C6E">
        <w:rPr>
          <w:rFonts w:ascii="Times New Roman" w:hAnsi="Times New Roman" w:cs="Times New Roman"/>
          <w:sz w:val="24"/>
          <w:szCs w:val="24"/>
          <w:lang w:val="ru-RU"/>
        </w:rPr>
        <w:t>35.</w:t>
      </w:r>
    </w:p>
    <w:p w14:paraId="22F4CBF2" w14:textId="0A45A14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Худякова, Л.  Международные финансовые центры в многополярном мире / Л.</w:t>
      </w:r>
      <w:r w:rsidR="004A0184">
        <w:rPr>
          <w:rFonts w:ascii="Times New Roman" w:hAnsi="Times New Roman" w:cs="Times New Roman"/>
          <w:sz w:val="24"/>
          <w:szCs w:val="24"/>
        </w:rPr>
        <w:t> </w:t>
      </w:r>
      <w:r w:rsidRPr="00A11C6E">
        <w:rPr>
          <w:rFonts w:ascii="Times New Roman" w:hAnsi="Times New Roman" w:cs="Times New Roman"/>
          <w:sz w:val="24"/>
          <w:szCs w:val="24"/>
          <w:lang w:val="ru-RU"/>
        </w:rPr>
        <w:t xml:space="preserve">Худякова // Мировая экономика и международные отношения. – 2012, №1. – </w:t>
      </w:r>
      <w:r w:rsidRPr="00A11C6E">
        <w:rPr>
          <w:rFonts w:ascii="Times New Roman" w:hAnsi="Times New Roman" w:cs="Times New Roman"/>
          <w:sz w:val="24"/>
          <w:szCs w:val="24"/>
        </w:rPr>
        <w:t>C</w:t>
      </w:r>
      <w:r w:rsidRPr="00A11C6E">
        <w:rPr>
          <w:rFonts w:ascii="Times New Roman" w:hAnsi="Times New Roman" w:cs="Times New Roman"/>
          <w:sz w:val="24"/>
          <w:szCs w:val="24"/>
          <w:lang w:val="ru-RU"/>
        </w:rPr>
        <w:t>. 30–39.</w:t>
      </w:r>
    </w:p>
    <w:p w14:paraId="2440C8E6" w14:textId="679B8CCB"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shd w:val="clear" w:color="auto" w:fill="FFFFFF"/>
          <w:lang w:val="ru-RU"/>
        </w:rPr>
        <w:t>Чернявский, С.П. Международный офшорный бизнес и банки: Монография /</w:t>
      </w:r>
      <w:r w:rsidR="004A0184" w:rsidRPr="004A0184">
        <w:rPr>
          <w:rFonts w:ascii="Times New Roman" w:hAnsi="Times New Roman" w:cs="Times New Roman"/>
          <w:color w:val="000000" w:themeColor="text1"/>
          <w:sz w:val="24"/>
          <w:szCs w:val="24"/>
          <w:shd w:val="clear" w:color="auto" w:fill="FFFFFF"/>
          <w:lang w:val="ru-RU"/>
        </w:rPr>
        <w:t xml:space="preserve"> </w:t>
      </w:r>
      <w:r w:rsidRPr="00A11C6E">
        <w:rPr>
          <w:rFonts w:ascii="Times New Roman" w:hAnsi="Times New Roman" w:cs="Times New Roman"/>
          <w:color w:val="000000" w:themeColor="text1"/>
          <w:sz w:val="24"/>
          <w:szCs w:val="24"/>
          <w:shd w:val="clear" w:color="auto" w:fill="FFFFFF"/>
          <w:lang w:val="ru-RU"/>
        </w:rPr>
        <w:t>С.</w:t>
      </w:r>
      <w:r w:rsidR="004A0184">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lang w:val="ru-RU"/>
        </w:rPr>
        <w:t>П.</w:t>
      </w:r>
      <w:r w:rsidR="004A0184">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lang w:val="ru-RU"/>
        </w:rPr>
        <w:t>Чернявский. М.: Финансы и статистика, 2003.</w:t>
      </w:r>
    </w:p>
    <w:p w14:paraId="3D19C02B" w14:textId="6CBE619D" w:rsidR="00A87FE0" w:rsidRPr="00A11C6E" w:rsidRDefault="00A87FE0"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shd w:val="clear" w:color="auto" w:fill="FFFFFF"/>
          <w:lang w:val="ru-RU"/>
        </w:rPr>
        <w:t xml:space="preserve">Шадова, З. Х. Мировые финансовые центры как субъект международных экономических отношений / З. Х. Шадова, Р. А. Токмакова, Д. З. Маргушева, М. З. Маргушева // Вестник АГУ, серия «Экономика». – 2018, выпуск 4 (230). – С. 363–368. </w:t>
      </w:r>
    </w:p>
    <w:p w14:paraId="6467EC0E" w14:textId="61B99582"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shd w:val="clear" w:color="auto" w:fill="FFFFFF"/>
          <w:lang w:val="ru-RU"/>
        </w:rPr>
        <w:t>Шевелев И.В. Институциональные механизмы мирового финансового кризиса // Финансы и кредит. – 2008, № 32.</w:t>
      </w:r>
      <w:bookmarkStart w:id="100" w:name="_Ref499236152"/>
      <w:r w:rsidR="004F41FA" w:rsidRPr="00A11C6E">
        <w:rPr>
          <w:rFonts w:ascii="Times New Roman" w:hAnsi="Times New Roman" w:cs="Times New Roman"/>
          <w:color w:val="000000" w:themeColor="text1"/>
          <w:sz w:val="24"/>
          <w:szCs w:val="24"/>
          <w:shd w:val="clear" w:color="auto" w:fill="FFFFFF"/>
          <w:lang w:val="ru-RU"/>
        </w:rPr>
        <w:t xml:space="preserve"> – </w:t>
      </w:r>
      <w:r w:rsidR="004F41FA" w:rsidRPr="00A11C6E">
        <w:rPr>
          <w:rFonts w:ascii="Times New Roman" w:hAnsi="Times New Roman" w:cs="Times New Roman"/>
          <w:color w:val="000000" w:themeColor="text1"/>
          <w:sz w:val="24"/>
          <w:szCs w:val="24"/>
          <w:shd w:val="clear" w:color="auto" w:fill="FFFFFF"/>
        </w:rPr>
        <w:t>C</w:t>
      </w:r>
      <w:r w:rsidR="004F41FA" w:rsidRPr="00A11C6E">
        <w:rPr>
          <w:rFonts w:ascii="Times New Roman" w:hAnsi="Times New Roman" w:cs="Times New Roman"/>
          <w:color w:val="000000" w:themeColor="text1"/>
          <w:sz w:val="24"/>
          <w:szCs w:val="24"/>
          <w:shd w:val="clear" w:color="auto" w:fill="FFFFFF"/>
          <w:lang w:val="ru-RU"/>
        </w:rPr>
        <w:t>. 11–15.</w:t>
      </w:r>
    </w:p>
    <w:p w14:paraId="01D7C063" w14:textId="77777777" w:rsidR="00AE4368" w:rsidRPr="00A11C6E" w:rsidRDefault="00AE4368" w:rsidP="00A134D2">
      <w:pPr>
        <w:tabs>
          <w:tab w:val="left" w:pos="993"/>
        </w:tabs>
        <w:spacing w:after="0" w:line="360" w:lineRule="auto"/>
        <w:ind w:firstLine="709"/>
        <w:contextualSpacing/>
        <w:jc w:val="both"/>
        <w:rPr>
          <w:rFonts w:ascii="Times New Roman" w:hAnsi="Times New Roman" w:cs="Times New Roman"/>
          <w:color w:val="000000"/>
          <w:sz w:val="24"/>
          <w:szCs w:val="24"/>
          <w:lang w:val="ru-RU"/>
        </w:rPr>
      </w:pPr>
    </w:p>
    <w:p w14:paraId="4CFC4DA3" w14:textId="77777777" w:rsidR="00AE4368" w:rsidRPr="00A11C6E" w:rsidRDefault="002023F4" w:rsidP="00A134D2">
      <w:pPr>
        <w:pStyle w:val="af3"/>
        <w:tabs>
          <w:tab w:val="left" w:pos="993"/>
        </w:tabs>
        <w:spacing w:after="0" w:line="360" w:lineRule="auto"/>
        <w:ind w:left="0"/>
        <w:jc w:val="center"/>
        <w:rPr>
          <w:rFonts w:ascii="Times New Roman" w:hAnsi="Times New Roman" w:cs="Times New Roman"/>
          <w:color w:val="000000"/>
          <w:sz w:val="24"/>
          <w:szCs w:val="24"/>
          <w:lang w:val="ru-RU"/>
        </w:rPr>
      </w:pPr>
      <w:r w:rsidRPr="00A11C6E">
        <w:rPr>
          <w:rFonts w:ascii="Times New Roman" w:hAnsi="Times New Roman" w:cs="Times New Roman"/>
          <w:b/>
          <w:color w:val="000000" w:themeColor="text1"/>
          <w:sz w:val="24"/>
          <w:szCs w:val="24"/>
          <w:lang w:val="ru-RU"/>
        </w:rPr>
        <w:t>4.Источники на иностранных языках:</w:t>
      </w:r>
    </w:p>
    <w:p w14:paraId="4316A587" w14:textId="200DE13D" w:rsidR="009E1F7A" w:rsidRPr="00A11C6E" w:rsidRDefault="009E1F7A"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sz w:val="24"/>
          <w:szCs w:val="24"/>
        </w:rPr>
        <w:t>Abramov, D. From National to International Financial Centre: The Case of Moscow in View of Global Experience / D. Abramov, N. Ivanova, S. Polezhaev, M. Sherstnev // Problems of Economic Transition. – Vol. 55, no. 9, January 2013 – Pp. 80–100.</w:t>
      </w:r>
    </w:p>
    <w:p w14:paraId="2498809C" w14:textId="44AEFE9C" w:rsidR="00D74346"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spacing w:val="-5"/>
          <w:sz w:val="24"/>
          <w:szCs w:val="24"/>
        </w:rPr>
        <w:t>Akerlof, G. A. The Market for "Lemons": Quality Uncertainty and the Market Mechanism /</w:t>
      </w:r>
      <w:r w:rsidR="004A0184">
        <w:rPr>
          <w:rFonts w:ascii="Times New Roman" w:hAnsi="Times New Roman" w:cs="Times New Roman"/>
          <w:color w:val="000000"/>
          <w:spacing w:val="-5"/>
          <w:sz w:val="24"/>
          <w:szCs w:val="24"/>
        </w:rPr>
        <w:t xml:space="preserve"> </w:t>
      </w:r>
      <w:r w:rsidRPr="00A11C6E">
        <w:rPr>
          <w:rFonts w:ascii="Times New Roman" w:hAnsi="Times New Roman" w:cs="Times New Roman"/>
          <w:color w:val="000000"/>
          <w:spacing w:val="-5"/>
          <w:sz w:val="24"/>
          <w:szCs w:val="24"/>
        </w:rPr>
        <w:t>G.</w:t>
      </w:r>
      <w:r w:rsidR="004A0184">
        <w:rPr>
          <w:rFonts w:ascii="Times New Roman" w:hAnsi="Times New Roman" w:cs="Times New Roman"/>
          <w:color w:val="000000"/>
          <w:spacing w:val="-5"/>
          <w:sz w:val="24"/>
          <w:szCs w:val="24"/>
        </w:rPr>
        <w:t> </w:t>
      </w:r>
      <w:r w:rsidRPr="00A11C6E">
        <w:rPr>
          <w:rFonts w:ascii="Times New Roman" w:hAnsi="Times New Roman" w:cs="Times New Roman"/>
          <w:color w:val="000000"/>
          <w:spacing w:val="-5"/>
          <w:sz w:val="24"/>
          <w:szCs w:val="24"/>
        </w:rPr>
        <w:t xml:space="preserve">A. Akerlof // </w:t>
      </w:r>
      <w:r w:rsidRPr="00A11C6E">
        <w:rPr>
          <w:rFonts w:ascii="Times New Roman" w:hAnsi="Times New Roman" w:cs="Times New Roman"/>
          <w:color w:val="343332"/>
          <w:spacing w:val="-5"/>
          <w:sz w:val="24"/>
          <w:szCs w:val="24"/>
        </w:rPr>
        <w:t xml:space="preserve">The Quarterly Journal of Economics. </w:t>
      </w:r>
      <w:hyperlink r:id="rId57" w:tooltip="https://www.jstor.org/stable/i332285" w:history="1">
        <w:r w:rsidRPr="00A11C6E">
          <w:rPr>
            <w:rStyle w:val="a9"/>
            <w:rFonts w:ascii="Times New Roman" w:hAnsi="Times New Roman" w:cs="Times New Roman"/>
            <w:spacing w:val="-5"/>
            <w:sz w:val="24"/>
            <w:szCs w:val="24"/>
            <w:u w:val="none"/>
          </w:rPr>
          <w:t>Vol. 84 – No. 3. – 1970</w:t>
        </w:r>
      </w:hyperlink>
      <w:r w:rsidRPr="00A11C6E">
        <w:rPr>
          <w:rFonts w:ascii="Times New Roman" w:hAnsi="Times New Roman" w:cs="Times New Roman"/>
          <w:color w:val="343332"/>
          <w:spacing w:val="-5"/>
          <w:sz w:val="24"/>
          <w:szCs w:val="24"/>
        </w:rPr>
        <w:t>. – Pp. 488-500.</w:t>
      </w:r>
    </w:p>
    <w:p w14:paraId="39CB26E9" w14:textId="086A8E87" w:rsidR="00D74346" w:rsidRPr="00A11C6E" w:rsidRDefault="00B15939"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rPr>
      </w:pPr>
      <w:r w:rsidRPr="00A11C6E">
        <w:rPr>
          <w:rFonts w:ascii="Times New Roman" w:hAnsi="Times New Roman" w:cs="Times New Roman"/>
          <w:color w:val="343332"/>
          <w:spacing w:val="-5"/>
          <w:sz w:val="24"/>
          <w:szCs w:val="24"/>
        </w:rPr>
        <w:t>All Eyes on Astant. December 2018</w:t>
      </w:r>
      <w:r w:rsidR="00D74346" w:rsidRPr="00A11C6E">
        <w:rPr>
          <w:rFonts w:ascii="Times New Roman" w:hAnsi="Times New Roman" w:cs="Times New Roman"/>
          <w:color w:val="343332"/>
          <w:spacing w:val="-5"/>
          <w:sz w:val="24"/>
          <w:szCs w:val="24"/>
        </w:rPr>
        <w:t xml:space="preserve"> [</w:t>
      </w:r>
      <w:r w:rsidR="00D74346" w:rsidRPr="00A11C6E">
        <w:rPr>
          <w:rFonts w:ascii="Times New Roman" w:hAnsi="Times New Roman" w:cs="Times New Roman"/>
          <w:color w:val="343332"/>
          <w:spacing w:val="-5"/>
          <w:sz w:val="24"/>
          <w:szCs w:val="24"/>
          <w:lang w:val="ru-RU"/>
        </w:rPr>
        <w:t>Электронный</w:t>
      </w:r>
      <w:r w:rsidR="00D74346" w:rsidRPr="00A11C6E">
        <w:rPr>
          <w:rFonts w:ascii="Times New Roman" w:hAnsi="Times New Roman" w:cs="Times New Roman"/>
          <w:color w:val="343332"/>
          <w:spacing w:val="-5"/>
          <w:sz w:val="24"/>
          <w:szCs w:val="24"/>
        </w:rPr>
        <w:t xml:space="preserve"> </w:t>
      </w:r>
      <w:r w:rsidR="00D74346" w:rsidRPr="00A11C6E">
        <w:rPr>
          <w:rFonts w:ascii="Times New Roman" w:hAnsi="Times New Roman" w:cs="Times New Roman"/>
          <w:color w:val="343332"/>
          <w:spacing w:val="-5"/>
          <w:sz w:val="24"/>
          <w:szCs w:val="24"/>
          <w:lang w:val="ru-RU"/>
        </w:rPr>
        <w:t>ресурс</w:t>
      </w:r>
      <w:r w:rsidR="00D74346" w:rsidRPr="00A11C6E">
        <w:rPr>
          <w:rFonts w:ascii="Times New Roman" w:hAnsi="Times New Roman" w:cs="Times New Roman"/>
          <w:color w:val="343332"/>
          <w:spacing w:val="-5"/>
          <w:sz w:val="24"/>
          <w:szCs w:val="24"/>
        </w:rPr>
        <w:t xml:space="preserve">] / Z/Yen, Astana </w:t>
      </w:r>
      <w:r w:rsidR="00D74346" w:rsidRPr="00A11C6E">
        <w:rPr>
          <w:rFonts w:ascii="Times New Roman" w:hAnsi="Times New Roman" w:cs="Times New Roman"/>
          <w:color w:val="000000" w:themeColor="text1"/>
          <w:spacing w:val="-5"/>
          <w:sz w:val="24"/>
          <w:szCs w:val="24"/>
        </w:rPr>
        <w:t xml:space="preserve">International Financial Centre. – </w:t>
      </w:r>
      <w:r w:rsidR="00D74346" w:rsidRPr="00A11C6E">
        <w:rPr>
          <w:rFonts w:ascii="Times New Roman" w:hAnsi="Times New Roman" w:cs="Times New Roman"/>
          <w:color w:val="000000" w:themeColor="text1"/>
          <w:spacing w:val="-5"/>
          <w:sz w:val="24"/>
          <w:szCs w:val="24"/>
          <w:lang w:val="ru-RU"/>
        </w:rPr>
        <w:t>Режим</w:t>
      </w:r>
      <w:r w:rsidR="00D74346" w:rsidRPr="00A11C6E">
        <w:rPr>
          <w:rFonts w:ascii="Times New Roman" w:hAnsi="Times New Roman" w:cs="Times New Roman"/>
          <w:color w:val="000000" w:themeColor="text1"/>
          <w:spacing w:val="-5"/>
          <w:sz w:val="24"/>
          <w:szCs w:val="24"/>
        </w:rPr>
        <w:t xml:space="preserve"> </w:t>
      </w:r>
      <w:r w:rsidR="00D74346" w:rsidRPr="00A11C6E">
        <w:rPr>
          <w:rFonts w:ascii="Times New Roman" w:hAnsi="Times New Roman" w:cs="Times New Roman"/>
          <w:color w:val="000000" w:themeColor="text1"/>
          <w:spacing w:val="-5"/>
          <w:sz w:val="24"/>
          <w:szCs w:val="24"/>
          <w:lang w:val="ru-RU"/>
        </w:rPr>
        <w:t>доступа</w:t>
      </w:r>
      <w:r w:rsidR="00D74346" w:rsidRPr="00A11C6E">
        <w:rPr>
          <w:rFonts w:ascii="Times New Roman" w:hAnsi="Times New Roman" w:cs="Times New Roman"/>
          <w:color w:val="000000" w:themeColor="text1"/>
          <w:spacing w:val="-5"/>
          <w:sz w:val="24"/>
          <w:szCs w:val="24"/>
        </w:rPr>
        <w:t>: URL:</w:t>
      </w:r>
      <w:r w:rsidR="004A0184">
        <w:rPr>
          <w:rFonts w:ascii="Times New Roman" w:hAnsi="Times New Roman" w:cs="Times New Roman"/>
          <w:color w:val="000000" w:themeColor="text1"/>
          <w:spacing w:val="-5"/>
          <w:sz w:val="24"/>
          <w:szCs w:val="24"/>
        </w:rPr>
        <w:t> </w:t>
      </w:r>
      <w:hyperlink r:id="rId58" w:history="1">
        <w:r w:rsidR="00D74346" w:rsidRPr="00A11C6E">
          <w:rPr>
            <w:rStyle w:val="a9"/>
            <w:rFonts w:ascii="Times New Roman" w:hAnsi="Times New Roman" w:cs="Times New Roman"/>
            <w:color w:val="000000" w:themeColor="text1"/>
            <w:spacing w:val="-5"/>
            <w:sz w:val="24"/>
            <w:szCs w:val="24"/>
            <w:u w:val="none"/>
          </w:rPr>
          <w:t>https://www.longfinance.net/media/documents/All_Eyes_On_Astana_December_2018.pdf</w:t>
        </w:r>
      </w:hyperlink>
      <w:r w:rsidR="00D74346" w:rsidRPr="00A11C6E">
        <w:rPr>
          <w:rFonts w:ascii="Times New Roman" w:hAnsi="Times New Roman" w:cs="Times New Roman"/>
          <w:color w:val="000000" w:themeColor="text1"/>
          <w:spacing w:val="-5"/>
          <w:sz w:val="24"/>
          <w:szCs w:val="24"/>
        </w:rPr>
        <w:t xml:space="preserve"> (</w:t>
      </w:r>
      <w:r w:rsidR="00D74346" w:rsidRPr="00A11C6E">
        <w:rPr>
          <w:rFonts w:ascii="Times New Roman" w:hAnsi="Times New Roman" w:cs="Times New Roman"/>
          <w:color w:val="000000" w:themeColor="text1"/>
          <w:spacing w:val="-5"/>
          <w:sz w:val="24"/>
          <w:szCs w:val="24"/>
          <w:lang w:val="ru-RU"/>
        </w:rPr>
        <w:t>дата</w:t>
      </w:r>
      <w:r w:rsidR="00D74346" w:rsidRPr="00A11C6E">
        <w:rPr>
          <w:rFonts w:ascii="Times New Roman" w:hAnsi="Times New Roman" w:cs="Times New Roman"/>
          <w:color w:val="000000" w:themeColor="text1"/>
          <w:spacing w:val="-5"/>
          <w:sz w:val="24"/>
          <w:szCs w:val="24"/>
        </w:rPr>
        <w:t xml:space="preserve"> </w:t>
      </w:r>
      <w:r w:rsidR="00D74346" w:rsidRPr="00A11C6E">
        <w:rPr>
          <w:rFonts w:ascii="Times New Roman" w:hAnsi="Times New Roman" w:cs="Times New Roman"/>
          <w:color w:val="000000" w:themeColor="text1"/>
          <w:spacing w:val="-5"/>
          <w:sz w:val="24"/>
          <w:szCs w:val="24"/>
          <w:lang w:val="ru-RU"/>
        </w:rPr>
        <w:t>обращения</w:t>
      </w:r>
      <w:r w:rsidR="00D74346" w:rsidRPr="00A11C6E">
        <w:rPr>
          <w:rFonts w:ascii="Times New Roman" w:hAnsi="Times New Roman" w:cs="Times New Roman"/>
          <w:color w:val="000000" w:themeColor="text1"/>
          <w:spacing w:val="-5"/>
          <w:sz w:val="24"/>
          <w:szCs w:val="24"/>
        </w:rPr>
        <w:t>: 05.04.2023).</w:t>
      </w:r>
    </w:p>
    <w:p w14:paraId="329DB5E2" w14:textId="1ADABE3A" w:rsidR="00D74346" w:rsidRPr="00A11C6E" w:rsidRDefault="00D74346"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rPr>
      </w:pPr>
      <w:r w:rsidRPr="00A11C6E">
        <w:rPr>
          <w:rFonts w:ascii="Times New Roman" w:hAnsi="Times New Roman" w:cs="Times New Roman"/>
          <w:color w:val="000000" w:themeColor="text1"/>
          <w:spacing w:val="-5"/>
          <w:sz w:val="24"/>
          <w:szCs w:val="24"/>
        </w:rPr>
        <w:lastRenderedPageBreak/>
        <w:t>All Eyes on Nur-Sultan. May 2021 [</w:t>
      </w:r>
      <w:r w:rsidRPr="00A11C6E">
        <w:rPr>
          <w:rFonts w:ascii="Times New Roman" w:hAnsi="Times New Roman" w:cs="Times New Roman"/>
          <w:color w:val="000000" w:themeColor="text1"/>
          <w:spacing w:val="-5"/>
          <w:sz w:val="24"/>
          <w:szCs w:val="24"/>
          <w:lang w:val="ru-RU"/>
        </w:rPr>
        <w:t>Электронный</w:t>
      </w:r>
      <w:r w:rsidRPr="00A11C6E">
        <w:rPr>
          <w:rFonts w:ascii="Times New Roman" w:hAnsi="Times New Roman" w:cs="Times New Roman"/>
          <w:color w:val="000000" w:themeColor="text1"/>
          <w:spacing w:val="-5"/>
          <w:sz w:val="24"/>
          <w:szCs w:val="24"/>
        </w:rPr>
        <w:t xml:space="preserve"> </w:t>
      </w:r>
      <w:r w:rsidRPr="00A11C6E">
        <w:rPr>
          <w:rFonts w:ascii="Times New Roman" w:hAnsi="Times New Roman" w:cs="Times New Roman"/>
          <w:color w:val="000000" w:themeColor="text1"/>
          <w:spacing w:val="-5"/>
          <w:sz w:val="24"/>
          <w:szCs w:val="24"/>
          <w:lang w:val="ru-RU"/>
        </w:rPr>
        <w:t>ресурс</w:t>
      </w:r>
      <w:r w:rsidRPr="00A11C6E">
        <w:rPr>
          <w:rFonts w:ascii="Times New Roman" w:hAnsi="Times New Roman" w:cs="Times New Roman"/>
          <w:color w:val="000000" w:themeColor="text1"/>
          <w:spacing w:val="-5"/>
          <w:sz w:val="24"/>
          <w:szCs w:val="24"/>
        </w:rPr>
        <w:t xml:space="preserve">] / Z/Yen, Astana International Financial Centre. – </w:t>
      </w:r>
      <w:r w:rsidRPr="00A11C6E">
        <w:rPr>
          <w:rFonts w:ascii="Times New Roman" w:hAnsi="Times New Roman" w:cs="Times New Roman"/>
          <w:color w:val="000000" w:themeColor="text1"/>
          <w:spacing w:val="-5"/>
          <w:sz w:val="24"/>
          <w:szCs w:val="24"/>
          <w:lang w:val="ru-RU"/>
        </w:rPr>
        <w:t>Режим</w:t>
      </w:r>
      <w:r w:rsidRPr="00A11C6E">
        <w:rPr>
          <w:rFonts w:ascii="Times New Roman" w:hAnsi="Times New Roman" w:cs="Times New Roman"/>
          <w:color w:val="000000" w:themeColor="text1"/>
          <w:spacing w:val="-5"/>
          <w:sz w:val="24"/>
          <w:szCs w:val="24"/>
        </w:rPr>
        <w:t xml:space="preserve"> </w:t>
      </w:r>
      <w:r w:rsidRPr="00A11C6E">
        <w:rPr>
          <w:rFonts w:ascii="Times New Roman" w:hAnsi="Times New Roman" w:cs="Times New Roman"/>
          <w:color w:val="000000" w:themeColor="text1"/>
          <w:spacing w:val="-5"/>
          <w:sz w:val="24"/>
          <w:szCs w:val="24"/>
          <w:lang w:val="ru-RU"/>
        </w:rPr>
        <w:t>доступа</w:t>
      </w:r>
      <w:r w:rsidRPr="00A11C6E">
        <w:rPr>
          <w:rFonts w:ascii="Times New Roman" w:hAnsi="Times New Roman" w:cs="Times New Roman"/>
          <w:color w:val="000000" w:themeColor="text1"/>
          <w:spacing w:val="-5"/>
          <w:sz w:val="24"/>
          <w:szCs w:val="24"/>
        </w:rPr>
        <w:t>: URL:</w:t>
      </w:r>
      <w:r w:rsidR="004A0184">
        <w:rPr>
          <w:rFonts w:ascii="Times New Roman" w:hAnsi="Times New Roman" w:cs="Times New Roman"/>
          <w:color w:val="000000" w:themeColor="text1"/>
          <w:spacing w:val="-5"/>
          <w:sz w:val="24"/>
          <w:szCs w:val="24"/>
        </w:rPr>
        <w:t> </w:t>
      </w:r>
      <w:r w:rsidRPr="00A11C6E">
        <w:rPr>
          <w:rFonts w:ascii="Times New Roman" w:hAnsi="Times New Roman" w:cs="Times New Roman"/>
          <w:color w:val="000000" w:themeColor="text1"/>
          <w:spacing w:val="-5"/>
          <w:sz w:val="24"/>
          <w:szCs w:val="24"/>
        </w:rPr>
        <w:t>https://www.longfinance.net/media/documents/All_Eyes_On_Nur-Sultan_2021.05.04_v0.3.pdf (</w:t>
      </w:r>
      <w:r w:rsidRPr="00A11C6E">
        <w:rPr>
          <w:rFonts w:ascii="Times New Roman" w:hAnsi="Times New Roman" w:cs="Times New Roman"/>
          <w:color w:val="000000" w:themeColor="text1"/>
          <w:spacing w:val="-5"/>
          <w:sz w:val="24"/>
          <w:szCs w:val="24"/>
          <w:lang w:val="ru-RU"/>
        </w:rPr>
        <w:t>дата</w:t>
      </w:r>
      <w:r w:rsidRPr="00A11C6E">
        <w:rPr>
          <w:rFonts w:ascii="Times New Roman" w:hAnsi="Times New Roman" w:cs="Times New Roman"/>
          <w:color w:val="000000" w:themeColor="text1"/>
          <w:spacing w:val="-5"/>
          <w:sz w:val="24"/>
          <w:szCs w:val="24"/>
        </w:rPr>
        <w:t xml:space="preserve"> </w:t>
      </w:r>
      <w:r w:rsidRPr="00A11C6E">
        <w:rPr>
          <w:rFonts w:ascii="Times New Roman" w:hAnsi="Times New Roman" w:cs="Times New Roman"/>
          <w:color w:val="000000" w:themeColor="text1"/>
          <w:spacing w:val="-5"/>
          <w:sz w:val="24"/>
          <w:szCs w:val="24"/>
          <w:lang w:val="ru-RU"/>
        </w:rPr>
        <w:t>обращения</w:t>
      </w:r>
      <w:r w:rsidRPr="00A11C6E">
        <w:rPr>
          <w:rFonts w:ascii="Times New Roman" w:hAnsi="Times New Roman" w:cs="Times New Roman"/>
          <w:color w:val="000000" w:themeColor="text1"/>
          <w:spacing w:val="-5"/>
          <w:sz w:val="24"/>
          <w:szCs w:val="24"/>
        </w:rPr>
        <w:t>: 05.04.2023).</w:t>
      </w:r>
    </w:p>
    <w:p w14:paraId="29D8E47A"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 xml:space="preserve">Andersson, A. Gateways to the Global Economy / A. Andersson, D. Andersson. Northampton MA: Edward Elgar Publishing, 2000. – 399 p. </w:t>
      </w:r>
    </w:p>
    <w:p w14:paraId="31F508D6" w14:textId="04E5D30F" w:rsidR="0022282D"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01" w:name="_Ref131436341"/>
      <w:r w:rsidRPr="00A11C6E">
        <w:rPr>
          <w:rFonts w:ascii="Times New Roman" w:hAnsi="Times New Roman" w:cs="Times New Roman"/>
          <w:color w:val="000000" w:themeColor="text1"/>
          <w:sz w:val="24"/>
          <w:szCs w:val="24"/>
        </w:rPr>
        <w:t xml:space="preserve">A new free trade zone could carry the city to 2020 </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rPr>
        <w:t xml:space="preserve">// China economic review. – 16.06.2013. </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eastAsia="zh-CN"/>
        </w:rPr>
        <w:t>URL:</w:t>
      </w:r>
      <w:r w:rsidR="004A0184">
        <w:rPr>
          <w:rFonts w:ascii="Times New Roman" w:hAnsi="Times New Roman" w:cs="Times New Roman"/>
          <w:color w:val="000000" w:themeColor="text1"/>
          <w:sz w:val="24"/>
          <w:szCs w:val="24"/>
          <w:lang w:eastAsia="zh-CN"/>
        </w:rPr>
        <w:t> </w:t>
      </w:r>
      <w:r w:rsidRPr="00A11C6E">
        <w:rPr>
          <w:rFonts w:ascii="Times New Roman" w:hAnsi="Times New Roman" w:cs="Times New Roman"/>
          <w:sz w:val="24"/>
          <w:szCs w:val="24"/>
        </w:rPr>
        <w:t>http://www.chinaeconomicreview.com/Shanghai-FTZ-free-trade-zone-2020-reform-economic-special-economic-zone</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eastAsia="zh-CN"/>
        </w:rPr>
        <w:t>01.03.2023</w:t>
      </w:r>
      <w:r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themeColor="text1"/>
          <w:sz w:val="24"/>
          <w:szCs w:val="24"/>
          <w:lang w:eastAsia="zh-CN"/>
        </w:rPr>
        <w:t>.</w:t>
      </w:r>
      <w:bookmarkStart w:id="102" w:name="_Ref499124094"/>
      <w:bookmarkStart w:id="103" w:name="_Ref459294043"/>
      <w:bookmarkEnd w:id="100"/>
      <w:bookmarkEnd w:id="101"/>
    </w:p>
    <w:p w14:paraId="370E1960" w14:textId="7A4BECC7" w:rsidR="0022282D" w:rsidRPr="00A11C6E" w:rsidRDefault="0022282D"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bookmarkStart w:id="104" w:name="_Ref136263597"/>
      <w:r w:rsidRPr="00A11C6E">
        <w:rPr>
          <w:rFonts w:ascii="Times New Roman" w:hAnsi="Times New Roman" w:cs="Times New Roman"/>
          <w:color w:val="000000" w:themeColor="text1"/>
          <w:sz w:val="24"/>
          <w:szCs w:val="24"/>
          <w:lang w:eastAsia="zh-CN"/>
        </w:rPr>
        <w:t xml:space="preserve">A Territorial Approach to the Sustainable Development Goals in Moscow, Russian Federation / OECD, 2021. </w:t>
      </w:r>
      <w:r w:rsidRPr="00A11C6E">
        <w:rPr>
          <w:rFonts w:ascii="Times New Roman" w:hAnsi="Times New Roman" w:cs="Times New Roman"/>
          <w:color w:val="000000" w:themeColor="text1"/>
          <w:sz w:val="24"/>
          <w:szCs w:val="24"/>
          <w:lang w:val="ru-RU" w:eastAsia="zh-CN"/>
        </w:rPr>
        <w:t>[Электронный ресурс]. – Режим доступа:</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hyperlink r:id="rId59" w:history="1">
        <w:r w:rsidRPr="00A11C6E">
          <w:rPr>
            <w:rStyle w:val="a9"/>
            <w:rFonts w:ascii="Times New Roman" w:hAnsi="Times New Roman" w:cs="Times New Roman"/>
            <w:color w:val="000000" w:themeColor="text1"/>
            <w:sz w:val="24"/>
            <w:szCs w:val="24"/>
            <w:u w:val="none"/>
          </w:rPr>
          <w:t>https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read</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oecd</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org</w:t>
        </w:r>
        <w:r w:rsidRPr="00A11C6E">
          <w:rPr>
            <w:rStyle w:val="a9"/>
            <w:rFonts w:ascii="Times New Roman" w:hAnsi="Times New Roman" w:cs="Times New Roman"/>
            <w:color w:val="000000" w:themeColor="text1"/>
            <w:sz w:val="24"/>
            <w:szCs w:val="24"/>
            <w:u w:val="none"/>
            <w:lang w:val="ru-RU"/>
          </w:rPr>
          <w:t>/10.1787/733</w:t>
        </w:r>
        <w:r w:rsidRPr="00A11C6E">
          <w:rPr>
            <w:rStyle w:val="a9"/>
            <w:rFonts w:ascii="Times New Roman" w:hAnsi="Times New Roman" w:cs="Times New Roman"/>
            <w:color w:val="000000" w:themeColor="text1"/>
            <w:sz w:val="24"/>
            <w:szCs w:val="24"/>
            <w:u w:val="none"/>
          </w:rPr>
          <w:t>c</w:t>
        </w:r>
        <w:r w:rsidRPr="00A11C6E">
          <w:rPr>
            <w:rStyle w:val="a9"/>
            <w:rFonts w:ascii="Times New Roman" w:hAnsi="Times New Roman" w:cs="Times New Roman"/>
            <w:color w:val="000000" w:themeColor="text1"/>
            <w:sz w:val="24"/>
            <w:szCs w:val="24"/>
            <w:u w:val="none"/>
            <w:lang w:val="ru-RU"/>
          </w:rPr>
          <w:t>4178-</w:t>
        </w:r>
        <w:r w:rsidRPr="00A11C6E">
          <w:rPr>
            <w:rStyle w:val="a9"/>
            <w:rFonts w:ascii="Times New Roman" w:hAnsi="Times New Roman" w:cs="Times New Roman"/>
            <w:color w:val="000000" w:themeColor="text1"/>
            <w:sz w:val="24"/>
            <w:szCs w:val="24"/>
            <w:u w:val="none"/>
          </w:rPr>
          <w:t>en</w:t>
        </w:r>
      </w:hyperlink>
      <w:r w:rsidRPr="00A11C6E">
        <w:rPr>
          <w:rFonts w:ascii="Times New Roman" w:hAnsi="Times New Roman" w:cs="Times New Roman"/>
          <w:color w:val="000000" w:themeColor="text1"/>
          <w:sz w:val="24"/>
          <w:szCs w:val="24"/>
          <w:lang w:val="ru-RU"/>
        </w:rPr>
        <w:t xml:space="preserve"> (дата обращения: </w:t>
      </w:r>
      <w:r w:rsidRPr="00A11C6E">
        <w:rPr>
          <w:rFonts w:ascii="Times New Roman" w:hAnsi="Times New Roman" w:cs="Times New Roman"/>
          <w:color w:val="000000" w:themeColor="text1"/>
          <w:sz w:val="24"/>
          <w:szCs w:val="24"/>
          <w:lang w:val="ru-RU" w:eastAsia="zh-CN"/>
        </w:rPr>
        <w:t>04.04.2023</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lang w:val="ru-RU" w:eastAsia="zh-CN"/>
        </w:rPr>
        <w:t>.</w:t>
      </w:r>
      <w:bookmarkEnd w:id="104"/>
    </w:p>
    <w:p w14:paraId="3F435EB7" w14:textId="666E68EA"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05" w:name="_Ref60770410"/>
      <w:bookmarkEnd w:id="102"/>
      <w:r w:rsidRPr="00A11C6E">
        <w:rPr>
          <w:rFonts w:ascii="Times New Roman" w:hAnsi="Times New Roman" w:cs="Times New Roman"/>
          <w:color w:val="000000" w:themeColor="text1"/>
          <w:sz w:val="24"/>
          <w:szCs w:val="24"/>
        </w:rPr>
        <w:t>Beaverstock J. V. The</w:t>
      </w:r>
      <w:r w:rsidRPr="00A11C6E">
        <w:rPr>
          <w:rStyle w:val="apple-converted-space"/>
          <w:rFonts w:ascii="Times New Roman" w:hAnsi="Times New Roman" w:cs="Times New Roman"/>
          <w:color w:val="000000" w:themeColor="text1"/>
          <w:sz w:val="24"/>
          <w:szCs w:val="24"/>
        </w:rPr>
        <w:t> </w:t>
      </w:r>
      <w:hyperlink r:id="rId60" w:tooltip="http://www.lboro.ac.uk/gawc/index.html" w:history="1">
        <w:r w:rsidRPr="00A11C6E">
          <w:rPr>
            <w:rStyle w:val="a9"/>
            <w:rFonts w:ascii="Times New Roman" w:hAnsi="Times New Roman" w:cs="Times New Roman"/>
            <w:color w:val="000000" w:themeColor="text1"/>
            <w:sz w:val="24"/>
            <w:szCs w:val="24"/>
            <w:u w:val="none"/>
          </w:rPr>
          <w:t>Globalization and World Cities Study Group and Network</w:t>
        </w:r>
      </w:hyperlink>
      <w:r w:rsidRPr="00A11C6E">
        <w:rPr>
          <w:rStyle w:val="a9"/>
          <w:rFonts w:ascii="Times New Roman" w:hAnsi="Times New Roman" w:cs="Times New Roman"/>
          <w:color w:val="000000" w:themeColor="text1"/>
          <w:sz w:val="24"/>
          <w:szCs w:val="24"/>
          <w:u w:val="none"/>
        </w:rPr>
        <w:t xml:space="preserve"> / J. V. Beaverstock, R. G. Smith, P. J. Taylor. –</w:t>
      </w:r>
      <w:r w:rsidRPr="00A11C6E">
        <w:rPr>
          <w:rStyle w:val="apple-converted-space"/>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rPr>
        <w:t xml:space="preserve">Loughborough University. </w:t>
      </w:r>
      <w:r w:rsidRPr="00A11C6E">
        <w:rPr>
          <w:rFonts w:ascii="Times New Roman" w:hAnsi="Times New Roman" w:cs="Times New Roman"/>
          <w:color w:val="000000" w:themeColor="text1"/>
          <w:sz w:val="24"/>
          <w:szCs w:val="24"/>
          <w:lang w:val="ru-RU" w:eastAsia="zh-CN"/>
        </w:rPr>
        <w:t>[Электронный ресурс].</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eastAsia="zh-CN"/>
        </w:rPr>
        <w:t>– Режим доступа:</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https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www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lboro</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ac</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uk</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microsites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geography</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gawc</w:t>
      </w:r>
      <w:r w:rsidRPr="00A11C6E">
        <w:rPr>
          <w:rFonts w:ascii="Times New Roman" w:hAnsi="Times New Roman" w:cs="Times New Roman"/>
          <w:color w:val="000000" w:themeColor="text1"/>
          <w:sz w:val="24"/>
          <w:szCs w:val="24"/>
          <w:lang w:val="ru-RU"/>
        </w:rPr>
        <w:t xml:space="preserve"> (дата обращения: 01.03.2023).</w:t>
      </w:r>
      <w:bookmarkStart w:id="106" w:name="_Ref459294547"/>
      <w:bookmarkStart w:id="107" w:name="_Ref446788066"/>
      <w:bookmarkEnd w:id="103"/>
      <w:bookmarkEnd w:id="105"/>
    </w:p>
    <w:p w14:paraId="6830F56E" w14:textId="0D104901" w:rsidR="00E647FB" w:rsidRPr="00A11C6E" w:rsidRDefault="00E647FB"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t>Beaverstock</w:t>
      </w:r>
      <w:r w:rsidR="00025A1D"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themeColor="text1"/>
          <w:sz w:val="24"/>
          <w:szCs w:val="24"/>
        </w:rPr>
        <w:t xml:space="preserve"> J. V. </w:t>
      </w:r>
      <w:hyperlink r:id="rId61" w:tooltip="http://www.lboro.ac.uk/gawc/index.html" w:history="1">
        <w:r w:rsidRPr="00A11C6E">
          <w:rPr>
            <w:rStyle w:val="a9"/>
            <w:rFonts w:ascii="Times New Roman" w:hAnsi="Times New Roman" w:cs="Times New Roman"/>
            <w:color w:val="000000" w:themeColor="text1"/>
            <w:sz w:val="24"/>
            <w:szCs w:val="24"/>
            <w:u w:val="none"/>
          </w:rPr>
          <w:t xml:space="preserve">Globalization and </w:t>
        </w:r>
      </w:hyperlink>
      <w:r w:rsidRPr="00A11C6E">
        <w:rPr>
          <w:rStyle w:val="a9"/>
          <w:rFonts w:ascii="Times New Roman" w:hAnsi="Times New Roman" w:cs="Times New Roman"/>
          <w:color w:val="000000" w:themeColor="text1"/>
          <w:sz w:val="24"/>
          <w:szCs w:val="24"/>
          <w:u w:val="none"/>
        </w:rPr>
        <w:t>the city / J. V. Beaverstock, J. R. Faulconbridge, M.</w:t>
      </w:r>
      <w:r w:rsidR="004A0184">
        <w:rPr>
          <w:rStyle w:val="a9"/>
          <w:rFonts w:ascii="Times New Roman" w:hAnsi="Times New Roman" w:cs="Times New Roman"/>
          <w:color w:val="000000" w:themeColor="text1"/>
          <w:sz w:val="24"/>
          <w:szCs w:val="24"/>
          <w:u w:val="none"/>
        </w:rPr>
        <w:t> </w:t>
      </w:r>
      <w:r w:rsidRPr="00A11C6E">
        <w:rPr>
          <w:rStyle w:val="a9"/>
          <w:rFonts w:ascii="Times New Roman" w:hAnsi="Times New Roman" w:cs="Times New Roman"/>
          <w:color w:val="000000" w:themeColor="text1"/>
          <w:sz w:val="24"/>
          <w:szCs w:val="24"/>
          <w:u w:val="none"/>
        </w:rPr>
        <w:t xml:space="preserve">Hoyler. IN: Leyshon, A. .. et al., (eds.). The Sage Handbook of Economic Georgraphy. London: Sage. – </w:t>
      </w:r>
      <w:r w:rsidR="00625AE4" w:rsidRPr="00A11C6E">
        <w:rPr>
          <w:rStyle w:val="a9"/>
          <w:rFonts w:ascii="Times New Roman" w:hAnsi="Times New Roman" w:cs="Times New Roman"/>
          <w:color w:val="000000" w:themeColor="text1"/>
          <w:sz w:val="24"/>
          <w:szCs w:val="24"/>
          <w:u w:val="none"/>
        </w:rPr>
        <w:t>Pp.</w:t>
      </w:r>
      <w:r w:rsidRPr="00A11C6E">
        <w:rPr>
          <w:rStyle w:val="a9"/>
          <w:rFonts w:ascii="Times New Roman" w:hAnsi="Times New Roman" w:cs="Times New Roman"/>
          <w:color w:val="000000" w:themeColor="text1"/>
          <w:sz w:val="24"/>
          <w:szCs w:val="24"/>
          <w:u w:val="none"/>
        </w:rPr>
        <w:t xml:space="preserve">189–201. </w:t>
      </w:r>
    </w:p>
    <w:p w14:paraId="6F3904EF" w14:textId="300B20DB" w:rsidR="00DC66F8" w:rsidRPr="00A11C6E" w:rsidRDefault="009E1F7A" w:rsidP="00A134D2">
      <w:pPr>
        <w:pStyle w:val="af3"/>
        <w:numPr>
          <w:ilvl w:val="0"/>
          <w:numId w:val="15"/>
        </w:numPr>
        <w:tabs>
          <w:tab w:val="left" w:pos="993"/>
        </w:tabs>
        <w:spacing w:after="0" w:line="360" w:lineRule="auto"/>
        <w:ind w:left="0" w:firstLine="709"/>
        <w:jc w:val="both"/>
        <w:rPr>
          <w:rStyle w:val="a9"/>
          <w:rFonts w:ascii="Times New Roman" w:hAnsi="Times New Roman" w:cs="Times New Roman"/>
          <w:color w:val="000000"/>
          <w:sz w:val="24"/>
          <w:szCs w:val="24"/>
          <w:u w:val="none"/>
        </w:rPr>
      </w:pPr>
      <w:r w:rsidRPr="00A11C6E">
        <w:rPr>
          <w:rFonts w:ascii="Times New Roman" w:hAnsi="Times New Roman" w:cs="Times New Roman"/>
          <w:color w:val="000000" w:themeColor="text1"/>
          <w:sz w:val="24"/>
          <w:szCs w:val="24"/>
        </w:rPr>
        <w:t>Beaverstock</w:t>
      </w:r>
      <w:r w:rsidR="00025A1D"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themeColor="text1"/>
          <w:sz w:val="24"/>
          <w:szCs w:val="24"/>
        </w:rPr>
        <w:t xml:space="preserve"> J. V. A roster of world cities /</w:t>
      </w:r>
      <w:r w:rsidRPr="00A11C6E">
        <w:rPr>
          <w:rStyle w:val="a9"/>
          <w:rFonts w:ascii="Times New Roman" w:hAnsi="Times New Roman" w:cs="Times New Roman"/>
          <w:color w:val="000000" w:themeColor="text1"/>
          <w:sz w:val="24"/>
          <w:szCs w:val="24"/>
          <w:u w:val="none"/>
        </w:rPr>
        <w:t xml:space="preserve"> Beaverstock, </w:t>
      </w:r>
      <w:r w:rsidR="00484298" w:rsidRPr="00A11C6E">
        <w:rPr>
          <w:rStyle w:val="a9"/>
          <w:rFonts w:ascii="Times New Roman" w:hAnsi="Times New Roman" w:cs="Times New Roman"/>
          <w:color w:val="000000" w:themeColor="text1"/>
          <w:sz w:val="24"/>
          <w:szCs w:val="24"/>
          <w:u w:val="none"/>
        </w:rPr>
        <w:t>P. J. Taylor, R. G. Smith.</w:t>
      </w:r>
      <w:r w:rsidRPr="00A11C6E">
        <w:rPr>
          <w:rStyle w:val="a9"/>
          <w:rFonts w:ascii="Times New Roman" w:hAnsi="Times New Roman" w:cs="Times New Roman"/>
          <w:color w:val="000000" w:themeColor="text1"/>
          <w:sz w:val="24"/>
          <w:szCs w:val="24"/>
          <w:u w:val="none"/>
        </w:rPr>
        <w:t xml:space="preserve"> // Cities. – Vol. 16, No. 6</w:t>
      </w:r>
      <w:r w:rsidR="00484298" w:rsidRPr="00A11C6E">
        <w:rPr>
          <w:rStyle w:val="a9"/>
          <w:rFonts w:ascii="Times New Roman" w:hAnsi="Times New Roman" w:cs="Times New Roman"/>
          <w:color w:val="000000" w:themeColor="text1"/>
          <w:sz w:val="24"/>
          <w:szCs w:val="24"/>
          <w:u w:val="none"/>
        </w:rPr>
        <w:t>, 1999. –</w:t>
      </w:r>
      <w:r w:rsidR="00025A1D" w:rsidRPr="00A11C6E">
        <w:rPr>
          <w:rStyle w:val="a9"/>
          <w:rFonts w:ascii="Times New Roman" w:hAnsi="Times New Roman" w:cs="Times New Roman"/>
          <w:color w:val="000000" w:themeColor="text1"/>
          <w:sz w:val="24"/>
          <w:szCs w:val="24"/>
          <w:u w:val="none"/>
        </w:rPr>
        <w:t xml:space="preserve"> P</w:t>
      </w:r>
      <w:r w:rsidR="00484298" w:rsidRPr="00A11C6E">
        <w:rPr>
          <w:rStyle w:val="a9"/>
          <w:rFonts w:ascii="Times New Roman" w:hAnsi="Times New Roman" w:cs="Times New Roman"/>
          <w:color w:val="000000" w:themeColor="text1"/>
          <w:sz w:val="24"/>
          <w:szCs w:val="24"/>
          <w:u w:val="none"/>
        </w:rPr>
        <w:t>. 445-458.</w:t>
      </w:r>
    </w:p>
    <w:p w14:paraId="10EE8C1F" w14:textId="5A14AD24" w:rsidR="00025A1D" w:rsidRPr="00A11C6E" w:rsidRDefault="00025A1D" w:rsidP="00A134D2">
      <w:pPr>
        <w:pStyle w:val="af3"/>
        <w:numPr>
          <w:ilvl w:val="0"/>
          <w:numId w:val="15"/>
        </w:numPr>
        <w:tabs>
          <w:tab w:val="left" w:pos="993"/>
        </w:tabs>
        <w:spacing w:after="0" w:line="360" w:lineRule="auto"/>
        <w:ind w:left="0" w:firstLine="709"/>
        <w:jc w:val="both"/>
        <w:rPr>
          <w:rStyle w:val="a9"/>
          <w:rFonts w:ascii="Times New Roman" w:hAnsi="Times New Roman" w:cs="Times New Roman"/>
          <w:color w:val="000000"/>
          <w:sz w:val="24"/>
          <w:szCs w:val="24"/>
          <w:u w:val="none"/>
        </w:rPr>
      </w:pPr>
      <w:r w:rsidRPr="00A11C6E">
        <w:rPr>
          <w:rStyle w:val="a9"/>
          <w:rFonts w:ascii="Times New Roman" w:hAnsi="Times New Roman" w:cs="Times New Roman"/>
          <w:color w:val="000000" w:themeColor="text1"/>
          <w:sz w:val="24"/>
          <w:szCs w:val="24"/>
          <w:u w:val="none"/>
        </w:rPr>
        <w:t>Beaverstock, J. V. World-City Network: A New Metageography? / J. V. Beaverstock, R.</w:t>
      </w:r>
      <w:r w:rsidR="004A0184">
        <w:rPr>
          <w:rStyle w:val="a9"/>
          <w:rFonts w:ascii="Times New Roman" w:hAnsi="Times New Roman" w:cs="Times New Roman"/>
          <w:color w:val="000000" w:themeColor="text1"/>
          <w:sz w:val="24"/>
          <w:szCs w:val="24"/>
          <w:u w:val="none"/>
        </w:rPr>
        <w:t> </w:t>
      </w:r>
      <w:r w:rsidRPr="00A11C6E">
        <w:rPr>
          <w:rStyle w:val="a9"/>
          <w:rFonts w:ascii="Times New Roman" w:hAnsi="Times New Roman" w:cs="Times New Roman"/>
          <w:color w:val="000000" w:themeColor="text1"/>
          <w:sz w:val="24"/>
          <w:szCs w:val="24"/>
          <w:u w:val="none"/>
        </w:rPr>
        <w:t>G. Smith, P. J. Taylor // Annals of the Association of American Geographers. – 2000, 90 (1). – P. 123–134.</w:t>
      </w:r>
    </w:p>
    <w:p w14:paraId="2C6C77DD" w14:textId="44CD62F6" w:rsidR="00DC66F8" w:rsidRPr="00A11C6E" w:rsidRDefault="00DC66F8"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Style w:val="a9"/>
          <w:rFonts w:ascii="Times New Roman" w:hAnsi="Times New Roman" w:cs="Times New Roman"/>
          <w:color w:val="000000" w:themeColor="text1"/>
          <w:sz w:val="24"/>
          <w:szCs w:val="24"/>
          <w:u w:val="none"/>
        </w:rPr>
        <w:t>Bennion Ph. The Rise of China: Fresh Insights and Observations – a collection of essays [</w:t>
      </w:r>
      <w:r w:rsidRPr="00A11C6E">
        <w:rPr>
          <w:rStyle w:val="a9"/>
          <w:rFonts w:ascii="Times New Roman" w:hAnsi="Times New Roman" w:cs="Times New Roman"/>
          <w:color w:val="000000" w:themeColor="text1"/>
          <w:sz w:val="24"/>
          <w:szCs w:val="24"/>
          <w:u w:val="none"/>
          <w:lang w:val="ru-RU"/>
        </w:rPr>
        <w:t>Электронный</w:t>
      </w:r>
      <w:r w:rsidRPr="00A11C6E">
        <w:rPr>
          <w:rStyle w:val="a9"/>
          <w:rFonts w:ascii="Times New Roman" w:hAnsi="Times New Roman" w:cs="Times New Roman"/>
          <w:color w:val="000000" w:themeColor="text1"/>
          <w:sz w:val="24"/>
          <w:szCs w:val="24"/>
          <w:u w:val="none"/>
        </w:rPr>
        <w:t xml:space="preserve"> </w:t>
      </w:r>
      <w:r w:rsidRPr="00A11C6E">
        <w:rPr>
          <w:rStyle w:val="a9"/>
          <w:rFonts w:ascii="Times New Roman" w:hAnsi="Times New Roman" w:cs="Times New Roman"/>
          <w:color w:val="000000" w:themeColor="text1"/>
          <w:sz w:val="24"/>
          <w:szCs w:val="24"/>
          <w:u w:val="none"/>
          <w:lang w:val="ru-RU"/>
        </w:rPr>
        <w:t>ресурс</w:t>
      </w:r>
      <w:r w:rsidRPr="00A11C6E">
        <w:rPr>
          <w:rStyle w:val="a9"/>
          <w:rFonts w:ascii="Times New Roman" w:hAnsi="Times New Roman" w:cs="Times New Roman"/>
          <w:color w:val="000000" w:themeColor="text1"/>
          <w:sz w:val="24"/>
          <w:szCs w:val="24"/>
          <w:u w:val="none"/>
        </w:rPr>
        <w:t xml:space="preserve">]/ Ph. Bennion, John Lord Alderdice. – The Paddy Ashdown Forum. London, 2021. – 160 p.  </w:t>
      </w:r>
      <w:r w:rsidRPr="00A11C6E">
        <w:rPr>
          <w:rStyle w:val="a9"/>
          <w:rFonts w:ascii="Times New Roman" w:hAnsi="Times New Roman" w:cs="Times New Roman"/>
          <w:color w:val="000000" w:themeColor="text1"/>
          <w:sz w:val="24"/>
          <w:szCs w:val="24"/>
          <w:u w:val="none"/>
          <w:lang w:val="ru-RU"/>
        </w:rPr>
        <w:t xml:space="preserve">– Режим доступа: </w:t>
      </w:r>
      <w:r w:rsidRPr="00A11C6E">
        <w:rPr>
          <w:rStyle w:val="a9"/>
          <w:rFonts w:ascii="Times New Roman" w:hAnsi="Times New Roman" w:cs="Times New Roman"/>
          <w:color w:val="000000" w:themeColor="text1"/>
          <w:sz w:val="24"/>
          <w:szCs w:val="24"/>
          <w:u w:val="none"/>
        </w:rPr>
        <w:t>URL</w:t>
      </w:r>
      <w:r w:rsidRPr="00A11C6E">
        <w:rPr>
          <w:rStyle w:val="a9"/>
          <w:rFonts w:ascii="Times New Roman" w:hAnsi="Times New Roman" w:cs="Times New Roman"/>
          <w:color w:val="000000" w:themeColor="text1"/>
          <w:sz w:val="24"/>
          <w:szCs w:val="24"/>
          <w:u w:val="none"/>
          <w:lang w:val="ru-RU"/>
        </w:rPr>
        <w:t xml:space="preserve">: </w:t>
      </w:r>
      <w:hyperlink r:id="rId62" w:history="1">
        <w:r w:rsidRPr="00A11C6E">
          <w:rPr>
            <w:rStyle w:val="a9"/>
            <w:rFonts w:ascii="Times New Roman" w:hAnsi="Times New Roman" w:cs="Times New Roman"/>
            <w:color w:val="000000" w:themeColor="text1"/>
            <w:sz w:val="24"/>
            <w:szCs w:val="24"/>
            <w:u w:val="none"/>
          </w:rPr>
          <w:t>https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www</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longfinance</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net</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media</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documents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The</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Rise</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of</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China</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Fresh</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Insights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and</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observations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Online</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PDF</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pdf</w:t>
        </w:r>
      </w:hyperlink>
      <w:r w:rsidRPr="00A11C6E">
        <w:rPr>
          <w:rStyle w:val="a9"/>
          <w:rFonts w:ascii="Times New Roman" w:hAnsi="Times New Roman" w:cs="Times New Roman"/>
          <w:color w:val="000000" w:themeColor="text1"/>
          <w:sz w:val="24"/>
          <w:szCs w:val="24"/>
          <w:u w:val="none"/>
          <w:lang w:val="ru-RU"/>
        </w:rPr>
        <w:t xml:space="preserve"> (дата обращения: 05.04.2023).</w:t>
      </w:r>
    </w:p>
    <w:p w14:paraId="16955EC3"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Bindermann K. On the Optimal Design of an international Financial Center. Dept of economist: Bristol University, 1997.</w:t>
      </w:r>
    </w:p>
    <w:p w14:paraId="7B610EDE" w14:textId="11EDF5FA"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Bindemann, K. The Future of European Financial Centres / K. Bindemann. - London: Routledge, 1999. – 176 p.</w:t>
      </w:r>
      <w:bookmarkStart w:id="108" w:name="_Ref499231392"/>
      <w:bookmarkEnd w:id="106"/>
      <w:bookmarkEnd w:id="108"/>
    </w:p>
    <w:p w14:paraId="71023AF4" w14:textId="537FB1E8" w:rsidR="00625AE4" w:rsidRPr="00A11C6E" w:rsidRDefault="00625AE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Calney, A. Shanghai: Building an International Fina</w:t>
      </w:r>
      <w:r w:rsidR="00510E88" w:rsidRPr="00A11C6E">
        <w:rPr>
          <w:rFonts w:ascii="Times New Roman" w:hAnsi="Times New Roman" w:cs="Times New Roman"/>
          <w:color w:val="000000" w:themeColor="text1"/>
          <w:sz w:val="24"/>
          <w:szCs w:val="24"/>
          <w:shd w:val="clear" w:color="auto" w:fill="FFFFFF"/>
        </w:rPr>
        <w:t>ncial Centre with Chinese Charac</w:t>
      </w:r>
      <w:r w:rsidRPr="00A11C6E">
        <w:rPr>
          <w:rFonts w:ascii="Times New Roman" w:hAnsi="Times New Roman" w:cs="Times New Roman"/>
          <w:color w:val="000000" w:themeColor="text1"/>
          <w:sz w:val="24"/>
          <w:szCs w:val="24"/>
          <w:shd w:val="clear" w:color="auto" w:fill="FFFFFF"/>
        </w:rPr>
        <w:t>teristics</w:t>
      </w:r>
      <w:r w:rsidR="00510E88" w:rsidRPr="00A11C6E">
        <w:rPr>
          <w:rFonts w:ascii="Times New Roman" w:hAnsi="Times New Roman" w:cs="Times New Roman"/>
          <w:color w:val="000000" w:themeColor="text1"/>
          <w:sz w:val="24"/>
          <w:szCs w:val="24"/>
          <w:shd w:val="clear" w:color="auto" w:fill="FFFFFF"/>
        </w:rPr>
        <w:t xml:space="preserve"> / A. Calney, Booz&amp;Co Inc. 2010</w:t>
      </w:r>
      <w:r w:rsidR="00D20B6B" w:rsidRPr="00A11C6E">
        <w:rPr>
          <w:rFonts w:ascii="Times New Roman" w:hAnsi="Times New Roman" w:cs="Times New Roman"/>
          <w:color w:val="000000" w:themeColor="text1"/>
          <w:sz w:val="24"/>
          <w:szCs w:val="24"/>
          <w:shd w:val="clear" w:color="auto" w:fill="FFFFFF"/>
        </w:rPr>
        <w:t>.</w:t>
      </w:r>
    </w:p>
    <w:p w14:paraId="64D8E4AD" w14:textId="547A05DA" w:rsidR="00D20B6B" w:rsidRPr="00A11C6E" w:rsidRDefault="00D20B6B"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lastRenderedPageBreak/>
        <w:t>Campanella, M. The Internationalization of the Renminbi and the Rise of a Multipolar Currency System / M. Campanella // ECIPE Working paper. – 2014, №1. – 17 p.</w:t>
      </w:r>
    </w:p>
    <w:p w14:paraId="5584450C"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09" w:name="_Ref135595963"/>
      <w:r w:rsidRPr="00A11C6E">
        <w:rPr>
          <w:rFonts w:ascii="Times New Roman" w:hAnsi="Times New Roman" w:cs="Times New Roman"/>
          <w:color w:val="000000" w:themeColor="text1"/>
          <w:sz w:val="24"/>
          <w:szCs w:val="24"/>
          <w:shd w:val="clear" w:color="auto" w:fill="FFFFFF"/>
        </w:rPr>
        <w:t>Cassis, Y. Capitals of Capital. The Rise and Fall of International Financial Centres, 1780-2009. Cambridge University Press. 2010. – 393 p.</w:t>
      </w:r>
      <w:bookmarkEnd w:id="109"/>
    </w:p>
    <w:p w14:paraId="4E59B480"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10" w:name="_Ref135595974"/>
      <w:r w:rsidRPr="00A11C6E">
        <w:rPr>
          <w:rFonts w:ascii="Times New Roman" w:hAnsi="Times New Roman" w:cs="Times New Roman"/>
          <w:color w:val="000000" w:themeColor="text1"/>
          <w:sz w:val="24"/>
          <w:szCs w:val="24"/>
          <w:shd w:val="clear" w:color="auto" w:fill="FFFFFF"/>
        </w:rPr>
        <w:t>Cassis Y. London and Paris as International Financial Centres in the Twentieth Century / Y. Cassis, E. Bussiere. Oxford, 2005. – 367 p.</w:t>
      </w:r>
      <w:bookmarkEnd w:id="110"/>
    </w:p>
    <w:p w14:paraId="5CCAF35E" w14:textId="77288C84" w:rsidR="008B69B1" w:rsidRPr="00A11C6E" w:rsidRDefault="008B69B1"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rPr>
        <w:t xml:space="preserve">China Business Climate Survey Report 2023. </w:t>
      </w:r>
      <w:r w:rsidRPr="00A11C6E">
        <w:rPr>
          <w:rFonts w:ascii="Times New Roman" w:hAnsi="Times New Roman" w:cs="Times New Roman"/>
          <w:color w:val="000000" w:themeColor="text1"/>
          <w:sz w:val="24"/>
          <w:szCs w:val="24"/>
          <w:lang w:val="ru-RU" w:eastAsia="zh-CN"/>
        </w:rPr>
        <w:t>[Электронный ресурс]. – Режим доступа:</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https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www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amchamchina</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org</w:t>
      </w:r>
      <w:r w:rsidRPr="00A11C6E">
        <w:rPr>
          <w:rFonts w:ascii="Times New Roman" w:hAnsi="Times New Roman" w:cs="Times New Roman"/>
          <w:color w:val="000000" w:themeColor="text1"/>
          <w:sz w:val="24"/>
          <w:szCs w:val="24"/>
          <w:lang w:val="ru-RU"/>
        </w:rPr>
        <w:t>/2023-</w:t>
      </w:r>
      <w:r w:rsidRPr="00A11C6E">
        <w:rPr>
          <w:rFonts w:ascii="Times New Roman" w:hAnsi="Times New Roman" w:cs="Times New Roman"/>
          <w:color w:val="000000" w:themeColor="text1"/>
          <w:sz w:val="24"/>
          <w:szCs w:val="24"/>
        </w:rPr>
        <w:t>china</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business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climate</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survey</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report</w:t>
      </w:r>
      <w:r w:rsidRPr="00A11C6E">
        <w:rPr>
          <w:rFonts w:ascii="Times New Roman" w:hAnsi="Times New Roman" w:cs="Times New Roman"/>
          <w:color w:val="000000" w:themeColor="text1"/>
          <w:sz w:val="24"/>
          <w:szCs w:val="24"/>
          <w:lang w:val="ru-RU"/>
        </w:rPr>
        <w:t xml:space="preserve"> (дата обращения: </w:t>
      </w:r>
      <w:r w:rsidRPr="00A11C6E">
        <w:rPr>
          <w:rFonts w:ascii="Times New Roman" w:hAnsi="Times New Roman" w:cs="Times New Roman"/>
          <w:color w:val="000000" w:themeColor="text1"/>
          <w:sz w:val="24"/>
          <w:szCs w:val="24"/>
          <w:lang w:val="ru-RU" w:eastAsia="zh-CN"/>
        </w:rPr>
        <w:t>01.03.2023</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lang w:val="ru-RU" w:eastAsia="zh-CN"/>
        </w:rPr>
        <w:t>.</w:t>
      </w:r>
    </w:p>
    <w:p w14:paraId="69A39B3D" w14:textId="78BDACAB" w:rsidR="00C81137" w:rsidRPr="00A11C6E" w:rsidRDefault="00C8113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lang w:eastAsia="zh-CN"/>
        </w:rPr>
        <w:t>Cheung, Y.-W. Renminbising China’s Foreign Assets / Y.-W. Cheung, G. Ma, R.</w:t>
      </w:r>
      <w:r w:rsidR="004A0184">
        <w:rPr>
          <w:rFonts w:ascii="Times New Roman" w:hAnsi="Times New Roman" w:cs="Times New Roman"/>
          <w:color w:val="000000" w:themeColor="text1"/>
          <w:sz w:val="24"/>
          <w:szCs w:val="24"/>
          <w:lang w:eastAsia="zh-CN"/>
        </w:rPr>
        <w:t> </w:t>
      </w:r>
      <w:r w:rsidRPr="00A11C6E">
        <w:rPr>
          <w:rFonts w:ascii="Times New Roman" w:hAnsi="Times New Roman" w:cs="Times New Roman"/>
          <w:color w:val="000000" w:themeColor="text1"/>
          <w:sz w:val="24"/>
          <w:szCs w:val="24"/>
          <w:lang w:eastAsia="zh-CN"/>
        </w:rPr>
        <w:t>N.</w:t>
      </w:r>
      <w:r w:rsidR="004A0184">
        <w:rPr>
          <w:rFonts w:ascii="Times New Roman" w:hAnsi="Times New Roman" w:cs="Times New Roman"/>
          <w:color w:val="000000" w:themeColor="text1"/>
          <w:sz w:val="24"/>
          <w:szCs w:val="24"/>
          <w:lang w:eastAsia="zh-CN"/>
        </w:rPr>
        <w:t> </w:t>
      </w:r>
      <w:r w:rsidRPr="00A11C6E">
        <w:rPr>
          <w:rFonts w:ascii="Times New Roman" w:hAnsi="Times New Roman" w:cs="Times New Roman"/>
          <w:color w:val="000000" w:themeColor="text1"/>
          <w:sz w:val="24"/>
          <w:szCs w:val="24"/>
          <w:lang w:eastAsia="zh-CN"/>
        </w:rPr>
        <w:t>McCauley // CESifo Working paper No. 3009. Category 7: Monetary Policy and International Finance. – April 2010.</w:t>
      </w:r>
      <w:r w:rsidR="00D20B6B" w:rsidRPr="00A11C6E">
        <w:rPr>
          <w:rFonts w:ascii="Times New Roman" w:hAnsi="Times New Roman" w:cs="Times New Roman"/>
          <w:color w:val="000000" w:themeColor="text1"/>
          <w:sz w:val="24"/>
          <w:szCs w:val="24"/>
          <w:lang w:eastAsia="zh-CN"/>
        </w:rPr>
        <w:t xml:space="preserve"> – 27 p.</w:t>
      </w:r>
    </w:p>
    <w:p w14:paraId="626E75DA" w14:textId="04DA1AB7" w:rsidR="00AE4368" w:rsidRPr="00D60B4C"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 xml:space="preserve">Clark G. London in the European Financial Services Industry: Locational Advantages and Product Complementarities // Journal of Economic Geography. </w:t>
      </w:r>
      <w:bookmarkStart w:id="111" w:name="_Ref446789751"/>
      <w:bookmarkEnd w:id="107"/>
      <w:r w:rsidRPr="00A11C6E">
        <w:rPr>
          <w:rFonts w:ascii="Times New Roman" w:hAnsi="Times New Roman" w:cs="Times New Roman"/>
          <w:color w:val="000000" w:themeColor="text1"/>
          <w:sz w:val="24"/>
          <w:szCs w:val="24"/>
          <w:shd w:val="clear" w:color="auto" w:fill="FFFFFF"/>
        </w:rPr>
        <w:t xml:space="preserve">– 2002, February, vol. 2(3) – Oxford University Press. – </w:t>
      </w:r>
      <w:r w:rsidR="00625AE4" w:rsidRPr="00A11C6E">
        <w:rPr>
          <w:rFonts w:ascii="Times New Roman" w:hAnsi="Times New Roman" w:cs="Times New Roman"/>
          <w:color w:val="000000" w:themeColor="text1"/>
          <w:sz w:val="24"/>
          <w:szCs w:val="24"/>
          <w:shd w:val="clear" w:color="auto" w:fill="FFFFFF"/>
        </w:rPr>
        <w:t xml:space="preserve">Pp. </w:t>
      </w:r>
      <w:r w:rsidRPr="00A11C6E">
        <w:rPr>
          <w:rFonts w:ascii="Times New Roman" w:hAnsi="Times New Roman" w:cs="Times New Roman"/>
          <w:color w:val="000000" w:themeColor="text1"/>
          <w:sz w:val="24"/>
          <w:szCs w:val="24"/>
          <w:shd w:val="clear" w:color="auto" w:fill="FFFFFF"/>
        </w:rPr>
        <w:t>433–453.</w:t>
      </w:r>
    </w:p>
    <w:p w14:paraId="3E3F8020" w14:textId="78D3983B" w:rsidR="00D60B4C" w:rsidRPr="00D60B4C" w:rsidRDefault="00D60B4C"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12" w:name="_Ref136175633"/>
      <w:r w:rsidRPr="00D60B4C">
        <w:rPr>
          <w:rFonts w:ascii="Times New Roman" w:hAnsi="Times New Roman" w:cs="Times New Roman"/>
          <w:sz w:val="24"/>
          <w:szCs w:val="24"/>
        </w:rPr>
        <w:t>Clarke, W. M. How the City of London Works / William M. Clarke –. Sweet and Maxwell, 2008.</w:t>
      </w:r>
      <w:bookmarkEnd w:id="112"/>
    </w:p>
    <w:p w14:paraId="00FBCA6C" w14:textId="19B568C8" w:rsidR="00510E8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t>Company Overview</w:t>
      </w:r>
      <w:r w:rsidRPr="00A11C6E">
        <w:rPr>
          <w:rFonts w:ascii="Times New Roman" w:hAnsi="Times New Roman" w:cs="Times New Roman"/>
          <w:color w:val="000000" w:themeColor="text1"/>
          <w:sz w:val="24"/>
          <w:szCs w:val="24"/>
          <w:lang w:eastAsia="zh-CN"/>
        </w:rPr>
        <w:t xml:space="preserve"> / Goworld Display LTD. –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rPr>
        <w:t>URL:</w:t>
      </w:r>
      <w:r w:rsidR="004A0184">
        <w:rPr>
          <w:rFonts w:ascii="Times New Roman" w:hAnsi="Times New Roman" w:cs="Times New Roman"/>
          <w:color w:val="000000" w:themeColor="text1"/>
          <w:sz w:val="24"/>
          <w:szCs w:val="24"/>
        </w:rPr>
        <w:t> </w:t>
      </w:r>
      <w:r w:rsidRPr="00A11C6E">
        <w:rPr>
          <w:rFonts w:ascii="Times New Roman" w:hAnsi="Times New Roman" w:cs="Times New Roman"/>
          <w:sz w:val="24"/>
          <w:szCs w:val="24"/>
        </w:rPr>
        <w:t>http://www.goworld-lcd.com/EN/FZLC</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01.03.2023)</w:t>
      </w:r>
      <w:r w:rsidRPr="00A11C6E">
        <w:rPr>
          <w:rFonts w:ascii="Times New Roman" w:hAnsi="Times New Roman" w:cs="Times New Roman"/>
          <w:color w:val="000000" w:themeColor="text1"/>
          <w:sz w:val="24"/>
          <w:szCs w:val="24"/>
          <w:lang w:eastAsia="zh-CN"/>
        </w:rPr>
        <w:t>.</w:t>
      </w:r>
      <w:bookmarkEnd w:id="111"/>
    </w:p>
    <w:p w14:paraId="4054564D" w14:textId="7AEA7B13" w:rsidR="00510E88" w:rsidRPr="00A11C6E" w:rsidRDefault="00510E88"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lang w:eastAsia="zh-CN"/>
        </w:rPr>
        <w:t>Cooper, M. The Great Game: Clustering in Wholesale Financial Services [</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 M. Cooper, Long Finance. – 2011, №2. –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 xml:space="preserve">: URL: </w:t>
      </w:r>
      <w:hyperlink r:id="rId63" w:history="1">
        <w:r w:rsidRPr="00A11C6E">
          <w:rPr>
            <w:rStyle w:val="a9"/>
            <w:rFonts w:ascii="Times New Roman" w:hAnsi="Times New Roman" w:cs="Times New Roman"/>
            <w:color w:val="000000" w:themeColor="text1"/>
            <w:sz w:val="24"/>
            <w:szCs w:val="24"/>
            <w:u w:val="none"/>
            <w:lang w:eastAsia="zh-CN"/>
          </w:rPr>
          <w:t>https://www.longfinance.net/media/documents/The_Great_Game_Clustering_In_Wholesale_Financial_Services.pdf</w:t>
        </w:r>
      </w:hyperlink>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дата</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обращения</w:t>
      </w:r>
      <w:r w:rsidRPr="00A11C6E">
        <w:rPr>
          <w:rFonts w:ascii="Times New Roman" w:hAnsi="Times New Roman" w:cs="Times New Roman"/>
          <w:color w:val="000000" w:themeColor="text1"/>
          <w:sz w:val="24"/>
          <w:szCs w:val="24"/>
          <w:lang w:eastAsia="zh-CN"/>
        </w:rPr>
        <w:t>: 05.04.2023).</w:t>
      </w:r>
    </w:p>
    <w:p w14:paraId="098A1B0E" w14:textId="10808449"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4E7E3E">
        <w:rPr>
          <w:rFonts w:ascii="Times New Roman" w:hAnsi="Times New Roman" w:cs="Times New Roman"/>
          <w:color w:val="000000" w:themeColor="text1"/>
          <w:sz w:val="24"/>
          <w:szCs w:val="24"/>
        </w:rPr>
        <w:t>Chow</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Tai</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Fook</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Centre</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lang w:val="ru-RU" w:eastAsia="zh-CN"/>
        </w:rPr>
        <w:t>[Электронный ресурс]. – Режим доступа:</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UR</w:t>
      </w:r>
      <w:r w:rsidR="004A0184">
        <w:rPr>
          <w:rFonts w:ascii="Times New Roman" w:hAnsi="Times New Roman" w:cs="Times New Roman"/>
          <w:color w:val="000000" w:themeColor="text1"/>
          <w:sz w:val="24"/>
          <w:szCs w:val="24"/>
        </w:rPr>
        <w:t>L</w:t>
      </w:r>
      <w:r w:rsidRPr="004E7E3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hyperlink r:id="rId64" w:tooltip="http://skyscraperpage.com/cities/?buildingID=39970" w:history="1">
        <w:r w:rsidRPr="004E7E3E">
          <w:rPr>
            <w:rStyle w:val="a9"/>
            <w:rFonts w:ascii="Times New Roman" w:hAnsi="Times New Roman" w:cs="Times New Roman"/>
            <w:color w:val="000000" w:themeColor="text1"/>
            <w:sz w:val="24"/>
            <w:szCs w:val="24"/>
            <w:u w:val="none"/>
          </w:rPr>
          <w:t>http</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skyscraperpage</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com</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cities</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buildingID</w:t>
        </w:r>
        <w:r w:rsidRPr="004E7E3E">
          <w:rPr>
            <w:rStyle w:val="a9"/>
            <w:rFonts w:ascii="Times New Roman" w:hAnsi="Times New Roman" w:cs="Times New Roman"/>
            <w:color w:val="000000" w:themeColor="text1"/>
            <w:sz w:val="24"/>
            <w:szCs w:val="24"/>
            <w:u w:val="none"/>
            <w:lang w:val="ru-RU"/>
          </w:rPr>
          <w:t>=39970</w:t>
        </w:r>
      </w:hyperlink>
      <w:r w:rsidRPr="004E7E3E">
        <w:rPr>
          <w:rFonts w:ascii="Times New Roman" w:hAnsi="Times New Roman" w:cs="Times New Roman"/>
          <w:color w:val="000000" w:themeColor="text1"/>
          <w:sz w:val="24"/>
          <w:szCs w:val="24"/>
          <w:lang w:val="ru-RU"/>
        </w:rPr>
        <w:t xml:space="preserve"> (дата обращения: 01.03.2023).</w:t>
      </w:r>
    </w:p>
    <w:p w14:paraId="123C9A97" w14:textId="6535915A"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13" w:name="_Ref501277358"/>
      <w:r w:rsidRPr="004E7E3E">
        <w:rPr>
          <w:rFonts w:ascii="Times New Roman" w:hAnsi="Times New Roman" w:cs="Times New Roman"/>
          <w:color w:val="000000" w:themeColor="text1"/>
          <w:sz w:val="24"/>
          <w:szCs w:val="24"/>
          <w:shd w:val="clear" w:color="auto" w:fill="FFFFFF"/>
        </w:rPr>
        <w:t>Derudder,</w:t>
      </w:r>
      <w:r w:rsidRPr="004E7E3E">
        <w:rPr>
          <w:rStyle w:val="apple-converted-space"/>
          <w:rFonts w:ascii="Times New Roman" w:hAnsi="Times New Roman" w:cs="Times New Roman"/>
          <w:color w:val="000000" w:themeColor="text1"/>
          <w:sz w:val="24"/>
          <w:szCs w:val="24"/>
          <w:shd w:val="clear" w:color="auto" w:fill="FFFFFF"/>
        </w:rPr>
        <w:t xml:space="preserve"> B.</w:t>
      </w:r>
      <w:r w:rsidRPr="004E7E3E">
        <w:rPr>
          <w:rFonts w:ascii="Times New Roman" w:hAnsi="Times New Roman" w:cs="Times New Roman"/>
          <w:color w:val="000000" w:themeColor="text1"/>
          <w:sz w:val="24"/>
          <w:szCs w:val="24"/>
          <w:shd w:val="clear" w:color="auto" w:fill="FFFFFF"/>
        </w:rPr>
        <w:t xml:space="preserve"> </w:t>
      </w:r>
      <w:r w:rsidRPr="004E7E3E">
        <w:rPr>
          <w:rFonts w:ascii="Times New Roman" w:hAnsi="Times New Roman" w:cs="Times New Roman"/>
          <w:color w:val="000000" w:themeColor="text1"/>
          <w:sz w:val="24"/>
          <w:szCs w:val="24"/>
        </w:rPr>
        <w:t xml:space="preserve">An Alternative Approach to the Calculation and Analysis of Connectivity in the World City Network </w:t>
      </w:r>
      <w:r w:rsidRPr="004E7E3E">
        <w:rPr>
          <w:rFonts w:ascii="Times New Roman" w:hAnsi="Times New Roman" w:cs="Times New Roman"/>
          <w:color w:val="000000" w:themeColor="text1"/>
          <w:sz w:val="24"/>
          <w:szCs w:val="24"/>
          <w:lang w:eastAsia="zh-CN"/>
        </w:rPr>
        <w:t>[</w:t>
      </w:r>
      <w:r w:rsidRPr="004E7E3E">
        <w:rPr>
          <w:rFonts w:ascii="Times New Roman" w:hAnsi="Times New Roman" w:cs="Times New Roman"/>
          <w:color w:val="000000" w:themeColor="text1"/>
          <w:sz w:val="24"/>
          <w:szCs w:val="24"/>
          <w:lang w:val="ru-RU" w:eastAsia="zh-CN"/>
        </w:rPr>
        <w:t>Электронный</w:t>
      </w:r>
      <w:r w:rsidRPr="004E7E3E">
        <w:rPr>
          <w:rFonts w:ascii="Times New Roman" w:hAnsi="Times New Roman" w:cs="Times New Roman"/>
          <w:color w:val="000000" w:themeColor="text1"/>
          <w:sz w:val="24"/>
          <w:szCs w:val="24"/>
          <w:lang w:eastAsia="zh-CN"/>
        </w:rPr>
        <w:t xml:space="preserve"> </w:t>
      </w:r>
      <w:r w:rsidRPr="004E7E3E">
        <w:rPr>
          <w:rFonts w:ascii="Times New Roman" w:hAnsi="Times New Roman" w:cs="Times New Roman"/>
          <w:color w:val="000000" w:themeColor="text1"/>
          <w:sz w:val="24"/>
          <w:szCs w:val="24"/>
          <w:lang w:val="ru-RU" w:eastAsia="zh-CN"/>
        </w:rPr>
        <w:t>ресурс</w:t>
      </w:r>
      <w:r w:rsidRPr="004E7E3E">
        <w:rPr>
          <w:rFonts w:ascii="Times New Roman" w:hAnsi="Times New Roman" w:cs="Times New Roman"/>
          <w:color w:val="000000" w:themeColor="text1"/>
          <w:sz w:val="24"/>
          <w:szCs w:val="24"/>
          <w:lang w:eastAsia="zh-CN"/>
        </w:rPr>
        <w:t>]</w:t>
      </w:r>
      <w:r w:rsidRPr="004E7E3E">
        <w:rPr>
          <w:rFonts w:ascii="Times New Roman" w:hAnsi="Times New Roman" w:cs="Times New Roman"/>
          <w:color w:val="000000" w:themeColor="text1"/>
          <w:sz w:val="24"/>
          <w:szCs w:val="24"/>
        </w:rPr>
        <w:t xml:space="preserve"> /</w:t>
      </w:r>
      <w:r w:rsidR="00625AE4"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rPr>
        <w:t xml:space="preserve">B. Derudder, S. Hennemann // </w:t>
      </w:r>
      <w:hyperlink r:id="rId65" w:tooltip="http://www.envplan.com/B.html" w:history="1">
        <w:r w:rsidRPr="004E7E3E">
          <w:rPr>
            <w:rStyle w:val="a9"/>
            <w:rFonts w:ascii="Times New Roman" w:hAnsi="Times New Roman" w:cs="Times New Roman"/>
            <w:bCs/>
            <w:color w:val="000000" w:themeColor="text1"/>
            <w:sz w:val="24"/>
            <w:szCs w:val="24"/>
            <w:u w:val="none"/>
            <w:shd w:val="clear" w:color="auto" w:fill="FFFFFF"/>
          </w:rPr>
          <w:t>Environment and Planning B</w:t>
        </w:r>
      </w:hyperlink>
      <w:r w:rsidRPr="004E7E3E">
        <w:rPr>
          <w:rFonts w:ascii="Times New Roman" w:hAnsi="Times New Roman" w:cs="Times New Roman"/>
          <w:color w:val="000000" w:themeColor="text1"/>
          <w:sz w:val="24"/>
          <w:szCs w:val="24"/>
          <w:shd w:val="clear" w:color="auto" w:fill="FFFFFF"/>
        </w:rPr>
        <w:t xml:space="preserve">. – 41 (3). – 2014. – </w:t>
      </w:r>
      <w:r w:rsidRPr="004E7E3E">
        <w:rPr>
          <w:rFonts w:ascii="Times New Roman" w:hAnsi="Times New Roman" w:cs="Times New Roman"/>
          <w:color w:val="000000" w:themeColor="text1"/>
          <w:sz w:val="24"/>
          <w:szCs w:val="24"/>
          <w:shd w:val="clear" w:color="auto" w:fill="FFFFFF"/>
          <w:lang w:val="ru-RU"/>
        </w:rPr>
        <w:t>С</w:t>
      </w:r>
      <w:r w:rsidR="00E54CDA" w:rsidRPr="004E7E3E">
        <w:rPr>
          <w:rFonts w:ascii="Times New Roman" w:hAnsi="Times New Roman" w:cs="Times New Roman"/>
          <w:color w:val="000000" w:themeColor="text1"/>
          <w:sz w:val="24"/>
          <w:szCs w:val="24"/>
          <w:shd w:val="clear" w:color="auto" w:fill="FFFFFF"/>
        </w:rPr>
        <w:t xml:space="preserve">. </w:t>
      </w:r>
      <w:r w:rsidRPr="004E7E3E">
        <w:rPr>
          <w:rFonts w:ascii="Times New Roman" w:hAnsi="Times New Roman" w:cs="Times New Roman"/>
          <w:color w:val="000000" w:themeColor="text1"/>
          <w:sz w:val="24"/>
          <w:szCs w:val="24"/>
          <w:shd w:val="clear" w:color="auto" w:fill="FFFFFF"/>
        </w:rPr>
        <w:t>392–412</w:t>
      </w:r>
      <w:r w:rsidR="005C31B0" w:rsidRPr="004E7E3E">
        <w:rPr>
          <w:rFonts w:ascii="Times New Roman" w:hAnsi="Times New Roman" w:cs="Times New Roman"/>
          <w:color w:val="000000" w:themeColor="text1"/>
          <w:sz w:val="24"/>
          <w:szCs w:val="24"/>
          <w:shd w:val="clear" w:color="auto" w:fill="FFFFFF"/>
        </w:rPr>
        <w:t xml:space="preserve">. – </w:t>
      </w:r>
      <w:r w:rsidR="005C31B0" w:rsidRPr="004E7E3E">
        <w:rPr>
          <w:rFonts w:ascii="Times New Roman" w:hAnsi="Times New Roman" w:cs="Times New Roman"/>
          <w:color w:val="000000" w:themeColor="text1"/>
          <w:sz w:val="24"/>
          <w:szCs w:val="24"/>
          <w:shd w:val="clear" w:color="auto" w:fill="FFFFFF"/>
          <w:lang w:val="ru-RU"/>
        </w:rPr>
        <w:t>Режим</w:t>
      </w:r>
      <w:r w:rsidR="005C31B0" w:rsidRPr="004E7E3E">
        <w:rPr>
          <w:rFonts w:ascii="Times New Roman" w:hAnsi="Times New Roman" w:cs="Times New Roman"/>
          <w:color w:val="000000" w:themeColor="text1"/>
          <w:sz w:val="24"/>
          <w:szCs w:val="24"/>
          <w:shd w:val="clear" w:color="auto" w:fill="FFFFFF"/>
        </w:rPr>
        <w:t xml:space="preserve"> </w:t>
      </w:r>
      <w:r w:rsidR="005C31B0" w:rsidRPr="004E7E3E">
        <w:rPr>
          <w:rFonts w:ascii="Times New Roman" w:hAnsi="Times New Roman" w:cs="Times New Roman"/>
          <w:color w:val="000000" w:themeColor="text1"/>
          <w:sz w:val="24"/>
          <w:szCs w:val="24"/>
          <w:shd w:val="clear" w:color="auto" w:fill="FFFFFF"/>
          <w:lang w:val="ru-RU"/>
        </w:rPr>
        <w:t>доступа</w:t>
      </w:r>
      <w:r w:rsidR="005C31B0" w:rsidRPr="004E7E3E">
        <w:rPr>
          <w:rFonts w:ascii="Times New Roman" w:hAnsi="Times New Roman" w:cs="Times New Roman"/>
          <w:color w:val="000000" w:themeColor="text1"/>
          <w:sz w:val="24"/>
          <w:szCs w:val="24"/>
          <w:shd w:val="clear" w:color="auto" w:fill="FFFFFF"/>
        </w:rPr>
        <w:t>:</w:t>
      </w:r>
      <w:r w:rsidRPr="004E7E3E">
        <w:rPr>
          <w:rFonts w:ascii="Times New Roman" w:hAnsi="Times New Roman" w:cs="Times New Roman"/>
          <w:color w:val="000000" w:themeColor="text1"/>
          <w:sz w:val="24"/>
          <w:szCs w:val="24"/>
          <w:shd w:val="clear" w:color="auto" w:fill="FFFFFF"/>
        </w:rPr>
        <w:t xml:space="preserve"> </w:t>
      </w:r>
      <w:r w:rsidRPr="004E7E3E">
        <w:rPr>
          <w:rFonts w:ascii="Times New Roman" w:hAnsi="Times New Roman" w:cs="Times New Roman"/>
          <w:color w:val="000000" w:themeColor="text1"/>
          <w:sz w:val="24"/>
          <w:szCs w:val="24"/>
          <w:shd w:val="clear" w:color="auto" w:fill="FFFFFF"/>
          <w:lang w:eastAsia="zh-CN"/>
        </w:rPr>
        <w:t>URL:</w:t>
      </w:r>
      <w:r w:rsidR="004A0184">
        <w:rPr>
          <w:rFonts w:ascii="Times New Roman" w:hAnsi="Times New Roman" w:cs="Times New Roman"/>
          <w:color w:val="000000" w:themeColor="text1"/>
          <w:sz w:val="24"/>
          <w:szCs w:val="24"/>
          <w:shd w:val="clear" w:color="auto" w:fill="FFFFFF"/>
          <w:lang w:eastAsia="zh-CN"/>
        </w:rPr>
        <w:t> </w:t>
      </w:r>
      <w:r w:rsidRPr="004E7E3E">
        <w:rPr>
          <w:rFonts w:ascii="Times New Roman" w:hAnsi="Times New Roman" w:cs="Times New Roman"/>
          <w:color w:val="000000" w:themeColor="text1"/>
          <w:sz w:val="24"/>
          <w:szCs w:val="24"/>
        </w:rPr>
        <w:t>https://www.lboro.ac.uk/microsites/geography/gawc/rb/rb401.html</w:t>
      </w:r>
      <w:r w:rsidRPr="004E7E3E">
        <w:rPr>
          <w:rFonts w:ascii="Times New Roman" w:hAnsi="Times New Roman" w:cs="Times New Roman"/>
          <w:color w:val="000000" w:themeColor="text1"/>
          <w:sz w:val="24"/>
          <w:szCs w:val="24"/>
          <w:lang w:eastAsia="zh-CN"/>
        </w:rPr>
        <w:t xml:space="preserve"> </w:t>
      </w:r>
      <w:r w:rsidRPr="004E7E3E">
        <w:rPr>
          <w:rFonts w:ascii="Times New Roman" w:hAnsi="Times New Roman" w:cs="Times New Roman"/>
          <w:color w:val="000000" w:themeColor="text1"/>
          <w:sz w:val="24"/>
          <w:szCs w:val="24"/>
        </w:rPr>
        <w:t>(</w:t>
      </w:r>
      <w:r w:rsidRPr="004E7E3E">
        <w:rPr>
          <w:rFonts w:ascii="Times New Roman" w:hAnsi="Times New Roman" w:cs="Times New Roman"/>
          <w:color w:val="000000" w:themeColor="text1"/>
          <w:sz w:val="24"/>
          <w:szCs w:val="24"/>
          <w:lang w:val="ru-RU"/>
        </w:rPr>
        <w:t>дата</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обращения</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eastAsia="zh-CN"/>
        </w:rPr>
        <w:t>01.03.2023).</w:t>
      </w:r>
      <w:bookmarkEnd w:id="113"/>
    </w:p>
    <w:p w14:paraId="74AFE7C1" w14:textId="07E17560" w:rsidR="008B69B1" w:rsidRPr="004A0184"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4A0184">
        <w:rPr>
          <w:rFonts w:ascii="Times New Roman" w:hAnsi="Times New Roman" w:cs="Times New Roman"/>
          <w:color w:val="000000" w:themeColor="text1"/>
          <w:sz w:val="24"/>
          <w:szCs w:val="24"/>
          <w:shd w:val="clear" w:color="auto" w:fill="FFFFFF"/>
        </w:rPr>
        <w:t>Desjardins, J. Mapping the World's Wealthiest Cities [</w:t>
      </w:r>
      <w:r w:rsidRPr="004A0184">
        <w:rPr>
          <w:rFonts w:ascii="Times New Roman" w:hAnsi="Times New Roman" w:cs="Times New Roman"/>
          <w:color w:val="000000" w:themeColor="text1"/>
          <w:sz w:val="24"/>
          <w:szCs w:val="24"/>
          <w:shd w:val="clear" w:color="auto" w:fill="FFFFFF"/>
          <w:lang w:val="ru-RU"/>
        </w:rPr>
        <w:t>Электронный</w:t>
      </w:r>
      <w:r w:rsidRPr="004A0184">
        <w:rPr>
          <w:rFonts w:ascii="Times New Roman" w:hAnsi="Times New Roman" w:cs="Times New Roman"/>
          <w:color w:val="000000" w:themeColor="text1"/>
          <w:sz w:val="24"/>
          <w:szCs w:val="24"/>
          <w:shd w:val="clear" w:color="auto" w:fill="FFFFFF"/>
        </w:rPr>
        <w:t xml:space="preserve"> </w:t>
      </w:r>
      <w:r w:rsidRPr="004A0184">
        <w:rPr>
          <w:rFonts w:ascii="Times New Roman" w:hAnsi="Times New Roman" w:cs="Times New Roman"/>
          <w:color w:val="000000" w:themeColor="text1"/>
          <w:sz w:val="24"/>
          <w:szCs w:val="24"/>
          <w:shd w:val="clear" w:color="auto" w:fill="FFFFFF"/>
          <w:lang w:val="ru-RU"/>
        </w:rPr>
        <w:t>ресурс</w:t>
      </w:r>
      <w:r w:rsidRPr="004A0184">
        <w:rPr>
          <w:rFonts w:ascii="Times New Roman" w:hAnsi="Times New Roman" w:cs="Times New Roman"/>
          <w:color w:val="000000" w:themeColor="text1"/>
          <w:sz w:val="24"/>
          <w:szCs w:val="24"/>
          <w:shd w:val="clear" w:color="auto" w:fill="FFFFFF"/>
        </w:rPr>
        <w:t>] / J.</w:t>
      </w:r>
      <w:r w:rsidR="004A0184">
        <w:rPr>
          <w:rFonts w:ascii="Times New Roman" w:hAnsi="Times New Roman" w:cs="Times New Roman"/>
          <w:color w:val="000000" w:themeColor="text1"/>
          <w:sz w:val="24"/>
          <w:szCs w:val="24"/>
          <w:shd w:val="clear" w:color="auto" w:fill="FFFFFF"/>
        </w:rPr>
        <w:t> </w:t>
      </w:r>
      <w:r w:rsidRPr="004A0184">
        <w:rPr>
          <w:rFonts w:ascii="Times New Roman" w:hAnsi="Times New Roman" w:cs="Times New Roman"/>
          <w:color w:val="000000" w:themeColor="text1"/>
          <w:sz w:val="24"/>
          <w:szCs w:val="24"/>
          <w:shd w:val="clear" w:color="auto" w:fill="FFFFFF"/>
        </w:rPr>
        <w:t xml:space="preserve">Desjardins // Visual Capitalist from 16.02.2018. – </w:t>
      </w:r>
      <w:r w:rsidRPr="004A0184">
        <w:rPr>
          <w:rFonts w:ascii="Times New Roman" w:hAnsi="Times New Roman" w:cs="Times New Roman"/>
          <w:color w:val="000000" w:themeColor="text1"/>
          <w:sz w:val="24"/>
          <w:szCs w:val="24"/>
          <w:shd w:val="clear" w:color="auto" w:fill="FFFFFF"/>
          <w:lang w:val="ru-RU"/>
        </w:rPr>
        <w:t>Режим</w:t>
      </w:r>
      <w:r w:rsidRPr="004A0184">
        <w:rPr>
          <w:rFonts w:ascii="Times New Roman" w:hAnsi="Times New Roman" w:cs="Times New Roman"/>
          <w:color w:val="000000" w:themeColor="text1"/>
          <w:sz w:val="24"/>
          <w:szCs w:val="24"/>
          <w:shd w:val="clear" w:color="auto" w:fill="FFFFFF"/>
        </w:rPr>
        <w:t xml:space="preserve"> </w:t>
      </w:r>
      <w:r w:rsidRPr="004A0184">
        <w:rPr>
          <w:rFonts w:ascii="Times New Roman" w:hAnsi="Times New Roman" w:cs="Times New Roman"/>
          <w:color w:val="000000" w:themeColor="text1"/>
          <w:sz w:val="24"/>
          <w:szCs w:val="24"/>
          <w:shd w:val="clear" w:color="auto" w:fill="FFFFFF"/>
          <w:lang w:val="ru-RU"/>
        </w:rPr>
        <w:t>доступа</w:t>
      </w:r>
      <w:r w:rsidRPr="004A0184">
        <w:rPr>
          <w:rFonts w:ascii="Times New Roman" w:hAnsi="Times New Roman" w:cs="Times New Roman"/>
          <w:color w:val="000000" w:themeColor="text1"/>
          <w:sz w:val="24"/>
          <w:szCs w:val="24"/>
          <w:shd w:val="clear" w:color="auto" w:fill="FFFFFF"/>
        </w:rPr>
        <w:t>: URL:</w:t>
      </w:r>
      <w:r w:rsidR="004A0184" w:rsidRPr="004A0184">
        <w:rPr>
          <w:rFonts w:ascii="Times New Roman" w:hAnsi="Times New Roman" w:cs="Times New Roman"/>
          <w:color w:val="000000" w:themeColor="text1"/>
          <w:sz w:val="24"/>
          <w:szCs w:val="24"/>
          <w:shd w:val="clear" w:color="auto" w:fill="FFFFFF"/>
        </w:rPr>
        <w:t> </w:t>
      </w:r>
      <w:r w:rsidRPr="004A0184">
        <w:rPr>
          <w:rFonts w:ascii="Times New Roman" w:hAnsi="Times New Roman" w:cs="Times New Roman"/>
          <w:color w:val="000000" w:themeColor="text1"/>
          <w:sz w:val="24"/>
          <w:szCs w:val="24"/>
          <w:shd w:val="clear" w:color="auto" w:fill="FFFFFF"/>
        </w:rPr>
        <w:t>http://www.visualcapitalist.com/top-15-cities-globally-hold-24-trillion-wealth (дата обращения: 25.02.2023).</w:t>
      </w:r>
      <w:bookmarkStart w:id="114" w:name="_Ref498678948"/>
    </w:p>
    <w:p w14:paraId="7CD6F676" w14:textId="053EBF06" w:rsidR="00836ACB" w:rsidRPr="004E7E3E" w:rsidRDefault="008B69B1"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4E7E3E">
        <w:rPr>
          <w:rFonts w:ascii="Times New Roman" w:hAnsi="Times New Roman" w:cs="Times New Roman"/>
          <w:color w:val="000000" w:themeColor="text1"/>
          <w:sz w:val="24"/>
          <w:szCs w:val="24"/>
          <w:shd w:val="clear" w:color="auto" w:fill="FFFFFF"/>
        </w:rPr>
        <w:lastRenderedPageBreak/>
        <w:t>Dridze, E. Financial Centres of the World 2021: Focus on Moscow [</w:t>
      </w:r>
      <w:r w:rsidRPr="004E7E3E">
        <w:rPr>
          <w:rFonts w:ascii="Times New Roman" w:hAnsi="Times New Roman" w:cs="Times New Roman"/>
          <w:color w:val="000000" w:themeColor="text1"/>
          <w:sz w:val="24"/>
          <w:szCs w:val="24"/>
          <w:shd w:val="clear" w:color="auto" w:fill="FFFFFF"/>
          <w:lang w:val="ru-RU"/>
        </w:rPr>
        <w:t>Электронный</w:t>
      </w:r>
      <w:r w:rsidRPr="004E7E3E">
        <w:rPr>
          <w:rFonts w:ascii="Times New Roman" w:hAnsi="Times New Roman" w:cs="Times New Roman"/>
          <w:color w:val="000000" w:themeColor="text1"/>
          <w:sz w:val="24"/>
          <w:szCs w:val="24"/>
          <w:shd w:val="clear" w:color="auto" w:fill="FFFFFF"/>
        </w:rPr>
        <w:t xml:space="preserve"> </w:t>
      </w:r>
      <w:r w:rsidRPr="004E7E3E">
        <w:rPr>
          <w:rFonts w:ascii="Times New Roman" w:hAnsi="Times New Roman" w:cs="Times New Roman"/>
          <w:color w:val="000000" w:themeColor="text1"/>
          <w:sz w:val="24"/>
          <w:szCs w:val="24"/>
          <w:shd w:val="clear" w:color="auto" w:fill="FFFFFF"/>
          <w:lang w:val="ru-RU"/>
        </w:rPr>
        <w:t>ресурс</w:t>
      </w:r>
      <w:r w:rsidRPr="004E7E3E">
        <w:rPr>
          <w:rFonts w:ascii="Times New Roman" w:hAnsi="Times New Roman" w:cs="Times New Roman"/>
          <w:color w:val="000000" w:themeColor="text1"/>
          <w:sz w:val="24"/>
          <w:szCs w:val="24"/>
          <w:shd w:val="clear" w:color="auto" w:fill="FFFFFF"/>
        </w:rPr>
        <w:t xml:space="preserve">] / E. Dridze, I. Harris, Z/Yen Group. – </w:t>
      </w:r>
      <w:r w:rsidRPr="004E7E3E">
        <w:rPr>
          <w:rFonts w:ascii="Times New Roman" w:hAnsi="Times New Roman" w:cs="Times New Roman"/>
          <w:color w:val="000000" w:themeColor="text1"/>
          <w:sz w:val="24"/>
          <w:szCs w:val="24"/>
          <w:shd w:val="clear" w:color="auto" w:fill="FFFFFF"/>
          <w:lang w:val="ru-RU"/>
        </w:rPr>
        <w:t>Режим</w:t>
      </w:r>
      <w:r w:rsidRPr="004E7E3E">
        <w:rPr>
          <w:rFonts w:ascii="Times New Roman" w:hAnsi="Times New Roman" w:cs="Times New Roman"/>
          <w:color w:val="000000" w:themeColor="text1"/>
          <w:sz w:val="24"/>
          <w:szCs w:val="24"/>
          <w:shd w:val="clear" w:color="auto" w:fill="FFFFFF"/>
        </w:rPr>
        <w:t xml:space="preserve"> </w:t>
      </w:r>
      <w:r w:rsidRPr="004E7E3E">
        <w:rPr>
          <w:rFonts w:ascii="Times New Roman" w:hAnsi="Times New Roman" w:cs="Times New Roman"/>
          <w:color w:val="000000" w:themeColor="text1"/>
          <w:sz w:val="24"/>
          <w:szCs w:val="24"/>
          <w:shd w:val="clear" w:color="auto" w:fill="FFFFFF"/>
          <w:lang w:val="ru-RU"/>
        </w:rPr>
        <w:t>доступа</w:t>
      </w:r>
      <w:r w:rsidRPr="004E7E3E">
        <w:rPr>
          <w:rFonts w:ascii="Times New Roman" w:hAnsi="Times New Roman" w:cs="Times New Roman"/>
          <w:color w:val="000000" w:themeColor="text1"/>
          <w:sz w:val="24"/>
          <w:szCs w:val="24"/>
          <w:shd w:val="clear" w:color="auto" w:fill="FFFFFF"/>
        </w:rPr>
        <w:t>: URL:</w:t>
      </w:r>
      <w:r w:rsidR="004A0184">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rPr>
        <w:t xml:space="preserve">https://www.zyen.com/media/documents/Focus_On_Moscow_2021.05.18_v1.0_1.pdf </w:t>
      </w:r>
      <w:r w:rsidRPr="004E7E3E">
        <w:rPr>
          <w:rFonts w:ascii="Times New Roman" w:hAnsi="Times New Roman" w:cs="Times New Roman"/>
          <w:color w:val="000000" w:themeColor="text1"/>
          <w:sz w:val="24"/>
          <w:szCs w:val="24"/>
        </w:rPr>
        <w:t>(</w:t>
      </w:r>
      <w:r w:rsidRPr="004E7E3E">
        <w:rPr>
          <w:rFonts w:ascii="Times New Roman" w:hAnsi="Times New Roman" w:cs="Times New Roman"/>
          <w:color w:val="000000" w:themeColor="text1"/>
          <w:sz w:val="24"/>
          <w:szCs w:val="24"/>
          <w:lang w:val="ru-RU"/>
        </w:rPr>
        <w:t>дата</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обращения</w:t>
      </w:r>
      <w:r w:rsidRPr="004E7E3E">
        <w:rPr>
          <w:rFonts w:ascii="Times New Roman" w:hAnsi="Times New Roman" w:cs="Times New Roman"/>
          <w:color w:val="000000" w:themeColor="text1"/>
          <w:sz w:val="24"/>
          <w:szCs w:val="24"/>
        </w:rPr>
        <w:t>: 04.04.2023).</w:t>
      </w:r>
    </w:p>
    <w:p w14:paraId="4AEB7C05" w14:textId="16CAC92A" w:rsidR="00836ACB"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4E7E3E">
        <w:rPr>
          <w:rFonts w:ascii="Times New Roman" w:hAnsi="Times New Roman" w:cs="Times New Roman"/>
          <w:color w:val="000000" w:themeColor="text1"/>
          <w:sz w:val="24"/>
          <w:szCs w:val="24"/>
          <w:shd w:val="clear" w:color="auto" w:fill="FFFFFF"/>
        </w:rPr>
        <w:t>D’Souza, D. How London Became the World’s Financial Hub [</w:t>
      </w:r>
      <w:r w:rsidRPr="004E7E3E">
        <w:rPr>
          <w:rFonts w:ascii="Times New Roman" w:hAnsi="Times New Roman" w:cs="Times New Roman"/>
          <w:color w:val="000000" w:themeColor="text1"/>
          <w:sz w:val="24"/>
          <w:szCs w:val="24"/>
          <w:shd w:val="clear" w:color="auto" w:fill="FFFFFF"/>
          <w:lang w:val="ru-RU"/>
        </w:rPr>
        <w:t>Электронный</w:t>
      </w:r>
      <w:r w:rsidRPr="004E7E3E">
        <w:rPr>
          <w:rFonts w:ascii="Times New Roman" w:hAnsi="Times New Roman" w:cs="Times New Roman"/>
          <w:color w:val="000000" w:themeColor="text1"/>
          <w:sz w:val="24"/>
          <w:szCs w:val="24"/>
          <w:shd w:val="clear" w:color="auto" w:fill="FFFFFF"/>
        </w:rPr>
        <w:t xml:space="preserve"> </w:t>
      </w:r>
      <w:r w:rsidRPr="004E7E3E">
        <w:rPr>
          <w:rFonts w:ascii="Times New Roman" w:hAnsi="Times New Roman" w:cs="Times New Roman"/>
          <w:color w:val="000000" w:themeColor="text1"/>
          <w:sz w:val="24"/>
          <w:szCs w:val="24"/>
          <w:shd w:val="clear" w:color="auto" w:fill="FFFFFF"/>
          <w:lang w:val="ru-RU"/>
        </w:rPr>
        <w:t>ресурс</w:t>
      </w:r>
      <w:r w:rsidRPr="004E7E3E">
        <w:rPr>
          <w:rFonts w:ascii="Times New Roman" w:hAnsi="Times New Roman" w:cs="Times New Roman"/>
          <w:color w:val="000000" w:themeColor="text1"/>
          <w:sz w:val="24"/>
          <w:szCs w:val="24"/>
          <w:shd w:val="clear" w:color="auto" w:fill="FFFFFF"/>
        </w:rPr>
        <w:t>]</w:t>
      </w:r>
      <w:r w:rsidR="004A0184">
        <w:rPr>
          <w:rFonts w:ascii="Times New Roman" w:hAnsi="Times New Roman" w:cs="Times New Roman"/>
          <w:color w:val="000000" w:themeColor="text1"/>
          <w:sz w:val="24"/>
          <w:szCs w:val="24"/>
          <w:shd w:val="clear" w:color="auto" w:fill="FFFFFF"/>
        </w:rPr>
        <w:t> </w:t>
      </w:r>
      <w:r w:rsidRPr="004E7E3E">
        <w:rPr>
          <w:rFonts w:ascii="Times New Roman" w:hAnsi="Times New Roman" w:cs="Times New Roman"/>
          <w:color w:val="000000" w:themeColor="text1"/>
          <w:sz w:val="24"/>
          <w:szCs w:val="24"/>
          <w:shd w:val="clear" w:color="auto" w:fill="FFFFFF"/>
        </w:rPr>
        <w:t xml:space="preserve">/ D. D’Souza// Investopedia. – 05.10.2022. – </w:t>
      </w:r>
      <w:r w:rsidRPr="004E7E3E">
        <w:rPr>
          <w:rFonts w:ascii="Times New Roman" w:hAnsi="Times New Roman" w:cs="Times New Roman"/>
          <w:color w:val="000000" w:themeColor="text1"/>
          <w:sz w:val="24"/>
          <w:szCs w:val="24"/>
          <w:shd w:val="clear" w:color="auto" w:fill="FFFFFF"/>
          <w:lang w:val="ru-RU"/>
        </w:rPr>
        <w:t>Режим</w:t>
      </w:r>
      <w:r w:rsidRPr="004E7E3E">
        <w:rPr>
          <w:rFonts w:ascii="Times New Roman" w:hAnsi="Times New Roman" w:cs="Times New Roman"/>
          <w:color w:val="000000" w:themeColor="text1"/>
          <w:sz w:val="24"/>
          <w:szCs w:val="24"/>
          <w:shd w:val="clear" w:color="auto" w:fill="FFFFFF"/>
        </w:rPr>
        <w:t xml:space="preserve"> </w:t>
      </w:r>
      <w:r w:rsidRPr="004E7E3E">
        <w:rPr>
          <w:rFonts w:ascii="Times New Roman" w:hAnsi="Times New Roman" w:cs="Times New Roman"/>
          <w:color w:val="000000" w:themeColor="text1"/>
          <w:sz w:val="24"/>
          <w:szCs w:val="24"/>
          <w:shd w:val="clear" w:color="auto" w:fill="FFFFFF"/>
          <w:lang w:val="ru-RU"/>
        </w:rPr>
        <w:t>доступа</w:t>
      </w:r>
      <w:r w:rsidRPr="004E7E3E">
        <w:rPr>
          <w:rFonts w:ascii="Times New Roman" w:hAnsi="Times New Roman" w:cs="Times New Roman"/>
          <w:color w:val="000000" w:themeColor="text1"/>
          <w:sz w:val="24"/>
          <w:szCs w:val="24"/>
          <w:shd w:val="clear" w:color="auto" w:fill="FFFFFF"/>
        </w:rPr>
        <w:t xml:space="preserve">: URL: </w:t>
      </w:r>
      <w:hyperlink r:id="rId66" w:tooltip="https://www.investopedia.com/how-london-became-the-world-s-financial-hub-4589324" w:history="1">
        <w:r w:rsidRPr="004E7E3E">
          <w:rPr>
            <w:rStyle w:val="a9"/>
            <w:rFonts w:ascii="Times New Roman" w:hAnsi="Times New Roman" w:cs="Times New Roman"/>
            <w:color w:val="000000" w:themeColor="text1"/>
            <w:sz w:val="24"/>
            <w:szCs w:val="24"/>
            <w:u w:val="none"/>
            <w:shd w:val="clear" w:color="auto" w:fill="FFFFFF"/>
          </w:rPr>
          <w:t>https://www.investopedia.com/how-london-became-the-world-s-financial-hub-4589324</w:t>
        </w:r>
      </w:hyperlink>
      <w:r w:rsidRPr="004E7E3E">
        <w:rPr>
          <w:rFonts w:ascii="Times New Roman" w:hAnsi="Times New Roman" w:cs="Times New Roman"/>
          <w:color w:val="000000" w:themeColor="text1"/>
          <w:sz w:val="24"/>
          <w:szCs w:val="24"/>
          <w:shd w:val="clear" w:color="auto" w:fill="FFFFFF"/>
        </w:rPr>
        <w:t xml:space="preserve"> (</w:t>
      </w:r>
      <w:r w:rsidRPr="004E7E3E">
        <w:rPr>
          <w:rFonts w:ascii="Times New Roman" w:hAnsi="Times New Roman" w:cs="Times New Roman"/>
          <w:color w:val="000000" w:themeColor="text1"/>
          <w:sz w:val="24"/>
          <w:szCs w:val="24"/>
          <w:shd w:val="clear" w:color="auto" w:fill="FFFFFF"/>
          <w:lang w:val="ru-RU"/>
        </w:rPr>
        <w:t>дата</w:t>
      </w:r>
      <w:r w:rsidRPr="004E7E3E">
        <w:rPr>
          <w:rFonts w:ascii="Times New Roman" w:hAnsi="Times New Roman" w:cs="Times New Roman"/>
          <w:color w:val="000000" w:themeColor="text1"/>
          <w:sz w:val="24"/>
          <w:szCs w:val="24"/>
          <w:shd w:val="clear" w:color="auto" w:fill="FFFFFF"/>
        </w:rPr>
        <w:t xml:space="preserve"> </w:t>
      </w:r>
      <w:r w:rsidRPr="004E7E3E">
        <w:rPr>
          <w:rFonts w:ascii="Times New Roman" w:hAnsi="Times New Roman" w:cs="Times New Roman"/>
          <w:color w:val="000000" w:themeColor="text1"/>
          <w:sz w:val="24"/>
          <w:szCs w:val="24"/>
          <w:shd w:val="clear" w:color="auto" w:fill="FFFFFF"/>
          <w:lang w:val="ru-RU"/>
        </w:rPr>
        <w:t>обращения</w:t>
      </w:r>
      <w:r w:rsidRPr="004E7E3E">
        <w:rPr>
          <w:rFonts w:ascii="Times New Roman" w:hAnsi="Times New Roman" w:cs="Times New Roman"/>
          <w:color w:val="000000" w:themeColor="text1"/>
          <w:sz w:val="24"/>
          <w:szCs w:val="24"/>
          <w:shd w:val="clear" w:color="auto" w:fill="FFFFFF"/>
        </w:rPr>
        <w:t xml:space="preserve">: 02.03.2023). </w:t>
      </w:r>
    </w:p>
    <w:p w14:paraId="1C392843" w14:textId="65998B55" w:rsidR="00836ACB"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lang w:val="ru-RU"/>
        </w:rPr>
      </w:pPr>
      <w:r w:rsidRPr="00A11C6E">
        <w:rPr>
          <w:rFonts w:ascii="Times New Roman" w:hAnsi="Times New Roman" w:cs="Times New Roman"/>
          <w:color w:val="000000" w:themeColor="text1"/>
          <w:sz w:val="24"/>
          <w:szCs w:val="24"/>
          <w:lang w:eastAsia="zh-CN"/>
        </w:rPr>
        <w:t>Eichengreen B. Stability or upheaval? The currency composition of international reserves in the long run [</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 B. Eichengreen, L. Chitu, A. Mehl // European Central Bank. Working</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paper</w:t>
      </w:r>
      <w:r w:rsidRPr="00A11C6E">
        <w:rPr>
          <w:rFonts w:ascii="Times New Roman" w:hAnsi="Times New Roman" w:cs="Times New Roman"/>
          <w:color w:val="000000" w:themeColor="text1"/>
          <w:sz w:val="24"/>
          <w:szCs w:val="24"/>
          <w:lang w:val="ru-RU" w:eastAsia="zh-CN"/>
        </w:rPr>
        <w:t xml:space="preserve">. – </w:t>
      </w:r>
      <w:r w:rsidRPr="00A11C6E">
        <w:rPr>
          <w:rFonts w:ascii="Times New Roman" w:hAnsi="Times New Roman" w:cs="Times New Roman"/>
          <w:color w:val="000000" w:themeColor="text1"/>
          <w:sz w:val="24"/>
          <w:szCs w:val="24"/>
          <w:lang w:eastAsia="zh-CN"/>
        </w:rPr>
        <w:t>August</w:t>
      </w:r>
      <w:r w:rsidRPr="00A11C6E">
        <w:rPr>
          <w:rFonts w:ascii="Times New Roman" w:hAnsi="Times New Roman" w:cs="Times New Roman"/>
          <w:color w:val="000000" w:themeColor="text1"/>
          <w:sz w:val="24"/>
          <w:szCs w:val="24"/>
          <w:lang w:val="ru-RU" w:eastAsia="zh-CN"/>
        </w:rPr>
        <w:t xml:space="preserve"> 2014. </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lang w:val="ru-RU" w:eastAsia="zh-CN"/>
        </w:rPr>
        <w:t xml:space="preserve"> №1715. – Режим доступа: </w:t>
      </w:r>
      <w:r w:rsidRPr="00A11C6E">
        <w:rPr>
          <w:rFonts w:ascii="Times New Roman" w:hAnsi="Times New Roman" w:cs="Times New Roman"/>
          <w:color w:val="000000" w:themeColor="text1"/>
          <w:sz w:val="24"/>
          <w:szCs w:val="24"/>
          <w:shd w:val="clear" w:color="auto" w:fill="FFFFFF"/>
          <w:lang w:eastAsia="zh-CN"/>
        </w:rPr>
        <w:t>URL</w:t>
      </w:r>
      <w:r w:rsidRPr="00A11C6E">
        <w:rPr>
          <w:rFonts w:ascii="Times New Roman" w:hAnsi="Times New Roman" w:cs="Times New Roman"/>
          <w:color w:val="000000" w:themeColor="text1"/>
          <w:sz w:val="24"/>
          <w:szCs w:val="24"/>
          <w:shd w:val="clear" w:color="auto" w:fill="FFFFFF"/>
          <w:lang w:val="ru-RU" w:eastAsia="zh-CN"/>
        </w:rPr>
        <w:t>:</w:t>
      </w:r>
      <w:r w:rsidR="004A0184">
        <w:rPr>
          <w:rFonts w:ascii="Times New Roman" w:hAnsi="Times New Roman" w:cs="Times New Roman"/>
          <w:color w:val="000000" w:themeColor="text1"/>
          <w:sz w:val="24"/>
          <w:szCs w:val="24"/>
          <w:shd w:val="clear" w:color="auto" w:fill="FFFFFF"/>
          <w:lang w:eastAsia="zh-CN"/>
        </w:rPr>
        <w:t> </w:t>
      </w:r>
      <w:r w:rsidRPr="00A11C6E">
        <w:rPr>
          <w:rFonts w:ascii="Times New Roman" w:hAnsi="Times New Roman" w:cs="Times New Roman"/>
          <w:sz w:val="24"/>
          <w:szCs w:val="24"/>
        </w:rPr>
        <w:t>https</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www</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ecb</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europa</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eu</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pub</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pdf</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scpwps</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ecbwp</w:t>
      </w:r>
      <w:r w:rsidRPr="00A11C6E">
        <w:rPr>
          <w:rFonts w:ascii="Times New Roman" w:hAnsi="Times New Roman" w:cs="Times New Roman"/>
          <w:sz w:val="24"/>
          <w:szCs w:val="24"/>
          <w:lang w:val="ru-RU"/>
        </w:rPr>
        <w:t>1715.</w:t>
      </w:r>
      <w:r w:rsidRPr="00A11C6E">
        <w:rPr>
          <w:rFonts w:ascii="Times New Roman" w:hAnsi="Times New Roman" w:cs="Times New Roman"/>
          <w:sz w:val="24"/>
          <w:szCs w:val="24"/>
        </w:rPr>
        <w:t>pdf</w:t>
      </w:r>
      <w:r w:rsidRPr="00A11C6E">
        <w:rPr>
          <w:rFonts w:ascii="Times New Roman" w:hAnsi="Times New Roman" w:cs="Times New Roman"/>
          <w:sz w:val="24"/>
          <w:szCs w:val="24"/>
          <w:lang w:val="ru-RU"/>
        </w:rPr>
        <w:t>?485</w:t>
      </w:r>
      <w:r w:rsidRPr="00A11C6E">
        <w:rPr>
          <w:rFonts w:ascii="Times New Roman" w:hAnsi="Times New Roman" w:cs="Times New Roman"/>
          <w:sz w:val="24"/>
          <w:szCs w:val="24"/>
        </w:rPr>
        <w:t>e</w:t>
      </w:r>
      <w:r w:rsidRPr="00A11C6E">
        <w:rPr>
          <w:rFonts w:ascii="Times New Roman" w:hAnsi="Times New Roman" w:cs="Times New Roman"/>
          <w:sz w:val="24"/>
          <w:szCs w:val="24"/>
          <w:lang w:val="ru-RU"/>
        </w:rPr>
        <w:t>29</w:t>
      </w:r>
      <w:r w:rsidRPr="00A11C6E">
        <w:rPr>
          <w:rFonts w:ascii="Times New Roman" w:hAnsi="Times New Roman" w:cs="Times New Roman"/>
          <w:sz w:val="24"/>
          <w:szCs w:val="24"/>
        </w:rPr>
        <w:t>e</w:t>
      </w:r>
      <w:r w:rsidRPr="00A11C6E">
        <w:rPr>
          <w:rFonts w:ascii="Times New Roman" w:hAnsi="Times New Roman" w:cs="Times New Roman"/>
          <w:sz w:val="24"/>
          <w:szCs w:val="24"/>
          <w:lang w:val="ru-RU"/>
        </w:rPr>
        <w:t>6</w:t>
      </w:r>
      <w:r w:rsidRPr="00A11C6E">
        <w:rPr>
          <w:rFonts w:ascii="Times New Roman" w:hAnsi="Times New Roman" w:cs="Times New Roman"/>
          <w:sz w:val="24"/>
          <w:szCs w:val="24"/>
        </w:rPr>
        <w:t>bbcff</w:t>
      </w:r>
      <w:r w:rsidRPr="00A11C6E">
        <w:rPr>
          <w:rFonts w:ascii="Times New Roman" w:hAnsi="Times New Roman" w:cs="Times New Roman"/>
          <w:sz w:val="24"/>
          <w:szCs w:val="24"/>
          <w:lang w:val="ru-RU"/>
        </w:rPr>
        <w:t>9684</w:t>
      </w:r>
      <w:r w:rsidRPr="00A11C6E">
        <w:rPr>
          <w:rFonts w:ascii="Times New Roman" w:hAnsi="Times New Roman" w:cs="Times New Roman"/>
          <w:sz w:val="24"/>
          <w:szCs w:val="24"/>
        </w:rPr>
        <w:t>dfb</w:t>
      </w:r>
      <w:r w:rsidRPr="00A11C6E">
        <w:rPr>
          <w:rFonts w:ascii="Times New Roman" w:hAnsi="Times New Roman" w:cs="Times New Roman"/>
          <w:sz w:val="24"/>
          <w:szCs w:val="24"/>
          <w:lang w:val="ru-RU"/>
        </w:rPr>
        <w:t>4</w:t>
      </w:r>
      <w:r w:rsidRPr="00A11C6E">
        <w:rPr>
          <w:rFonts w:ascii="Times New Roman" w:hAnsi="Times New Roman" w:cs="Times New Roman"/>
          <w:sz w:val="24"/>
          <w:szCs w:val="24"/>
        </w:rPr>
        <w:t>cc</w:t>
      </w:r>
      <w:r w:rsidRPr="00A11C6E">
        <w:rPr>
          <w:rFonts w:ascii="Times New Roman" w:hAnsi="Times New Roman" w:cs="Times New Roman"/>
          <w:sz w:val="24"/>
          <w:szCs w:val="24"/>
          <w:lang w:val="ru-RU"/>
        </w:rPr>
        <w:t>545</w:t>
      </w:r>
      <w:r w:rsidRPr="00A11C6E">
        <w:rPr>
          <w:rFonts w:ascii="Times New Roman" w:hAnsi="Times New Roman" w:cs="Times New Roman"/>
          <w:sz w:val="24"/>
          <w:szCs w:val="24"/>
        </w:rPr>
        <w:t>b</w:t>
      </w:r>
      <w:r w:rsidRPr="00A11C6E">
        <w:rPr>
          <w:rFonts w:ascii="Times New Roman" w:hAnsi="Times New Roman" w:cs="Times New Roman"/>
          <w:sz w:val="24"/>
          <w:szCs w:val="24"/>
          <w:lang w:val="ru-RU"/>
        </w:rPr>
        <w:t>2</w:t>
      </w:r>
      <w:r w:rsidRPr="00A11C6E">
        <w:rPr>
          <w:rFonts w:ascii="Times New Roman" w:hAnsi="Times New Roman" w:cs="Times New Roman"/>
          <w:sz w:val="24"/>
          <w:szCs w:val="24"/>
        </w:rPr>
        <w:t>aefc</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val="ru-RU"/>
        </w:rPr>
        <w:t xml:space="preserve">(дата обращения: </w:t>
      </w:r>
      <w:r w:rsidRPr="00A11C6E">
        <w:rPr>
          <w:rFonts w:ascii="Times New Roman" w:hAnsi="Times New Roman" w:cs="Times New Roman"/>
          <w:color w:val="000000" w:themeColor="text1"/>
          <w:sz w:val="24"/>
          <w:szCs w:val="24"/>
          <w:lang w:val="ru-RU" w:eastAsia="zh-CN"/>
        </w:rPr>
        <w:t>01.03.2023).</w:t>
      </w:r>
      <w:bookmarkStart w:id="115" w:name="_Ref499297838"/>
      <w:bookmarkEnd w:id="114"/>
      <w:bookmarkEnd w:id="115"/>
    </w:p>
    <w:p w14:paraId="3690CAB5" w14:textId="7432974F" w:rsidR="00F87DCB" w:rsidRPr="00A11C6E" w:rsidRDefault="00F87DCB"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rPr>
      </w:pPr>
      <w:r w:rsidRPr="00A11C6E">
        <w:rPr>
          <w:rFonts w:ascii="Times New Roman" w:hAnsi="Times New Roman" w:cs="Times New Roman"/>
          <w:color w:val="000000" w:themeColor="text1"/>
          <w:sz w:val="24"/>
          <w:szCs w:val="24"/>
          <w:lang w:eastAsia="zh-CN"/>
        </w:rPr>
        <w:t>Elliott, D. J. Building a Global Financial Center in Shanghai: Observations from Other Centers. John L. Thornton China Centre at Brookings. 2011. – 19 p.</w:t>
      </w:r>
    </w:p>
    <w:p w14:paraId="591DE367" w14:textId="2D5FAC14" w:rsidR="007A1FE9" w:rsidRPr="00A11C6E" w:rsidRDefault="007A1FE9"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rPr>
      </w:pPr>
      <w:r w:rsidRPr="00A11C6E">
        <w:rPr>
          <w:rFonts w:ascii="Times New Roman" w:hAnsi="Times New Roman" w:cs="Times New Roman"/>
          <w:color w:val="000000" w:themeColor="text1"/>
          <w:sz w:val="24"/>
          <w:szCs w:val="24"/>
        </w:rPr>
        <w:t>FATF (2016), Anti-money laundering and counter-terrorist financing measures – Russian Federation, Fourth Round Mutual Evaluation Report [</w:t>
      </w:r>
      <w:r w:rsidRPr="00A11C6E">
        <w:rPr>
          <w:rFonts w:ascii="Times New Roman" w:hAnsi="Times New Roman" w:cs="Times New Roman"/>
          <w:color w:val="000000" w:themeColor="text1"/>
          <w:sz w:val="24"/>
          <w:szCs w:val="24"/>
          <w:lang w:val="ru-RU"/>
        </w:rPr>
        <w:t>Электронный</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ресурс</w:t>
      </w:r>
      <w:r w:rsidRPr="00A11C6E">
        <w:rPr>
          <w:rFonts w:ascii="Times New Roman" w:hAnsi="Times New Roman" w:cs="Times New Roman"/>
          <w:color w:val="000000" w:themeColor="text1"/>
          <w:sz w:val="24"/>
          <w:szCs w:val="24"/>
        </w:rPr>
        <w:t xml:space="preserve">] / FATF, Paris. – </w:t>
      </w:r>
      <w:r w:rsidRPr="00A11C6E">
        <w:rPr>
          <w:rFonts w:ascii="Times New Roman" w:hAnsi="Times New Roman" w:cs="Times New Roman"/>
          <w:color w:val="000000" w:themeColor="text1"/>
          <w:sz w:val="24"/>
          <w:szCs w:val="24"/>
          <w:lang w:val="ru-RU"/>
        </w:rPr>
        <w:t>Режим</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доступа</w:t>
      </w:r>
      <w:r w:rsidRPr="00A11C6E">
        <w:rPr>
          <w:rFonts w:ascii="Times New Roman" w:hAnsi="Times New Roman" w:cs="Times New Roman"/>
          <w:color w:val="000000" w:themeColor="text1"/>
          <w:sz w:val="24"/>
          <w:szCs w:val="24"/>
        </w:rPr>
        <w:t xml:space="preserve">: URL: </w:t>
      </w:r>
      <w:hyperlink r:id="rId67" w:history="1">
        <w:r w:rsidRPr="00A11C6E">
          <w:rPr>
            <w:rStyle w:val="a9"/>
            <w:rFonts w:ascii="Times New Roman" w:hAnsi="Times New Roman" w:cs="Times New Roman"/>
            <w:color w:val="000000" w:themeColor="text1"/>
            <w:sz w:val="24"/>
            <w:szCs w:val="24"/>
            <w:u w:val="none"/>
          </w:rPr>
          <w:t>http://www.fatf-gafi.org/publications/mutualevaluations/documents/mer-russian-federation-2019.html</w:t>
        </w:r>
      </w:hyperlink>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05.04.2023).</w:t>
      </w:r>
    </w:p>
    <w:p w14:paraId="337A7AEF" w14:textId="74B3556C" w:rsidR="00836ACB" w:rsidRPr="00A11C6E" w:rsidRDefault="00836ACB"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rPr>
      </w:pPr>
      <w:r w:rsidRPr="00A11C6E">
        <w:rPr>
          <w:rFonts w:ascii="Times New Roman" w:hAnsi="Times New Roman" w:cs="Times New Roman"/>
          <w:color w:val="000000" w:themeColor="text1"/>
          <w:spacing w:val="-5"/>
          <w:sz w:val="24"/>
          <w:szCs w:val="24"/>
        </w:rPr>
        <w:t>Financial Centres Likely to Become More Significant. March 2019 [</w:t>
      </w:r>
      <w:r w:rsidRPr="00A11C6E">
        <w:rPr>
          <w:rFonts w:ascii="Times New Roman" w:hAnsi="Times New Roman" w:cs="Times New Roman"/>
          <w:color w:val="000000" w:themeColor="text1"/>
          <w:spacing w:val="-5"/>
          <w:sz w:val="24"/>
          <w:szCs w:val="24"/>
          <w:lang w:val="ru-RU"/>
        </w:rPr>
        <w:t>Электронный</w:t>
      </w:r>
      <w:r w:rsidRPr="00A11C6E">
        <w:rPr>
          <w:rFonts w:ascii="Times New Roman" w:hAnsi="Times New Roman" w:cs="Times New Roman"/>
          <w:color w:val="000000" w:themeColor="text1"/>
          <w:spacing w:val="-5"/>
          <w:sz w:val="24"/>
          <w:szCs w:val="24"/>
        </w:rPr>
        <w:t xml:space="preserve"> </w:t>
      </w:r>
      <w:r w:rsidRPr="00A11C6E">
        <w:rPr>
          <w:rFonts w:ascii="Times New Roman" w:hAnsi="Times New Roman" w:cs="Times New Roman"/>
          <w:color w:val="000000" w:themeColor="text1"/>
          <w:spacing w:val="-5"/>
          <w:sz w:val="24"/>
          <w:szCs w:val="24"/>
          <w:lang w:val="ru-RU"/>
        </w:rPr>
        <w:t>ресурс</w:t>
      </w:r>
      <w:r w:rsidRPr="00A11C6E">
        <w:rPr>
          <w:rFonts w:ascii="Times New Roman" w:hAnsi="Times New Roman" w:cs="Times New Roman"/>
          <w:color w:val="000000" w:themeColor="text1"/>
          <w:spacing w:val="-5"/>
          <w:sz w:val="24"/>
          <w:szCs w:val="24"/>
        </w:rPr>
        <w:t xml:space="preserve">] / Z/Yen, China Development Institute. – </w:t>
      </w:r>
      <w:r w:rsidRPr="00A11C6E">
        <w:rPr>
          <w:rFonts w:ascii="Times New Roman" w:hAnsi="Times New Roman" w:cs="Times New Roman"/>
          <w:color w:val="000000" w:themeColor="text1"/>
          <w:spacing w:val="-5"/>
          <w:sz w:val="24"/>
          <w:szCs w:val="24"/>
          <w:lang w:val="ru-RU"/>
        </w:rPr>
        <w:t>Режим</w:t>
      </w:r>
      <w:r w:rsidRPr="00A11C6E">
        <w:rPr>
          <w:rFonts w:ascii="Times New Roman" w:hAnsi="Times New Roman" w:cs="Times New Roman"/>
          <w:color w:val="000000" w:themeColor="text1"/>
          <w:spacing w:val="-5"/>
          <w:sz w:val="24"/>
          <w:szCs w:val="24"/>
        </w:rPr>
        <w:t xml:space="preserve"> </w:t>
      </w:r>
      <w:r w:rsidRPr="00A11C6E">
        <w:rPr>
          <w:rFonts w:ascii="Times New Roman" w:hAnsi="Times New Roman" w:cs="Times New Roman"/>
          <w:color w:val="000000" w:themeColor="text1"/>
          <w:spacing w:val="-5"/>
          <w:sz w:val="24"/>
          <w:szCs w:val="24"/>
          <w:lang w:val="ru-RU"/>
        </w:rPr>
        <w:t>доступа</w:t>
      </w:r>
      <w:r w:rsidRPr="00A11C6E">
        <w:rPr>
          <w:rFonts w:ascii="Times New Roman" w:hAnsi="Times New Roman" w:cs="Times New Roman"/>
          <w:color w:val="000000" w:themeColor="text1"/>
          <w:spacing w:val="-5"/>
          <w:sz w:val="24"/>
          <w:szCs w:val="24"/>
        </w:rPr>
        <w:t>: URL:</w:t>
      </w:r>
      <w:r w:rsidR="004A0184">
        <w:rPr>
          <w:rFonts w:ascii="Times New Roman" w:hAnsi="Times New Roman" w:cs="Times New Roman"/>
          <w:color w:val="000000" w:themeColor="text1"/>
          <w:spacing w:val="-5"/>
          <w:sz w:val="24"/>
          <w:szCs w:val="24"/>
        </w:rPr>
        <w:t> </w:t>
      </w:r>
      <w:r w:rsidRPr="00A11C6E">
        <w:rPr>
          <w:rFonts w:ascii="Times New Roman" w:hAnsi="Times New Roman" w:cs="Times New Roman"/>
          <w:color w:val="000000" w:themeColor="text1"/>
          <w:spacing w:val="-5"/>
          <w:sz w:val="24"/>
          <w:szCs w:val="24"/>
        </w:rPr>
        <w:t>https://www.longfinance.net/media/documents/Financial_Centres_Likely_To_Become__More_Significant_2019-02-20.pdf (</w:t>
      </w:r>
      <w:r w:rsidRPr="00A11C6E">
        <w:rPr>
          <w:rFonts w:ascii="Times New Roman" w:hAnsi="Times New Roman" w:cs="Times New Roman"/>
          <w:color w:val="000000" w:themeColor="text1"/>
          <w:spacing w:val="-5"/>
          <w:sz w:val="24"/>
          <w:szCs w:val="24"/>
          <w:lang w:val="ru-RU"/>
        </w:rPr>
        <w:t>дата</w:t>
      </w:r>
      <w:r w:rsidRPr="00A11C6E">
        <w:rPr>
          <w:rFonts w:ascii="Times New Roman" w:hAnsi="Times New Roman" w:cs="Times New Roman"/>
          <w:color w:val="000000" w:themeColor="text1"/>
          <w:spacing w:val="-5"/>
          <w:sz w:val="24"/>
          <w:szCs w:val="24"/>
        </w:rPr>
        <w:t xml:space="preserve"> </w:t>
      </w:r>
      <w:r w:rsidRPr="00A11C6E">
        <w:rPr>
          <w:rFonts w:ascii="Times New Roman" w:hAnsi="Times New Roman" w:cs="Times New Roman"/>
          <w:color w:val="000000" w:themeColor="text1"/>
          <w:spacing w:val="-5"/>
          <w:sz w:val="24"/>
          <w:szCs w:val="24"/>
          <w:lang w:val="ru-RU"/>
        </w:rPr>
        <w:t>обращения</w:t>
      </w:r>
      <w:r w:rsidRPr="00A11C6E">
        <w:rPr>
          <w:rFonts w:ascii="Times New Roman" w:hAnsi="Times New Roman" w:cs="Times New Roman"/>
          <w:color w:val="000000" w:themeColor="text1"/>
          <w:spacing w:val="-5"/>
          <w:sz w:val="24"/>
          <w:szCs w:val="24"/>
        </w:rPr>
        <w:t>: 05.04.2023).</w:t>
      </w:r>
    </w:p>
    <w:p w14:paraId="4A3B4F77" w14:textId="3A3AD621"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Florida, R. The Economic Power of Cities Compared to Nations [</w:t>
      </w:r>
      <w:r w:rsidRPr="00A11C6E">
        <w:rPr>
          <w:rFonts w:ascii="Times New Roman" w:hAnsi="Times New Roman" w:cs="Times New Roman"/>
          <w:color w:val="000000" w:themeColor="text1"/>
          <w:sz w:val="24"/>
          <w:szCs w:val="24"/>
          <w:shd w:val="clear" w:color="auto" w:fill="FFFFFF"/>
          <w:lang w:val="ru-RU"/>
        </w:rPr>
        <w:t>Электронный</w:t>
      </w:r>
      <w:r w:rsidRPr="00A11C6E">
        <w:rPr>
          <w:rFonts w:ascii="Times New Roman" w:hAnsi="Times New Roman" w:cs="Times New Roman"/>
          <w:color w:val="000000" w:themeColor="text1"/>
          <w:sz w:val="24"/>
          <w:szCs w:val="24"/>
          <w:shd w:val="clear" w:color="auto" w:fill="FFFFFF"/>
        </w:rPr>
        <w:t xml:space="preserve"> </w:t>
      </w:r>
      <w:r w:rsidRPr="00A11C6E">
        <w:rPr>
          <w:rFonts w:ascii="Times New Roman" w:hAnsi="Times New Roman" w:cs="Times New Roman"/>
          <w:color w:val="000000" w:themeColor="text1"/>
          <w:sz w:val="24"/>
          <w:szCs w:val="24"/>
          <w:shd w:val="clear" w:color="auto" w:fill="FFFFFF"/>
          <w:lang w:val="ru-RU"/>
        </w:rPr>
        <w:t>ресурс</w:t>
      </w:r>
      <w:r w:rsidRPr="00A11C6E">
        <w:rPr>
          <w:rFonts w:ascii="Times New Roman" w:hAnsi="Times New Roman" w:cs="Times New Roman"/>
          <w:color w:val="000000" w:themeColor="text1"/>
          <w:sz w:val="24"/>
          <w:szCs w:val="24"/>
          <w:shd w:val="clear" w:color="auto" w:fill="FFFFFF"/>
        </w:rPr>
        <w:t>]</w:t>
      </w:r>
      <w:r w:rsidR="004A0184">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rPr>
        <w:t>/ R. Florida // CityLab from 16.03.2017.</w:t>
      </w:r>
      <w:r w:rsidR="008D70E9" w:rsidRPr="00A11C6E">
        <w:rPr>
          <w:rFonts w:ascii="Times New Roman" w:hAnsi="Times New Roman" w:cs="Times New Roman"/>
          <w:color w:val="000000" w:themeColor="text1"/>
          <w:sz w:val="24"/>
          <w:szCs w:val="24"/>
          <w:shd w:val="clear" w:color="auto" w:fill="FFFFFF"/>
        </w:rPr>
        <w:t xml:space="preserve"> – </w:t>
      </w:r>
      <w:r w:rsidR="008D70E9" w:rsidRPr="00A11C6E">
        <w:rPr>
          <w:rFonts w:ascii="Times New Roman" w:hAnsi="Times New Roman" w:cs="Times New Roman"/>
          <w:color w:val="000000" w:themeColor="text1"/>
          <w:sz w:val="24"/>
          <w:szCs w:val="24"/>
          <w:shd w:val="clear" w:color="auto" w:fill="FFFFFF"/>
          <w:lang w:val="ru-RU"/>
        </w:rPr>
        <w:t>Режим</w:t>
      </w:r>
      <w:r w:rsidR="008D70E9" w:rsidRPr="00A11C6E">
        <w:rPr>
          <w:rFonts w:ascii="Times New Roman" w:hAnsi="Times New Roman" w:cs="Times New Roman"/>
          <w:color w:val="000000" w:themeColor="text1"/>
          <w:sz w:val="24"/>
          <w:szCs w:val="24"/>
          <w:shd w:val="clear" w:color="auto" w:fill="FFFFFF"/>
        </w:rPr>
        <w:t xml:space="preserve"> </w:t>
      </w:r>
      <w:r w:rsidR="008D70E9" w:rsidRPr="00A11C6E">
        <w:rPr>
          <w:rFonts w:ascii="Times New Roman" w:hAnsi="Times New Roman" w:cs="Times New Roman"/>
          <w:color w:val="000000" w:themeColor="text1"/>
          <w:sz w:val="24"/>
          <w:szCs w:val="24"/>
          <w:shd w:val="clear" w:color="auto" w:fill="FFFFFF"/>
          <w:lang w:val="ru-RU"/>
        </w:rPr>
        <w:t>доступа</w:t>
      </w:r>
      <w:r w:rsidR="008D70E9" w:rsidRPr="00A11C6E">
        <w:rPr>
          <w:rFonts w:ascii="Times New Roman" w:hAnsi="Times New Roman" w:cs="Times New Roman"/>
          <w:color w:val="000000" w:themeColor="text1"/>
          <w:sz w:val="24"/>
          <w:szCs w:val="24"/>
          <w:shd w:val="clear" w:color="auto" w:fill="FFFFFF"/>
        </w:rPr>
        <w:t>: URL</w:t>
      </w:r>
      <w:r w:rsidRPr="00A11C6E">
        <w:rPr>
          <w:rFonts w:ascii="Times New Roman" w:hAnsi="Times New Roman" w:cs="Times New Roman"/>
          <w:color w:val="000000" w:themeColor="text1"/>
          <w:sz w:val="24"/>
          <w:szCs w:val="24"/>
          <w:shd w:val="clear" w:color="auto" w:fill="FFFFFF"/>
        </w:rPr>
        <w:t>:</w:t>
      </w:r>
      <w:r w:rsidR="004A0184">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rPr>
        <w:t>https://www.citylab.com/life/2017/03/the-economic-power-of-global-cities-compared-to-nations/519294 (дата обращения: 25.02.2023).</w:t>
      </w:r>
    </w:p>
    <w:p w14:paraId="60645388" w14:textId="4A5940A6"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Florida, R. The Global Cities where tech venture capital is concentrated [</w:t>
      </w:r>
      <w:r w:rsidRPr="00A11C6E">
        <w:rPr>
          <w:rFonts w:ascii="Times New Roman" w:hAnsi="Times New Roman" w:cs="Times New Roman"/>
          <w:color w:val="000000" w:themeColor="text1"/>
          <w:sz w:val="24"/>
          <w:szCs w:val="24"/>
          <w:shd w:val="clear" w:color="auto" w:fill="FFFFFF"/>
          <w:lang w:val="ru-RU"/>
        </w:rPr>
        <w:t>Электронный</w:t>
      </w:r>
      <w:r w:rsidRPr="00A11C6E">
        <w:rPr>
          <w:rFonts w:ascii="Times New Roman" w:hAnsi="Times New Roman" w:cs="Times New Roman"/>
          <w:color w:val="000000" w:themeColor="text1"/>
          <w:sz w:val="24"/>
          <w:szCs w:val="24"/>
          <w:shd w:val="clear" w:color="auto" w:fill="FFFFFF"/>
        </w:rPr>
        <w:t xml:space="preserve"> </w:t>
      </w:r>
      <w:r w:rsidRPr="00A11C6E">
        <w:rPr>
          <w:rFonts w:ascii="Times New Roman" w:hAnsi="Times New Roman" w:cs="Times New Roman"/>
          <w:color w:val="000000" w:themeColor="text1"/>
          <w:sz w:val="24"/>
          <w:szCs w:val="24"/>
          <w:shd w:val="clear" w:color="auto" w:fill="FFFFFF"/>
          <w:lang w:val="ru-RU"/>
        </w:rPr>
        <w:t>ресурс</w:t>
      </w:r>
      <w:r w:rsidRPr="00A11C6E">
        <w:rPr>
          <w:rFonts w:ascii="Times New Roman" w:hAnsi="Times New Roman" w:cs="Times New Roman"/>
          <w:color w:val="000000" w:themeColor="text1"/>
          <w:sz w:val="24"/>
          <w:szCs w:val="24"/>
          <w:shd w:val="clear" w:color="auto" w:fill="FFFFFF"/>
        </w:rPr>
        <w:t xml:space="preserve">] // The Atlantic. – 26.01.2016 – </w:t>
      </w:r>
      <w:r w:rsidRPr="00A11C6E">
        <w:rPr>
          <w:rFonts w:ascii="Times New Roman" w:hAnsi="Times New Roman" w:cs="Times New Roman"/>
          <w:color w:val="000000" w:themeColor="text1"/>
          <w:sz w:val="24"/>
          <w:szCs w:val="24"/>
          <w:shd w:val="clear" w:color="auto" w:fill="FFFFFF"/>
          <w:lang w:val="ru-RU"/>
        </w:rPr>
        <w:t>Режим</w:t>
      </w:r>
      <w:r w:rsidRPr="00A11C6E">
        <w:rPr>
          <w:rFonts w:ascii="Times New Roman" w:hAnsi="Times New Roman" w:cs="Times New Roman"/>
          <w:color w:val="000000" w:themeColor="text1"/>
          <w:sz w:val="24"/>
          <w:szCs w:val="24"/>
          <w:shd w:val="clear" w:color="auto" w:fill="FFFFFF"/>
        </w:rPr>
        <w:t xml:space="preserve"> </w:t>
      </w:r>
      <w:r w:rsidRPr="00A11C6E">
        <w:rPr>
          <w:rFonts w:ascii="Times New Roman" w:hAnsi="Times New Roman" w:cs="Times New Roman"/>
          <w:color w:val="000000" w:themeColor="text1"/>
          <w:sz w:val="24"/>
          <w:szCs w:val="24"/>
          <w:shd w:val="clear" w:color="auto" w:fill="FFFFFF"/>
          <w:lang w:val="ru-RU"/>
        </w:rPr>
        <w:t>доступа</w:t>
      </w:r>
      <w:r w:rsidRPr="00A11C6E">
        <w:rPr>
          <w:rFonts w:ascii="Times New Roman" w:hAnsi="Times New Roman" w:cs="Times New Roman"/>
          <w:color w:val="000000" w:themeColor="text1"/>
          <w:sz w:val="24"/>
          <w:szCs w:val="24"/>
          <w:shd w:val="clear" w:color="auto" w:fill="FFFFFF"/>
        </w:rPr>
        <w:t xml:space="preserve">: </w:t>
      </w:r>
      <w:r w:rsidRPr="004A0184">
        <w:rPr>
          <w:rFonts w:ascii="Times New Roman" w:hAnsi="Times New Roman" w:cs="Times New Roman"/>
          <w:color w:val="000000" w:themeColor="text1"/>
          <w:sz w:val="24"/>
          <w:szCs w:val="24"/>
          <w:shd w:val="clear" w:color="auto" w:fill="FFFFFF"/>
        </w:rPr>
        <w:t>URL:</w:t>
      </w:r>
      <w:r w:rsidR="004A0184" w:rsidRPr="004A0184">
        <w:rPr>
          <w:rFonts w:ascii="Times New Roman" w:hAnsi="Times New Roman" w:cs="Times New Roman"/>
          <w:color w:val="000000" w:themeColor="text1"/>
          <w:sz w:val="24"/>
          <w:szCs w:val="24"/>
          <w:shd w:val="clear" w:color="auto" w:fill="FFFFFF"/>
        </w:rPr>
        <w:t> </w:t>
      </w:r>
      <w:hyperlink r:id="rId68" w:tooltip="https://www.theatlantic.com/technology/archive/2016/01/global-startup-cities-venture-capital/429255" w:history="1">
        <w:r w:rsidRPr="004A0184">
          <w:rPr>
            <w:rStyle w:val="a9"/>
            <w:rFonts w:ascii="Times New Roman" w:hAnsi="Times New Roman" w:cs="Times New Roman"/>
            <w:color w:val="000000" w:themeColor="text1"/>
            <w:sz w:val="24"/>
            <w:szCs w:val="24"/>
            <w:u w:val="none"/>
            <w:shd w:val="clear" w:color="auto" w:fill="FFFFFF"/>
          </w:rPr>
          <w:t>https://www.theatlantic.com/technology/archive/2016/01/global-startup-cities-venture-capital/429255</w:t>
        </w:r>
      </w:hyperlink>
      <w:r w:rsidRPr="004A0184">
        <w:rPr>
          <w:rFonts w:ascii="Times New Roman" w:hAnsi="Times New Roman" w:cs="Times New Roman"/>
          <w:color w:val="000000" w:themeColor="text1"/>
          <w:sz w:val="24"/>
          <w:szCs w:val="24"/>
          <w:shd w:val="clear" w:color="auto" w:fill="FFFFFF"/>
        </w:rPr>
        <w:t xml:space="preserve"> (дата обращения: 02.03.2023).</w:t>
      </w:r>
    </w:p>
    <w:p w14:paraId="03E5774E" w14:textId="62139BC6"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16" w:name="_Ref135595983"/>
      <w:r w:rsidRPr="00A11C6E">
        <w:rPr>
          <w:rFonts w:ascii="Times New Roman" w:hAnsi="Times New Roman" w:cs="Times New Roman"/>
          <w:color w:val="000000" w:themeColor="text1"/>
          <w:sz w:val="24"/>
          <w:szCs w:val="24"/>
          <w:shd w:val="clear" w:color="auto" w:fill="FFFFFF"/>
        </w:rPr>
        <w:t>Fratianni, M. The Evolutionary Chain of International Financial Centers / M.</w:t>
      </w:r>
      <w:r w:rsidR="004F41FA" w:rsidRPr="00A11C6E">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rPr>
        <w:t>Fratianni // The Changing Geography of Banking and Finance. – New York: Springer Science and Business Media, LLC, 2009. – P. 251–276.</w:t>
      </w:r>
      <w:bookmarkEnd w:id="116"/>
    </w:p>
    <w:p w14:paraId="151E9839" w14:textId="2993915B" w:rsidR="00AE4368" w:rsidRPr="00A11C6E" w:rsidRDefault="00E647FB"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17" w:name="_Ref135596054"/>
      <w:r w:rsidRPr="00A11C6E">
        <w:rPr>
          <w:rFonts w:ascii="Times New Roman" w:hAnsi="Times New Roman" w:cs="Times New Roman"/>
          <w:color w:val="000000" w:themeColor="text1"/>
          <w:sz w:val="24"/>
          <w:szCs w:val="24"/>
          <w:shd w:val="clear" w:color="auto" w:fill="FFFFFF"/>
        </w:rPr>
        <w:lastRenderedPageBreak/>
        <w:t>Friedman J. The World C</w:t>
      </w:r>
      <w:r w:rsidR="002023F4" w:rsidRPr="00A11C6E">
        <w:rPr>
          <w:rFonts w:ascii="Times New Roman" w:hAnsi="Times New Roman" w:cs="Times New Roman"/>
          <w:color w:val="000000" w:themeColor="text1"/>
          <w:sz w:val="24"/>
          <w:szCs w:val="24"/>
          <w:shd w:val="clear" w:color="auto" w:fill="FFFFFF"/>
        </w:rPr>
        <w:t>ity Hypothesis / J. Friedman. // Development and Change –№4.</w:t>
      </w:r>
      <w:r w:rsidR="004A0184">
        <w:rPr>
          <w:rFonts w:ascii="Times New Roman" w:hAnsi="Times New Roman" w:cs="Times New Roman"/>
          <w:color w:val="000000" w:themeColor="text1"/>
          <w:sz w:val="24"/>
          <w:szCs w:val="24"/>
          <w:shd w:val="clear" w:color="auto" w:fill="FFFFFF"/>
        </w:rPr>
        <w:t> </w:t>
      </w:r>
      <w:r w:rsidR="002023F4" w:rsidRPr="00A11C6E">
        <w:rPr>
          <w:rFonts w:ascii="Times New Roman" w:hAnsi="Times New Roman" w:cs="Times New Roman"/>
          <w:color w:val="000000" w:themeColor="text1"/>
          <w:sz w:val="24"/>
          <w:szCs w:val="24"/>
          <w:shd w:val="clear" w:color="auto" w:fill="FFFFFF"/>
        </w:rPr>
        <w:t>– 1986. – 12–50 p.</w:t>
      </w:r>
      <w:bookmarkEnd w:id="117"/>
    </w:p>
    <w:p w14:paraId="1840E883" w14:textId="428D8B9D" w:rsidR="0096378C" w:rsidRPr="00A11C6E" w:rsidRDefault="0096378C"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Gao, Y. Renminbi internationalization as a response to the global imbalance / Y. Gao, D’M. Coffman // Journal of Chinese Economic and Business Studies. – 06.06.2013. – 14 p.</w:t>
      </w:r>
    </w:p>
    <w:p w14:paraId="51C26E9D" w14:textId="27AD93CB"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18" w:name="_Hlk136106530"/>
      <w:r w:rsidRPr="00A11C6E">
        <w:rPr>
          <w:rFonts w:ascii="Times New Roman" w:hAnsi="Times New Roman" w:cs="Times New Roman"/>
          <w:color w:val="000000" w:themeColor="text1"/>
          <w:sz w:val="24"/>
          <w:szCs w:val="24"/>
          <w:shd w:val="clear" w:color="auto" w:fill="FFFFFF"/>
        </w:rPr>
        <w:t>Garrod, C. ILS and the Convergence of Insurance and Funds in Bermuda / C.</w:t>
      </w:r>
      <w:r w:rsidR="004F41FA" w:rsidRPr="00A11C6E">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rPr>
        <w:t xml:space="preserve">Garrod // IFC Caribbean. - January 2014. - P. 45-47. </w:t>
      </w:r>
    </w:p>
    <w:p w14:paraId="2B1A67CF" w14:textId="5E7FBFCE"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19" w:name="_Hlk136106548"/>
      <w:bookmarkEnd w:id="118"/>
      <w:r w:rsidRPr="00A11C6E">
        <w:rPr>
          <w:rFonts w:ascii="Times New Roman" w:hAnsi="Times New Roman" w:cs="Times New Roman"/>
          <w:color w:val="000000" w:themeColor="text1"/>
          <w:sz w:val="24"/>
          <w:szCs w:val="24"/>
          <w:shd w:val="clear" w:color="auto" w:fill="FFFFFF"/>
        </w:rPr>
        <w:t xml:space="preserve">Gehrig, T. Cities and the Geography of Financial Centers / T. Gehrig // Economics of Cities: Theoretical Perspectives. - Cambridge: Cambridge University Press, 2000. – P. 415–446. </w:t>
      </w:r>
      <w:bookmarkStart w:id="120" w:name="_Ref446780226"/>
    </w:p>
    <w:p w14:paraId="29D55122" w14:textId="302A240D" w:rsidR="00F87DCB" w:rsidRPr="00A11C6E" w:rsidRDefault="00F87DCB"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21" w:name="_Ref136175891"/>
      <w:bookmarkStart w:id="122" w:name="_Ref500795605"/>
      <w:bookmarkEnd w:id="119"/>
      <w:bookmarkEnd w:id="120"/>
      <w:r w:rsidRPr="00A11C6E">
        <w:rPr>
          <w:rFonts w:ascii="Times New Roman" w:hAnsi="Times New Roman" w:cs="Times New Roman"/>
          <w:color w:val="000000" w:themeColor="text1"/>
          <w:sz w:val="24"/>
          <w:szCs w:val="24"/>
        </w:rPr>
        <w:t>Gordon, I. R. London’s Place in the UK Economy 2009–10 / I. R. Gordon, the London School of Economics and Political Science. City of London. October 2009. – 137 p.</w:t>
      </w:r>
      <w:bookmarkEnd w:id="121"/>
    </w:p>
    <w:p w14:paraId="2AEF9E0A" w14:textId="62AF2C4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t xml:space="preserve">Greene, J. Riots, suicides, and other issues in Foxconn’s iPhone factories </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eastAsia="zh-CN"/>
        </w:rPr>
        <w:t xml:space="preserve">J. Riots Greene. </w:t>
      </w:r>
      <w:r w:rsidR="008D70E9" w:rsidRPr="00A11C6E">
        <w:rPr>
          <w:rFonts w:ascii="Times New Roman" w:hAnsi="Times New Roman" w:cs="Times New Roman"/>
          <w:color w:val="000000" w:themeColor="text1"/>
          <w:sz w:val="24"/>
          <w:szCs w:val="24"/>
          <w:lang w:eastAsia="zh-CN"/>
        </w:rPr>
        <w:t xml:space="preserve">– </w:t>
      </w:r>
      <w:r w:rsidR="008D70E9" w:rsidRPr="00A11C6E">
        <w:rPr>
          <w:rFonts w:ascii="Times New Roman" w:hAnsi="Times New Roman" w:cs="Times New Roman"/>
          <w:color w:val="000000" w:themeColor="text1"/>
          <w:sz w:val="24"/>
          <w:szCs w:val="24"/>
          <w:lang w:val="ru-RU" w:eastAsia="zh-CN"/>
        </w:rPr>
        <w:t>Режим</w:t>
      </w:r>
      <w:r w:rsidR="008D70E9" w:rsidRPr="00A11C6E">
        <w:rPr>
          <w:rFonts w:ascii="Times New Roman" w:hAnsi="Times New Roman" w:cs="Times New Roman"/>
          <w:color w:val="000000" w:themeColor="text1"/>
          <w:sz w:val="24"/>
          <w:szCs w:val="24"/>
          <w:lang w:eastAsia="zh-CN"/>
        </w:rPr>
        <w:t xml:space="preserve"> </w:t>
      </w:r>
      <w:r w:rsidR="008D70E9" w:rsidRPr="00A11C6E">
        <w:rPr>
          <w:rFonts w:ascii="Times New Roman" w:hAnsi="Times New Roman" w:cs="Times New Roman"/>
          <w:color w:val="000000" w:themeColor="text1"/>
          <w:sz w:val="24"/>
          <w:szCs w:val="24"/>
          <w:lang w:val="ru-RU" w:eastAsia="zh-CN"/>
        </w:rPr>
        <w:t>доступа</w:t>
      </w:r>
      <w:r w:rsidR="008D70E9"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rPr>
        <w:t xml:space="preserve">URL: </w:t>
      </w:r>
      <w:hyperlink r:id="rId69" w:tooltip="http://www.cnet.com/news/riots-suicides-and-other-issues-in-foxconns-iphone-factories" w:history="1">
        <w:r w:rsidRPr="00A11C6E">
          <w:rPr>
            <w:rStyle w:val="a9"/>
            <w:rFonts w:ascii="Times New Roman" w:hAnsi="Times New Roman" w:cs="Times New Roman"/>
            <w:color w:val="000000" w:themeColor="text1"/>
            <w:sz w:val="24"/>
            <w:szCs w:val="24"/>
            <w:u w:val="none"/>
          </w:rPr>
          <w:t>http://www.cnet.com/news/riots-suicides-and-other-issues-in-foxconns-iphone-factories</w:t>
        </w:r>
      </w:hyperlink>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01.03.2023).</w:t>
      </w:r>
      <w:bookmarkEnd w:id="122"/>
    </w:p>
    <w:p w14:paraId="458EBBCD" w14:textId="72BDAFC9"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23" w:name="_Hlk136106567"/>
      <w:r w:rsidRPr="00A11C6E">
        <w:rPr>
          <w:rFonts w:ascii="Times New Roman" w:hAnsi="Times New Roman" w:cs="Times New Roman"/>
          <w:color w:val="000000" w:themeColor="text1"/>
          <w:sz w:val="24"/>
          <w:szCs w:val="24"/>
          <w:shd w:val="clear" w:color="auto" w:fill="FFFFFF"/>
        </w:rPr>
        <w:t>Hall, P. The World Cities / P. Hall. – London: Weidenfeld &amp; Nicolson, 1966. – 256</w:t>
      </w:r>
      <w:r w:rsidR="00E54CDA" w:rsidRPr="00A11C6E">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rPr>
        <w:t xml:space="preserve">p. </w:t>
      </w:r>
      <w:bookmarkStart w:id="124" w:name="_Ref499671128"/>
      <w:bookmarkStart w:id="125" w:name="_Ref499162107"/>
    </w:p>
    <w:bookmarkEnd w:id="123"/>
    <w:p w14:paraId="0FC77CF8" w14:textId="5676864A"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4E7E3E">
        <w:rPr>
          <w:rFonts w:ascii="Times New Roman" w:hAnsi="Times New Roman" w:cs="Times New Roman"/>
          <w:color w:val="000000" w:themeColor="text1"/>
          <w:sz w:val="24"/>
          <w:szCs w:val="24"/>
        </w:rPr>
        <w:t xml:space="preserve">How China turning Shanghai into an international financial centre </w:t>
      </w:r>
      <w:r w:rsidRPr="004E7E3E">
        <w:rPr>
          <w:rFonts w:ascii="Times New Roman" w:hAnsi="Times New Roman" w:cs="Times New Roman"/>
          <w:color w:val="000000" w:themeColor="text1"/>
          <w:sz w:val="24"/>
          <w:szCs w:val="24"/>
          <w:lang w:eastAsia="zh-CN"/>
        </w:rPr>
        <w:t>[</w:t>
      </w:r>
      <w:r w:rsidRPr="004E7E3E">
        <w:rPr>
          <w:rFonts w:ascii="Times New Roman" w:hAnsi="Times New Roman" w:cs="Times New Roman"/>
          <w:color w:val="000000" w:themeColor="text1"/>
          <w:sz w:val="24"/>
          <w:szCs w:val="24"/>
          <w:lang w:val="ru-RU" w:eastAsia="zh-CN"/>
        </w:rPr>
        <w:t>Электронный</w:t>
      </w:r>
      <w:r w:rsidRPr="004E7E3E">
        <w:rPr>
          <w:rFonts w:ascii="Times New Roman" w:hAnsi="Times New Roman" w:cs="Times New Roman"/>
          <w:color w:val="000000" w:themeColor="text1"/>
          <w:sz w:val="24"/>
          <w:szCs w:val="24"/>
          <w:lang w:eastAsia="zh-CN"/>
        </w:rPr>
        <w:t xml:space="preserve"> </w:t>
      </w:r>
      <w:r w:rsidRPr="004E7E3E">
        <w:rPr>
          <w:rFonts w:ascii="Times New Roman" w:hAnsi="Times New Roman" w:cs="Times New Roman"/>
          <w:color w:val="000000" w:themeColor="text1"/>
          <w:sz w:val="24"/>
          <w:szCs w:val="24"/>
          <w:lang w:val="ru-RU" w:eastAsia="zh-CN"/>
        </w:rPr>
        <w:t>ресурс</w:t>
      </w:r>
      <w:r w:rsidRPr="004E7E3E">
        <w:rPr>
          <w:rFonts w:ascii="Times New Roman" w:hAnsi="Times New Roman" w:cs="Times New Roman"/>
          <w:color w:val="000000" w:themeColor="text1"/>
          <w:sz w:val="24"/>
          <w:szCs w:val="24"/>
          <w:lang w:eastAsia="zh-CN"/>
        </w:rPr>
        <w:t>] /EY Gre</w:t>
      </w:r>
      <w:r w:rsidR="008D70E9" w:rsidRPr="004E7E3E">
        <w:rPr>
          <w:rFonts w:ascii="Times New Roman" w:hAnsi="Times New Roman" w:cs="Times New Roman"/>
          <w:color w:val="000000" w:themeColor="text1"/>
          <w:sz w:val="24"/>
          <w:szCs w:val="24"/>
          <w:lang w:eastAsia="zh-CN"/>
        </w:rPr>
        <w:t xml:space="preserve">ater China. – </w:t>
      </w:r>
      <w:r w:rsidRPr="004E7E3E">
        <w:rPr>
          <w:rFonts w:ascii="Times New Roman" w:hAnsi="Times New Roman" w:cs="Times New Roman"/>
          <w:color w:val="000000" w:themeColor="text1"/>
          <w:sz w:val="24"/>
          <w:szCs w:val="24"/>
          <w:lang w:val="ru-RU" w:eastAsia="zh-CN"/>
        </w:rPr>
        <w:t>Режим</w:t>
      </w:r>
      <w:r w:rsidRPr="004E7E3E">
        <w:rPr>
          <w:rFonts w:ascii="Times New Roman" w:hAnsi="Times New Roman" w:cs="Times New Roman"/>
          <w:color w:val="000000" w:themeColor="text1"/>
          <w:sz w:val="24"/>
          <w:szCs w:val="24"/>
          <w:lang w:eastAsia="zh-CN"/>
        </w:rPr>
        <w:t xml:space="preserve"> </w:t>
      </w:r>
      <w:r w:rsidRPr="004E7E3E">
        <w:rPr>
          <w:rFonts w:ascii="Times New Roman" w:hAnsi="Times New Roman" w:cs="Times New Roman"/>
          <w:color w:val="000000" w:themeColor="text1"/>
          <w:sz w:val="24"/>
          <w:szCs w:val="24"/>
          <w:lang w:val="ru-RU" w:eastAsia="zh-CN"/>
        </w:rPr>
        <w:t>доступа</w:t>
      </w:r>
      <w:r w:rsidRPr="004E7E3E">
        <w:rPr>
          <w:rFonts w:ascii="Times New Roman" w:hAnsi="Times New Roman" w:cs="Times New Roman"/>
          <w:color w:val="000000" w:themeColor="text1"/>
          <w:sz w:val="24"/>
          <w:szCs w:val="24"/>
          <w:lang w:eastAsia="zh-CN"/>
        </w:rPr>
        <w:t xml:space="preserve">: </w:t>
      </w:r>
      <w:r w:rsidRPr="004E7E3E">
        <w:rPr>
          <w:rFonts w:ascii="Times New Roman" w:hAnsi="Times New Roman" w:cs="Times New Roman"/>
          <w:color w:val="000000" w:themeColor="text1"/>
          <w:sz w:val="24"/>
          <w:szCs w:val="24"/>
        </w:rPr>
        <w:t>URL: https://www.ey.com/en_cn/china-opportunities/how-is-china-turning-shanghai-into-an-international-finance-center (</w:t>
      </w:r>
      <w:r w:rsidRPr="004E7E3E">
        <w:rPr>
          <w:rFonts w:ascii="Times New Roman" w:hAnsi="Times New Roman" w:cs="Times New Roman"/>
          <w:color w:val="000000" w:themeColor="text1"/>
          <w:sz w:val="24"/>
          <w:szCs w:val="24"/>
          <w:lang w:val="ru-RU"/>
        </w:rPr>
        <w:t>дата</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обращения</w:t>
      </w:r>
      <w:r w:rsidRPr="004E7E3E">
        <w:rPr>
          <w:rFonts w:ascii="Times New Roman" w:hAnsi="Times New Roman" w:cs="Times New Roman"/>
          <w:color w:val="000000" w:themeColor="text1"/>
          <w:sz w:val="24"/>
          <w:szCs w:val="24"/>
        </w:rPr>
        <w:t>: 01.03.2023).</w:t>
      </w:r>
      <w:bookmarkEnd w:id="124"/>
    </w:p>
    <w:p w14:paraId="7311F33C" w14:textId="72EB67B9"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4E7E3E">
        <w:rPr>
          <w:rFonts w:ascii="Times New Roman" w:hAnsi="Times New Roman" w:cs="Times New Roman"/>
          <w:color w:val="000000" w:themeColor="text1"/>
          <w:sz w:val="24"/>
          <w:szCs w:val="24"/>
          <w:lang w:eastAsia="zh-CN"/>
        </w:rPr>
        <w:t xml:space="preserve">Huat, T. C. Competing International Financial Centers: A Comparative Study between Hong Kong and Singapore / T. C. Huat, J. Lim, W. Chen // Paper for Saw Centre for Financial Studies and ISEAS Conference in Nov. 2004 – Singapore as a Financial Centre: Development and Prospects. Singapore, </w:t>
      </w:r>
      <w:r w:rsidRPr="00A11C6E">
        <w:rPr>
          <w:rFonts w:ascii="Times New Roman" w:hAnsi="Times New Roman" w:cs="Times New Roman"/>
          <w:color w:val="000000" w:themeColor="text1"/>
          <w:sz w:val="24"/>
          <w:szCs w:val="24"/>
          <w:lang w:eastAsia="zh-CN"/>
        </w:rPr>
        <w:t>2004.</w:t>
      </w:r>
      <w:bookmarkEnd w:id="125"/>
    </w:p>
    <w:p w14:paraId="4BF71B0B" w14:textId="443BA011" w:rsidR="00C81137" w:rsidRPr="00A11C6E" w:rsidRDefault="00C8113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lang w:eastAsia="zh-CN"/>
        </w:rPr>
        <w:t>Hu, R. Global City and Migration: A Critical Review for Sydney, Australia / R. Hu, W.</w:t>
      </w:r>
      <w:r w:rsidR="004A0184">
        <w:rPr>
          <w:rFonts w:ascii="Times New Roman" w:hAnsi="Times New Roman" w:cs="Times New Roman"/>
          <w:color w:val="000000" w:themeColor="text1"/>
          <w:sz w:val="24"/>
          <w:szCs w:val="24"/>
          <w:lang w:eastAsia="zh-CN"/>
        </w:rPr>
        <w:t> </w:t>
      </w:r>
      <w:r w:rsidRPr="00A11C6E">
        <w:rPr>
          <w:rFonts w:ascii="Times New Roman" w:hAnsi="Times New Roman" w:cs="Times New Roman"/>
          <w:color w:val="000000" w:themeColor="text1"/>
          <w:sz w:val="24"/>
          <w:szCs w:val="24"/>
          <w:lang w:eastAsia="zh-CN"/>
        </w:rPr>
        <w:t>McClure // Chinese Journal of Urban and Environmental Studies. – 2014, vol. 2, No. 1. – 21 p.</w:t>
      </w:r>
    </w:p>
    <w:p w14:paraId="12AD2708"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t xml:space="preserve">International Access </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 Shanghai Stock Exchange. –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rPr>
        <w:t xml:space="preserve">URL: </w:t>
      </w:r>
      <w:r w:rsidRPr="00A11C6E">
        <w:rPr>
          <w:rFonts w:ascii="Times New Roman" w:hAnsi="Times New Roman" w:cs="Times New Roman"/>
          <w:sz w:val="24"/>
          <w:szCs w:val="24"/>
        </w:rPr>
        <w:t>http://english.sse.com.cn/aboutsse/internationalization/access</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01.03.2023)</w:t>
      </w:r>
      <w:r w:rsidRPr="00A11C6E">
        <w:rPr>
          <w:rFonts w:ascii="Times New Roman" w:hAnsi="Times New Roman" w:cs="Times New Roman"/>
          <w:color w:val="000000" w:themeColor="text1"/>
          <w:sz w:val="24"/>
          <w:szCs w:val="24"/>
          <w:lang w:eastAsia="zh-CN"/>
        </w:rPr>
        <w:t>.</w:t>
      </w:r>
      <w:bookmarkStart w:id="126" w:name="_Ref446787619"/>
    </w:p>
    <w:p w14:paraId="3799B2EB" w14:textId="4D43E89B" w:rsidR="00266036"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27" w:name="_Hlk136106595"/>
      <w:r w:rsidRPr="00A11C6E">
        <w:rPr>
          <w:rFonts w:ascii="Times New Roman" w:hAnsi="Times New Roman" w:cs="Times New Roman"/>
          <w:color w:val="000000" w:themeColor="text1"/>
          <w:sz w:val="24"/>
          <w:szCs w:val="24"/>
          <w:lang w:eastAsia="zh-CN"/>
        </w:rPr>
        <w:t>International Banking and Financial Centres / Ed. by Y. S. Park, M. Essayyad. – Boston/Dordrecht/London: Kluwer Academic Publisher, 1989. – 270 p.</w:t>
      </w:r>
      <w:bookmarkStart w:id="128" w:name="_Ref130562642"/>
    </w:p>
    <w:bookmarkEnd w:id="127"/>
    <w:p w14:paraId="1BCB262E" w14:textId="42CD1470" w:rsidR="00836ACB" w:rsidRPr="00A11C6E" w:rsidRDefault="00836ACB"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sz w:val="24"/>
          <w:szCs w:val="24"/>
        </w:rPr>
        <w:t>In</w:t>
      </w:r>
      <w:r w:rsidR="00266036" w:rsidRPr="00A11C6E">
        <w:rPr>
          <w:rFonts w:ascii="Times New Roman" w:hAnsi="Times New Roman" w:cs="Times New Roman"/>
          <w:color w:val="000000"/>
          <w:sz w:val="24"/>
          <w:szCs w:val="24"/>
        </w:rPr>
        <w:t>ternational Financial Centres: Facilitating Financial Inclusion via Digitalization / Mainelli M., Mills S., Jaafar-Crossby F., Liaw S. – The Z/Yen Group &amp;</w:t>
      </w:r>
      <w:r w:rsidRPr="00A11C6E">
        <w:rPr>
          <w:rFonts w:ascii="Times New Roman" w:hAnsi="Times New Roman" w:cs="Times New Roman"/>
          <w:color w:val="000000"/>
          <w:sz w:val="24"/>
          <w:szCs w:val="24"/>
        </w:rPr>
        <w:t xml:space="preserve"> International Business and Financial Centres, Malaysia</w:t>
      </w:r>
      <w:r w:rsidR="00266036" w:rsidRPr="00A11C6E">
        <w:rPr>
          <w:rFonts w:ascii="Times New Roman" w:hAnsi="Times New Roman" w:cs="Times New Roman"/>
          <w:color w:val="000000"/>
          <w:sz w:val="24"/>
          <w:szCs w:val="24"/>
        </w:rPr>
        <w:t xml:space="preserve">. – 24 p. – </w:t>
      </w:r>
      <w:r w:rsidR="00266036" w:rsidRPr="00A11C6E">
        <w:rPr>
          <w:rFonts w:ascii="Times New Roman" w:hAnsi="Times New Roman" w:cs="Times New Roman"/>
          <w:color w:val="000000"/>
          <w:sz w:val="24"/>
          <w:szCs w:val="24"/>
          <w:lang w:val="ru-RU"/>
        </w:rPr>
        <w:t>Режим</w:t>
      </w:r>
      <w:r w:rsidR="00266036" w:rsidRPr="00A11C6E">
        <w:rPr>
          <w:rFonts w:ascii="Times New Roman" w:hAnsi="Times New Roman" w:cs="Times New Roman"/>
          <w:color w:val="000000"/>
          <w:sz w:val="24"/>
          <w:szCs w:val="24"/>
        </w:rPr>
        <w:t xml:space="preserve"> </w:t>
      </w:r>
      <w:r w:rsidR="00266036" w:rsidRPr="00A11C6E">
        <w:rPr>
          <w:rFonts w:ascii="Times New Roman" w:hAnsi="Times New Roman" w:cs="Times New Roman"/>
          <w:color w:val="000000"/>
          <w:sz w:val="24"/>
          <w:szCs w:val="24"/>
          <w:lang w:val="ru-RU"/>
        </w:rPr>
        <w:t>доступа</w:t>
      </w:r>
      <w:r w:rsidR="00266036" w:rsidRPr="00A11C6E">
        <w:rPr>
          <w:rFonts w:ascii="Times New Roman" w:hAnsi="Times New Roman" w:cs="Times New Roman"/>
          <w:color w:val="000000"/>
          <w:sz w:val="24"/>
          <w:szCs w:val="24"/>
        </w:rPr>
        <w:t>: URL:</w:t>
      </w:r>
      <w:r w:rsidR="004A0184">
        <w:rPr>
          <w:rFonts w:ascii="Times New Roman" w:hAnsi="Times New Roman" w:cs="Times New Roman"/>
          <w:color w:val="000000"/>
          <w:sz w:val="24"/>
          <w:szCs w:val="24"/>
        </w:rPr>
        <w:t> </w:t>
      </w:r>
      <w:hyperlink r:id="rId70" w:history="1">
        <w:r w:rsidR="00266036" w:rsidRPr="00A11C6E">
          <w:rPr>
            <w:rStyle w:val="a9"/>
            <w:rFonts w:ascii="Times New Roman" w:hAnsi="Times New Roman" w:cs="Times New Roman"/>
            <w:color w:val="000000" w:themeColor="text1"/>
            <w:sz w:val="24"/>
            <w:szCs w:val="24"/>
            <w:u w:val="none"/>
          </w:rPr>
          <w:t>https://www.longfinance.net/publications/long-finance-reports/international-financial-centres-facilitating-financial-inclusion-digitalisation</w:t>
        </w:r>
      </w:hyperlink>
      <w:r w:rsidR="00266036" w:rsidRPr="00A11C6E">
        <w:rPr>
          <w:rFonts w:ascii="Times New Roman" w:hAnsi="Times New Roman" w:cs="Times New Roman"/>
          <w:color w:val="000000" w:themeColor="text1"/>
          <w:sz w:val="24"/>
          <w:szCs w:val="24"/>
        </w:rPr>
        <w:t xml:space="preserve"> </w:t>
      </w:r>
      <w:r w:rsidR="00266036" w:rsidRPr="00A11C6E">
        <w:rPr>
          <w:rFonts w:ascii="Times New Roman" w:hAnsi="Times New Roman" w:cs="Times New Roman"/>
          <w:color w:val="000000"/>
          <w:sz w:val="24"/>
          <w:szCs w:val="24"/>
        </w:rPr>
        <w:t>(</w:t>
      </w:r>
      <w:r w:rsidR="00266036" w:rsidRPr="00A11C6E">
        <w:rPr>
          <w:rFonts w:ascii="Times New Roman" w:hAnsi="Times New Roman" w:cs="Times New Roman"/>
          <w:color w:val="000000"/>
          <w:sz w:val="24"/>
          <w:szCs w:val="24"/>
          <w:lang w:val="ru-RU"/>
        </w:rPr>
        <w:t>дата</w:t>
      </w:r>
      <w:r w:rsidR="00266036" w:rsidRPr="00A11C6E">
        <w:rPr>
          <w:rFonts w:ascii="Times New Roman" w:hAnsi="Times New Roman" w:cs="Times New Roman"/>
          <w:color w:val="000000"/>
          <w:sz w:val="24"/>
          <w:szCs w:val="24"/>
        </w:rPr>
        <w:t xml:space="preserve"> </w:t>
      </w:r>
      <w:r w:rsidR="00266036" w:rsidRPr="00A11C6E">
        <w:rPr>
          <w:rFonts w:ascii="Times New Roman" w:hAnsi="Times New Roman" w:cs="Times New Roman"/>
          <w:color w:val="000000"/>
          <w:sz w:val="24"/>
          <w:szCs w:val="24"/>
          <w:lang w:val="ru-RU"/>
        </w:rPr>
        <w:t>обращения</w:t>
      </w:r>
      <w:r w:rsidR="00266036" w:rsidRPr="00A11C6E">
        <w:rPr>
          <w:rFonts w:ascii="Times New Roman" w:hAnsi="Times New Roman" w:cs="Times New Roman"/>
          <w:color w:val="000000"/>
          <w:sz w:val="24"/>
          <w:szCs w:val="24"/>
        </w:rPr>
        <w:t>: 05.04.2023).</w:t>
      </w:r>
    </w:p>
    <w:p w14:paraId="2EF7D853" w14:textId="6F583C35" w:rsidR="00D20B6B" w:rsidRPr="00A11C6E" w:rsidRDefault="00D20B6B"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sz w:val="24"/>
          <w:szCs w:val="24"/>
        </w:rPr>
        <w:lastRenderedPageBreak/>
        <w:t>Islam, M. S. Internationalization of the Renminbi: Theory and Evidence / M. S. Islam, O.</w:t>
      </w:r>
      <w:r w:rsidR="004A0184">
        <w:rPr>
          <w:rFonts w:ascii="Times New Roman" w:hAnsi="Times New Roman" w:cs="Times New Roman"/>
          <w:color w:val="000000"/>
          <w:sz w:val="24"/>
          <w:szCs w:val="24"/>
        </w:rPr>
        <w:t> </w:t>
      </w:r>
      <w:r w:rsidRPr="00A11C6E">
        <w:rPr>
          <w:rFonts w:ascii="Times New Roman" w:hAnsi="Times New Roman" w:cs="Times New Roman"/>
          <w:color w:val="000000"/>
          <w:sz w:val="24"/>
          <w:szCs w:val="24"/>
        </w:rPr>
        <w:t xml:space="preserve">K. M. R. Bashar // </w:t>
      </w:r>
      <w:r w:rsidRPr="00A11C6E">
        <w:rPr>
          <w:rFonts w:ascii="Times New Roman" w:hAnsi="Times New Roman" w:cs="Times New Roman"/>
          <w:sz w:val="24"/>
          <w:szCs w:val="24"/>
        </w:rPr>
        <w:t xml:space="preserve">IGS Working Paper Series. – 2012, №4. – 33 p. </w:t>
      </w:r>
    </w:p>
    <w:p w14:paraId="18CE257B" w14:textId="5095E8A0"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t xml:space="preserve">Ito, R., BIS Working Papers No 828 The currency composition of foreign exchange reserves. Dec. 2019 </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rPr>
        <w:t xml:space="preserve">/ H. Ito,R., N. McCauley, the Bank of International Settlements. – </w:t>
      </w:r>
      <w:r w:rsidRPr="00A11C6E">
        <w:rPr>
          <w:rFonts w:ascii="Times New Roman" w:hAnsi="Times New Roman" w:cs="Times New Roman"/>
          <w:color w:val="000000" w:themeColor="text1"/>
          <w:sz w:val="24"/>
          <w:szCs w:val="24"/>
          <w:lang w:val="ru-RU"/>
        </w:rPr>
        <w:t>Режим</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доступа</w:t>
      </w:r>
      <w:r w:rsidRPr="00A11C6E">
        <w:rPr>
          <w:rFonts w:ascii="Times New Roman" w:hAnsi="Times New Roman" w:cs="Times New Roman"/>
          <w:color w:val="000000" w:themeColor="text1"/>
          <w:sz w:val="24"/>
          <w:szCs w:val="24"/>
        </w:rPr>
        <w:t xml:space="preserve">: URL: </w:t>
      </w:r>
      <w:hyperlink r:id="rId71" w:tooltip="https://www.bis.org/publ/work828.pdf" w:history="1">
        <w:r w:rsidRPr="00A11C6E">
          <w:rPr>
            <w:rStyle w:val="a9"/>
            <w:rFonts w:ascii="Times New Roman" w:hAnsi="Times New Roman" w:cs="Times New Roman"/>
            <w:color w:val="000000" w:themeColor="text1"/>
            <w:sz w:val="24"/>
            <w:szCs w:val="24"/>
            <w:u w:val="none"/>
          </w:rPr>
          <w:t>https://www.bis.org/publ/work828.pdf</w:t>
        </w:r>
      </w:hyperlink>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24.02.2023).</w:t>
      </w:r>
      <w:bookmarkEnd w:id="128"/>
    </w:p>
    <w:p w14:paraId="3780AD63" w14:textId="220A1719"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t xml:space="preserve">Key Figures. 2012. Residential Debt to Disposable Income of Households Ratio, % </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rPr>
        <w:t>URL:</w:t>
      </w:r>
      <w:r w:rsidR="004A0184">
        <w:rPr>
          <w:rFonts w:ascii="Times New Roman" w:hAnsi="Times New Roman" w:cs="Times New Roman"/>
          <w:color w:val="000000" w:themeColor="text1"/>
          <w:sz w:val="24"/>
          <w:szCs w:val="24"/>
        </w:rPr>
        <w:t> </w:t>
      </w:r>
      <w:hyperlink r:id="rId72" w:tooltip="http://www.hypo.org/Content/default.asp?PageID=414" w:history="1">
        <w:r w:rsidRPr="00A11C6E">
          <w:rPr>
            <w:rStyle w:val="a9"/>
            <w:rFonts w:ascii="Times New Roman" w:hAnsi="Times New Roman" w:cs="Times New Roman"/>
            <w:color w:val="000000" w:themeColor="text1"/>
            <w:sz w:val="24"/>
            <w:szCs w:val="24"/>
            <w:u w:val="none"/>
          </w:rPr>
          <w:t>http://www.hypo.org/Content/default.asp?PageID=414</w:t>
        </w:r>
      </w:hyperlink>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w:t>
      </w:r>
      <w:bookmarkEnd w:id="126"/>
      <w:r w:rsidRPr="00A11C6E">
        <w:rPr>
          <w:rFonts w:ascii="Times New Roman" w:hAnsi="Times New Roman" w:cs="Times New Roman"/>
          <w:color w:val="000000" w:themeColor="text1"/>
          <w:sz w:val="24"/>
          <w:szCs w:val="24"/>
        </w:rPr>
        <w:t>23).</w:t>
      </w:r>
    </w:p>
    <w:p w14:paraId="5E88704D" w14:textId="79CD1B4D" w:rsidR="00AE4368" w:rsidRPr="00A11C6E" w:rsidRDefault="009E1F7A"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29" w:name="_Ref135595941"/>
      <w:r w:rsidRPr="00A11C6E">
        <w:rPr>
          <w:rFonts w:ascii="Times New Roman" w:hAnsi="Times New Roman" w:cs="Times New Roman"/>
          <w:color w:val="000000" w:themeColor="text1"/>
          <w:sz w:val="24"/>
          <w:szCs w:val="24"/>
          <w:shd w:val="clear" w:color="auto" w:fill="FFFFFF"/>
        </w:rPr>
        <w:t>Kindleberger, Ch.</w:t>
      </w:r>
      <w:r w:rsidR="002023F4" w:rsidRPr="00A11C6E">
        <w:rPr>
          <w:rFonts w:ascii="Times New Roman" w:hAnsi="Times New Roman" w:cs="Times New Roman"/>
          <w:color w:val="000000" w:themeColor="text1"/>
          <w:sz w:val="24"/>
          <w:szCs w:val="24"/>
          <w:shd w:val="clear" w:color="auto" w:fill="FFFFFF"/>
        </w:rPr>
        <w:t xml:space="preserve"> The Formation of Financial Centers: A Study in Comparative Economic History / Ch. Kindleberger. – Princeton: Princeton University Press, 1974. – 114 p.</w:t>
      </w:r>
      <w:bookmarkEnd w:id="129"/>
    </w:p>
    <w:p w14:paraId="4C9D4CF6" w14:textId="4AF9356E" w:rsidR="00861A7F" w:rsidRPr="00A11C6E" w:rsidRDefault="00861A7F"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Kleibert, J. On the global city map, but not in command? Probing Manila’s position in the world city network // Environment and Planning A. – 2016 – 19 p.</w:t>
      </w:r>
    </w:p>
    <w:p w14:paraId="334922CC" w14:textId="72114BA5"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30" w:name="_Hlk136106628"/>
      <w:r w:rsidRPr="00A11C6E">
        <w:rPr>
          <w:rFonts w:ascii="Times New Roman" w:hAnsi="Times New Roman" w:cs="Times New Roman"/>
          <w:color w:val="000000" w:themeColor="text1"/>
          <w:sz w:val="24"/>
          <w:szCs w:val="24"/>
          <w:shd w:val="clear" w:color="auto" w:fill="FFFFFF"/>
        </w:rPr>
        <w:t>Krugman, P. The Return of Depression Economics and The Crisis of 2008 / P.</w:t>
      </w:r>
      <w:r w:rsidR="004A0184">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rPr>
        <w:t>Krugman.</w:t>
      </w:r>
      <w:r w:rsidR="004A0184">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rPr>
        <w:t>– W.</w:t>
      </w:r>
      <w:r w:rsidR="00615955" w:rsidRPr="00A11C6E">
        <w:rPr>
          <w:rFonts w:ascii="Times New Roman" w:hAnsi="Times New Roman" w:cs="Times New Roman"/>
          <w:color w:val="000000" w:themeColor="text1"/>
          <w:sz w:val="24"/>
          <w:szCs w:val="24"/>
          <w:shd w:val="clear" w:color="auto" w:fill="FFFFFF"/>
        </w:rPr>
        <w:t xml:space="preserve"> </w:t>
      </w:r>
      <w:r w:rsidRPr="00A11C6E">
        <w:rPr>
          <w:rFonts w:ascii="Times New Roman" w:hAnsi="Times New Roman" w:cs="Times New Roman"/>
          <w:color w:val="000000" w:themeColor="text1"/>
          <w:sz w:val="24"/>
          <w:szCs w:val="24"/>
          <w:shd w:val="clear" w:color="auto" w:fill="FFFFFF"/>
        </w:rPr>
        <w:t>W.</w:t>
      </w:r>
      <w:r w:rsidR="00615955" w:rsidRPr="00A11C6E">
        <w:rPr>
          <w:rFonts w:ascii="Times New Roman" w:hAnsi="Times New Roman" w:cs="Times New Roman"/>
          <w:color w:val="000000" w:themeColor="text1"/>
          <w:sz w:val="24"/>
          <w:szCs w:val="24"/>
          <w:shd w:val="clear" w:color="auto" w:fill="FFFFFF"/>
        </w:rPr>
        <w:t xml:space="preserve"> </w:t>
      </w:r>
      <w:r w:rsidRPr="00A11C6E">
        <w:rPr>
          <w:rFonts w:ascii="Times New Roman" w:hAnsi="Times New Roman" w:cs="Times New Roman"/>
          <w:color w:val="000000" w:themeColor="text1"/>
          <w:sz w:val="24"/>
          <w:szCs w:val="24"/>
          <w:shd w:val="clear" w:color="auto" w:fill="FFFFFF"/>
        </w:rPr>
        <w:t>Norton &amp; Co. New York, London, 2009.</w:t>
      </w:r>
      <w:bookmarkStart w:id="131" w:name="_Ref446781577"/>
      <w:bookmarkStart w:id="132" w:name="_Hlk60755908"/>
      <w:r w:rsidRPr="00A11C6E">
        <w:rPr>
          <w:rFonts w:ascii="Times New Roman" w:hAnsi="Times New Roman" w:cs="Times New Roman"/>
          <w:color w:val="000000" w:themeColor="text1"/>
          <w:sz w:val="24"/>
          <w:szCs w:val="24"/>
          <w:shd w:val="clear" w:color="auto" w:fill="FFFFFF"/>
        </w:rPr>
        <w:t xml:space="preserve"> </w:t>
      </w:r>
    </w:p>
    <w:bookmarkEnd w:id="130"/>
    <w:p w14:paraId="17C8CA5F"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rPr>
        <w:t xml:space="preserve">Lam K. </w:t>
      </w:r>
      <w:r w:rsidRPr="00A11C6E">
        <w:rPr>
          <w:rFonts w:ascii="Times New Roman" w:hAnsi="Times New Roman" w:cs="Times New Roman"/>
          <w:bCs/>
          <w:color w:val="000000" w:themeColor="text1"/>
          <w:sz w:val="24"/>
          <w:szCs w:val="24"/>
        </w:rPr>
        <w:t xml:space="preserve">Another channel for China’s domestic capital to invest overseas – The new Qingdao Pilot Operation for RMB Funds </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bCs/>
          <w:color w:val="000000" w:themeColor="text1"/>
          <w:sz w:val="24"/>
          <w:szCs w:val="24"/>
        </w:rPr>
        <w:t xml:space="preserve">/ K. Lam // Alternative Investment Management Association. </w:t>
      </w:r>
      <w:r w:rsidRPr="00A11C6E">
        <w:rPr>
          <w:rFonts w:ascii="Times New Roman" w:hAnsi="Times New Roman" w:cs="Times New Roman"/>
          <w:bCs/>
          <w:color w:val="000000" w:themeColor="text1"/>
          <w:sz w:val="24"/>
          <w:szCs w:val="24"/>
          <w:lang w:val="ru-RU"/>
        </w:rPr>
        <w:t>30.09.</w:t>
      </w:r>
      <w:r w:rsidRPr="00A11C6E">
        <w:rPr>
          <w:rFonts w:ascii="Times New Roman" w:hAnsi="Times New Roman" w:cs="Times New Roman"/>
          <w:color w:val="000000" w:themeColor="text1"/>
          <w:sz w:val="24"/>
          <w:szCs w:val="24"/>
          <w:lang w:val="ru-RU"/>
        </w:rPr>
        <w:t xml:space="preserve">2015.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https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www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aima</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org</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journal</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aima</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journal</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q</w:t>
      </w:r>
      <w:r w:rsidRPr="00A11C6E">
        <w:rPr>
          <w:rFonts w:ascii="Times New Roman" w:hAnsi="Times New Roman" w:cs="Times New Roman"/>
          <w:color w:val="000000" w:themeColor="text1"/>
          <w:sz w:val="24"/>
          <w:szCs w:val="24"/>
          <w:lang w:val="ru-RU"/>
        </w:rPr>
        <w:t>3-2015-</w:t>
      </w:r>
      <w:r w:rsidRPr="00A11C6E">
        <w:rPr>
          <w:rFonts w:ascii="Times New Roman" w:hAnsi="Times New Roman" w:cs="Times New Roman"/>
          <w:color w:val="000000" w:themeColor="text1"/>
          <w:sz w:val="24"/>
          <w:szCs w:val="24"/>
        </w:rPr>
        <w:t>edition</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article</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another</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channel</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for</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china</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domestic</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capital</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to</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invest</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overseas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the</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new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qingdao</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pilot</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operation</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for</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rmb</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funds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html</w:t>
      </w:r>
      <w:r w:rsidRPr="00A11C6E">
        <w:rPr>
          <w:rFonts w:ascii="Times New Roman" w:hAnsi="Times New Roman" w:cs="Times New Roman"/>
          <w:color w:val="000000" w:themeColor="text1"/>
          <w:sz w:val="24"/>
          <w:szCs w:val="24"/>
          <w:lang w:val="ru-RU"/>
        </w:rPr>
        <w:t>. (дата обращения: 01.03.2023).</w:t>
      </w:r>
    </w:p>
    <w:p w14:paraId="0D086553" w14:textId="66C6859C"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sz w:val="24"/>
          <w:szCs w:val="24"/>
        </w:rPr>
        <w:t>Lukasevich, I. Y. Creation of Corporative Financial Stability Index: Integrated Approach</w:t>
      </w:r>
      <w:r w:rsidR="007C7A94" w:rsidRPr="00A11C6E">
        <w:rPr>
          <w:rFonts w:ascii="Times New Roman" w:hAnsi="Times New Roman" w:cs="Times New Roman"/>
          <w:sz w:val="24"/>
          <w:szCs w:val="24"/>
        </w:rPr>
        <w:t xml:space="preserve"> </w:t>
      </w:r>
      <w:r w:rsidRPr="00A11C6E">
        <w:rPr>
          <w:rFonts w:ascii="Times New Roman" w:hAnsi="Times New Roman" w:cs="Times New Roman"/>
          <w:sz w:val="24"/>
          <w:szCs w:val="24"/>
        </w:rPr>
        <w:t>/ I.Y. Lukasevich, N.A. Lvova, D.V. Sukhorukova // Journal of Reviews on Global Economics. – 2018.</w:t>
      </w:r>
      <w:r w:rsidR="004A0184">
        <w:rPr>
          <w:rFonts w:ascii="Times New Roman" w:hAnsi="Times New Roman" w:cs="Times New Roman"/>
          <w:sz w:val="24"/>
          <w:szCs w:val="24"/>
        </w:rPr>
        <w:t> </w:t>
      </w:r>
      <w:r w:rsidRPr="00A11C6E">
        <w:rPr>
          <w:rFonts w:ascii="Times New Roman" w:hAnsi="Times New Roman" w:cs="Times New Roman"/>
          <w:sz w:val="24"/>
          <w:szCs w:val="24"/>
        </w:rPr>
        <w:t>– № 7. –</w:t>
      </w:r>
      <w:r w:rsidR="004F41FA" w:rsidRPr="00A11C6E">
        <w:rPr>
          <w:rFonts w:ascii="Times New Roman" w:hAnsi="Times New Roman" w:cs="Times New Roman"/>
          <w:sz w:val="24"/>
          <w:szCs w:val="24"/>
        </w:rPr>
        <w:t xml:space="preserve"> P.</w:t>
      </w:r>
      <w:r w:rsidRPr="00A11C6E">
        <w:rPr>
          <w:rFonts w:ascii="Times New Roman" w:hAnsi="Times New Roman" w:cs="Times New Roman"/>
          <w:sz w:val="24"/>
          <w:szCs w:val="24"/>
        </w:rPr>
        <w:t xml:space="preserve"> 703–709. </w:t>
      </w:r>
    </w:p>
    <w:p w14:paraId="30043FFC" w14:textId="099C37D2" w:rsidR="00A676AB" w:rsidRPr="00A11C6E" w:rsidRDefault="00A676AB" w:rsidP="00A676AB">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33" w:name="_Ref136085359"/>
      <w:r w:rsidRPr="00A11C6E">
        <w:rPr>
          <w:rFonts w:ascii="Times New Roman" w:hAnsi="Times New Roman" w:cs="Times New Roman"/>
          <w:color w:val="000000" w:themeColor="text1"/>
          <w:sz w:val="24"/>
          <w:szCs w:val="24"/>
        </w:rPr>
        <w:t>Moscow as a financial center: Survey results. May</w:t>
      </w:r>
      <w:r w:rsidRPr="00A11C6E">
        <w:rPr>
          <w:rFonts w:ascii="Times New Roman" w:hAnsi="Times New Roman" w:cs="Times New Roman"/>
          <w:color w:val="000000" w:themeColor="text1"/>
          <w:sz w:val="24"/>
          <w:szCs w:val="24"/>
          <w:lang w:val="ru-RU"/>
        </w:rPr>
        <w:t xml:space="preserve"> 2011 </w:t>
      </w:r>
      <w:r w:rsidRPr="00A11C6E">
        <w:rPr>
          <w:rFonts w:ascii="Times New Roman" w:hAnsi="Times New Roman" w:cs="Times New Roman"/>
          <w:color w:val="000000" w:themeColor="text1"/>
          <w:sz w:val="24"/>
          <w:szCs w:val="24"/>
          <w:lang w:val="ru-RU" w:eastAsia="zh-CN"/>
        </w:rPr>
        <w:t xml:space="preserve">Электронный ресурс] </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Oliver</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Wyman</w:t>
      </w:r>
      <w:r w:rsidRPr="00A11C6E">
        <w:rPr>
          <w:rFonts w:ascii="Times New Roman" w:hAnsi="Times New Roman" w:cs="Times New Roman"/>
          <w:color w:val="000000" w:themeColor="text1"/>
          <w:sz w:val="24"/>
          <w:szCs w:val="24"/>
          <w:lang w:val="ru-RU"/>
        </w:rPr>
        <w:t xml:space="preserve">. – </w:t>
      </w:r>
      <w:r w:rsidRPr="00A11C6E">
        <w:rPr>
          <w:rFonts w:ascii="Times New Roman" w:hAnsi="Times New Roman" w:cs="Times New Roman"/>
          <w:color w:val="000000" w:themeColor="text1"/>
          <w:sz w:val="24"/>
          <w:szCs w:val="24"/>
          <w:lang w:val="ru-RU" w:eastAsia="zh-CN"/>
        </w:rPr>
        <w:t xml:space="preserve">Режим доступа: </w:t>
      </w:r>
      <w:r w:rsidRPr="00A11C6E">
        <w:rPr>
          <w:rFonts w:ascii="Times New Roman" w:hAnsi="Times New Roman" w:cs="Times New Roman"/>
          <w:color w:val="000000" w:themeColor="text1"/>
          <w:sz w:val="24"/>
          <w:szCs w:val="24"/>
          <w:lang w:eastAsia="zh-CN"/>
        </w:rPr>
        <w:t>URL</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https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mfc</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moscow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com</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assets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files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analytics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en</w:t>
      </w:r>
      <w:r w:rsidRPr="00A11C6E">
        <w:rPr>
          <w:rFonts w:ascii="Times New Roman" w:hAnsi="Times New Roman" w:cs="Times New Roman"/>
          <w:color w:val="000000" w:themeColor="text1"/>
          <w:sz w:val="24"/>
          <w:szCs w:val="24"/>
          <w:lang w:val="ru-RU"/>
        </w:rPr>
        <w:t>_</w:t>
      </w:r>
      <w:r w:rsidRPr="00A11C6E">
        <w:rPr>
          <w:rFonts w:ascii="Times New Roman" w:hAnsi="Times New Roman" w:cs="Times New Roman"/>
          <w:color w:val="000000" w:themeColor="text1"/>
          <w:sz w:val="24"/>
          <w:szCs w:val="24"/>
        </w:rPr>
        <w:t>Moscow</w:t>
      </w:r>
      <w:r w:rsidRPr="00A11C6E">
        <w:rPr>
          <w:rFonts w:ascii="Times New Roman" w:hAnsi="Times New Roman" w:cs="Times New Roman"/>
          <w:color w:val="000000" w:themeColor="text1"/>
          <w:sz w:val="24"/>
          <w:szCs w:val="24"/>
          <w:lang w:val="ru-RU"/>
        </w:rPr>
        <w:t>_</w:t>
      </w:r>
      <w:r w:rsidRPr="00A11C6E">
        <w:rPr>
          <w:rFonts w:ascii="Times New Roman" w:hAnsi="Times New Roman" w:cs="Times New Roman"/>
          <w:color w:val="000000" w:themeColor="text1"/>
          <w:sz w:val="24"/>
          <w:szCs w:val="24"/>
        </w:rPr>
        <w:t>as</w:t>
      </w:r>
      <w:r w:rsidRPr="00A11C6E">
        <w:rPr>
          <w:rFonts w:ascii="Times New Roman" w:hAnsi="Times New Roman" w:cs="Times New Roman"/>
          <w:color w:val="000000" w:themeColor="text1"/>
          <w:sz w:val="24"/>
          <w:szCs w:val="24"/>
          <w:lang w:val="ru-RU"/>
        </w:rPr>
        <w:t>_</w:t>
      </w:r>
      <w:r w:rsidRPr="00A11C6E">
        <w:rPr>
          <w:rFonts w:ascii="Times New Roman" w:hAnsi="Times New Roman" w:cs="Times New Roman"/>
          <w:color w:val="000000" w:themeColor="text1"/>
          <w:sz w:val="24"/>
          <w:szCs w:val="24"/>
        </w:rPr>
        <w:t>a</w:t>
      </w:r>
      <w:r w:rsidRPr="00A11C6E">
        <w:rPr>
          <w:rFonts w:ascii="Times New Roman" w:hAnsi="Times New Roman" w:cs="Times New Roman"/>
          <w:color w:val="000000" w:themeColor="text1"/>
          <w:sz w:val="24"/>
          <w:szCs w:val="24"/>
          <w:lang w:val="ru-RU"/>
        </w:rPr>
        <w:t>_</w:t>
      </w:r>
      <w:r w:rsidRPr="00A11C6E">
        <w:rPr>
          <w:rFonts w:ascii="Times New Roman" w:hAnsi="Times New Roman" w:cs="Times New Roman"/>
          <w:color w:val="000000" w:themeColor="text1"/>
          <w:sz w:val="24"/>
          <w:szCs w:val="24"/>
        </w:rPr>
        <w:t>Financial</w:t>
      </w:r>
      <w:r w:rsidRPr="00A11C6E">
        <w:rPr>
          <w:rFonts w:ascii="Times New Roman" w:hAnsi="Times New Roman" w:cs="Times New Roman"/>
          <w:color w:val="000000" w:themeColor="text1"/>
          <w:sz w:val="24"/>
          <w:szCs w:val="24"/>
          <w:lang w:val="ru-RU"/>
        </w:rPr>
        <w:t>_</w:t>
      </w:r>
      <w:r w:rsidRPr="00A11C6E">
        <w:rPr>
          <w:rFonts w:ascii="Times New Roman" w:hAnsi="Times New Roman" w:cs="Times New Roman"/>
          <w:color w:val="000000" w:themeColor="text1"/>
          <w:sz w:val="24"/>
          <w:szCs w:val="24"/>
        </w:rPr>
        <w:t>Center</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Survey</w:t>
      </w:r>
      <w:r w:rsidRPr="00A11C6E">
        <w:rPr>
          <w:rFonts w:ascii="Times New Roman" w:hAnsi="Times New Roman" w:cs="Times New Roman"/>
          <w:color w:val="000000" w:themeColor="text1"/>
          <w:sz w:val="24"/>
          <w:szCs w:val="24"/>
          <w:lang w:val="ru-RU"/>
        </w:rPr>
        <w:t>_</w:t>
      </w:r>
      <w:r w:rsidRPr="00A11C6E">
        <w:rPr>
          <w:rFonts w:ascii="Times New Roman" w:hAnsi="Times New Roman" w:cs="Times New Roman"/>
          <w:color w:val="000000" w:themeColor="text1"/>
          <w:sz w:val="24"/>
          <w:szCs w:val="24"/>
        </w:rPr>
        <w:t>results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May</w:t>
      </w:r>
      <w:r w:rsidRPr="00A11C6E">
        <w:rPr>
          <w:rFonts w:ascii="Times New Roman" w:hAnsi="Times New Roman" w:cs="Times New Roman"/>
          <w:color w:val="000000" w:themeColor="text1"/>
          <w:sz w:val="24"/>
          <w:szCs w:val="24"/>
          <w:lang w:val="ru-RU"/>
        </w:rPr>
        <w:t>2011.</w:t>
      </w:r>
      <w:r w:rsidRPr="00A11C6E">
        <w:rPr>
          <w:rFonts w:ascii="Times New Roman" w:hAnsi="Times New Roman" w:cs="Times New Roman"/>
          <w:color w:val="000000" w:themeColor="text1"/>
          <w:sz w:val="24"/>
          <w:szCs w:val="24"/>
        </w:rPr>
        <w:t>pdf</w:t>
      </w:r>
      <w:r w:rsidRPr="00A11C6E">
        <w:rPr>
          <w:rFonts w:ascii="Times New Roman" w:hAnsi="Times New Roman" w:cs="Times New Roman"/>
          <w:color w:val="000000" w:themeColor="text1"/>
          <w:sz w:val="24"/>
          <w:szCs w:val="24"/>
          <w:lang w:val="ru-RU"/>
        </w:rPr>
        <w:t xml:space="preserve"> (дата обращения: 04.04.2023).</w:t>
      </w:r>
      <w:bookmarkEnd w:id="133"/>
    </w:p>
    <w:p w14:paraId="6650FF13" w14:textId="0BDE7B37" w:rsidR="0096378C" w:rsidRPr="00A11C6E" w:rsidRDefault="0096378C"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sz w:val="24"/>
          <w:szCs w:val="24"/>
        </w:rPr>
        <w:t>Otero-Iglesias, M. The Internationalisation of the Renminbi: Prospects and Risk / M.</w:t>
      </w:r>
      <w:r w:rsidR="004A0184">
        <w:rPr>
          <w:rFonts w:ascii="Times New Roman" w:hAnsi="Times New Roman" w:cs="Times New Roman"/>
          <w:sz w:val="24"/>
          <w:szCs w:val="24"/>
        </w:rPr>
        <w:t> </w:t>
      </w:r>
      <w:r w:rsidRPr="00A11C6E">
        <w:rPr>
          <w:rFonts w:ascii="Times New Roman" w:hAnsi="Times New Roman" w:cs="Times New Roman"/>
          <w:sz w:val="24"/>
          <w:szCs w:val="24"/>
        </w:rPr>
        <w:t>Otero-Iglesias // ARI. – 2011, №73. – 10 p.</w:t>
      </w:r>
    </w:p>
    <w:p w14:paraId="1623C738" w14:textId="2B4071AC" w:rsidR="00AE4368" w:rsidRPr="005C0232"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eastAsia="Times New Roman" w:hAnsi="Times New Roman" w:cs="Times New Roman"/>
          <w:color w:val="000000" w:themeColor="text1"/>
          <w:sz w:val="24"/>
          <w:szCs w:val="24"/>
          <w:lang w:eastAsia="ru-RU" w:bidi="ar-SA"/>
        </w:rPr>
        <w:t xml:space="preserve">Our role in London. </w:t>
      </w:r>
      <w:r w:rsidRPr="005C0232">
        <w:rPr>
          <w:rFonts w:ascii="Times New Roman" w:eastAsia="Times New Roman" w:hAnsi="Times New Roman" w:cs="Times New Roman"/>
          <w:color w:val="000000" w:themeColor="text1"/>
          <w:sz w:val="24"/>
          <w:szCs w:val="24"/>
          <w:lang w:eastAsia="ru-RU" w:bidi="ar-SA"/>
        </w:rPr>
        <w:t xml:space="preserve">02.12.2022 / </w:t>
      </w:r>
      <w:r w:rsidRPr="00A11C6E">
        <w:rPr>
          <w:rFonts w:ascii="Times New Roman" w:eastAsia="Times New Roman" w:hAnsi="Times New Roman" w:cs="Times New Roman"/>
          <w:color w:val="000000" w:themeColor="text1"/>
          <w:sz w:val="24"/>
          <w:szCs w:val="24"/>
          <w:lang w:eastAsia="ru-RU" w:bidi="ar-SA"/>
        </w:rPr>
        <w:t>City</w:t>
      </w:r>
      <w:r w:rsidRPr="005C0232">
        <w:rPr>
          <w:rFonts w:ascii="Times New Roman" w:eastAsia="Times New Roman" w:hAnsi="Times New Roman" w:cs="Times New Roman"/>
          <w:color w:val="000000" w:themeColor="text1"/>
          <w:sz w:val="24"/>
          <w:szCs w:val="24"/>
          <w:lang w:eastAsia="ru-RU" w:bidi="ar-SA"/>
        </w:rPr>
        <w:t xml:space="preserve"> </w:t>
      </w:r>
      <w:r w:rsidRPr="00A11C6E">
        <w:rPr>
          <w:rFonts w:ascii="Times New Roman" w:eastAsia="Times New Roman" w:hAnsi="Times New Roman" w:cs="Times New Roman"/>
          <w:color w:val="000000" w:themeColor="text1"/>
          <w:sz w:val="24"/>
          <w:szCs w:val="24"/>
          <w:lang w:eastAsia="ru-RU" w:bidi="ar-SA"/>
        </w:rPr>
        <w:t>of</w:t>
      </w:r>
      <w:r w:rsidRPr="005C0232">
        <w:rPr>
          <w:rFonts w:ascii="Times New Roman" w:eastAsia="Times New Roman" w:hAnsi="Times New Roman" w:cs="Times New Roman"/>
          <w:color w:val="000000" w:themeColor="text1"/>
          <w:sz w:val="24"/>
          <w:szCs w:val="24"/>
          <w:lang w:eastAsia="ru-RU" w:bidi="ar-SA"/>
        </w:rPr>
        <w:t xml:space="preserve"> </w:t>
      </w:r>
      <w:r w:rsidRPr="00A11C6E">
        <w:rPr>
          <w:rFonts w:ascii="Times New Roman" w:eastAsia="Times New Roman" w:hAnsi="Times New Roman" w:cs="Times New Roman"/>
          <w:color w:val="000000" w:themeColor="text1"/>
          <w:sz w:val="24"/>
          <w:szCs w:val="24"/>
          <w:lang w:eastAsia="ru-RU" w:bidi="ar-SA"/>
        </w:rPr>
        <w:t>London</w:t>
      </w:r>
      <w:r w:rsidRPr="005C0232">
        <w:rPr>
          <w:rFonts w:ascii="Times New Roman" w:eastAsia="Times New Roman" w:hAnsi="Times New Roman" w:cs="Times New Roman"/>
          <w:color w:val="000000" w:themeColor="text1"/>
          <w:sz w:val="24"/>
          <w:szCs w:val="24"/>
          <w:lang w:eastAsia="ru-RU" w:bidi="ar-SA"/>
        </w:rPr>
        <w:t xml:space="preserve">. – </w:t>
      </w:r>
      <w:r w:rsidRPr="00A11C6E">
        <w:rPr>
          <w:rFonts w:ascii="Times New Roman" w:eastAsia="Times New Roman" w:hAnsi="Times New Roman" w:cs="Times New Roman"/>
          <w:color w:val="000000" w:themeColor="text1"/>
          <w:sz w:val="24"/>
          <w:szCs w:val="24"/>
          <w:lang w:val="ru-RU" w:eastAsia="ru-RU" w:bidi="ar-SA"/>
        </w:rPr>
        <w:t>Режим</w:t>
      </w:r>
      <w:r w:rsidRPr="005C0232">
        <w:rPr>
          <w:rFonts w:ascii="Times New Roman" w:eastAsia="Times New Roman" w:hAnsi="Times New Roman" w:cs="Times New Roman"/>
          <w:color w:val="000000" w:themeColor="text1"/>
          <w:sz w:val="24"/>
          <w:szCs w:val="24"/>
          <w:lang w:eastAsia="ru-RU" w:bidi="ar-SA"/>
        </w:rPr>
        <w:t xml:space="preserve"> </w:t>
      </w:r>
      <w:r w:rsidRPr="00A11C6E">
        <w:rPr>
          <w:rFonts w:ascii="Times New Roman" w:eastAsia="Times New Roman" w:hAnsi="Times New Roman" w:cs="Times New Roman"/>
          <w:color w:val="000000" w:themeColor="text1"/>
          <w:sz w:val="24"/>
          <w:szCs w:val="24"/>
          <w:lang w:val="ru-RU" w:eastAsia="ru-RU" w:bidi="ar-SA"/>
        </w:rPr>
        <w:t>доступа</w:t>
      </w:r>
      <w:r w:rsidRPr="005C0232">
        <w:rPr>
          <w:rFonts w:ascii="Times New Roman" w:eastAsia="Times New Roman" w:hAnsi="Times New Roman" w:cs="Times New Roman"/>
          <w:color w:val="000000" w:themeColor="text1"/>
          <w:sz w:val="24"/>
          <w:szCs w:val="24"/>
          <w:lang w:eastAsia="ru-RU" w:bidi="ar-SA"/>
        </w:rPr>
        <w:t xml:space="preserve">: </w:t>
      </w:r>
      <w:r w:rsidRPr="00A11C6E">
        <w:rPr>
          <w:rFonts w:ascii="Times New Roman" w:eastAsia="Times New Roman" w:hAnsi="Times New Roman" w:cs="Times New Roman"/>
          <w:color w:val="000000" w:themeColor="text1"/>
          <w:sz w:val="24"/>
          <w:szCs w:val="24"/>
          <w:lang w:eastAsia="ru-RU" w:bidi="ar-SA"/>
        </w:rPr>
        <w:t>URL</w:t>
      </w:r>
      <w:r w:rsidRPr="005C0232">
        <w:rPr>
          <w:rFonts w:ascii="Times New Roman" w:eastAsia="Times New Roman" w:hAnsi="Times New Roman" w:cs="Times New Roman"/>
          <w:color w:val="000000" w:themeColor="text1"/>
          <w:sz w:val="24"/>
          <w:szCs w:val="24"/>
          <w:lang w:eastAsia="ru-RU" w:bidi="ar-SA"/>
        </w:rPr>
        <w:t>:</w:t>
      </w:r>
      <w:r w:rsidR="004A0184">
        <w:rPr>
          <w:rFonts w:ascii="Times New Roman" w:eastAsia="Times New Roman" w:hAnsi="Times New Roman" w:cs="Times New Roman"/>
          <w:color w:val="000000" w:themeColor="text1"/>
          <w:sz w:val="24"/>
          <w:szCs w:val="24"/>
          <w:lang w:eastAsia="ru-RU" w:bidi="ar-SA"/>
        </w:rPr>
        <w:t> </w:t>
      </w:r>
      <w:r w:rsidRPr="00A11C6E">
        <w:rPr>
          <w:rFonts w:ascii="Times New Roman" w:eastAsia="Times New Roman" w:hAnsi="Times New Roman" w:cs="Times New Roman"/>
          <w:color w:val="000000" w:themeColor="text1"/>
          <w:sz w:val="24"/>
          <w:szCs w:val="24"/>
          <w:lang w:eastAsia="ru-RU" w:bidi="ar-SA"/>
        </w:rPr>
        <w:t>https</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www</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cityoflondon</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gov</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uk</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about</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us</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about</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the</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city</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of</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london</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corporation</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our</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role</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in</w:t>
      </w:r>
      <w:r w:rsidRPr="005C0232">
        <w:rPr>
          <w:rFonts w:ascii="Times New Roman" w:eastAsia="Times New Roman" w:hAnsi="Times New Roman" w:cs="Times New Roman"/>
          <w:color w:val="000000" w:themeColor="text1"/>
          <w:sz w:val="24"/>
          <w:szCs w:val="24"/>
          <w:lang w:eastAsia="ru-RU" w:bidi="ar-SA"/>
        </w:rPr>
        <w:t>-</w:t>
      </w:r>
      <w:r w:rsidRPr="00A11C6E">
        <w:rPr>
          <w:rFonts w:ascii="Times New Roman" w:eastAsia="Times New Roman" w:hAnsi="Times New Roman" w:cs="Times New Roman"/>
          <w:color w:val="000000" w:themeColor="text1"/>
          <w:sz w:val="24"/>
          <w:szCs w:val="24"/>
          <w:lang w:eastAsia="ru-RU" w:bidi="ar-SA"/>
        </w:rPr>
        <w:t>london</w:t>
      </w:r>
      <w:r w:rsidRPr="005C0232">
        <w:rPr>
          <w:rFonts w:ascii="Times New Roman" w:eastAsia="Times New Roman" w:hAnsi="Times New Roman" w:cs="Times New Roman"/>
          <w:color w:val="000000" w:themeColor="text1"/>
          <w:sz w:val="24"/>
          <w:szCs w:val="24"/>
          <w:lang w:eastAsia="ru-RU" w:bidi="ar-SA"/>
        </w:rPr>
        <w:t xml:space="preserve"> </w:t>
      </w:r>
      <w:r w:rsidRPr="005C0232">
        <w:rPr>
          <w:rFonts w:ascii="Times New Roman" w:hAnsi="Times New Roman" w:cs="Times New Roman"/>
          <w:sz w:val="24"/>
          <w:szCs w:val="24"/>
        </w:rPr>
        <w:t>(</w:t>
      </w:r>
      <w:r w:rsidRPr="00A11C6E">
        <w:rPr>
          <w:rFonts w:ascii="Times New Roman" w:hAnsi="Times New Roman" w:cs="Times New Roman"/>
          <w:sz w:val="24"/>
          <w:szCs w:val="24"/>
          <w:lang w:val="ru-RU"/>
        </w:rPr>
        <w:t>дата</w:t>
      </w:r>
      <w:r w:rsidRPr="005C0232">
        <w:rPr>
          <w:rFonts w:ascii="Times New Roman" w:hAnsi="Times New Roman" w:cs="Times New Roman"/>
          <w:sz w:val="24"/>
          <w:szCs w:val="24"/>
        </w:rPr>
        <w:t xml:space="preserve"> </w:t>
      </w:r>
      <w:r w:rsidRPr="00A11C6E">
        <w:rPr>
          <w:rFonts w:ascii="Times New Roman" w:hAnsi="Times New Roman" w:cs="Times New Roman"/>
          <w:sz w:val="24"/>
          <w:szCs w:val="24"/>
          <w:lang w:val="ru-RU"/>
        </w:rPr>
        <w:t>обращения</w:t>
      </w:r>
      <w:r w:rsidRPr="005C0232">
        <w:rPr>
          <w:rFonts w:ascii="Times New Roman" w:hAnsi="Times New Roman" w:cs="Times New Roman"/>
          <w:sz w:val="24"/>
          <w:szCs w:val="24"/>
        </w:rPr>
        <w:t>: 01.03.2023).</w:t>
      </w:r>
    </w:p>
    <w:p w14:paraId="759E6D4E" w14:textId="1E229530"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t xml:space="preserve">Overview. History and Development </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 Shanghai Stock Exchage. –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rPr>
        <w:t xml:space="preserve">URL: </w:t>
      </w:r>
      <w:r w:rsidRPr="00A11C6E">
        <w:rPr>
          <w:rFonts w:ascii="Times New Roman" w:hAnsi="Times New Roman" w:cs="Times New Roman"/>
          <w:sz w:val="24"/>
          <w:szCs w:val="24"/>
        </w:rPr>
        <w:t>http://english.sse.com.cn/aboutsse/overview</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01.03.2023)</w:t>
      </w:r>
      <w:r w:rsidRPr="00A11C6E">
        <w:rPr>
          <w:rFonts w:ascii="Times New Roman" w:hAnsi="Times New Roman" w:cs="Times New Roman"/>
          <w:color w:val="000000" w:themeColor="text1"/>
          <w:sz w:val="24"/>
          <w:szCs w:val="24"/>
          <w:lang w:eastAsia="zh-CN"/>
        </w:rPr>
        <w:t>.</w:t>
      </w:r>
      <w:bookmarkStart w:id="134" w:name="_Ref499670309"/>
    </w:p>
    <w:p w14:paraId="59D451DB" w14:textId="4C6484A9"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lastRenderedPageBreak/>
        <w:t xml:space="preserve">Overseas Client List </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w:t>
      </w:r>
      <w:r w:rsidR="006E3674"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eastAsia="zh-CN"/>
        </w:rPr>
        <w:t xml:space="preserve">Shanghai Stock Exchange. </w:t>
      </w:r>
      <w:r w:rsidR="006E3674"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rPr>
        <w:t xml:space="preserve"> URL: http://english.sse.com.cn/markets/dataservice/list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01.03.2023).</w:t>
      </w:r>
      <w:bookmarkEnd w:id="131"/>
      <w:bookmarkEnd w:id="132"/>
      <w:bookmarkEnd w:id="134"/>
    </w:p>
    <w:p w14:paraId="41551699" w14:textId="24B28D96"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35" w:name="_Ref131275836"/>
      <w:r w:rsidRPr="00A11C6E">
        <w:rPr>
          <w:rFonts w:ascii="Times New Roman" w:hAnsi="Times New Roman" w:cs="Times New Roman"/>
          <w:color w:val="000000" w:themeColor="text1"/>
          <w:sz w:val="24"/>
          <w:szCs w:val="24"/>
        </w:rPr>
        <w:t>Petel., N. Offshore markets drive trading of emerging market currencies / N. Petel, D. Xia [</w:t>
      </w:r>
      <w:r w:rsidRPr="00A11C6E">
        <w:rPr>
          <w:rFonts w:ascii="Times New Roman" w:hAnsi="Times New Roman" w:cs="Times New Roman"/>
          <w:color w:val="000000" w:themeColor="text1"/>
          <w:sz w:val="24"/>
          <w:szCs w:val="24"/>
          <w:lang w:val="ru-RU"/>
        </w:rPr>
        <w:t>Электронный</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ресурс</w:t>
      </w:r>
      <w:r w:rsidRPr="00A11C6E">
        <w:rPr>
          <w:rFonts w:ascii="Times New Roman" w:hAnsi="Times New Roman" w:cs="Times New Roman"/>
          <w:color w:val="000000" w:themeColor="text1"/>
          <w:sz w:val="24"/>
          <w:szCs w:val="24"/>
        </w:rPr>
        <w:t xml:space="preserve">] // BIS Quarterly Review. – December 2019. – </w:t>
      </w:r>
      <w:r w:rsidRPr="00A11C6E">
        <w:rPr>
          <w:rFonts w:ascii="Times New Roman" w:hAnsi="Times New Roman" w:cs="Times New Roman"/>
          <w:color w:val="000000" w:themeColor="text1"/>
          <w:sz w:val="24"/>
          <w:szCs w:val="24"/>
          <w:lang w:val="ru-RU"/>
        </w:rPr>
        <w:t>Режим</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доступа</w:t>
      </w:r>
      <w:r w:rsidRPr="00A11C6E">
        <w:rPr>
          <w:rFonts w:ascii="Times New Roman" w:hAnsi="Times New Roman" w:cs="Times New Roman"/>
          <w:color w:val="000000" w:themeColor="text1"/>
          <w:sz w:val="24"/>
          <w:szCs w:val="24"/>
        </w:rPr>
        <w:t>: URL:</w:t>
      </w:r>
      <w:r w:rsidR="004A0184">
        <w:rPr>
          <w:rFonts w:ascii="Times New Roman" w:hAnsi="Times New Roman" w:cs="Times New Roman"/>
          <w:color w:val="000000" w:themeColor="text1"/>
          <w:sz w:val="24"/>
          <w:szCs w:val="24"/>
        </w:rPr>
        <w:t> </w:t>
      </w:r>
      <w:hyperlink r:id="rId73" w:tooltip="https://www.bis.org/publ/qtrpdf/r_qt1912h.htm" w:history="1">
        <w:r w:rsidRPr="00A11C6E">
          <w:rPr>
            <w:rStyle w:val="a9"/>
            <w:rFonts w:ascii="Times New Roman" w:hAnsi="Times New Roman" w:cs="Times New Roman"/>
            <w:color w:val="000000" w:themeColor="text1"/>
            <w:sz w:val="24"/>
            <w:szCs w:val="24"/>
            <w:u w:val="none"/>
          </w:rPr>
          <w:t>https://www.bis.org/publ/qtrpdf/r_qt1912h.htm</w:t>
        </w:r>
      </w:hyperlink>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xml:space="preserve"> 25.02.2023).</w:t>
      </w:r>
      <w:bookmarkEnd w:id="135"/>
    </w:p>
    <w:p w14:paraId="7850D5D4" w14:textId="538AA885"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Reed, H. Financial Center Hegemony, Interest Rates and the Global Political Economy / H. Reed // International Banking and Financial Centres. - London: Kluwer Academic Press, 1989. – P.</w:t>
      </w:r>
      <w:r w:rsidR="004A0184">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rPr>
        <w:t>247–268.</w:t>
      </w:r>
    </w:p>
    <w:p w14:paraId="6965A763" w14:textId="6640132C" w:rsidR="00FB64A4" w:rsidRPr="008C67E9" w:rsidRDefault="002023F4" w:rsidP="00EC6C1D">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Reed, H. The Preeminence of International Financial Centers / H. Reed. –New York: Praeger, 1981. – 148 p.</w:t>
      </w:r>
    </w:p>
    <w:p w14:paraId="432C6A82" w14:textId="53904DE8" w:rsidR="008C67E9" w:rsidRPr="008C67E9" w:rsidRDefault="008C67E9" w:rsidP="008C67E9">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36" w:name="_Ref136241165"/>
      <w:r w:rsidRPr="00015A55">
        <w:rPr>
          <w:rFonts w:ascii="Times New Roman" w:hAnsi="Times New Roman" w:cs="Times New Roman"/>
          <w:sz w:val="24"/>
          <w:szCs w:val="24"/>
        </w:rPr>
        <w:t xml:space="preserve">Revealed: global </w:t>
      </w:r>
      <w:r>
        <w:rPr>
          <w:rFonts w:ascii="Times New Roman" w:hAnsi="Times New Roman" w:cs="Times New Roman"/>
          <w:sz w:val="24"/>
          <w:szCs w:val="24"/>
        </w:rPr>
        <w:t>s</w:t>
      </w:r>
      <w:r w:rsidRPr="00015A55">
        <w:rPr>
          <w:rFonts w:ascii="Times New Roman" w:hAnsi="Times New Roman" w:cs="Times New Roman"/>
          <w:sz w:val="24"/>
          <w:szCs w:val="24"/>
        </w:rPr>
        <w:t>uper-rich has at least $21 trillion hidden in secret tax havens</w:t>
      </w:r>
      <w:r w:rsidRPr="00015A55">
        <w:rPr>
          <w:rFonts w:ascii="Times New Roman" w:hAnsi="Times New Roman" w:cs="Times New Roman"/>
          <w:color w:val="000000" w:themeColor="text1"/>
          <w:sz w:val="24"/>
          <w:szCs w:val="24"/>
        </w:rPr>
        <w:t xml:space="preserve"> [</w:t>
      </w:r>
      <w:r w:rsidRPr="00015A55">
        <w:rPr>
          <w:rFonts w:ascii="Times New Roman" w:hAnsi="Times New Roman" w:cs="Times New Roman"/>
          <w:color w:val="000000" w:themeColor="text1"/>
          <w:sz w:val="24"/>
          <w:szCs w:val="24"/>
          <w:lang w:val="ru-RU"/>
        </w:rPr>
        <w:t>Электронный</w:t>
      </w:r>
      <w:r w:rsidRPr="00015A55">
        <w:rPr>
          <w:rFonts w:ascii="Times New Roman" w:hAnsi="Times New Roman" w:cs="Times New Roman"/>
          <w:color w:val="000000" w:themeColor="text1"/>
          <w:sz w:val="24"/>
          <w:szCs w:val="24"/>
        </w:rPr>
        <w:t xml:space="preserve"> </w:t>
      </w:r>
      <w:r w:rsidRPr="00015A55">
        <w:rPr>
          <w:rFonts w:ascii="Times New Roman" w:hAnsi="Times New Roman" w:cs="Times New Roman"/>
          <w:color w:val="000000" w:themeColor="text1"/>
          <w:sz w:val="24"/>
          <w:szCs w:val="24"/>
          <w:lang w:val="ru-RU"/>
        </w:rPr>
        <w:t>ресурс</w:t>
      </w:r>
      <w:r w:rsidRPr="00015A55">
        <w:rPr>
          <w:rFonts w:ascii="Times New Roman" w:hAnsi="Times New Roman" w:cs="Times New Roman"/>
          <w:color w:val="000000" w:themeColor="text1"/>
          <w:sz w:val="24"/>
          <w:szCs w:val="24"/>
        </w:rPr>
        <w:t xml:space="preserve">]/ Tax Justice Network //Revealed The Price of Offshore Revisited: Press Release. – 22.06.2012. – </w:t>
      </w:r>
      <w:r>
        <w:rPr>
          <w:rFonts w:ascii="Times New Roman" w:hAnsi="Times New Roman" w:cs="Times New Roman"/>
          <w:color w:val="000000" w:themeColor="text1"/>
          <w:sz w:val="24"/>
          <w:szCs w:val="24"/>
          <w:lang w:val="ru-RU"/>
        </w:rPr>
        <w:t>Режим</w:t>
      </w:r>
      <w:r w:rsidRPr="00015A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ru-RU"/>
        </w:rPr>
        <w:t>доступа</w:t>
      </w:r>
      <w:r w:rsidRPr="00015A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URL:</w:t>
      </w:r>
      <w:r w:rsidRPr="00015A55">
        <w:rPr>
          <w:rFonts w:ascii="Times New Roman" w:hAnsi="Times New Roman" w:cs="Times New Roman"/>
          <w:color w:val="000000" w:themeColor="text1"/>
          <w:sz w:val="24"/>
          <w:szCs w:val="24"/>
        </w:rPr>
        <w:t> </w:t>
      </w:r>
      <w:hyperlink r:id="rId74" w:history="1">
        <w:r w:rsidRPr="00015A55">
          <w:rPr>
            <w:rStyle w:val="a9"/>
            <w:rFonts w:ascii="Times New Roman" w:hAnsi="Times New Roman" w:cs="Times New Roman"/>
            <w:color w:val="000000" w:themeColor="text1"/>
            <w:sz w:val="24"/>
            <w:szCs w:val="24"/>
            <w:u w:val="none"/>
          </w:rPr>
          <w:t>https://taxjustice.net/cms/upload/pdf/The_Price_of_Offshore_Revisited_Presser_120722.pdf</w:t>
        </w:r>
      </w:hyperlink>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ru-RU"/>
        </w:rPr>
        <w:t>дата</w:t>
      </w:r>
      <w:r w:rsidRPr="00015A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ru-RU"/>
        </w:rPr>
        <w:t>обращения</w:t>
      </w:r>
      <w:r w:rsidRPr="00015A55">
        <w:rPr>
          <w:rFonts w:ascii="Times New Roman" w:hAnsi="Times New Roman" w:cs="Times New Roman"/>
          <w:color w:val="000000" w:themeColor="text1"/>
          <w:sz w:val="24"/>
          <w:szCs w:val="24"/>
        </w:rPr>
        <w:t>: 28.05.2023).</w:t>
      </w:r>
      <w:bookmarkEnd w:id="136"/>
      <w:r w:rsidRPr="00015A55">
        <w:rPr>
          <w:rFonts w:ascii="Times New Roman" w:hAnsi="Times New Roman" w:cs="Times New Roman"/>
          <w:color w:val="000000" w:themeColor="text1"/>
          <w:sz w:val="24"/>
          <w:szCs w:val="24"/>
        </w:rPr>
        <w:t xml:space="preserve"> </w:t>
      </w:r>
    </w:p>
    <w:p w14:paraId="4788424E" w14:textId="63051B80" w:rsidR="00C2452B" w:rsidRPr="00C2452B" w:rsidRDefault="00C2452B" w:rsidP="00C2452B">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37" w:name="_Ref136175644"/>
      <w:r w:rsidRPr="00C2452B">
        <w:rPr>
          <w:rFonts w:ascii="Times New Roman" w:hAnsi="Times New Roman" w:cs="Times New Roman"/>
          <w:sz w:val="24"/>
          <w:szCs w:val="24"/>
        </w:rPr>
        <w:t>Roberts, R. The City. A Guide to London's Global Financial Centre/ Richard Roberts // The Economist Newspaper Ltd. – 2008.</w:t>
      </w:r>
      <w:bookmarkEnd w:id="137"/>
    </w:p>
    <w:p w14:paraId="5989C510" w14:textId="322D9486" w:rsidR="00AE2D58" w:rsidRPr="00A11C6E" w:rsidRDefault="00477FE6"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sz w:val="24"/>
          <w:szCs w:val="24"/>
        </w:rPr>
        <w:t>Russian Financial Sector: Investor Presentation. November 2021 / Bank of Russia.</w:t>
      </w:r>
      <w:r w:rsidR="00FF46B6" w:rsidRPr="00A11C6E">
        <w:rPr>
          <w:rFonts w:ascii="Times New Roman" w:hAnsi="Times New Roman" w:cs="Times New Roman"/>
          <w:color w:val="000000"/>
          <w:sz w:val="24"/>
          <w:szCs w:val="24"/>
        </w:rPr>
        <w:t> </w:t>
      </w:r>
      <w:r w:rsidRPr="00A11C6E">
        <w:rPr>
          <w:rFonts w:ascii="Times New Roman" w:hAnsi="Times New Roman" w:cs="Times New Roman"/>
          <w:color w:val="000000"/>
          <w:sz w:val="24"/>
          <w:szCs w:val="24"/>
        </w:rPr>
        <w:t xml:space="preserve">– </w:t>
      </w:r>
      <w:r w:rsidRPr="00A11C6E">
        <w:rPr>
          <w:rFonts w:ascii="Times New Roman" w:hAnsi="Times New Roman" w:cs="Times New Roman"/>
          <w:color w:val="000000"/>
          <w:sz w:val="24"/>
          <w:szCs w:val="24"/>
          <w:lang w:val="ru-RU"/>
        </w:rPr>
        <w:t>Режим</w:t>
      </w:r>
      <w:r w:rsidRPr="00A11C6E">
        <w:rPr>
          <w:rFonts w:ascii="Times New Roman" w:hAnsi="Times New Roman" w:cs="Times New Roman"/>
          <w:color w:val="000000"/>
          <w:sz w:val="24"/>
          <w:szCs w:val="24"/>
        </w:rPr>
        <w:t xml:space="preserve"> </w:t>
      </w:r>
      <w:r w:rsidRPr="00A11C6E">
        <w:rPr>
          <w:rFonts w:ascii="Times New Roman" w:hAnsi="Times New Roman" w:cs="Times New Roman"/>
          <w:color w:val="000000"/>
          <w:sz w:val="24"/>
          <w:szCs w:val="24"/>
          <w:lang w:val="ru-RU"/>
        </w:rPr>
        <w:t>доступа</w:t>
      </w:r>
      <w:r w:rsidRPr="00A11C6E">
        <w:rPr>
          <w:rFonts w:ascii="Times New Roman" w:hAnsi="Times New Roman" w:cs="Times New Roman"/>
          <w:color w:val="000000"/>
          <w:sz w:val="24"/>
          <w:szCs w:val="24"/>
        </w:rPr>
        <w:t>: URL: https://cbr.ru/Collection/Collection/File/39806/cbr_ir_2022-1.pdf (</w:t>
      </w:r>
      <w:r w:rsidRPr="00A11C6E">
        <w:rPr>
          <w:rFonts w:ascii="Times New Roman" w:hAnsi="Times New Roman" w:cs="Times New Roman"/>
          <w:color w:val="000000"/>
          <w:sz w:val="24"/>
          <w:szCs w:val="24"/>
          <w:lang w:val="ru-RU"/>
        </w:rPr>
        <w:t>дата</w:t>
      </w:r>
      <w:r w:rsidRPr="00A11C6E">
        <w:rPr>
          <w:rFonts w:ascii="Times New Roman" w:hAnsi="Times New Roman" w:cs="Times New Roman"/>
          <w:color w:val="000000"/>
          <w:sz w:val="24"/>
          <w:szCs w:val="24"/>
        </w:rPr>
        <w:t xml:space="preserve"> </w:t>
      </w:r>
      <w:r w:rsidRPr="00A11C6E">
        <w:rPr>
          <w:rFonts w:ascii="Times New Roman" w:hAnsi="Times New Roman" w:cs="Times New Roman"/>
          <w:color w:val="000000"/>
          <w:sz w:val="24"/>
          <w:szCs w:val="24"/>
          <w:lang w:val="ru-RU"/>
        </w:rPr>
        <w:t>обращения</w:t>
      </w:r>
      <w:r w:rsidRPr="00A11C6E">
        <w:rPr>
          <w:rFonts w:ascii="Times New Roman" w:hAnsi="Times New Roman" w:cs="Times New Roman"/>
          <w:color w:val="000000"/>
          <w:sz w:val="24"/>
          <w:szCs w:val="24"/>
        </w:rPr>
        <w:t>: 05.04.2023).</w:t>
      </w:r>
    </w:p>
    <w:p w14:paraId="0C169FD5" w14:textId="50EACC6B" w:rsidR="00AE2D58" w:rsidRPr="00A11C6E" w:rsidRDefault="00AE2D58"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sz w:val="24"/>
          <w:szCs w:val="24"/>
        </w:rPr>
        <w:t>Russia’s Economic Outlook and Monetary Policy. February</w:t>
      </w:r>
      <w:r w:rsidRPr="00A11C6E">
        <w:rPr>
          <w:rFonts w:ascii="Times New Roman" w:hAnsi="Times New Roman" w:cs="Times New Roman"/>
          <w:color w:val="000000"/>
          <w:sz w:val="24"/>
          <w:szCs w:val="24"/>
          <w:lang w:val="ru-RU"/>
        </w:rPr>
        <w:t xml:space="preserve"> 2022 / </w:t>
      </w:r>
      <w:r w:rsidRPr="00A11C6E">
        <w:rPr>
          <w:rFonts w:ascii="Times New Roman" w:hAnsi="Times New Roman" w:cs="Times New Roman"/>
          <w:color w:val="000000"/>
          <w:sz w:val="24"/>
          <w:szCs w:val="24"/>
        </w:rPr>
        <w:t>Bank</w:t>
      </w:r>
      <w:r w:rsidRPr="00A11C6E">
        <w:rPr>
          <w:rFonts w:ascii="Times New Roman" w:hAnsi="Times New Roman" w:cs="Times New Roman"/>
          <w:color w:val="000000"/>
          <w:sz w:val="24"/>
          <w:szCs w:val="24"/>
          <w:lang w:val="ru-RU"/>
        </w:rPr>
        <w:t xml:space="preserve"> </w:t>
      </w:r>
      <w:r w:rsidRPr="00A11C6E">
        <w:rPr>
          <w:rFonts w:ascii="Times New Roman" w:hAnsi="Times New Roman" w:cs="Times New Roman"/>
          <w:color w:val="000000"/>
          <w:sz w:val="24"/>
          <w:szCs w:val="24"/>
        </w:rPr>
        <w:t>of</w:t>
      </w:r>
      <w:r w:rsidRPr="00A11C6E">
        <w:rPr>
          <w:rFonts w:ascii="Times New Roman" w:hAnsi="Times New Roman" w:cs="Times New Roman"/>
          <w:color w:val="000000"/>
          <w:sz w:val="24"/>
          <w:szCs w:val="24"/>
          <w:lang w:val="ru-RU"/>
        </w:rPr>
        <w:t xml:space="preserve"> </w:t>
      </w:r>
      <w:r w:rsidRPr="00A11C6E">
        <w:rPr>
          <w:rFonts w:ascii="Times New Roman" w:hAnsi="Times New Roman" w:cs="Times New Roman"/>
          <w:color w:val="000000"/>
          <w:sz w:val="24"/>
          <w:szCs w:val="24"/>
        </w:rPr>
        <w:t>Russia</w:t>
      </w:r>
      <w:r w:rsidR="00FF46B6" w:rsidRPr="00A11C6E">
        <w:rPr>
          <w:rFonts w:ascii="Times New Roman" w:hAnsi="Times New Roman" w:cs="Times New Roman"/>
          <w:color w:val="000000"/>
          <w:sz w:val="24"/>
          <w:szCs w:val="24"/>
        </w:rPr>
        <w:t> </w:t>
      </w:r>
      <w:r w:rsidRPr="00A11C6E">
        <w:rPr>
          <w:rFonts w:ascii="Times New Roman" w:hAnsi="Times New Roman" w:cs="Times New Roman"/>
          <w:color w:val="000000"/>
          <w:sz w:val="24"/>
          <w:szCs w:val="24"/>
          <w:lang w:val="ru-RU"/>
        </w:rPr>
        <w:t xml:space="preserve">– Режим доступа: </w:t>
      </w:r>
      <w:r w:rsidRPr="00A11C6E">
        <w:rPr>
          <w:rFonts w:ascii="Times New Roman" w:hAnsi="Times New Roman" w:cs="Times New Roman"/>
          <w:color w:val="000000"/>
          <w:sz w:val="24"/>
          <w:szCs w:val="24"/>
        </w:rPr>
        <w:t>https</w:t>
      </w:r>
      <w:r w:rsidRPr="00A11C6E">
        <w:rPr>
          <w:rFonts w:ascii="Times New Roman" w:hAnsi="Times New Roman" w:cs="Times New Roman"/>
          <w:color w:val="000000"/>
          <w:sz w:val="24"/>
          <w:szCs w:val="24"/>
          <w:lang w:val="ru-RU"/>
        </w:rPr>
        <w:t>://</w:t>
      </w:r>
      <w:r w:rsidRPr="00A11C6E">
        <w:rPr>
          <w:rFonts w:ascii="Times New Roman" w:hAnsi="Times New Roman" w:cs="Times New Roman"/>
          <w:color w:val="000000"/>
          <w:sz w:val="24"/>
          <w:szCs w:val="24"/>
        </w:rPr>
        <w:t>cbr</w:t>
      </w:r>
      <w:r w:rsidRPr="00A11C6E">
        <w:rPr>
          <w:rFonts w:ascii="Times New Roman" w:hAnsi="Times New Roman" w:cs="Times New Roman"/>
          <w:color w:val="000000"/>
          <w:sz w:val="24"/>
          <w:szCs w:val="24"/>
          <w:lang w:val="ru-RU"/>
        </w:rPr>
        <w:t>.</w:t>
      </w:r>
      <w:r w:rsidRPr="00A11C6E">
        <w:rPr>
          <w:rFonts w:ascii="Times New Roman" w:hAnsi="Times New Roman" w:cs="Times New Roman"/>
          <w:color w:val="000000"/>
          <w:sz w:val="24"/>
          <w:szCs w:val="24"/>
        </w:rPr>
        <w:t>ru</w:t>
      </w:r>
      <w:r w:rsidRPr="00A11C6E">
        <w:rPr>
          <w:rFonts w:ascii="Times New Roman" w:hAnsi="Times New Roman" w:cs="Times New Roman"/>
          <w:color w:val="000000"/>
          <w:sz w:val="24"/>
          <w:szCs w:val="24"/>
          <w:lang w:val="ru-RU"/>
        </w:rPr>
        <w:t>/</w:t>
      </w:r>
      <w:r w:rsidRPr="00A11C6E">
        <w:rPr>
          <w:rFonts w:ascii="Times New Roman" w:hAnsi="Times New Roman" w:cs="Times New Roman"/>
          <w:color w:val="000000"/>
          <w:sz w:val="24"/>
          <w:szCs w:val="24"/>
        </w:rPr>
        <w:t>Collection</w:t>
      </w:r>
      <w:r w:rsidRPr="00A11C6E">
        <w:rPr>
          <w:rFonts w:ascii="Times New Roman" w:hAnsi="Times New Roman" w:cs="Times New Roman"/>
          <w:color w:val="000000"/>
          <w:sz w:val="24"/>
          <w:szCs w:val="24"/>
          <w:lang w:val="ru-RU"/>
        </w:rPr>
        <w:t>/</w:t>
      </w:r>
      <w:r w:rsidRPr="00A11C6E">
        <w:rPr>
          <w:rFonts w:ascii="Times New Roman" w:hAnsi="Times New Roman" w:cs="Times New Roman"/>
          <w:color w:val="000000"/>
          <w:sz w:val="24"/>
          <w:szCs w:val="24"/>
        </w:rPr>
        <w:t>Collection</w:t>
      </w:r>
      <w:r w:rsidRPr="00A11C6E">
        <w:rPr>
          <w:rFonts w:ascii="Times New Roman" w:hAnsi="Times New Roman" w:cs="Times New Roman"/>
          <w:color w:val="000000"/>
          <w:sz w:val="24"/>
          <w:szCs w:val="24"/>
          <w:lang w:val="ru-RU"/>
        </w:rPr>
        <w:t>/</w:t>
      </w:r>
      <w:r w:rsidRPr="00A11C6E">
        <w:rPr>
          <w:rFonts w:ascii="Times New Roman" w:hAnsi="Times New Roman" w:cs="Times New Roman"/>
          <w:color w:val="000000"/>
          <w:sz w:val="24"/>
          <w:szCs w:val="24"/>
        </w:rPr>
        <w:t>File</w:t>
      </w:r>
      <w:r w:rsidRPr="00A11C6E">
        <w:rPr>
          <w:rFonts w:ascii="Times New Roman" w:hAnsi="Times New Roman" w:cs="Times New Roman"/>
          <w:color w:val="000000"/>
          <w:sz w:val="24"/>
          <w:szCs w:val="24"/>
          <w:lang w:val="ru-RU"/>
        </w:rPr>
        <w:t>/39817/2022_</w:t>
      </w:r>
      <w:r w:rsidRPr="00A11C6E">
        <w:rPr>
          <w:rFonts w:ascii="Times New Roman" w:hAnsi="Times New Roman" w:cs="Times New Roman"/>
          <w:color w:val="000000"/>
          <w:sz w:val="24"/>
          <w:szCs w:val="24"/>
        </w:rPr>
        <w:t>february</w:t>
      </w:r>
      <w:r w:rsidRPr="00A11C6E">
        <w:rPr>
          <w:rFonts w:ascii="Times New Roman" w:hAnsi="Times New Roman" w:cs="Times New Roman"/>
          <w:color w:val="000000"/>
          <w:sz w:val="24"/>
          <w:szCs w:val="24"/>
          <w:lang w:val="ru-RU"/>
        </w:rPr>
        <w:t>_</w:t>
      </w:r>
      <w:r w:rsidRPr="00A11C6E">
        <w:rPr>
          <w:rFonts w:ascii="Times New Roman" w:hAnsi="Times New Roman" w:cs="Times New Roman"/>
          <w:color w:val="000000"/>
          <w:sz w:val="24"/>
          <w:szCs w:val="24"/>
        </w:rPr>
        <w:t>e</w:t>
      </w:r>
      <w:r w:rsidRPr="00A11C6E">
        <w:rPr>
          <w:rFonts w:ascii="Times New Roman" w:hAnsi="Times New Roman" w:cs="Times New Roman"/>
          <w:color w:val="000000"/>
          <w:sz w:val="24"/>
          <w:szCs w:val="24"/>
          <w:lang w:val="ru-RU"/>
        </w:rPr>
        <w:t>.</w:t>
      </w:r>
      <w:r w:rsidRPr="00A11C6E">
        <w:rPr>
          <w:rFonts w:ascii="Times New Roman" w:hAnsi="Times New Roman" w:cs="Times New Roman"/>
          <w:color w:val="000000"/>
          <w:sz w:val="24"/>
          <w:szCs w:val="24"/>
        </w:rPr>
        <w:t>pdf</w:t>
      </w:r>
      <w:r w:rsidRPr="00A11C6E">
        <w:rPr>
          <w:rFonts w:ascii="Times New Roman" w:hAnsi="Times New Roman" w:cs="Times New Roman"/>
          <w:color w:val="000000"/>
          <w:sz w:val="24"/>
          <w:szCs w:val="24"/>
          <w:lang w:val="ru-RU"/>
        </w:rPr>
        <w:t xml:space="preserve"> (дата обращения: 05.04.2023).</w:t>
      </w:r>
    </w:p>
    <w:p w14:paraId="2CD0E0CD" w14:textId="5CCE3984"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Sassen S. The Globa</w:t>
      </w:r>
      <w:r w:rsidR="007C7A94" w:rsidRPr="00A11C6E">
        <w:rPr>
          <w:rFonts w:ascii="Times New Roman" w:hAnsi="Times New Roman" w:cs="Times New Roman"/>
          <w:color w:val="000000" w:themeColor="text1"/>
          <w:sz w:val="24"/>
          <w:szCs w:val="24"/>
          <w:shd w:val="clear" w:color="auto" w:fill="FFFFFF"/>
        </w:rPr>
        <w:t>l City: New York, London, Tokyo. – (2</w:t>
      </w:r>
      <w:r w:rsidR="007C7A94" w:rsidRPr="00A11C6E">
        <w:rPr>
          <w:rFonts w:ascii="Times New Roman" w:hAnsi="Times New Roman" w:cs="Times New Roman"/>
          <w:color w:val="000000" w:themeColor="text1"/>
          <w:sz w:val="24"/>
          <w:szCs w:val="24"/>
          <w:shd w:val="clear" w:color="auto" w:fill="FFFFFF"/>
          <w:vertAlign w:val="superscript"/>
        </w:rPr>
        <w:t>nd</w:t>
      </w:r>
      <w:r w:rsidR="007C7A94" w:rsidRPr="00A11C6E">
        <w:rPr>
          <w:rFonts w:ascii="Times New Roman" w:hAnsi="Times New Roman" w:cs="Times New Roman"/>
          <w:color w:val="000000" w:themeColor="text1"/>
          <w:sz w:val="24"/>
          <w:szCs w:val="24"/>
          <w:shd w:val="clear" w:color="auto" w:fill="FFFFFF"/>
        </w:rPr>
        <w:t xml:space="preserve"> ed.) – </w:t>
      </w:r>
      <w:r w:rsidRPr="00A11C6E">
        <w:rPr>
          <w:rFonts w:ascii="Times New Roman" w:hAnsi="Times New Roman" w:cs="Times New Roman"/>
          <w:color w:val="000000" w:themeColor="text1"/>
          <w:sz w:val="24"/>
          <w:szCs w:val="24"/>
          <w:shd w:val="clear" w:color="auto" w:fill="FFFFFF"/>
        </w:rPr>
        <w:t xml:space="preserve">Princeton: </w:t>
      </w:r>
      <w:r w:rsidR="007C7A94" w:rsidRPr="00A11C6E">
        <w:rPr>
          <w:rFonts w:ascii="Times New Roman" w:hAnsi="Times New Roman" w:cs="Times New Roman"/>
          <w:color w:val="000000" w:themeColor="text1"/>
          <w:sz w:val="24"/>
          <w:szCs w:val="24"/>
          <w:shd w:val="clear" w:color="auto" w:fill="FFFFFF"/>
        </w:rPr>
        <w:t>Princeton University Press, 2001</w:t>
      </w:r>
      <w:r w:rsidRPr="00A11C6E">
        <w:rPr>
          <w:rFonts w:ascii="Times New Roman" w:hAnsi="Times New Roman" w:cs="Times New Roman"/>
          <w:color w:val="000000" w:themeColor="text1"/>
          <w:sz w:val="24"/>
          <w:szCs w:val="24"/>
          <w:shd w:val="clear" w:color="auto" w:fill="FFFFFF"/>
        </w:rPr>
        <w:t>.</w:t>
      </w:r>
      <w:r w:rsidR="007C7A94" w:rsidRPr="00A11C6E">
        <w:rPr>
          <w:rFonts w:ascii="Times New Roman" w:hAnsi="Times New Roman" w:cs="Times New Roman"/>
          <w:color w:val="000000" w:themeColor="text1"/>
          <w:sz w:val="24"/>
          <w:szCs w:val="24"/>
          <w:shd w:val="clear" w:color="auto" w:fill="FFFFFF"/>
        </w:rPr>
        <w:t xml:space="preserve"> – 447 p.</w:t>
      </w:r>
    </w:p>
    <w:p w14:paraId="644CF2FC" w14:textId="5295C462"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Sassen, S. Global Financial Centers / S. Sassen // Foreign Affairs. – 1999. –Vol</w:t>
      </w:r>
      <w:r w:rsidR="00FF46B6" w:rsidRPr="00A11C6E">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rPr>
        <w:t xml:space="preserve"> 78, 1. – P. 75–87.</w:t>
      </w:r>
      <w:bookmarkStart w:id="138" w:name="_Ref499675491"/>
    </w:p>
    <w:p w14:paraId="77129791" w14:textId="5D1201C9"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rPr>
      </w:pPr>
      <w:r w:rsidRPr="00A11C6E">
        <w:rPr>
          <w:rFonts w:ascii="Times New Roman" w:hAnsi="Times New Roman" w:cs="Times New Roman"/>
          <w:color w:val="000000" w:themeColor="text1"/>
          <w:sz w:val="24"/>
          <w:szCs w:val="24"/>
          <w:shd w:val="clear" w:color="auto" w:fill="FFFFFF"/>
        </w:rPr>
        <w:t xml:space="preserve">Schweller R. L. </w:t>
      </w:r>
      <w:r w:rsidRPr="00A11C6E">
        <w:rPr>
          <w:rFonts w:ascii="Times New Roman" w:hAnsi="Times New Roman" w:cs="Times New Roman"/>
          <w:color w:val="000000" w:themeColor="text1"/>
          <w:spacing w:val="-4"/>
          <w:sz w:val="24"/>
          <w:szCs w:val="24"/>
        </w:rPr>
        <w:t>After Unipolarity: China's Visions of International Order in an Era of U.S. Decline [</w:t>
      </w:r>
      <w:r w:rsidRPr="00A11C6E">
        <w:rPr>
          <w:rFonts w:ascii="Times New Roman" w:hAnsi="Times New Roman" w:cs="Times New Roman"/>
          <w:color w:val="000000" w:themeColor="text1"/>
          <w:spacing w:val="-4"/>
          <w:sz w:val="24"/>
          <w:szCs w:val="24"/>
          <w:lang w:val="ru-RU"/>
        </w:rPr>
        <w:t>Электронный</w:t>
      </w:r>
      <w:r w:rsidRPr="00A11C6E">
        <w:rPr>
          <w:rFonts w:ascii="Times New Roman" w:hAnsi="Times New Roman" w:cs="Times New Roman"/>
          <w:color w:val="000000" w:themeColor="text1"/>
          <w:spacing w:val="-4"/>
          <w:sz w:val="24"/>
          <w:szCs w:val="24"/>
        </w:rPr>
        <w:t xml:space="preserve"> </w:t>
      </w:r>
      <w:r w:rsidRPr="00A11C6E">
        <w:rPr>
          <w:rFonts w:ascii="Times New Roman" w:hAnsi="Times New Roman" w:cs="Times New Roman"/>
          <w:color w:val="000000" w:themeColor="text1"/>
          <w:spacing w:val="-4"/>
          <w:sz w:val="24"/>
          <w:szCs w:val="24"/>
          <w:lang w:val="ru-RU"/>
        </w:rPr>
        <w:t>ресурс</w:t>
      </w:r>
      <w:r w:rsidRPr="00A11C6E">
        <w:rPr>
          <w:rFonts w:ascii="Times New Roman" w:hAnsi="Times New Roman" w:cs="Times New Roman"/>
          <w:color w:val="000000" w:themeColor="text1"/>
          <w:spacing w:val="-4"/>
          <w:sz w:val="24"/>
          <w:szCs w:val="24"/>
        </w:rPr>
        <w:t>] /R. L. Schweller, X.Pu // International Security. – Vol. 36, №</w:t>
      </w:r>
      <w:r w:rsidR="00FF46B6" w:rsidRPr="00A11C6E">
        <w:rPr>
          <w:rFonts w:ascii="Times New Roman" w:hAnsi="Times New Roman" w:cs="Times New Roman"/>
          <w:color w:val="000000" w:themeColor="text1"/>
          <w:spacing w:val="-4"/>
          <w:sz w:val="24"/>
          <w:szCs w:val="24"/>
        </w:rPr>
        <w:t> </w:t>
      </w:r>
      <w:r w:rsidRPr="00A11C6E">
        <w:rPr>
          <w:rFonts w:ascii="Times New Roman" w:hAnsi="Times New Roman" w:cs="Times New Roman"/>
          <w:color w:val="000000" w:themeColor="text1"/>
          <w:spacing w:val="-4"/>
          <w:sz w:val="24"/>
          <w:szCs w:val="24"/>
        </w:rPr>
        <w:t>1,</w:t>
      </w:r>
      <w:r w:rsidR="00FF46B6" w:rsidRPr="00A11C6E">
        <w:rPr>
          <w:rFonts w:ascii="Times New Roman" w:hAnsi="Times New Roman" w:cs="Times New Roman"/>
          <w:color w:val="000000" w:themeColor="text1"/>
          <w:spacing w:val="-4"/>
          <w:sz w:val="24"/>
          <w:szCs w:val="24"/>
        </w:rPr>
        <w:t> </w:t>
      </w:r>
      <w:r w:rsidRPr="00A11C6E">
        <w:rPr>
          <w:rFonts w:ascii="Times New Roman" w:hAnsi="Times New Roman" w:cs="Times New Roman"/>
          <w:color w:val="000000" w:themeColor="text1"/>
          <w:spacing w:val="-4"/>
          <w:sz w:val="24"/>
          <w:szCs w:val="24"/>
        </w:rPr>
        <w:t>2011. – P.</w:t>
      </w:r>
      <w:r w:rsidR="004A0184">
        <w:rPr>
          <w:rFonts w:ascii="Times New Roman" w:hAnsi="Times New Roman" w:cs="Times New Roman"/>
          <w:color w:val="000000" w:themeColor="text1"/>
          <w:spacing w:val="-4"/>
          <w:sz w:val="24"/>
          <w:szCs w:val="24"/>
        </w:rPr>
        <w:t> </w:t>
      </w:r>
      <w:r w:rsidRPr="00A11C6E">
        <w:rPr>
          <w:rFonts w:ascii="Times New Roman" w:hAnsi="Times New Roman" w:cs="Times New Roman"/>
          <w:color w:val="000000" w:themeColor="text1"/>
          <w:spacing w:val="-4"/>
          <w:sz w:val="24"/>
          <w:szCs w:val="24"/>
        </w:rPr>
        <w:t xml:space="preserve">41-72. – </w:t>
      </w:r>
      <w:r w:rsidRPr="00A11C6E">
        <w:rPr>
          <w:rFonts w:ascii="Times New Roman" w:hAnsi="Times New Roman" w:cs="Times New Roman"/>
          <w:color w:val="000000" w:themeColor="text1"/>
          <w:spacing w:val="-4"/>
          <w:sz w:val="24"/>
          <w:szCs w:val="24"/>
          <w:lang w:val="ru-RU"/>
        </w:rPr>
        <w:t>Режим</w:t>
      </w:r>
      <w:r w:rsidRPr="00A11C6E">
        <w:rPr>
          <w:rFonts w:ascii="Times New Roman" w:hAnsi="Times New Roman" w:cs="Times New Roman"/>
          <w:color w:val="000000" w:themeColor="text1"/>
          <w:spacing w:val="-4"/>
          <w:sz w:val="24"/>
          <w:szCs w:val="24"/>
        </w:rPr>
        <w:t xml:space="preserve"> </w:t>
      </w:r>
      <w:r w:rsidRPr="00A11C6E">
        <w:rPr>
          <w:rFonts w:ascii="Times New Roman" w:hAnsi="Times New Roman" w:cs="Times New Roman"/>
          <w:color w:val="000000" w:themeColor="text1"/>
          <w:spacing w:val="-4"/>
          <w:sz w:val="24"/>
          <w:szCs w:val="24"/>
          <w:lang w:val="ru-RU"/>
        </w:rPr>
        <w:t>доступа</w:t>
      </w:r>
      <w:r w:rsidRPr="00A11C6E">
        <w:rPr>
          <w:rFonts w:ascii="Times New Roman" w:hAnsi="Times New Roman" w:cs="Times New Roman"/>
          <w:color w:val="000000" w:themeColor="text1"/>
          <w:spacing w:val="-4"/>
          <w:sz w:val="24"/>
          <w:szCs w:val="24"/>
        </w:rPr>
        <w:t xml:space="preserve">: URL: </w:t>
      </w:r>
      <w:hyperlink r:id="rId75" w:tooltip="https://www.jstor.org/stable/41289688" w:history="1">
        <w:r w:rsidRPr="00A11C6E">
          <w:rPr>
            <w:rStyle w:val="a9"/>
            <w:rFonts w:ascii="Times New Roman" w:hAnsi="Times New Roman" w:cs="Times New Roman"/>
            <w:color w:val="000000" w:themeColor="text1"/>
            <w:spacing w:val="-5"/>
            <w:sz w:val="24"/>
            <w:szCs w:val="24"/>
            <w:u w:val="none"/>
          </w:rPr>
          <w:t>https://www.jstor.org/stable/41289688</w:t>
        </w:r>
      </w:hyperlink>
      <w:r w:rsidRPr="00A11C6E">
        <w:rPr>
          <w:rFonts w:ascii="Times New Roman" w:hAnsi="Times New Roman" w:cs="Times New Roman"/>
          <w:color w:val="000000" w:themeColor="text1"/>
          <w:spacing w:val="-5"/>
          <w:sz w:val="24"/>
          <w:szCs w:val="24"/>
        </w:rPr>
        <w:t xml:space="preserve"> (</w:t>
      </w:r>
      <w:r w:rsidRPr="00A11C6E">
        <w:rPr>
          <w:rFonts w:ascii="Times New Roman" w:hAnsi="Times New Roman" w:cs="Times New Roman"/>
          <w:color w:val="000000" w:themeColor="text1"/>
          <w:spacing w:val="-5"/>
          <w:sz w:val="24"/>
          <w:szCs w:val="24"/>
          <w:lang w:val="ru-RU"/>
        </w:rPr>
        <w:t>дата</w:t>
      </w:r>
      <w:r w:rsidRPr="00A11C6E">
        <w:rPr>
          <w:rFonts w:ascii="Times New Roman" w:hAnsi="Times New Roman" w:cs="Times New Roman"/>
          <w:color w:val="000000" w:themeColor="text1"/>
          <w:spacing w:val="-5"/>
          <w:sz w:val="24"/>
          <w:szCs w:val="24"/>
        </w:rPr>
        <w:t xml:space="preserve"> </w:t>
      </w:r>
      <w:r w:rsidRPr="00A11C6E">
        <w:rPr>
          <w:rFonts w:ascii="Times New Roman" w:hAnsi="Times New Roman" w:cs="Times New Roman"/>
          <w:color w:val="000000" w:themeColor="text1"/>
          <w:spacing w:val="-5"/>
          <w:sz w:val="24"/>
          <w:szCs w:val="24"/>
          <w:lang w:val="ru-RU"/>
        </w:rPr>
        <w:t>обращения</w:t>
      </w:r>
      <w:r w:rsidRPr="00A11C6E">
        <w:rPr>
          <w:rFonts w:ascii="Times New Roman" w:hAnsi="Times New Roman" w:cs="Times New Roman"/>
          <w:color w:val="000000" w:themeColor="text1"/>
          <w:spacing w:val="-5"/>
          <w:sz w:val="24"/>
          <w:szCs w:val="24"/>
        </w:rPr>
        <w:t>: 02.03.2023).</w:t>
      </w:r>
    </w:p>
    <w:p w14:paraId="1F4D96B4" w14:textId="0BCC31EE"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39" w:name="_Ref131436415"/>
      <w:r w:rsidRPr="00A11C6E">
        <w:rPr>
          <w:rFonts w:ascii="Times New Roman" w:hAnsi="Times New Roman" w:cs="Times New Roman"/>
          <w:color w:val="000000" w:themeColor="text1"/>
          <w:sz w:val="24"/>
          <w:szCs w:val="24"/>
        </w:rPr>
        <w:t xml:space="preserve">Shanghai aims to be global financial center </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//Xinhua. – 30.01.2012</w:t>
      </w:r>
      <w:r w:rsidRPr="00A11C6E">
        <w:rPr>
          <w:rFonts w:ascii="Times New Roman" w:hAnsi="Times New Roman" w:cs="Times New Roman"/>
          <w:color w:val="000000" w:themeColor="text1"/>
          <w:sz w:val="24"/>
          <w:szCs w:val="24"/>
        </w:rPr>
        <w:t xml:space="preserve">. – </w:t>
      </w:r>
      <w:r w:rsidRPr="00A11C6E">
        <w:rPr>
          <w:rFonts w:ascii="Times New Roman" w:hAnsi="Times New Roman" w:cs="Times New Roman"/>
          <w:color w:val="000000" w:themeColor="text1"/>
          <w:sz w:val="24"/>
          <w:szCs w:val="24"/>
          <w:lang w:val="ru-RU"/>
        </w:rPr>
        <w:t>Режим</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доступа</w:t>
      </w:r>
      <w:r w:rsidRPr="00A11C6E">
        <w:rPr>
          <w:rFonts w:ascii="Times New Roman" w:hAnsi="Times New Roman" w:cs="Times New Roman"/>
          <w:color w:val="000000" w:themeColor="text1"/>
          <w:sz w:val="24"/>
          <w:szCs w:val="24"/>
        </w:rPr>
        <w:t xml:space="preserve">: URL: </w:t>
      </w:r>
      <w:hyperlink r:id="rId76" w:tooltip="http://www.chinadaily.com.cn/china/2012-01/30/content_14507175.htm" w:history="1">
        <w:r w:rsidRPr="00A11C6E">
          <w:rPr>
            <w:rStyle w:val="a9"/>
            <w:rFonts w:ascii="Times New Roman" w:hAnsi="Times New Roman" w:cs="Times New Roman"/>
            <w:color w:val="000000" w:themeColor="text1"/>
            <w:sz w:val="24"/>
            <w:szCs w:val="24"/>
            <w:u w:val="none"/>
          </w:rPr>
          <w:t>http://www.chinadaily.com.cn/china/2012-01/30/content_14507175.htm</w:t>
        </w:r>
      </w:hyperlink>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01.03.2023).</w:t>
      </w:r>
      <w:bookmarkEnd w:id="138"/>
      <w:bookmarkEnd w:id="139"/>
    </w:p>
    <w:p w14:paraId="7E9B4922" w14:textId="16DB61ED"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lastRenderedPageBreak/>
        <w:t xml:space="preserve">Shanghai Financial Climate Index / Xinhua Indices. – </w:t>
      </w:r>
      <w:r w:rsidRPr="00A11C6E">
        <w:rPr>
          <w:rFonts w:ascii="Times New Roman" w:hAnsi="Times New Roman" w:cs="Times New Roman"/>
          <w:color w:val="000000" w:themeColor="text1"/>
          <w:sz w:val="24"/>
          <w:szCs w:val="24"/>
          <w:lang w:val="ru-RU"/>
        </w:rPr>
        <w:t>Режим</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доступа</w:t>
      </w:r>
      <w:r w:rsidRPr="00A11C6E">
        <w:rPr>
          <w:rFonts w:ascii="Times New Roman" w:hAnsi="Times New Roman" w:cs="Times New Roman"/>
          <w:color w:val="000000" w:themeColor="text1"/>
          <w:sz w:val="24"/>
          <w:szCs w:val="24"/>
        </w:rPr>
        <w:t>: URL:</w:t>
      </w:r>
      <w:r w:rsidR="004A0184">
        <w:rPr>
          <w:rFonts w:ascii="Times New Roman" w:hAnsi="Times New Roman" w:cs="Times New Roman"/>
          <w:color w:val="000000" w:themeColor="text1"/>
          <w:sz w:val="24"/>
          <w:szCs w:val="24"/>
        </w:rPr>
        <w:t> </w:t>
      </w:r>
      <w:hyperlink r:id="rId77" w:tooltip="https://indices.cnfin.com/5057/index.html?idx=3" w:history="1">
        <w:r w:rsidRPr="00A11C6E">
          <w:rPr>
            <w:rStyle w:val="a9"/>
            <w:rFonts w:ascii="Times New Roman" w:hAnsi="Times New Roman" w:cs="Times New Roman"/>
            <w:color w:val="000000" w:themeColor="text1"/>
            <w:sz w:val="24"/>
            <w:szCs w:val="24"/>
            <w:u w:val="none"/>
          </w:rPr>
          <w:t>https://indices.cnfin.com/5057/index.html?idx=3</w:t>
        </w:r>
      </w:hyperlink>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01.03.2023).</w:t>
      </w:r>
      <w:bookmarkStart w:id="140" w:name="_Ref446788987"/>
    </w:p>
    <w:p w14:paraId="2651A413" w14:textId="1AF95AD6"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41" w:name="_Ref131436377"/>
      <w:r w:rsidRPr="00A11C6E">
        <w:rPr>
          <w:rFonts w:ascii="Times New Roman" w:hAnsi="Times New Roman" w:cs="Times New Roman"/>
          <w:color w:val="000000" w:themeColor="text1"/>
          <w:sz w:val="24"/>
          <w:szCs w:val="24"/>
        </w:rPr>
        <w:t>Shanghai Free trade zone is the first area in the mainland China</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/Shanghai Free Trade Zone. –</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Режим</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доступа</w:t>
      </w:r>
      <w:r w:rsidRPr="00A11C6E">
        <w:rPr>
          <w:rFonts w:ascii="Times New Roman" w:hAnsi="Times New Roman" w:cs="Times New Roman"/>
          <w:color w:val="000000" w:themeColor="text1"/>
          <w:sz w:val="24"/>
          <w:szCs w:val="24"/>
        </w:rPr>
        <w:t xml:space="preserve">: URL: </w:t>
      </w:r>
      <w:hyperlink r:id="rId78" w:tooltip="http://www.ftz-shanghai.com/Policies/FTZ_HK.html" w:history="1">
        <w:r w:rsidRPr="00A11C6E">
          <w:rPr>
            <w:rStyle w:val="a9"/>
            <w:rFonts w:ascii="Times New Roman" w:hAnsi="Times New Roman" w:cs="Times New Roman"/>
            <w:color w:val="000000" w:themeColor="text1"/>
            <w:sz w:val="24"/>
            <w:szCs w:val="24"/>
            <w:u w:val="none"/>
          </w:rPr>
          <w:t>http://www.ftz-shanghai.com/Policies/FTZ_HK.html</w:t>
        </w:r>
      </w:hyperlink>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01.03.2023).</w:t>
      </w:r>
      <w:bookmarkEnd w:id="140"/>
      <w:bookmarkEnd w:id="141"/>
    </w:p>
    <w:p w14:paraId="25103729" w14:textId="30165E05"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42" w:name="_Ref131436573"/>
      <w:r w:rsidRPr="00A11C6E">
        <w:rPr>
          <w:rFonts w:ascii="Times New Roman" w:hAnsi="Times New Roman" w:cs="Times New Roman"/>
          <w:color w:val="000000" w:themeColor="text1"/>
          <w:sz w:val="24"/>
          <w:szCs w:val="24"/>
          <w:lang w:eastAsia="zh-CN"/>
        </w:rPr>
        <w:t>Shanghai Free Trade Zone’s Negative List [</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rPr>
        <w:t xml:space="preserve"> URL: </w:t>
      </w:r>
      <w:r w:rsidRPr="00A11C6E">
        <w:rPr>
          <w:rFonts w:ascii="Times New Roman" w:hAnsi="Times New Roman" w:cs="Times New Roman"/>
          <w:color w:val="000000" w:themeColor="text1"/>
          <w:sz w:val="24"/>
          <w:szCs w:val="24"/>
          <w:lang w:eastAsia="zh-CN"/>
        </w:rPr>
        <w:t xml:space="preserve">https://corporationchina.com/articles/shanghai-free-trade-zones-negative-list </w:t>
      </w:r>
      <w:r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01.03.2023)</w:t>
      </w:r>
      <w:r w:rsidRPr="00A11C6E">
        <w:rPr>
          <w:rFonts w:ascii="Times New Roman" w:hAnsi="Times New Roman" w:cs="Times New Roman"/>
          <w:color w:val="000000" w:themeColor="text1"/>
          <w:sz w:val="24"/>
          <w:szCs w:val="24"/>
          <w:lang w:eastAsia="zh-CN"/>
        </w:rPr>
        <w:t>.</w:t>
      </w:r>
      <w:bookmarkEnd w:id="142"/>
    </w:p>
    <w:p w14:paraId="6521A547" w14:textId="203F29C1" w:rsidR="006E6AD3" w:rsidRPr="00A11C6E" w:rsidRDefault="006E6AD3"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43" w:name="_Ref135682067"/>
      <w:r w:rsidRPr="00A11C6E">
        <w:rPr>
          <w:rFonts w:ascii="Times New Roman" w:hAnsi="Times New Roman" w:cs="Times New Roman"/>
          <w:color w:val="000000" w:themeColor="text1"/>
          <w:sz w:val="24"/>
          <w:szCs w:val="24"/>
        </w:rPr>
        <w:t>Smart</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Centres</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Index</w:t>
      </w:r>
      <w:r w:rsidRPr="00A11C6E">
        <w:rPr>
          <w:rFonts w:ascii="Times New Roman" w:hAnsi="Times New Roman" w:cs="Times New Roman"/>
          <w:color w:val="000000" w:themeColor="text1"/>
          <w:sz w:val="24"/>
          <w:szCs w:val="24"/>
          <w:lang w:val="ru-RU"/>
        </w:rPr>
        <w:t xml:space="preserve"> – №1–6 [Электронный ресурс]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rPr>
        <w:t>https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www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longfinance</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net</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programmes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financial</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centre</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futures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smart</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centres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index</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publications</w:t>
      </w:r>
      <w:r w:rsidRPr="00A11C6E">
        <w:rPr>
          <w:rFonts w:ascii="Times New Roman" w:hAnsi="Times New Roman" w:cs="Times New Roman"/>
          <w:color w:val="000000" w:themeColor="text1"/>
          <w:sz w:val="24"/>
          <w:szCs w:val="24"/>
          <w:lang w:val="ru-RU"/>
        </w:rPr>
        <w:t xml:space="preserve"> (дата обращения: 22.05.2023).</w:t>
      </w:r>
      <w:bookmarkEnd w:id="143"/>
    </w:p>
    <w:p w14:paraId="1A4A9B07" w14:textId="012FB9F2" w:rsidR="00F462C7" w:rsidRPr="00A11C6E" w:rsidRDefault="00F462C7"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44" w:name="_Ref135325466"/>
      <w:r w:rsidRPr="00A11C6E">
        <w:rPr>
          <w:rFonts w:ascii="Times New Roman" w:hAnsi="Times New Roman" w:cs="Times New Roman"/>
          <w:color w:val="000000" w:themeColor="text1"/>
          <w:sz w:val="24"/>
          <w:szCs w:val="24"/>
          <w:lang w:eastAsia="zh-CN"/>
        </w:rPr>
        <w:t>Smith, R. G. Beyond the Global City Concept and the Myth of ‘Command and Control’ / R. G. Smith // International Journal of Urban and Regional Research. 2013. – 19 pp.</w:t>
      </w:r>
      <w:bookmarkEnd w:id="144"/>
    </w:p>
    <w:p w14:paraId="1EFD317D" w14:textId="60FD298C" w:rsidR="00025A1D" w:rsidRPr="00A11C6E" w:rsidRDefault="00025A1D"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lang w:eastAsia="zh-CN"/>
        </w:rPr>
        <w:t>Smith R. G. The ordinary city trap // Environment and Planning A. – 2013, volume 45. – pp. 2290-2304.</w:t>
      </w:r>
    </w:p>
    <w:p w14:paraId="7A20D398"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45" w:name="_Ref131436460"/>
      <w:r w:rsidRPr="00A11C6E">
        <w:rPr>
          <w:rFonts w:ascii="Times New Roman" w:hAnsi="Times New Roman" w:cs="Times New Roman"/>
          <w:color w:val="000000" w:themeColor="text1"/>
          <w:sz w:val="24"/>
          <w:szCs w:val="24"/>
          <w:lang w:eastAsia="zh-CN"/>
        </w:rPr>
        <w:t>SSE Equities Introduction [</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 Shanghai Stock Exchage. –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shd w:val="clear" w:color="auto" w:fill="FFFFFF"/>
          <w:lang w:eastAsia="zh-CN"/>
        </w:rPr>
        <w:t>URL:</w:t>
      </w:r>
      <w:r w:rsidRPr="00A11C6E">
        <w:rPr>
          <w:rFonts w:ascii="Times New Roman" w:hAnsi="Times New Roman" w:cs="Times New Roman"/>
          <w:color w:val="000000" w:themeColor="text1"/>
          <w:sz w:val="24"/>
          <w:szCs w:val="24"/>
          <w:lang w:eastAsia="zh-CN"/>
        </w:rPr>
        <w:t xml:space="preserve"> http://english.sse.com.cn/markets/equities/overview/ </w:t>
      </w:r>
      <w:r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eastAsia="zh-CN"/>
        </w:rPr>
        <w:t>01.03.2023).</w:t>
      </w:r>
      <w:bookmarkEnd w:id="145"/>
    </w:p>
    <w:p w14:paraId="586254CB" w14:textId="34040DB4"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t xml:space="preserve">Stiglitz J., Rothshield, M. </w:t>
      </w:r>
      <w:r w:rsidRPr="00A11C6E">
        <w:rPr>
          <w:rFonts w:ascii="Times New Roman" w:hAnsi="Times New Roman" w:cs="Times New Roman"/>
          <w:sz w:val="24"/>
          <w:szCs w:val="24"/>
        </w:rPr>
        <w:t>Equilibrium in Competitive Insurance Markets: An Essay on the Economics of Imperfect Information / J. Stiglitz, M. Rothshield // The Quarterly Journal of Economics. – Vol. 90. – No. 4. – 1976. – pp. 629–649.</w:t>
      </w:r>
      <w:bookmarkStart w:id="146" w:name="_Toc443913389"/>
      <w:bookmarkStart w:id="147" w:name="_Toc443913557"/>
      <w:bookmarkStart w:id="148" w:name="_Ref446788128"/>
      <w:bookmarkStart w:id="149" w:name="_Ref446789527"/>
    </w:p>
    <w:p w14:paraId="1A8E8291" w14:textId="3E278409" w:rsidR="00142B78" w:rsidRPr="00A11C6E" w:rsidRDefault="00142B78"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t>Sydorova, Zh. Development Prospects of London as the World’s Financial Center in the Conditions of Brexit / Zh. Sydorova, S. Yakubovkiy</w:t>
      </w:r>
      <w:r w:rsidRPr="00A11C6E">
        <w:rPr>
          <w:rFonts w:ascii="Times New Roman" w:hAnsi="Times New Roman" w:cs="Times New Roman"/>
          <w:color w:val="000000"/>
          <w:sz w:val="24"/>
          <w:szCs w:val="24"/>
        </w:rPr>
        <w:t xml:space="preserve"> </w:t>
      </w:r>
      <w:r w:rsidR="00554284" w:rsidRPr="00A11C6E">
        <w:rPr>
          <w:rFonts w:ascii="Times New Roman" w:hAnsi="Times New Roman" w:cs="Times New Roman"/>
          <w:color w:val="000000"/>
          <w:sz w:val="24"/>
          <w:szCs w:val="24"/>
        </w:rPr>
        <w:t>// Baltic Journal of Economic Stidies. – 2017, Vol. 3, No. 4. – Pp. 238–243.</w:t>
      </w:r>
    </w:p>
    <w:p w14:paraId="4F5BE336" w14:textId="797D1FAF"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50" w:name="_Ref131436538"/>
      <w:r w:rsidRPr="00A11C6E">
        <w:rPr>
          <w:rFonts w:ascii="Times New Roman" w:hAnsi="Times New Roman" w:cs="Times New Roman"/>
          <w:color w:val="000000" w:themeColor="text1"/>
          <w:sz w:val="24"/>
          <w:szCs w:val="24"/>
        </w:rPr>
        <w:t xml:space="preserve">SZSE Overview </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/Shenzhen Stock Excha</w:t>
      </w:r>
      <w:r w:rsidR="00836ACB" w:rsidRPr="00A11C6E">
        <w:rPr>
          <w:rFonts w:ascii="Times New Roman" w:hAnsi="Times New Roman" w:cs="Times New Roman"/>
          <w:color w:val="000000" w:themeColor="text1"/>
          <w:sz w:val="24"/>
          <w:szCs w:val="24"/>
          <w:lang w:eastAsia="zh-CN"/>
        </w:rPr>
        <w:t>n</w:t>
      </w:r>
      <w:r w:rsidRPr="00A11C6E">
        <w:rPr>
          <w:rFonts w:ascii="Times New Roman" w:hAnsi="Times New Roman" w:cs="Times New Roman"/>
          <w:color w:val="000000" w:themeColor="text1"/>
          <w:sz w:val="24"/>
          <w:szCs w:val="24"/>
          <w:lang w:eastAsia="zh-CN"/>
        </w:rPr>
        <w:t xml:space="preserve">ge. –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rPr>
        <w:t xml:space="preserve"> URL: </w:t>
      </w:r>
      <w:r w:rsidRPr="00A11C6E">
        <w:rPr>
          <w:rFonts w:ascii="Times New Roman" w:hAnsi="Times New Roman" w:cs="Times New Roman"/>
          <w:sz w:val="24"/>
          <w:szCs w:val="24"/>
        </w:rPr>
        <w:t>http://www.szse.cn/English/about/overview/index.html.</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01.03.2023).</w:t>
      </w:r>
      <w:bookmarkEnd w:id="146"/>
      <w:bookmarkEnd w:id="147"/>
      <w:bookmarkEnd w:id="148"/>
      <w:bookmarkEnd w:id="149"/>
      <w:bookmarkEnd w:id="150"/>
    </w:p>
    <w:p w14:paraId="132864F0" w14:textId="026DD049"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 xml:space="preserve">Talor, P. Financial Services Clustering and its Significance for London: </w:t>
      </w:r>
      <w:r w:rsidR="00554284" w:rsidRPr="00A11C6E">
        <w:rPr>
          <w:rFonts w:ascii="Times New Roman" w:hAnsi="Times New Roman" w:cs="Times New Roman"/>
          <w:color w:val="000000" w:themeColor="text1"/>
          <w:sz w:val="24"/>
          <w:szCs w:val="24"/>
          <w:shd w:val="clear" w:color="auto" w:fill="FFFFFF"/>
        </w:rPr>
        <w:t>Full</w:t>
      </w:r>
      <w:r w:rsidRPr="00A11C6E">
        <w:rPr>
          <w:rFonts w:ascii="Times New Roman" w:hAnsi="Times New Roman" w:cs="Times New Roman"/>
          <w:color w:val="000000" w:themeColor="text1"/>
          <w:sz w:val="24"/>
          <w:szCs w:val="24"/>
          <w:shd w:val="clear" w:color="auto" w:fill="FFFFFF"/>
        </w:rPr>
        <w:t xml:space="preserve"> Report / P.</w:t>
      </w:r>
      <w:r w:rsidR="004A0184">
        <w:rPr>
          <w:rFonts w:ascii="Times New Roman" w:hAnsi="Times New Roman" w:cs="Times New Roman"/>
          <w:color w:val="000000" w:themeColor="text1"/>
          <w:sz w:val="24"/>
          <w:szCs w:val="24"/>
          <w:shd w:val="clear" w:color="auto" w:fill="FFFFFF"/>
        </w:rPr>
        <w:t> </w:t>
      </w:r>
      <w:r w:rsidRPr="00A11C6E">
        <w:rPr>
          <w:rFonts w:ascii="Times New Roman" w:hAnsi="Times New Roman" w:cs="Times New Roman"/>
          <w:color w:val="000000" w:themeColor="text1"/>
          <w:sz w:val="24"/>
          <w:szCs w:val="24"/>
          <w:shd w:val="clear" w:color="auto" w:fill="FFFFFF"/>
        </w:rPr>
        <w:t>Taylor, J. Beaverstock, G. Cook, N. Pandit, K. L. Pain: Corp. of London. – 2003. – 116 p.</w:t>
      </w:r>
      <w:bookmarkStart w:id="151" w:name="_Ref446790981"/>
      <w:bookmarkStart w:id="152" w:name="_Hlk60693068"/>
    </w:p>
    <w:p w14:paraId="0FB50842" w14:textId="6C24259A"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53" w:name="_Ref131431983"/>
      <w:r w:rsidRPr="00A11C6E">
        <w:rPr>
          <w:rFonts w:ascii="Times New Roman" w:hAnsi="Times New Roman" w:cs="Times New Roman"/>
          <w:color w:val="000000" w:themeColor="text1"/>
          <w:sz w:val="24"/>
          <w:szCs w:val="24"/>
        </w:rPr>
        <w:t xml:space="preserve">The Competitive position of London as a Global Financial Centre </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rPr>
        <w:t xml:space="preserve">/M. Yeandle, M. Mainelli, A. Berendt, Z/Yen Limited. – November 2005, London. </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rPr>
        <w:t>URL:</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rPr>
        <w:t>https://www.longfinance.net/media/documents/LCGFC_CWdaZPB.pdf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01.03.2023).</w:t>
      </w:r>
      <w:bookmarkStart w:id="154" w:name="_Ref499229954"/>
      <w:bookmarkEnd w:id="151"/>
      <w:bookmarkEnd w:id="152"/>
      <w:bookmarkEnd w:id="153"/>
    </w:p>
    <w:p w14:paraId="2F0A80E1" w14:textId="7E6B39CD"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eastAsia="zh-CN"/>
        </w:rPr>
        <w:t>The</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CityUK</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Who</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we</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are</w:t>
      </w:r>
      <w:r w:rsidRPr="00A11C6E">
        <w:rPr>
          <w:rFonts w:ascii="Times New Roman" w:hAnsi="Times New Roman" w:cs="Times New Roman"/>
          <w:color w:val="000000" w:themeColor="text1"/>
          <w:sz w:val="24"/>
          <w:szCs w:val="24"/>
          <w:lang w:val="ru-RU" w:eastAsia="zh-CN"/>
        </w:rPr>
        <w:t xml:space="preserve"> [Электронный ресурс] // </w:t>
      </w:r>
      <w:r w:rsidRPr="00A11C6E">
        <w:rPr>
          <w:rFonts w:ascii="Times New Roman" w:hAnsi="Times New Roman" w:cs="Times New Roman"/>
          <w:color w:val="000000" w:themeColor="text1"/>
          <w:sz w:val="24"/>
          <w:szCs w:val="24"/>
          <w:lang w:eastAsia="zh-CN"/>
        </w:rPr>
        <w:t>The</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CityUK</w:t>
      </w:r>
      <w:r w:rsidRPr="00A11C6E">
        <w:rPr>
          <w:rFonts w:ascii="Times New Roman" w:hAnsi="Times New Roman" w:cs="Times New Roman"/>
          <w:color w:val="000000" w:themeColor="text1"/>
          <w:sz w:val="24"/>
          <w:szCs w:val="24"/>
          <w:lang w:val="ru-RU" w:eastAsia="zh-CN"/>
        </w:rPr>
        <w:t xml:space="preserve">. – Режим доступа: </w:t>
      </w:r>
      <w:r w:rsidRPr="00A11C6E">
        <w:rPr>
          <w:rFonts w:ascii="Times New Roman" w:hAnsi="Times New Roman" w:cs="Times New Roman"/>
          <w:color w:val="000000" w:themeColor="text1"/>
          <w:sz w:val="24"/>
          <w:szCs w:val="24"/>
          <w:lang w:eastAsia="zh-CN"/>
        </w:rPr>
        <w:t>URL</w:t>
      </w:r>
      <w:r w:rsidRPr="00A11C6E">
        <w:rPr>
          <w:rFonts w:ascii="Times New Roman" w:hAnsi="Times New Roman" w:cs="Times New Roman"/>
          <w:color w:val="000000" w:themeColor="text1"/>
          <w:sz w:val="24"/>
          <w:szCs w:val="24"/>
          <w:lang w:val="ru-RU" w:eastAsia="zh-CN"/>
        </w:rPr>
        <w:t xml:space="preserve">: </w:t>
      </w:r>
      <w:hyperlink r:id="rId79" w:tooltip="https://www.thecityuk.com/about-us" w:history="1">
        <w:r w:rsidRPr="00A11C6E">
          <w:rPr>
            <w:rStyle w:val="a9"/>
            <w:rFonts w:ascii="Times New Roman" w:hAnsi="Times New Roman" w:cs="Times New Roman"/>
            <w:color w:val="000000" w:themeColor="text1"/>
            <w:sz w:val="24"/>
            <w:szCs w:val="24"/>
            <w:u w:val="none"/>
            <w:lang w:eastAsia="zh-CN"/>
          </w:rPr>
          <w:t>https</w:t>
        </w:r>
        <w:r w:rsidRPr="00A11C6E">
          <w:rPr>
            <w:rStyle w:val="a9"/>
            <w:rFonts w:ascii="Times New Roman" w:hAnsi="Times New Roman" w:cs="Times New Roman"/>
            <w:color w:val="000000" w:themeColor="text1"/>
            <w:sz w:val="24"/>
            <w:szCs w:val="24"/>
            <w:u w:val="none"/>
            <w:lang w:val="ru-RU" w:eastAsia="zh-CN"/>
          </w:rPr>
          <w:t>://</w:t>
        </w:r>
        <w:r w:rsidRPr="00A11C6E">
          <w:rPr>
            <w:rStyle w:val="a9"/>
            <w:rFonts w:ascii="Times New Roman" w:hAnsi="Times New Roman" w:cs="Times New Roman"/>
            <w:color w:val="000000" w:themeColor="text1"/>
            <w:sz w:val="24"/>
            <w:szCs w:val="24"/>
            <w:u w:val="none"/>
            <w:lang w:eastAsia="zh-CN"/>
          </w:rPr>
          <w:t>www</w:t>
        </w:r>
        <w:r w:rsidRPr="00A11C6E">
          <w:rPr>
            <w:rStyle w:val="a9"/>
            <w:rFonts w:ascii="Times New Roman" w:hAnsi="Times New Roman" w:cs="Times New Roman"/>
            <w:color w:val="000000" w:themeColor="text1"/>
            <w:sz w:val="24"/>
            <w:szCs w:val="24"/>
            <w:u w:val="none"/>
            <w:lang w:val="ru-RU" w:eastAsia="zh-CN"/>
          </w:rPr>
          <w:t>.</w:t>
        </w:r>
        <w:r w:rsidRPr="00A11C6E">
          <w:rPr>
            <w:rStyle w:val="a9"/>
            <w:rFonts w:ascii="Times New Roman" w:hAnsi="Times New Roman" w:cs="Times New Roman"/>
            <w:color w:val="000000" w:themeColor="text1"/>
            <w:sz w:val="24"/>
            <w:szCs w:val="24"/>
            <w:u w:val="none"/>
            <w:lang w:eastAsia="zh-CN"/>
          </w:rPr>
          <w:t>thecityuk</w:t>
        </w:r>
        <w:r w:rsidRPr="00A11C6E">
          <w:rPr>
            <w:rStyle w:val="a9"/>
            <w:rFonts w:ascii="Times New Roman" w:hAnsi="Times New Roman" w:cs="Times New Roman"/>
            <w:color w:val="000000" w:themeColor="text1"/>
            <w:sz w:val="24"/>
            <w:szCs w:val="24"/>
            <w:u w:val="none"/>
            <w:lang w:val="ru-RU" w:eastAsia="zh-CN"/>
          </w:rPr>
          <w:t>.</w:t>
        </w:r>
        <w:r w:rsidRPr="00A11C6E">
          <w:rPr>
            <w:rStyle w:val="a9"/>
            <w:rFonts w:ascii="Times New Roman" w:hAnsi="Times New Roman" w:cs="Times New Roman"/>
            <w:color w:val="000000" w:themeColor="text1"/>
            <w:sz w:val="24"/>
            <w:szCs w:val="24"/>
            <w:u w:val="none"/>
            <w:lang w:eastAsia="zh-CN"/>
          </w:rPr>
          <w:t>com</w:t>
        </w:r>
        <w:r w:rsidRPr="00A11C6E">
          <w:rPr>
            <w:rStyle w:val="a9"/>
            <w:rFonts w:ascii="Times New Roman" w:hAnsi="Times New Roman" w:cs="Times New Roman"/>
            <w:color w:val="000000" w:themeColor="text1"/>
            <w:sz w:val="24"/>
            <w:szCs w:val="24"/>
            <w:u w:val="none"/>
            <w:lang w:val="ru-RU" w:eastAsia="zh-CN"/>
          </w:rPr>
          <w:t>/</w:t>
        </w:r>
        <w:r w:rsidRPr="00A11C6E">
          <w:rPr>
            <w:rStyle w:val="a9"/>
            <w:rFonts w:ascii="Times New Roman" w:hAnsi="Times New Roman" w:cs="Times New Roman"/>
            <w:color w:val="000000" w:themeColor="text1"/>
            <w:sz w:val="24"/>
            <w:szCs w:val="24"/>
            <w:u w:val="none"/>
            <w:lang w:eastAsia="zh-CN"/>
          </w:rPr>
          <w:t>about</w:t>
        </w:r>
        <w:r w:rsidRPr="00A11C6E">
          <w:rPr>
            <w:rStyle w:val="a9"/>
            <w:rFonts w:ascii="Times New Roman" w:hAnsi="Times New Roman" w:cs="Times New Roman"/>
            <w:color w:val="000000" w:themeColor="text1"/>
            <w:sz w:val="24"/>
            <w:szCs w:val="24"/>
            <w:u w:val="none"/>
            <w:lang w:val="ru-RU" w:eastAsia="zh-CN"/>
          </w:rPr>
          <w:t>-</w:t>
        </w:r>
        <w:r w:rsidRPr="00A11C6E">
          <w:rPr>
            <w:rStyle w:val="a9"/>
            <w:rFonts w:ascii="Times New Roman" w:hAnsi="Times New Roman" w:cs="Times New Roman"/>
            <w:color w:val="000000" w:themeColor="text1"/>
            <w:sz w:val="24"/>
            <w:szCs w:val="24"/>
            <w:u w:val="none"/>
            <w:lang w:eastAsia="zh-CN"/>
          </w:rPr>
          <w:t>us</w:t>
        </w:r>
      </w:hyperlink>
      <w:r w:rsidRPr="00A11C6E">
        <w:rPr>
          <w:rFonts w:ascii="Times New Roman" w:hAnsi="Times New Roman" w:cs="Times New Roman"/>
          <w:color w:val="000000" w:themeColor="text1"/>
          <w:sz w:val="24"/>
          <w:szCs w:val="24"/>
          <w:lang w:val="ru-RU" w:eastAsia="zh-CN"/>
        </w:rPr>
        <w:t xml:space="preserve"> (дата обращения: 01.03.2023).</w:t>
      </w:r>
    </w:p>
    <w:p w14:paraId="48F7A5B7" w14:textId="4A7A2BBD" w:rsidR="009707F0"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eastAsia="zh-CN"/>
        </w:rPr>
        <w:lastRenderedPageBreak/>
        <w:t>The</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DCE</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at</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a</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glance</w:t>
      </w:r>
      <w:r w:rsidRPr="00A11C6E">
        <w:rPr>
          <w:rFonts w:ascii="Times New Roman" w:hAnsi="Times New Roman" w:cs="Times New Roman"/>
          <w:color w:val="000000" w:themeColor="text1"/>
          <w:sz w:val="24"/>
          <w:szCs w:val="24"/>
          <w:lang w:val="ru-RU" w:eastAsia="zh-CN"/>
        </w:rPr>
        <w:t xml:space="preserve"> [Электронный ресурс] / </w:t>
      </w:r>
      <w:r w:rsidRPr="00A11C6E">
        <w:rPr>
          <w:rFonts w:ascii="Times New Roman" w:hAnsi="Times New Roman" w:cs="Times New Roman"/>
          <w:color w:val="000000" w:themeColor="text1"/>
          <w:sz w:val="24"/>
          <w:szCs w:val="24"/>
          <w:lang w:eastAsia="zh-CN"/>
        </w:rPr>
        <w:t>Dalian</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Commodities</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Exchange</w:t>
      </w:r>
      <w:r w:rsidRPr="00A11C6E">
        <w:rPr>
          <w:rFonts w:ascii="Times New Roman" w:hAnsi="Times New Roman" w:cs="Times New Roman"/>
          <w:color w:val="000000" w:themeColor="text1"/>
          <w:sz w:val="24"/>
          <w:szCs w:val="24"/>
          <w:lang w:val="ru-RU" w:eastAsia="zh-CN"/>
        </w:rPr>
        <w:t xml:space="preserve">. – Режим доступа: </w:t>
      </w:r>
      <w:r w:rsidRPr="00A11C6E">
        <w:rPr>
          <w:rFonts w:ascii="Times New Roman" w:hAnsi="Times New Roman" w:cs="Times New Roman"/>
          <w:color w:val="000000" w:themeColor="text1"/>
          <w:sz w:val="24"/>
          <w:szCs w:val="24"/>
          <w:lang w:eastAsia="zh-CN"/>
        </w:rPr>
        <w:t>URL</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http</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eastAsia="zh-CN"/>
        </w:rPr>
        <w:t>www</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eastAsia="zh-CN"/>
        </w:rPr>
        <w:t>dce</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eastAsia="zh-CN"/>
        </w:rPr>
        <w:t>com</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eastAsia="zh-CN"/>
        </w:rPr>
        <w:t>cn</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eastAsia="zh-CN"/>
        </w:rPr>
        <w:t>DCE</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eastAsia="zh-CN"/>
        </w:rPr>
        <w:t>about</w:t>
      </w:r>
      <w:r w:rsidRPr="00A11C6E">
        <w:rPr>
          <w:rFonts w:ascii="Times New Roman" w:hAnsi="Times New Roman" w:cs="Times New Roman"/>
          <w:color w:val="000000" w:themeColor="text1"/>
          <w:sz w:val="24"/>
          <w:szCs w:val="24"/>
          <w:lang w:val="ru-RU" w:eastAsia="zh-CN"/>
        </w:rPr>
        <w:t>_</w:t>
      </w:r>
      <w:r w:rsidRPr="00A11C6E">
        <w:rPr>
          <w:rFonts w:ascii="Times New Roman" w:hAnsi="Times New Roman" w:cs="Times New Roman"/>
          <w:color w:val="000000" w:themeColor="text1"/>
          <w:sz w:val="24"/>
          <w:szCs w:val="24"/>
          <w:lang w:eastAsia="zh-CN"/>
        </w:rPr>
        <w:t>us</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eastAsia="zh-CN"/>
        </w:rPr>
        <w:t>index</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eastAsia="zh-CN"/>
        </w:rPr>
        <w:t>html</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val="ru-RU"/>
        </w:rPr>
        <w:t xml:space="preserve">(дата обращения: </w:t>
      </w:r>
      <w:r w:rsidRPr="00A11C6E">
        <w:rPr>
          <w:rFonts w:ascii="Times New Roman" w:hAnsi="Times New Roman" w:cs="Times New Roman"/>
          <w:color w:val="000000" w:themeColor="text1"/>
          <w:sz w:val="24"/>
          <w:szCs w:val="24"/>
          <w:lang w:val="ru-RU" w:eastAsia="zh-CN"/>
        </w:rPr>
        <w:t>01.03.2023</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lang w:val="ru-RU" w:eastAsia="zh-CN"/>
        </w:rPr>
        <w:t xml:space="preserve">. </w:t>
      </w:r>
      <w:bookmarkEnd w:id="154"/>
    </w:p>
    <w:p w14:paraId="2A6B65E2" w14:textId="6B416478" w:rsidR="006E6AD3" w:rsidRPr="00A11C6E" w:rsidRDefault="006E6AD3"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55" w:name="_Ref130564109"/>
      <w:r w:rsidRPr="00A11C6E">
        <w:rPr>
          <w:rFonts w:ascii="Times New Roman" w:hAnsi="Times New Roman" w:cs="Times New Roman"/>
          <w:color w:val="000000" w:themeColor="text1"/>
          <w:sz w:val="24"/>
          <w:szCs w:val="24"/>
        </w:rPr>
        <w:t>The</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Global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Financial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Centres</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Index</w:t>
      </w:r>
      <w:r w:rsidRPr="00A11C6E">
        <w:rPr>
          <w:rFonts w:ascii="Times New Roman" w:hAnsi="Times New Roman" w:cs="Times New Roman"/>
          <w:color w:val="000000" w:themeColor="text1"/>
          <w:sz w:val="24"/>
          <w:szCs w:val="24"/>
          <w:lang w:val="ru-RU"/>
        </w:rPr>
        <w:t xml:space="preserve"> – №1–32 [Электронный ресурс]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https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www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longfinance</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net</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programmes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financial</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centre</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futures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global</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financial</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centres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index</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gfci</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publications</w:t>
      </w:r>
      <w:r w:rsidRPr="00A11C6E">
        <w:rPr>
          <w:rFonts w:ascii="Times New Roman" w:hAnsi="Times New Roman" w:cs="Times New Roman"/>
          <w:color w:val="000000" w:themeColor="text1"/>
          <w:sz w:val="24"/>
          <w:szCs w:val="24"/>
          <w:lang w:val="ru-RU"/>
        </w:rPr>
        <w:t xml:space="preserve"> (дата обращения: 01.03.2023).</w:t>
      </w:r>
      <w:bookmarkEnd w:id="155"/>
    </w:p>
    <w:p w14:paraId="4BECD191" w14:textId="200A338D" w:rsidR="006E6AD3" w:rsidRPr="00EC6C1D" w:rsidRDefault="006E6AD3"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56" w:name="_Ref135682055"/>
      <w:r w:rsidRPr="00A11C6E">
        <w:rPr>
          <w:rFonts w:ascii="Times New Roman" w:hAnsi="Times New Roman" w:cs="Times New Roman"/>
          <w:color w:val="000000"/>
          <w:sz w:val="24"/>
          <w:szCs w:val="24"/>
        </w:rPr>
        <w:t xml:space="preserve">The Global Green Finance Index </w:t>
      </w:r>
      <w:r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sz w:val="24"/>
          <w:szCs w:val="24"/>
        </w:rPr>
        <w:t xml:space="preserve"> №1</w:t>
      </w:r>
      <w:r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sz w:val="24"/>
          <w:szCs w:val="24"/>
        </w:rPr>
        <w:t xml:space="preserve">11 </w:t>
      </w:r>
      <w:r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themeColor="text1"/>
          <w:sz w:val="24"/>
          <w:szCs w:val="24"/>
          <w:lang w:val="ru-RU"/>
        </w:rPr>
        <w:t>Электронный</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ресурс</w:t>
      </w:r>
      <w:r w:rsidRPr="00A11C6E">
        <w:rPr>
          <w:rFonts w:ascii="Times New Roman" w:hAnsi="Times New Roman" w:cs="Times New Roman"/>
          <w:color w:val="000000" w:themeColor="text1"/>
          <w:sz w:val="24"/>
          <w:szCs w:val="24"/>
        </w:rPr>
        <w:t xml:space="preserve">] – </w:t>
      </w:r>
      <w:r w:rsidRPr="00A11C6E">
        <w:rPr>
          <w:rFonts w:ascii="Times New Roman" w:hAnsi="Times New Roman" w:cs="Times New Roman"/>
          <w:color w:val="000000" w:themeColor="text1"/>
          <w:sz w:val="24"/>
          <w:szCs w:val="24"/>
          <w:lang w:val="ru-RU"/>
        </w:rPr>
        <w:t>Режим</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доступа</w:t>
      </w:r>
      <w:r w:rsidRPr="00A11C6E">
        <w:rPr>
          <w:rFonts w:ascii="Times New Roman" w:hAnsi="Times New Roman" w:cs="Times New Roman"/>
          <w:color w:val="000000" w:themeColor="text1"/>
          <w:sz w:val="24"/>
          <w:szCs w:val="24"/>
        </w:rPr>
        <w:t>: URL:</w:t>
      </w:r>
      <w:r w:rsidRPr="00A11C6E">
        <w:rPr>
          <w:rFonts w:ascii="Times New Roman" w:hAnsi="Times New Roman" w:cs="Times New Roman"/>
          <w:color w:val="000000"/>
          <w:sz w:val="24"/>
          <w:szCs w:val="24"/>
        </w:rPr>
        <w:t xml:space="preserve">https://www.longfinance.net/programmes/financial-centre-futures/global-green-finance-index/ggfi-publications. </w:t>
      </w:r>
      <w:r w:rsidRPr="00A11C6E">
        <w:rPr>
          <w:rFonts w:ascii="Times New Roman" w:hAnsi="Times New Roman" w:cs="Times New Roman"/>
          <w:color w:val="000000" w:themeColor="text1"/>
          <w:sz w:val="24"/>
          <w:szCs w:val="24"/>
          <w:lang w:val="ru-RU"/>
        </w:rPr>
        <w:t>(дата обращения: 22.05.2023).</w:t>
      </w:r>
      <w:bookmarkEnd w:id="156"/>
    </w:p>
    <w:p w14:paraId="30224E17" w14:textId="15146CAD" w:rsidR="009707F0" w:rsidRPr="00A11C6E" w:rsidRDefault="009707F0"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57" w:name="_Ref136260553"/>
      <w:r w:rsidRPr="00A11C6E">
        <w:rPr>
          <w:rFonts w:ascii="Times New Roman" w:hAnsi="Times New Roman" w:cs="Times New Roman"/>
          <w:color w:val="000000" w:themeColor="text1"/>
          <w:sz w:val="24"/>
          <w:szCs w:val="24"/>
          <w:lang w:eastAsia="zh-CN"/>
        </w:rPr>
        <w:t>The role of financial centres in driving economic growth [</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 World Alliance of International Financial Centers. –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 URL:</w:t>
      </w:r>
      <w:r w:rsidR="004A0184">
        <w:rPr>
          <w:rFonts w:ascii="Times New Roman" w:hAnsi="Times New Roman" w:cs="Times New Roman"/>
          <w:color w:val="000000" w:themeColor="text1"/>
          <w:sz w:val="24"/>
          <w:szCs w:val="24"/>
          <w:lang w:eastAsia="zh-CN"/>
        </w:rPr>
        <w:t> </w:t>
      </w:r>
      <w:r w:rsidRPr="00A11C6E">
        <w:rPr>
          <w:rFonts w:ascii="Times New Roman" w:hAnsi="Times New Roman" w:cs="Times New Roman"/>
          <w:color w:val="000000" w:themeColor="text1"/>
          <w:sz w:val="24"/>
          <w:szCs w:val="24"/>
          <w:lang w:eastAsia="zh-CN"/>
        </w:rPr>
        <w:t xml:space="preserve">https://waifc.finance/assets/files/waifc-role-of-financial-centres.ac23eaa8ead8569a3ae1b6034f918987.pdf </w:t>
      </w:r>
      <w:r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eastAsia="zh-CN"/>
        </w:rPr>
        <w:t>04.04.2023</w:t>
      </w:r>
      <w:r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themeColor="text1"/>
          <w:sz w:val="24"/>
          <w:szCs w:val="24"/>
          <w:lang w:eastAsia="zh-CN"/>
        </w:rPr>
        <w:t>.</w:t>
      </w:r>
      <w:bookmarkEnd w:id="157"/>
      <w:r w:rsidRPr="00A11C6E">
        <w:rPr>
          <w:rFonts w:ascii="Times New Roman" w:hAnsi="Times New Roman" w:cs="Times New Roman"/>
          <w:color w:val="000000" w:themeColor="text1"/>
          <w:sz w:val="24"/>
          <w:szCs w:val="24"/>
          <w:lang w:eastAsia="zh-CN"/>
        </w:rPr>
        <w:t xml:space="preserve">  </w:t>
      </w:r>
    </w:p>
    <w:p w14:paraId="0FF11EE1" w14:textId="498972F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shd w:val="clear" w:color="auto" w:fill="FFFFFF"/>
        </w:rPr>
        <w:t xml:space="preserve">Vo, D. H. Determinants of a global financial center: an exploratory analysis / D. H. Vo, N. T. Nguyen // Borsa Istanbul Review. – Volume 21, Issue 2, June 2021. – Pp. 186-196.  </w:t>
      </w:r>
    </w:p>
    <w:p w14:paraId="303A4CB8" w14:textId="7B7058A5"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58" w:name="_Ref131436630"/>
      <w:r w:rsidRPr="00A11C6E">
        <w:rPr>
          <w:rFonts w:ascii="Times New Roman" w:hAnsi="Times New Roman" w:cs="Times New Roman"/>
          <w:color w:val="000000" w:themeColor="text1"/>
          <w:sz w:val="24"/>
          <w:szCs w:val="24"/>
          <w:lang w:eastAsia="zh-CN"/>
        </w:rPr>
        <w:t>Wang, J. China (Shanghai) Pilot Free Trade Zone: A New Era of Opening up and Reform in China [</w:t>
      </w:r>
      <w:r w:rsidRPr="00A11C6E">
        <w:rPr>
          <w:rFonts w:ascii="Times New Roman" w:hAnsi="Times New Roman" w:cs="Times New Roman"/>
          <w:color w:val="000000" w:themeColor="text1"/>
          <w:sz w:val="24"/>
          <w:szCs w:val="24"/>
          <w:lang w:val="ru-RU" w:eastAsia="zh-CN"/>
        </w:rPr>
        <w:t>Электронный</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ресурс</w:t>
      </w:r>
      <w:r w:rsidRPr="00A11C6E">
        <w:rPr>
          <w:rFonts w:ascii="Times New Roman" w:hAnsi="Times New Roman" w:cs="Times New Roman"/>
          <w:color w:val="000000" w:themeColor="text1"/>
          <w:sz w:val="24"/>
          <w:szCs w:val="24"/>
          <w:lang w:eastAsia="zh-CN"/>
        </w:rPr>
        <w:t xml:space="preserve">] / J. Wang, B. Yuan, PwC. – </w:t>
      </w:r>
      <w:r w:rsidRPr="00A11C6E">
        <w:rPr>
          <w:rFonts w:ascii="Times New Roman" w:hAnsi="Times New Roman" w:cs="Times New Roman"/>
          <w:color w:val="000000" w:themeColor="text1"/>
          <w:sz w:val="24"/>
          <w:szCs w:val="24"/>
          <w:lang w:val="ru-RU" w:eastAsia="zh-CN"/>
        </w:rPr>
        <w:t>Режим</w:t>
      </w:r>
      <w:r w:rsidRPr="00A11C6E">
        <w:rPr>
          <w:rFonts w:ascii="Times New Roman" w:hAnsi="Times New Roman" w:cs="Times New Roman"/>
          <w:color w:val="000000" w:themeColor="text1"/>
          <w:sz w:val="24"/>
          <w:szCs w:val="24"/>
          <w:lang w:eastAsia="zh-CN"/>
        </w:rPr>
        <w:t xml:space="preserve"> </w:t>
      </w:r>
      <w:r w:rsidRPr="00A11C6E">
        <w:rPr>
          <w:rFonts w:ascii="Times New Roman" w:hAnsi="Times New Roman" w:cs="Times New Roman"/>
          <w:color w:val="000000" w:themeColor="text1"/>
          <w:sz w:val="24"/>
          <w:szCs w:val="24"/>
          <w:lang w:val="ru-RU" w:eastAsia="zh-CN"/>
        </w:rPr>
        <w:t>доступа</w:t>
      </w:r>
      <w:r w:rsidRPr="00A11C6E">
        <w:rPr>
          <w:rFonts w:ascii="Times New Roman" w:hAnsi="Times New Roman" w:cs="Times New Roman"/>
          <w:color w:val="000000" w:themeColor="text1"/>
          <w:sz w:val="24"/>
          <w:szCs w:val="24"/>
          <w:lang w:eastAsia="zh-CN"/>
        </w:rPr>
        <w:t>:</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shd w:val="clear" w:color="auto" w:fill="FFFFFF"/>
          <w:lang w:eastAsia="zh-CN"/>
        </w:rPr>
        <w:t>URL:</w:t>
      </w:r>
      <w:r w:rsidR="004A0184">
        <w:rPr>
          <w:rFonts w:ascii="Times New Roman" w:hAnsi="Times New Roman" w:cs="Times New Roman"/>
          <w:color w:val="000000" w:themeColor="text1"/>
          <w:sz w:val="24"/>
          <w:szCs w:val="24"/>
          <w:shd w:val="clear" w:color="auto" w:fill="FFFFFF"/>
          <w:lang w:eastAsia="zh-CN"/>
        </w:rPr>
        <w:t> </w:t>
      </w:r>
      <w:r w:rsidRPr="00A11C6E">
        <w:rPr>
          <w:rFonts w:ascii="Times New Roman" w:hAnsi="Times New Roman" w:cs="Times New Roman"/>
          <w:color w:val="000000" w:themeColor="text1"/>
          <w:sz w:val="24"/>
          <w:szCs w:val="24"/>
          <w:lang w:eastAsia="zh-CN"/>
        </w:rPr>
        <w:t xml:space="preserve">http://www.iberchina.org/files/shanghai_free_trade_zone_pwc.pdf </w:t>
      </w:r>
      <w:r w:rsidRPr="00A11C6E">
        <w:rPr>
          <w:rFonts w:ascii="Times New Roman" w:hAnsi="Times New Roman" w:cs="Times New Roman"/>
          <w:color w:val="000000" w:themeColor="text1"/>
          <w:sz w:val="24"/>
          <w:szCs w:val="24"/>
        </w:rPr>
        <w:t>(</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eastAsia="zh-CN"/>
        </w:rPr>
        <w:t>01.03.2023).</w:t>
      </w:r>
      <w:bookmarkEnd w:id="158"/>
      <w:r w:rsidRPr="00A11C6E">
        <w:rPr>
          <w:rFonts w:ascii="Times New Roman" w:hAnsi="Times New Roman" w:cs="Times New Roman"/>
          <w:color w:val="000000" w:themeColor="text1"/>
          <w:sz w:val="24"/>
          <w:szCs w:val="24"/>
        </w:rPr>
        <w:t xml:space="preserve"> </w:t>
      </w:r>
    </w:p>
    <w:p w14:paraId="479E0469" w14:textId="794875C5"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A11C6E">
        <w:rPr>
          <w:rFonts w:ascii="Times New Roman" w:hAnsi="Times New Roman" w:cs="Times New Roman"/>
          <w:color w:val="000000" w:themeColor="text1"/>
          <w:sz w:val="24"/>
          <w:szCs w:val="24"/>
        </w:rPr>
        <w:t>Wojcik., D. The Dark Side of NY-LON: Financial Centres and the Global Financial Crisis [</w:t>
      </w:r>
      <w:r w:rsidRPr="00A11C6E">
        <w:rPr>
          <w:rFonts w:ascii="Times New Roman" w:hAnsi="Times New Roman" w:cs="Times New Roman"/>
          <w:color w:val="000000" w:themeColor="text1"/>
          <w:sz w:val="24"/>
          <w:szCs w:val="24"/>
          <w:lang w:val="ru-RU"/>
        </w:rPr>
        <w:t>Электронный</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ресурс</w:t>
      </w:r>
      <w:r w:rsidRPr="00A11C6E">
        <w:rPr>
          <w:rFonts w:ascii="Times New Roman" w:hAnsi="Times New Roman" w:cs="Times New Roman"/>
          <w:color w:val="000000" w:themeColor="text1"/>
          <w:sz w:val="24"/>
          <w:szCs w:val="24"/>
        </w:rPr>
        <w:t xml:space="preserve">] / D. Wojcik // SAGE journals. – Volume 50, Issue 13, 05.02.2013. – </w:t>
      </w:r>
      <w:r w:rsidRPr="00A11C6E">
        <w:rPr>
          <w:rFonts w:ascii="Times New Roman" w:hAnsi="Times New Roman" w:cs="Times New Roman"/>
          <w:color w:val="000000" w:themeColor="text1"/>
          <w:sz w:val="24"/>
          <w:szCs w:val="24"/>
          <w:lang w:val="ru-RU"/>
        </w:rPr>
        <w:t>Режим</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доступа</w:t>
      </w:r>
      <w:r w:rsidRPr="00A11C6E">
        <w:rPr>
          <w:rFonts w:ascii="Times New Roman" w:hAnsi="Times New Roman" w:cs="Times New Roman"/>
          <w:color w:val="000000" w:themeColor="text1"/>
          <w:sz w:val="24"/>
          <w:szCs w:val="24"/>
        </w:rPr>
        <w:t xml:space="preserve">: URL: </w:t>
      </w:r>
      <w:hyperlink r:id="rId80" w:tooltip="https://journals.sagepub.com/doi/10.1177/0042098012474513" w:history="1">
        <w:r w:rsidRPr="00A11C6E">
          <w:rPr>
            <w:rStyle w:val="a9"/>
            <w:rFonts w:ascii="Times New Roman" w:hAnsi="Times New Roman" w:cs="Times New Roman"/>
            <w:color w:val="000000" w:themeColor="text1"/>
            <w:sz w:val="24"/>
            <w:szCs w:val="24"/>
            <w:u w:val="none"/>
          </w:rPr>
          <w:t>https://journals.sagepub.com/doi/10.1177/0042098012474513</w:t>
        </w:r>
      </w:hyperlink>
      <w:r w:rsidRPr="00A11C6E">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дата</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val="ru-RU"/>
        </w:rPr>
        <w:t>обращения</w:t>
      </w:r>
      <w:r w:rsidRPr="00A11C6E">
        <w:rPr>
          <w:rFonts w:ascii="Times New Roman" w:hAnsi="Times New Roman" w:cs="Times New Roman"/>
          <w:color w:val="000000" w:themeColor="text1"/>
          <w:sz w:val="24"/>
          <w:szCs w:val="24"/>
        </w:rPr>
        <w:t xml:space="preserve">: </w:t>
      </w:r>
      <w:r w:rsidRPr="00A11C6E">
        <w:rPr>
          <w:rFonts w:ascii="Times New Roman" w:hAnsi="Times New Roman" w:cs="Times New Roman"/>
          <w:color w:val="000000" w:themeColor="text1"/>
          <w:sz w:val="24"/>
          <w:szCs w:val="24"/>
          <w:lang w:eastAsia="zh-CN"/>
        </w:rPr>
        <w:t>02.03.2023).</w:t>
      </w:r>
      <w:r w:rsidRPr="00A11C6E">
        <w:rPr>
          <w:rFonts w:ascii="Times New Roman" w:hAnsi="Times New Roman" w:cs="Times New Roman"/>
          <w:color w:val="000000" w:themeColor="text1"/>
          <w:sz w:val="24"/>
          <w:szCs w:val="24"/>
        </w:rPr>
        <w:t xml:space="preserve"> </w:t>
      </w:r>
    </w:p>
    <w:p w14:paraId="141C1A9F" w14:textId="4D760159"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themeColor="text1"/>
          <w:sz w:val="24"/>
          <w:szCs w:val="24"/>
        </w:rPr>
      </w:pPr>
      <w:bookmarkStart w:id="159" w:name="_Hlk136106686"/>
      <w:r w:rsidRPr="00A11C6E">
        <w:rPr>
          <w:rFonts w:ascii="Times New Roman" w:hAnsi="Times New Roman" w:cs="Times New Roman"/>
          <w:color w:val="000000" w:themeColor="text1"/>
          <w:sz w:val="24"/>
          <w:szCs w:val="24"/>
          <w:shd w:val="clear" w:color="auto" w:fill="FFFFFF"/>
        </w:rPr>
        <w:t>Woo, J.J. 3-in-1. Governing a Global Financial Centre / J.J. Woo. – World Scientific Publishing Co. Pte. Ltd. – 2017. – p. 128.</w:t>
      </w:r>
      <w:bookmarkStart w:id="160" w:name="_Ref498671535"/>
      <w:r w:rsidRPr="00A11C6E">
        <w:rPr>
          <w:rFonts w:ascii="Times New Roman" w:hAnsi="Times New Roman" w:cs="Times New Roman"/>
          <w:color w:val="000000" w:themeColor="text1"/>
          <w:sz w:val="24"/>
          <w:szCs w:val="24"/>
          <w:shd w:val="clear" w:color="auto" w:fill="FFFFFF"/>
        </w:rPr>
        <w:t xml:space="preserve"> </w:t>
      </w:r>
    </w:p>
    <w:bookmarkEnd w:id="159"/>
    <w:p w14:paraId="2A2D6A04" w14:textId="3479DBAC" w:rsidR="00342E3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4E7E3E">
        <w:rPr>
          <w:rFonts w:ascii="Times New Roman" w:hAnsi="Times New Roman" w:cs="Times New Roman"/>
          <w:color w:val="000000"/>
          <w:sz w:val="24"/>
          <w:szCs w:val="24"/>
          <w:shd w:val="clear" w:color="auto" w:fill="FFFFFF"/>
        </w:rPr>
        <w:t xml:space="preserve">Worldwide Centres of Commerce Index: Knowledge Leadership.  MasterCard Worldwide, 2007–2008 </w:t>
      </w:r>
      <w:r w:rsidRPr="004E7E3E">
        <w:rPr>
          <w:rFonts w:ascii="Times New Roman" w:hAnsi="Times New Roman" w:cs="Times New Roman"/>
          <w:color w:val="000000" w:themeColor="text1"/>
          <w:sz w:val="24"/>
          <w:szCs w:val="24"/>
          <w:lang w:eastAsia="zh-CN"/>
        </w:rPr>
        <w:t>[</w:t>
      </w:r>
      <w:r w:rsidRPr="004E7E3E">
        <w:rPr>
          <w:rFonts w:ascii="Times New Roman" w:hAnsi="Times New Roman" w:cs="Times New Roman"/>
          <w:color w:val="000000" w:themeColor="text1"/>
          <w:sz w:val="24"/>
          <w:szCs w:val="24"/>
          <w:lang w:val="ru-RU" w:eastAsia="zh-CN"/>
        </w:rPr>
        <w:t>Электронный</w:t>
      </w:r>
      <w:r w:rsidRPr="004E7E3E">
        <w:rPr>
          <w:rFonts w:ascii="Times New Roman" w:hAnsi="Times New Roman" w:cs="Times New Roman"/>
          <w:color w:val="000000" w:themeColor="text1"/>
          <w:sz w:val="24"/>
          <w:szCs w:val="24"/>
          <w:lang w:eastAsia="zh-CN"/>
        </w:rPr>
        <w:t xml:space="preserve"> </w:t>
      </w:r>
      <w:r w:rsidRPr="004E7E3E">
        <w:rPr>
          <w:rFonts w:ascii="Times New Roman" w:hAnsi="Times New Roman" w:cs="Times New Roman"/>
          <w:color w:val="000000" w:themeColor="text1"/>
          <w:sz w:val="24"/>
          <w:szCs w:val="24"/>
          <w:lang w:val="ru-RU" w:eastAsia="zh-CN"/>
        </w:rPr>
        <w:t>ресурс</w:t>
      </w:r>
      <w:r w:rsidRPr="004E7E3E">
        <w:rPr>
          <w:rFonts w:ascii="Times New Roman" w:hAnsi="Times New Roman" w:cs="Times New Roman"/>
          <w:color w:val="000000" w:themeColor="text1"/>
          <w:sz w:val="24"/>
          <w:szCs w:val="24"/>
          <w:lang w:eastAsia="zh-CN"/>
        </w:rPr>
        <w:t xml:space="preserve">] / Mastercard Worldwide. </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eastAsia="zh-CN"/>
        </w:rPr>
        <w:t>Режим</w:t>
      </w:r>
      <w:r w:rsidRPr="004E7E3E">
        <w:rPr>
          <w:rFonts w:ascii="Times New Roman" w:hAnsi="Times New Roman" w:cs="Times New Roman"/>
          <w:color w:val="000000" w:themeColor="text1"/>
          <w:sz w:val="24"/>
          <w:szCs w:val="24"/>
          <w:lang w:eastAsia="zh-CN"/>
        </w:rPr>
        <w:t xml:space="preserve"> </w:t>
      </w:r>
      <w:r w:rsidRPr="004E7E3E">
        <w:rPr>
          <w:rFonts w:ascii="Times New Roman" w:hAnsi="Times New Roman" w:cs="Times New Roman"/>
          <w:color w:val="000000" w:themeColor="text1"/>
          <w:sz w:val="24"/>
          <w:szCs w:val="24"/>
          <w:lang w:val="ru-RU" w:eastAsia="zh-CN"/>
        </w:rPr>
        <w:t>доступа</w:t>
      </w:r>
      <w:r w:rsidRPr="004E7E3E">
        <w:rPr>
          <w:rFonts w:ascii="Times New Roman" w:hAnsi="Times New Roman" w:cs="Times New Roman"/>
          <w:color w:val="000000" w:themeColor="text1"/>
          <w:sz w:val="24"/>
          <w:szCs w:val="24"/>
          <w:lang w:eastAsia="zh-CN"/>
        </w:rPr>
        <w:t>: URL:</w:t>
      </w:r>
      <w:r w:rsidR="004A0184">
        <w:rPr>
          <w:rFonts w:ascii="Times New Roman" w:hAnsi="Times New Roman" w:cs="Times New Roman"/>
          <w:color w:val="000000" w:themeColor="text1"/>
          <w:sz w:val="24"/>
          <w:szCs w:val="24"/>
          <w:lang w:eastAsia="zh-CN"/>
        </w:rPr>
        <w:t> </w:t>
      </w:r>
      <w:hyperlink r:id="rId81" w:tooltip="http://www.allianceau.com/pics/advant/2007_MCW.pdf-Report_2008.pdf" w:history="1">
        <w:r w:rsidRPr="004E7E3E">
          <w:rPr>
            <w:rStyle w:val="a9"/>
            <w:rFonts w:ascii="Times New Roman" w:hAnsi="Times New Roman" w:cs="Times New Roman"/>
            <w:color w:val="000000" w:themeColor="text1"/>
            <w:sz w:val="24"/>
            <w:szCs w:val="24"/>
            <w:u w:val="none"/>
            <w:shd w:val="clear" w:color="auto" w:fill="FFFFFF"/>
          </w:rPr>
          <w:t>http://www.allianceau.com/pics/advant/2007_MCW.pdf-Report_2008.pdf</w:t>
        </w:r>
      </w:hyperlink>
      <w:r w:rsidRPr="004E7E3E">
        <w:rPr>
          <w:rFonts w:ascii="Times New Roman" w:hAnsi="Times New Roman" w:cs="Times New Roman"/>
          <w:color w:val="000000"/>
          <w:sz w:val="24"/>
          <w:szCs w:val="24"/>
          <w:shd w:val="clear" w:color="auto" w:fill="FFFFFF"/>
        </w:rPr>
        <w:t xml:space="preserve">; http://www.allianceau.com/pics/advant/2008_MCW.pdf </w:t>
      </w:r>
      <w:r w:rsidRPr="004E7E3E">
        <w:rPr>
          <w:rFonts w:ascii="Times New Roman" w:hAnsi="Times New Roman" w:cs="Times New Roman"/>
          <w:color w:val="000000" w:themeColor="text1"/>
          <w:sz w:val="24"/>
          <w:szCs w:val="24"/>
        </w:rPr>
        <w:t>(</w:t>
      </w:r>
      <w:r w:rsidRPr="004E7E3E">
        <w:rPr>
          <w:rFonts w:ascii="Times New Roman" w:hAnsi="Times New Roman" w:cs="Times New Roman"/>
          <w:color w:val="000000" w:themeColor="text1"/>
          <w:sz w:val="24"/>
          <w:szCs w:val="24"/>
          <w:lang w:val="ru-RU"/>
        </w:rPr>
        <w:t>дата</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обращения</w:t>
      </w:r>
      <w:r w:rsidRPr="004E7E3E">
        <w:rPr>
          <w:rFonts w:ascii="Times New Roman" w:hAnsi="Times New Roman" w:cs="Times New Roman"/>
          <w:color w:val="000000" w:themeColor="text1"/>
          <w:sz w:val="24"/>
          <w:szCs w:val="24"/>
        </w:rPr>
        <w:t>: 01.03.2023).</w:t>
      </w:r>
      <w:bookmarkStart w:id="161" w:name="_Ref498670451"/>
      <w:bookmarkStart w:id="162" w:name="_Ref446790304"/>
      <w:bookmarkEnd w:id="160"/>
    </w:p>
    <w:p w14:paraId="534B4376" w14:textId="05CA21DB"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63" w:name="_Ref136263101"/>
      <w:r w:rsidRPr="004E7E3E">
        <w:rPr>
          <w:rFonts w:ascii="Times New Roman" w:hAnsi="Times New Roman" w:cs="Times New Roman"/>
          <w:color w:val="000000" w:themeColor="text1"/>
          <w:sz w:val="24"/>
          <w:szCs w:val="24"/>
        </w:rPr>
        <w:t xml:space="preserve">Xinhua–Dow Jones International Financial Centre Development Index. 2010, 2011, 2013, 2014 </w:t>
      </w:r>
      <w:r w:rsidRPr="004E7E3E">
        <w:rPr>
          <w:rFonts w:ascii="Times New Roman" w:hAnsi="Times New Roman" w:cs="Times New Roman"/>
          <w:color w:val="000000" w:themeColor="text1"/>
          <w:sz w:val="24"/>
          <w:szCs w:val="24"/>
          <w:lang w:eastAsia="zh-CN"/>
        </w:rPr>
        <w:t>[</w:t>
      </w:r>
      <w:r w:rsidRPr="004E7E3E">
        <w:rPr>
          <w:rFonts w:ascii="Times New Roman" w:hAnsi="Times New Roman" w:cs="Times New Roman"/>
          <w:color w:val="000000" w:themeColor="text1"/>
          <w:sz w:val="24"/>
          <w:szCs w:val="24"/>
          <w:lang w:val="ru-RU" w:eastAsia="zh-CN"/>
        </w:rPr>
        <w:t>Электронный</w:t>
      </w:r>
      <w:r w:rsidRPr="004E7E3E">
        <w:rPr>
          <w:rFonts w:ascii="Times New Roman" w:hAnsi="Times New Roman" w:cs="Times New Roman"/>
          <w:color w:val="000000" w:themeColor="text1"/>
          <w:sz w:val="24"/>
          <w:szCs w:val="24"/>
          <w:lang w:eastAsia="zh-CN"/>
        </w:rPr>
        <w:t xml:space="preserve"> </w:t>
      </w:r>
      <w:r w:rsidRPr="004E7E3E">
        <w:rPr>
          <w:rFonts w:ascii="Times New Roman" w:hAnsi="Times New Roman" w:cs="Times New Roman"/>
          <w:color w:val="000000" w:themeColor="text1"/>
          <w:sz w:val="24"/>
          <w:szCs w:val="24"/>
          <w:lang w:val="ru-RU" w:eastAsia="zh-CN"/>
        </w:rPr>
        <w:t>ресурс</w:t>
      </w:r>
      <w:r w:rsidRPr="004E7E3E">
        <w:rPr>
          <w:rFonts w:ascii="Times New Roman" w:hAnsi="Times New Roman" w:cs="Times New Roman"/>
          <w:color w:val="000000" w:themeColor="text1"/>
          <w:sz w:val="24"/>
          <w:szCs w:val="24"/>
          <w:lang w:eastAsia="zh-CN"/>
        </w:rPr>
        <w:t xml:space="preserve">] </w:t>
      </w:r>
      <w:r w:rsidRPr="004E7E3E">
        <w:rPr>
          <w:rFonts w:ascii="Times New Roman" w:hAnsi="Times New Roman" w:cs="Times New Roman"/>
          <w:color w:val="000000" w:themeColor="text1"/>
          <w:sz w:val="24"/>
          <w:szCs w:val="24"/>
        </w:rPr>
        <w:t>/</w:t>
      </w:r>
      <w:r w:rsidRPr="004E7E3E">
        <w:rPr>
          <w:rFonts w:ascii="Times New Roman" w:hAnsi="Times New Roman" w:cs="Times New Roman"/>
          <w:color w:val="1A1A1A"/>
          <w:sz w:val="24"/>
          <w:szCs w:val="24"/>
        </w:rPr>
        <w:t xml:space="preserve"> </w:t>
      </w:r>
      <w:r w:rsidRPr="004E7E3E">
        <w:rPr>
          <w:rFonts w:ascii="Times New Roman" w:eastAsia="Times New Roman" w:hAnsi="Times New Roman" w:cs="Times New Roman"/>
          <w:color w:val="1A1A1A"/>
          <w:sz w:val="24"/>
          <w:szCs w:val="24"/>
          <w:lang w:eastAsia="ru-RU" w:bidi="ar-SA"/>
        </w:rPr>
        <w:t xml:space="preserve">National Financial Information Center Index Research InstituteStandard &amp; Poor’s Dow Jones Index Co. </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Режим</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доступа</w:t>
      </w:r>
      <w:r w:rsidRPr="004E7E3E">
        <w:rPr>
          <w:rFonts w:ascii="Times New Roman" w:hAnsi="Times New Roman" w:cs="Times New Roman"/>
          <w:color w:val="000000" w:themeColor="text1"/>
          <w:sz w:val="24"/>
          <w:szCs w:val="24"/>
        </w:rPr>
        <w:t>:  URL:</w:t>
      </w:r>
      <w:r w:rsidR="004A0184">
        <w:rPr>
          <w:rFonts w:ascii="Times New Roman" w:hAnsi="Times New Roman" w:cs="Times New Roman"/>
          <w:color w:val="000000" w:themeColor="text1"/>
          <w:sz w:val="24"/>
          <w:szCs w:val="24"/>
        </w:rPr>
        <w:t> </w:t>
      </w:r>
      <w:hyperlink r:id="rId82" w:tooltip="http://www.sh.xinhuanet.com/zhuanti2010/IFCDI/IFCDI2001e.pdf" w:history="1">
        <w:r w:rsidRPr="004E7E3E">
          <w:rPr>
            <w:rStyle w:val="a9"/>
            <w:rFonts w:ascii="Times New Roman" w:hAnsi="Times New Roman" w:cs="Times New Roman"/>
            <w:color w:val="000000" w:themeColor="text1"/>
            <w:sz w:val="24"/>
            <w:szCs w:val="24"/>
            <w:u w:val="none"/>
          </w:rPr>
          <w:t>http://www.sh.xinhuanet.com/zhuanti2010/IFCDI/IFCDI2001e.pdf</w:t>
        </w:r>
      </w:hyperlink>
      <w:r w:rsidRPr="004E7E3E">
        <w:rPr>
          <w:rFonts w:ascii="Times New Roman" w:hAnsi="Times New Roman" w:cs="Times New Roman"/>
          <w:color w:val="000000" w:themeColor="text1"/>
          <w:sz w:val="24"/>
          <w:szCs w:val="24"/>
        </w:rPr>
        <w:t xml:space="preserve">; </w:t>
      </w:r>
      <w:hyperlink r:id="rId83" w:tooltip="http://www.sh.xinhuanet.com/zhuanti2011/ifcd2011/IFCD2011e.pdf" w:history="1">
        <w:r w:rsidRPr="004E7E3E">
          <w:rPr>
            <w:rStyle w:val="a9"/>
            <w:rFonts w:ascii="Times New Roman" w:hAnsi="Times New Roman" w:cs="Times New Roman"/>
            <w:color w:val="000000" w:themeColor="text1"/>
            <w:sz w:val="24"/>
            <w:szCs w:val="24"/>
            <w:u w:val="none"/>
          </w:rPr>
          <w:t>http://www.sh.xinhuanet.com/zhuanti2011/ifcd2011/IFCD2011e.pdf</w:t>
        </w:r>
      </w:hyperlink>
      <w:r w:rsidRPr="004E7E3E">
        <w:rPr>
          <w:rFonts w:ascii="Times New Roman" w:hAnsi="Times New Roman" w:cs="Times New Roman"/>
          <w:color w:val="000000" w:themeColor="text1"/>
          <w:sz w:val="24"/>
          <w:szCs w:val="24"/>
        </w:rPr>
        <w:t xml:space="preserve">; </w:t>
      </w:r>
      <w:hyperlink r:id="rId84" w:tooltip="http://www.sh.xinhuanet.com/shstatics/images2013/IFCD2013_En.pdf" w:history="1">
        <w:r w:rsidRPr="004E7E3E">
          <w:rPr>
            <w:rStyle w:val="a9"/>
            <w:rFonts w:ascii="Times New Roman" w:hAnsi="Times New Roman" w:cs="Times New Roman"/>
            <w:color w:val="000000" w:themeColor="text1"/>
            <w:sz w:val="24"/>
            <w:szCs w:val="24"/>
            <w:u w:val="none"/>
          </w:rPr>
          <w:t>http://www.sh.xinhuanet.com/shstatics/images2013/IFCD2013_En.pdf</w:t>
        </w:r>
      </w:hyperlink>
      <w:r w:rsidRPr="004E7E3E">
        <w:rPr>
          <w:rFonts w:ascii="Times New Roman" w:hAnsi="Times New Roman" w:cs="Times New Roman"/>
          <w:color w:val="000000" w:themeColor="text1"/>
          <w:sz w:val="24"/>
          <w:szCs w:val="24"/>
        </w:rPr>
        <w:t xml:space="preserve">; </w:t>
      </w:r>
      <w:hyperlink r:id="rId85" w:tooltip="http://www.sh.xinhuanet.com/shstatics/zhuanti2014/zsbg/en.pdf" w:history="1">
        <w:r w:rsidRPr="004E7E3E">
          <w:rPr>
            <w:rStyle w:val="a9"/>
            <w:rFonts w:ascii="Times New Roman" w:hAnsi="Times New Roman" w:cs="Times New Roman"/>
            <w:color w:val="000000" w:themeColor="text1"/>
            <w:sz w:val="24"/>
            <w:szCs w:val="24"/>
            <w:u w:val="none"/>
          </w:rPr>
          <w:t>http://www.sh.xinhuanet.com/shstatics/zhuanti2014/zsbg/en.pdf</w:t>
        </w:r>
      </w:hyperlink>
      <w:r w:rsidRPr="004E7E3E">
        <w:rPr>
          <w:rStyle w:val="a9"/>
          <w:rFonts w:ascii="Times New Roman" w:hAnsi="Times New Roman" w:cs="Times New Roman"/>
          <w:color w:val="000000" w:themeColor="text1"/>
          <w:sz w:val="24"/>
          <w:szCs w:val="24"/>
          <w:u w:val="none"/>
        </w:rPr>
        <w:t>.</w:t>
      </w:r>
      <w:r w:rsidRPr="004E7E3E">
        <w:rPr>
          <w:rFonts w:ascii="Times New Roman" w:hAnsi="Times New Roman" w:cs="Times New Roman"/>
          <w:color w:val="000000" w:themeColor="text1"/>
          <w:sz w:val="24"/>
          <w:szCs w:val="24"/>
        </w:rPr>
        <w:t xml:space="preserve"> </w:t>
      </w:r>
      <w:r w:rsidRPr="004A0184">
        <w:rPr>
          <w:rFonts w:ascii="Times New Roman" w:hAnsi="Times New Roman" w:cs="Times New Roman"/>
          <w:color w:val="000000" w:themeColor="text1"/>
          <w:sz w:val="24"/>
          <w:szCs w:val="24"/>
        </w:rPr>
        <w:t>(</w:t>
      </w:r>
      <w:r w:rsidRPr="004E7E3E">
        <w:rPr>
          <w:rFonts w:ascii="Times New Roman" w:hAnsi="Times New Roman" w:cs="Times New Roman"/>
          <w:color w:val="000000" w:themeColor="text1"/>
          <w:sz w:val="24"/>
          <w:szCs w:val="24"/>
          <w:lang w:val="ru-RU"/>
        </w:rPr>
        <w:t>дата</w:t>
      </w:r>
      <w:r w:rsidRPr="004A0184">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обращения</w:t>
      </w:r>
      <w:r w:rsidRPr="004A0184">
        <w:rPr>
          <w:rFonts w:ascii="Times New Roman" w:hAnsi="Times New Roman" w:cs="Times New Roman"/>
          <w:color w:val="000000" w:themeColor="text1"/>
          <w:sz w:val="24"/>
          <w:szCs w:val="24"/>
        </w:rPr>
        <w:t>: 01.03.2023)</w:t>
      </w:r>
      <w:bookmarkEnd w:id="161"/>
      <w:r w:rsidRPr="004A0184">
        <w:rPr>
          <w:rFonts w:ascii="Times New Roman" w:hAnsi="Times New Roman" w:cs="Times New Roman"/>
          <w:color w:val="000000" w:themeColor="text1"/>
          <w:sz w:val="24"/>
          <w:szCs w:val="24"/>
        </w:rPr>
        <w:t>.</w:t>
      </w:r>
      <w:bookmarkEnd w:id="163"/>
    </w:p>
    <w:p w14:paraId="0967DA8A" w14:textId="08D704AF"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64" w:name="_Ref136263116"/>
      <w:r w:rsidRPr="004E7E3E">
        <w:rPr>
          <w:rFonts w:ascii="Times New Roman" w:hAnsi="Times New Roman" w:cs="Times New Roman"/>
          <w:color w:val="000000" w:themeColor="text1"/>
          <w:sz w:val="24"/>
          <w:szCs w:val="24"/>
        </w:rPr>
        <w:t xml:space="preserve">Xinhua International Financial Centre Development Index 2010–2021 / Xinhua Indices. – </w:t>
      </w:r>
      <w:r w:rsidRPr="004E7E3E">
        <w:rPr>
          <w:rFonts w:ascii="Times New Roman" w:hAnsi="Times New Roman" w:cs="Times New Roman"/>
          <w:color w:val="000000" w:themeColor="text1"/>
          <w:sz w:val="24"/>
          <w:szCs w:val="24"/>
          <w:lang w:val="ru-RU"/>
        </w:rPr>
        <w:t>Режим</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доступа</w:t>
      </w:r>
      <w:r w:rsidRPr="004E7E3E">
        <w:rPr>
          <w:rFonts w:ascii="Times New Roman" w:hAnsi="Times New Roman" w:cs="Times New Roman"/>
          <w:color w:val="000000" w:themeColor="text1"/>
          <w:sz w:val="24"/>
          <w:szCs w:val="24"/>
        </w:rPr>
        <w:t>:  URL: https://indices.cnfin.com/5042/index.html (</w:t>
      </w:r>
      <w:r w:rsidRPr="004E7E3E">
        <w:rPr>
          <w:rFonts w:ascii="Times New Roman" w:hAnsi="Times New Roman" w:cs="Times New Roman"/>
          <w:color w:val="000000" w:themeColor="text1"/>
          <w:sz w:val="24"/>
          <w:szCs w:val="24"/>
          <w:lang w:val="ru-RU"/>
        </w:rPr>
        <w:t>дата</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обращения</w:t>
      </w:r>
      <w:r w:rsidRPr="004E7E3E">
        <w:rPr>
          <w:rFonts w:ascii="Times New Roman" w:hAnsi="Times New Roman" w:cs="Times New Roman"/>
          <w:color w:val="000000" w:themeColor="text1"/>
          <w:sz w:val="24"/>
          <w:szCs w:val="24"/>
        </w:rPr>
        <w:t>: 01.03.2023).</w:t>
      </w:r>
      <w:bookmarkEnd w:id="164"/>
    </w:p>
    <w:p w14:paraId="70379D59" w14:textId="61AF9346"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bookmarkStart w:id="165" w:name="_Ref136263125"/>
      <w:r w:rsidRPr="004E7E3E">
        <w:rPr>
          <w:rFonts w:ascii="Times New Roman" w:hAnsi="Times New Roman" w:cs="Times New Roman"/>
          <w:color w:val="000000" w:themeColor="text1"/>
          <w:sz w:val="24"/>
          <w:szCs w:val="24"/>
        </w:rPr>
        <w:t xml:space="preserve">Xinhua Quigdao 50 Index / Xinhua Indices. – </w:t>
      </w:r>
      <w:r w:rsidRPr="004E7E3E">
        <w:rPr>
          <w:rFonts w:ascii="Times New Roman" w:hAnsi="Times New Roman" w:cs="Times New Roman"/>
          <w:color w:val="000000" w:themeColor="text1"/>
          <w:sz w:val="24"/>
          <w:szCs w:val="24"/>
          <w:lang w:val="ru-RU"/>
        </w:rPr>
        <w:t>Режим</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доступа</w:t>
      </w:r>
      <w:r w:rsidRPr="004E7E3E">
        <w:rPr>
          <w:rFonts w:ascii="Times New Roman" w:hAnsi="Times New Roman" w:cs="Times New Roman"/>
          <w:color w:val="000000" w:themeColor="text1"/>
          <w:sz w:val="24"/>
          <w:szCs w:val="24"/>
        </w:rPr>
        <w:t>:  URL:</w:t>
      </w:r>
      <w:r w:rsidR="004A0184">
        <w:rPr>
          <w:rFonts w:ascii="Times New Roman" w:hAnsi="Times New Roman" w:cs="Times New Roman"/>
          <w:color w:val="000000" w:themeColor="text1"/>
          <w:sz w:val="24"/>
          <w:szCs w:val="24"/>
        </w:rPr>
        <w:t> </w:t>
      </w:r>
      <w:r w:rsidRPr="004E7E3E">
        <w:rPr>
          <w:rFonts w:ascii="Times New Roman" w:hAnsi="Times New Roman" w:cs="Times New Roman"/>
          <w:color w:val="000000" w:themeColor="text1"/>
          <w:sz w:val="24"/>
          <w:szCs w:val="24"/>
        </w:rPr>
        <w:t>https://indices.cnf</w:t>
      </w:r>
      <w:r w:rsidR="008D70E9" w:rsidRPr="004E7E3E">
        <w:rPr>
          <w:rFonts w:ascii="Times New Roman" w:hAnsi="Times New Roman" w:cs="Times New Roman"/>
          <w:color w:val="000000" w:themeColor="text1"/>
          <w:sz w:val="24"/>
          <w:szCs w:val="24"/>
        </w:rPr>
        <w:t>in.com/3318436/index.html?idx=1</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дата</w:t>
      </w:r>
      <w:r w:rsidRPr="004E7E3E">
        <w:rPr>
          <w:rFonts w:ascii="Times New Roman" w:hAnsi="Times New Roman" w:cs="Times New Roman"/>
          <w:color w:val="000000" w:themeColor="text1"/>
          <w:sz w:val="24"/>
          <w:szCs w:val="24"/>
        </w:rPr>
        <w:t xml:space="preserve"> </w:t>
      </w:r>
      <w:r w:rsidRPr="004E7E3E">
        <w:rPr>
          <w:rFonts w:ascii="Times New Roman" w:hAnsi="Times New Roman" w:cs="Times New Roman"/>
          <w:color w:val="000000" w:themeColor="text1"/>
          <w:sz w:val="24"/>
          <w:szCs w:val="24"/>
          <w:lang w:val="ru-RU"/>
        </w:rPr>
        <w:t>обращения</w:t>
      </w:r>
      <w:r w:rsidRPr="004E7E3E">
        <w:rPr>
          <w:rFonts w:ascii="Times New Roman" w:hAnsi="Times New Roman" w:cs="Times New Roman"/>
          <w:color w:val="000000" w:themeColor="text1"/>
          <w:sz w:val="24"/>
          <w:szCs w:val="24"/>
        </w:rPr>
        <w:t>: 01.03.2023).</w:t>
      </w:r>
      <w:bookmarkEnd w:id="165"/>
    </w:p>
    <w:p w14:paraId="7947C4DD" w14:textId="7F962171" w:rsidR="00F87DCB" w:rsidRPr="004E7E3E" w:rsidRDefault="00F87DCB"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rPr>
      </w:pPr>
      <w:r w:rsidRPr="004E7E3E">
        <w:rPr>
          <w:rFonts w:ascii="Times New Roman" w:hAnsi="Times New Roman" w:cs="Times New Roman"/>
          <w:color w:val="000000" w:themeColor="text1"/>
          <w:sz w:val="24"/>
          <w:szCs w:val="24"/>
        </w:rPr>
        <w:t xml:space="preserve">Xiao, Zh. Study on the Strategy of Building Shanghai into an International Financial Centre // Open Journal of Social Sciences. – 2015, №3. – </w:t>
      </w:r>
      <w:r w:rsidR="00861A7F" w:rsidRPr="004E7E3E">
        <w:rPr>
          <w:rFonts w:ascii="Times New Roman" w:hAnsi="Times New Roman" w:cs="Times New Roman"/>
          <w:color w:val="000000" w:themeColor="text1"/>
          <w:sz w:val="24"/>
          <w:szCs w:val="24"/>
        </w:rPr>
        <w:t xml:space="preserve">C. </w:t>
      </w:r>
      <w:r w:rsidRPr="004E7E3E">
        <w:rPr>
          <w:rFonts w:ascii="Times New Roman" w:hAnsi="Times New Roman" w:cs="Times New Roman"/>
          <w:color w:val="000000" w:themeColor="text1"/>
          <w:sz w:val="24"/>
          <w:szCs w:val="24"/>
        </w:rPr>
        <w:t>202–207.</w:t>
      </w:r>
    </w:p>
    <w:p w14:paraId="209C4889" w14:textId="6646A384" w:rsidR="00AE4368" w:rsidRPr="004A0184"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66" w:name="_Ref135593655"/>
      <w:r w:rsidRPr="004E7E3E">
        <w:rPr>
          <w:rFonts w:ascii="Times New Roman" w:hAnsi="Times New Roman" w:cs="Times New Roman"/>
          <w:color w:val="000000" w:themeColor="text1"/>
          <w:sz w:val="24"/>
          <w:szCs w:val="24"/>
        </w:rPr>
        <w:t>Yeandle, M. Maritime Financial Centres /M. Yeandle. – Z. /Yen Group Limited. Financial</w:t>
      </w:r>
      <w:r w:rsidRPr="004A0184">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Centre</w:t>
      </w:r>
      <w:r w:rsidRPr="004A0184">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Furtures</w:t>
      </w:r>
      <w:r w:rsidRPr="004A0184">
        <w:rPr>
          <w:rFonts w:ascii="Times New Roman" w:hAnsi="Times New Roman" w:cs="Times New Roman"/>
          <w:color w:val="000000" w:themeColor="text1"/>
          <w:sz w:val="24"/>
          <w:szCs w:val="24"/>
          <w:lang w:val="ru-RU"/>
        </w:rPr>
        <w:t xml:space="preserve">. – </w:t>
      </w:r>
      <w:r w:rsidRPr="004E7E3E">
        <w:rPr>
          <w:rFonts w:ascii="Times New Roman" w:hAnsi="Times New Roman" w:cs="Times New Roman"/>
          <w:color w:val="000000" w:themeColor="text1"/>
          <w:sz w:val="24"/>
          <w:szCs w:val="24"/>
        </w:rPr>
        <w:t>November</w:t>
      </w:r>
      <w:r w:rsidRPr="004A0184">
        <w:rPr>
          <w:rFonts w:ascii="Times New Roman" w:hAnsi="Times New Roman" w:cs="Times New Roman"/>
          <w:color w:val="000000" w:themeColor="text1"/>
          <w:sz w:val="24"/>
          <w:szCs w:val="24"/>
          <w:lang w:val="ru-RU"/>
        </w:rPr>
        <w:t xml:space="preserve">, 2014 </w:t>
      </w:r>
      <w:r w:rsidRPr="004A0184">
        <w:rPr>
          <w:rFonts w:ascii="Times New Roman" w:hAnsi="Times New Roman" w:cs="Times New Roman"/>
          <w:color w:val="000000" w:themeColor="text1"/>
          <w:sz w:val="24"/>
          <w:szCs w:val="24"/>
          <w:lang w:val="ru-RU" w:eastAsia="zh-CN"/>
        </w:rPr>
        <w:t>[</w:t>
      </w:r>
      <w:r w:rsidRPr="004E7E3E">
        <w:rPr>
          <w:rFonts w:ascii="Times New Roman" w:hAnsi="Times New Roman" w:cs="Times New Roman"/>
          <w:color w:val="000000" w:themeColor="text1"/>
          <w:sz w:val="24"/>
          <w:szCs w:val="24"/>
          <w:lang w:val="ru-RU" w:eastAsia="zh-CN"/>
        </w:rPr>
        <w:t>Электронный</w:t>
      </w:r>
      <w:r w:rsidRPr="004A0184">
        <w:rPr>
          <w:rFonts w:ascii="Times New Roman" w:hAnsi="Times New Roman" w:cs="Times New Roman"/>
          <w:color w:val="000000" w:themeColor="text1"/>
          <w:sz w:val="24"/>
          <w:szCs w:val="24"/>
          <w:lang w:val="ru-RU" w:eastAsia="zh-CN"/>
        </w:rPr>
        <w:t xml:space="preserve"> </w:t>
      </w:r>
      <w:r w:rsidRPr="004E7E3E">
        <w:rPr>
          <w:rFonts w:ascii="Times New Roman" w:hAnsi="Times New Roman" w:cs="Times New Roman"/>
          <w:color w:val="000000" w:themeColor="text1"/>
          <w:sz w:val="24"/>
          <w:szCs w:val="24"/>
          <w:lang w:val="ru-RU" w:eastAsia="zh-CN"/>
        </w:rPr>
        <w:t>ресурс</w:t>
      </w:r>
      <w:r w:rsidRPr="004A0184">
        <w:rPr>
          <w:rFonts w:ascii="Times New Roman" w:hAnsi="Times New Roman" w:cs="Times New Roman"/>
          <w:color w:val="000000" w:themeColor="text1"/>
          <w:sz w:val="24"/>
          <w:szCs w:val="24"/>
          <w:lang w:val="ru-RU" w:eastAsia="zh-CN"/>
        </w:rPr>
        <w:t xml:space="preserve">]. </w:t>
      </w:r>
      <w:r w:rsidRPr="004A0184">
        <w:rPr>
          <w:rFonts w:ascii="Times New Roman" w:hAnsi="Times New Roman" w:cs="Times New Roman"/>
          <w:color w:val="000000" w:themeColor="text1"/>
          <w:sz w:val="24"/>
          <w:szCs w:val="24"/>
          <w:lang w:val="ru-RU"/>
        </w:rPr>
        <w:t>–</w:t>
      </w:r>
      <w:r w:rsidRPr="004A0184">
        <w:rPr>
          <w:rFonts w:ascii="Times New Roman" w:hAnsi="Times New Roman" w:cs="Times New Roman"/>
          <w:color w:val="000000" w:themeColor="text1"/>
          <w:sz w:val="24"/>
          <w:szCs w:val="24"/>
          <w:lang w:val="ru-RU" w:eastAsia="zh-CN"/>
        </w:rPr>
        <w:t xml:space="preserve"> </w:t>
      </w:r>
      <w:r w:rsidRPr="004E7E3E">
        <w:rPr>
          <w:rFonts w:ascii="Times New Roman" w:hAnsi="Times New Roman" w:cs="Times New Roman"/>
          <w:color w:val="000000" w:themeColor="text1"/>
          <w:sz w:val="24"/>
          <w:szCs w:val="24"/>
          <w:lang w:val="ru-RU" w:eastAsia="zh-CN"/>
        </w:rPr>
        <w:t>Режим</w:t>
      </w:r>
      <w:r w:rsidRPr="004A0184">
        <w:rPr>
          <w:rFonts w:ascii="Times New Roman" w:hAnsi="Times New Roman" w:cs="Times New Roman"/>
          <w:color w:val="000000" w:themeColor="text1"/>
          <w:sz w:val="24"/>
          <w:szCs w:val="24"/>
          <w:lang w:val="ru-RU" w:eastAsia="zh-CN"/>
        </w:rPr>
        <w:t xml:space="preserve"> </w:t>
      </w:r>
      <w:r w:rsidRPr="004E7E3E">
        <w:rPr>
          <w:rFonts w:ascii="Times New Roman" w:hAnsi="Times New Roman" w:cs="Times New Roman"/>
          <w:color w:val="000000" w:themeColor="text1"/>
          <w:sz w:val="24"/>
          <w:szCs w:val="24"/>
          <w:lang w:val="ru-RU" w:eastAsia="zh-CN"/>
        </w:rPr>
        <w:t>доступа</w:t>
      </w:r>
      <w:r w:rsidRPr="004A0184">
        <w:rPr>
          <w:rFonts w:ascii="Times New Roman" w:hAnsi="Times New Roman" w:cs="Times New Roman"/>
          <w:color w:val="000000" w:themeColor="text1"/>
          <w:sz w:val="24"/>
          <w:szCs w:val="24"/>
          <w:lang w:val="ru-RU" w:eastAsia="zh-CN"/>
        </w:rPr>
        <w:t xml:space="preserve">: </w:t>
      </w:r>
      <w:r w:rsidRPr="004E7E3E">
        <w:rPr>
          <w:rFonts w:ascii="Times New Roman" w:hAnsi="Times New Roman" w:cs="Times New Roman"/>
          <w:color w:val="000000" w:themeColor="text1"/>
          <w:sz w:val="24"/>
          <w:szCs w:val="24"/>
        </w:rPr>
        <w:t>URL</w:t>
      </w:r>
      <w:r w:rsidRPr="004A0184">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4E7E3E">
        <w:rPr>
          <w:rFonts w:ascii="Times New Roman" w:hAnsi="Times New Roman" w:cs="Times New Roman"/>
          <w:sz w:val="24"/>
          <w:szCs w:val="24"/>
        </w:rPr>
        <w:t>https</w:t>
      </w:r>
      <w:r w:rsidRPr="004A0184">
        <w:rPr>
          <w:rFonts w:ascii="Times New Roman" w:hAnsi="Times New Roman" w:cs="Times New Roman"/>
          <w:sz w:val="24"/>
          <w:szCs w:val="24"/>
          <w:lang w:val="ru-RU"/>
        </w:rPr>
        <w:t>://</w:t>
      </w:r>
      <w:r w:rsidRPr="004E7E3E">
        <w:rPr>
          <w:rFonts w:ascii="Times New Roman" w:hAnsi="Times New Roman" w:cs="Times New Roman"/>
          <w:sz w:val="24"/>
          <w:szCs w:val="24"/>
        </w:rPr>
        <w:t>www</w:t>
      </w:r>
      <w:r w:rsidRPr="004A0184">
        <w:rPr>
          <w:rFonts w:ascii="Times New Roman" w:hAnsi="Times New Roman" w:cs="Times New Roman"/>
          <w:sz w:val="24"/>
          <w:szCs w:val="24"/>
          <w:lang w:val="ru-RU"/>
        </w:rPr>
        <w:t>.</w:t>
      </w:r>
      <w:r w:rsidRPr="004E7E3E">
        <w:rPr>
          <w:rFonts w:ascii="Times New Roman" w:hAnsi="Times New Roman" w:cs="Times New Roman"/>
          <w:sz w:val="24"/>
          <w:szCs w:val="24"/>
        </w:rPr>
        <w:t>longfinance</w:t>
      </w:r>
      <w:r w:rsidRPr="004A0184">
        <w:rPr>
          <w:rFonts w:ascii="Times New Roman" w:hAnsi="Times New Roman" w:cs="Times New Roman"/>
          <w:sz w:val="24"/>
          <w:szCs w:val="24"/>
          <w:lang w:val="ru-RU"/>
        </w:rPr>
        <w:t>.</w:t>
      </w:r>
      <w:r w:rsidRPr="004E7E3E">
        <w:rPr>
          <w:rFonts w:ascii="Times New Roman" w:hAnsi="Times New Roman" w:cs="Times New Roman"/>
          <w:sz w:val="24"/>
          <w:szCs w:val="24"/>
        </w:rPr>
        <w:t>net</w:t>
      </w:r>
      <w:r w:rsidRPr="004A0184">
        <w:rPr>
          <w:rFonts w:ascii="Times New Roman" w:hAnsi="Times New Roman" w:cs="Times New Roman"/>
          <w:sz w:val="24"/>
          <w:szCs w:val="24"/>
          <w:lang w:val="ru-RU"/>
        </w:rPr>
        <w:t>/</w:t>
      </w:r>
      <w:r w:rsidRPr="004E7E3E">
        <w:rPr>
          <w:rFonts w:ascii="Times New Roman" w:hAnsi="Times New Roman" w:cs="Times New Roman"/>
          <w:sz w:val="24"/>
          <w:szCs w:val="24"/>
        </w:rPr>
        <w:t>media</w:t>
      </w:r>
      <w:r w:rsidRPr="004A0184">
        <w:rPr>
          <w:rFonts w:ascii="Times New Roman" w:hAnsi="Times New Roman" w:cs="Times New Roman"/>
          <w:sz w:val="24"/>
          <w:szCs w:val="24"/>
          <w:lang w:val="ru-RU"/>
        </w:rPr>
        <w:t>/</w:t>
      </w:r>
      <w:r w:rsidRPr="004E7E3E">
        <w:rPr>
          <w:rFonts w:ascii="Times New Roman" w:hAnsi="Times New Roman" w:cs="Times New Roman"/>
          <w:sz w:val="24"/>
          <w:szCs w:val="24"/>
        </w:rPr>
        <w:t>documents</w:t>
      </w:r>
      <w:r w:rsidRPr="004A0184">
        <w:rPr>
          <w:rFonts w:ascii="Times New Roman" w:hAnsi="Times New Roman" w:cs="Times New Roman"/>
          <w:sz w:val="24"/>
          <w:szCs w:val="24"/>
          <w:lang w:val="ru-RU"/>
        </w:rPr>
        <w:t>/</w:t>
      </w:r>
      <w:r w:rsidRPr="004E7E3E">
        <w:rPr>
          <w:rFonts w:ascii="Times New Roman" w:hAnsi="Times New Roman" w:cs="Times New Roman"/>
          <w:sz w:val="24"/>
          <w:szCs w:val="24"/>
        </w:rPr>
        <w:t>Maritime</w:t>
      </w:r>
      <w:r w:rsidRPr="004A0184">
        <w:rPr>
          <w:rFonts w:ascii="Times New Roman" w:hAnsi="Times New Roman" w:cs="Times New Roman"/>
          <w:sz w:val="24"/>
          <w:szCs w:val="24"/>
          <w:lang w:val="ru-RU"/>
        </w:rPr>
        <w:t>_</w:t>
      </w:r>
      <w:r w:rsidRPr="004E7E3E">
        <w:rPr>
          <w:rFonts w:ascii="Times New Roman" w:hAnsi="Times New Roman" w:cs="Times New Roman"/>
          <w:sz w:val="24"/>
          <w:szCs w:val="24"/>
        </w:rPr>
        <w:t>Financial</w:t>
      </w:r>
      <w:r w:rsidRPr="004A0184">
        <w:rPr>
          <w:rFonts w:ascii="Times New Roman" w:hAnsi="Times New Roman" w:cs="Times New Roman"/>
          <w:sz w:val="24"/>
          <w:szCs w:val="24"/>
          <w:lang w:val="ru-RU"/>
        </w:rPr>
        <w:t>_</w:t>
      </w:r>
      <w:r w:rsidRPr="004E7E3E">
        <w:rPr>
          <w:rFonts w:ascii="Times New Roman" w:hAnsi="Times New Roman" w:cs="Times New Roman"/>
          <w:sz w:val="24"/>
          <w:szCs w:val="24"/>
        </w:rPr>
        <w:t>Centres</w:t>
      </w:r>
      <w:r w:rsidRPr="004A0184">
        <w:rPr>
          <w:rFonts w:ascii="Times New Roman" w:hAnsi="Times New Roman" w:cs="Times New Roman"/>
          <w:sz w:val="24"/>
          <w:szCs w:val="24"/>
          <w:lang w:val="ru-RU"/>
        </w:rPr>
        <w:t>.</w:t>
      </w:r>
      <w:r w:rsidRPr="004E7E3E">
        <w:rPr>
          <w:rFonts w:ascii="Times New Roman" w:hAnsi="Times New Roman" w:cs="Times New Roman"/>
          <w:sz w:val="24"/>
          <w:szCs w:val="24"/>
        </w:rPr>
        <w:t>pdf</w:t>
      </w:r>
      <w:r w:rsidRPr="004A0184">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lang w:val="ru-RU"/>
        </w:rPr>
        <w:t>дата</w:t>
      </w:r>
      <w:r w:rsidRPr="004A0184">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lang w:val="ru-RU"/>
        </w:rPr>
        <w:t>обращения</w:t>
      </w:r>
      <w:r w:rsidRPr="004A0184">
        <w:rPr>
          <w:rFonts w:ascii="Times New Roman" w:hAnsi="Times New Roman" w:cs="Times New Roman"/>
          <w:color w:val="000000" w:themeColor="text1"/>
          <w:sz w:val="24"/>
          <w:szCs w:val="24"/>
          <w:lang w:val="ru-RU"/>
        </w:rPr>
        <w:t>: 01.03.2023).</w:t>
      </w:r>
      <w:bookmarkStart w:id="167" w:name="_Ref459295395"/>
      <w:bookmarkEnd w:id="162"/>
      <w:bookmarkEnd w:id="166"/>
    </w:p>
    <w:p w14:paraId="26976425" w14:textId="77777777" w:rsidR="00AE4368" w:rsidRPr="004A0184" w:rsidRDefault="00AE4368" w:rsidP="00A134D2">
      <w:pPr>
        <w:pStyle w:val="af3"/>
        <w:tabs>
          <w:tab w:val="left" w:pos="993"/>
        </w:tabs>
        <w:spacing w:after="0" w:line="360" w:lineRule="auto"/>
        <w:ind w:left="0" w:firstLine="709"/>
        <w:jc w:val="both"/>
        <w:rPr>
          <w:rFonts w:ascii="Times New Roman" w:hAnsi="Times New Roman" w:cs="Times New Roman"/>
          <w:color w:val="000000"/>
          <w:sz w:val="24"/>
          <w:szCs w:val="24"/>
          <w:lang w:val="ru-RU"/>
        </w:rPr>
      </w:pPr>
    </w:p>
    <w:p w14:paraId="18E9B802" w14:textId="77777777" w:rsidR="00AE4368" w:rsidRPr="004E7E3E" w:rsidRDefault="002023F4" w:rsidP="00A134D2">
      <w:pPr>
        <w:pStyle w:val="af3"/>
        <w:spacing w:after="0" w:line="360" w:lineRule="auto"/>
        <w:ind w:left="0"/>
        <w:jc w:val="center"/>
        <w:rPr>
          <w:rFonts w:ascii="Times New Roman" w:hAnsi="Times New Roman" w:cs="Times New Roman"/>
          <w:color w:val="000000"/>
          <w:sz w:val="24"/>
          <w:szCs w:val="24"/>
          <w:lang w:val="ru-RU" w:eastAsia="zh-CN"/>
        </w:rPr>
      </w:pPr>
      <w:r w:rsidRPr="004E7E3E">
        <w:rPr>
          <w:rFonts w:ascii="Times New Roman" w:hAnsi="Times New Roman" w:cs="Times New Roman"/>
          <w:b/>
          <w:color w:val="000000" w:themeColor="text1"/>
          <w:sz w:val="24"/>
          <w:szCs w:val="24"/>
          <w:lang w:val="ru-RU"/>
        </w:rPr>
        <w:t>4.Интернет-источники</w:t>
      </w:r>
    </w:p>
    <w:p w14:paraId="5944F307" w14:textId="741AD3B0"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4E7E3E">
        <w:rPr>
          <w:rFonts w:ascii="Times New Roman" w:hAnsi="Times New Roman" w:cs="Times New Roman"/>
          <w:color w:val="000000" w:themeColor="text1"/>
          <w:sz w:val="24"/>
          <w:szCs w:val="24"/>
          <w:lang w:val="ru-RU"/>
        </w:rPr>
        <w:t xml:space="preserve">Адоманис, М. Российско-Китайское газовое соглашение: важно, однако, непонятно его значение </w:t>
      </w:r>
      <w:r w:rsidRPr="004E7E3E">
        <w:rPr>
          <w:rFonts w:ascii="Times New Roman" w:hAnsi="Times New Roman" w:cs="Times New Roman"/>
          <w:color w:val="000000" w:themeColor="text1"/>
          <w:sz w:val="24"/>
          <w:szCs w:val="24"/>
          <w:lang w:val="ru-RU" w:eastAsia="zh-CN"/>
        </w:rPr>
        <w:t>[Электронный ресурс]</w:t>
      </w:r>
      <w:r w:rsidRPr="004E7E3E">
        <w:rPr>
          <w:rFonts w:ascii="Times New Roman" w:hAnsi="Times New Roman" w:cs="Times New Roman"/>
          <w:color w:val="000000" w:themeColor="text1"/>
          <w:sz w:val="24"/>
          <w:szCs w:val="24"/>
          <w:lang w:val="ru-RU"/>
        </w:rPr>
        <w:t xml:space="preserve"> /М. Адоманис.– </w:t>
      </w:r>
      <w:r w:rsidRPr="004E7E3E">
        <w:rPr>
          <w:rFonts w:ascii="Times New Roman" w:hAnsi="Times New Roman" w:cs="Times New Roman"/>
          <w:color w:val="000000" w:themeColor="text1"/>
          <w:sz w:val="24"/>
          <w:szCs w:val="24"/>
        </w:rPr>
        <w:t>Forbes</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USA</w:t>
      </w:r>
      <w:r w:rsidRPr="004E7E3E">
        <w:rPr>
          <w:rFonts w:ascii="Times New Roman" w:hAnsi="Times New Roman" w:cs="Times New Roman"/>
          <w:color w:val="000000" w:themeColor="text1"/>
          <w:sz w:val="24"/>
          <w:szCs w:val="24"/>
          <w:lang w:val="ru-RU"/>
        </w:rPr>
        <w:t xml:space="preserve">. Пер. с англ. «Иносми». – 22.05.2014. – Режим доступа: </w:t>
      </w:r>
      <w:r w:rsidRPr="004E7E3E">
        <w:rPr>
          <w:rFonts w:ascii="Times New Roman" w:hAnsi="Times New Roman" w:cs="Times New Roman"/>
          <w:color w:val="000000" w:themeColor="text1"/>
          <w:sz w:val="24"/>
          <w:szCs w:val="24"/>
        </w:rPr>
        <w:t>URL</w:t>
      </w:r>
      <w:r w:rsidRPr="004E7E3E">
        <w:rPr>
          <w:rFonts w:ascii="Times New Roman" w:hAnsi="Times New Roman" w:cs="Times New Roman"/>
          <w:color w:val="000000" w:themeColor="text1"/>
          <w:sz w:val="24"/>
          <w:szCs w:val="24"/>
          <w:lang w:val="ru-RU"/>
        </w:rPr>
        <w:t xml:space="preserve">: </w:t>
      </w:r>
      <w:hyperlink r:id="rId86" w:tooltip="http://inosmi.ru/russia/20140522/220500241.html" w:history="1">
        <w:r w:rsidRPr="004E7E3E">
          <w:rPr>
            <w:rStyle w:val="a9"/>
            <w:rFonts w:ascii="Times New Roman" w:hAnsi="Times New Roman" w:cs="Times New Roman"/>
            <w:color w:val="000000" w:themeColor="text1"/>
            <w:sz w:val="24"/>
            <w:szCs w:val="24"/>
            <w:u w:val="none"/>
          </w:rPr>
          <w:t>http</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inosmi</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ru</w:t>
        </w:r>
        <w:r w:rsidRPr="004E7E3E">
          <w:rPr>
            <w:rStyle w:val="a9"/>
            <w:rFonts w:ascii="Times New Roman" w:hAnsi="Times New Roman" w:cs="Times New Roman"/>
            <w:color w:val="000000" w:themeColor="text1"/>
            <w:sz w:val="24"/>
            <w:szCs w:val="24"/>
            <w:u w:val="none"/>
            <w:lang w:val="ru-RU"/>
          </w:rPr>
          <w:t>/</w:t>
        </w:r>
        <w:r w:rsidRPr="004E7E3E">
          <w:rPr>
            <w:rStyle w:val="a9"/>
            <w:rFonts w:ascii="Times New Roman" w:hAnsi="Times New Roman" w:cs="Times New Roman"/>
            <w:color w:val="000000" w:themeColor="text1"/>
            <w:sz w:val="24"/>
            <w:szCs w:val="24"/>
            <w:u w:val="none"/>
          </w:rPr>
          <w:t>russia</w:t>
        </w:r>
        <w:r w:rsidRPr="004E7E3E">
          <w:rPr>
            <w:rStyle w:val="a9"/>
            <w:rFonts w:ascii="Times New Roman" w:hAnsi="Times New Roman" w:cs="Times New Roman"/>
            <w:color w:val="000000" w:themeColor="text1"/>
            <w:sz w:val="24"/>
            <w:szCs w:val="24"/>
            <w:u w:val="none"/>
            <w:lang w:val="ru-RU"/>
          </w:rPr>
          <w:t>/20140522/220500241.</w:t>
        </w:r>
        <w:r w:rsidRPr="004E7E3E">
          <w:rPr>
            <w:rStyle w:val="a9"/>
            <w:rFonts w:ascii="Times New Roman" w:hAnsi="Times New Roman" w:cs="Times New Roman"/>
            <w:color w:val="000000" w:themeColor="text1"/>
            <w:sz w:val="24"/>
            <w:szCs w:val="24"/>
            <w:u w:val="none"/>
          </w:rPr>
          <w:t>html</w:t>
        </w:r>
      </w:hyperlink>
      <w:r w:rsidRPr="004E7E3E">
        <w:rPr>
          <w:rFonts w:ascii="Times New Roman" w:hAnsi="Times New Roman" w:cs="Times New Roman"/>
          <w:color w:val="000000" w:themeColor="text1"/>
          <w:sz w:val="24"/>
          <w:szCs w:val="24"/>
          <w:lang w:val="ru-RU"/>
        </w:rPr>
        <w:t xml:space="preserve"> (дата обращения: 01.03.2023).</w:t>
      </w:r>
      <w:bookmarkStart w:id="168" w:name="_Ref498178182"/>
      <w:bookmarkStart w:id="169" w:name="_Ref498102190"/>
      <w:bookmarkEnd w:id="167"/>
    </w:p>
    <w:p w14:paraId="452C2644" w14:textId="77777777" w:rsidR="00AE4368" w:rsidRPr="004E7E3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4E7E3E">
        <w:rPr>
          <w:rFonts w:ascii="Times New Roman" w:hAnsi="Times New Roman" w:cs="Times New Roman"/>
          <w:color w:val="000000" w:themeColor="text1"/>
          <w:sz w:val="24"/>
          <w:szCs w:val="24"/>
          <w:lang w:val="ru-RU"/>
        </w:rPr>
        <w:t xml:space="preserve">АКРА </w:t>
      </w:r>
      <w:r w:rsidRPr="004E7E3E">
        <w:rPr>
          <w:rFonts w:ascii="Times New Roman" w:hAnsi="Times New Roman" w:cs="Times New Roman"/>
          <w:bCs/>
          <w:color w:val="000000" w:themeColor="text1"/>
          <w:sz w:val="24"/>
          <w:szCs w:val="24"/>
          <w:lang w:val="ru-RU"/>
        </w:rPr>
        <w:t xml:space="preserve">подтвердило кредитный рейтинг НКО НКЦ (АО) на уровне </w:t>
      </w:r>
      <w:r w:rsidRPr="004E7E3E">
        <w:rPr>
          <w:rFonts w:ascii="Times New Roman" w:hAnsi="Times New Roman" w:cs="Times New Roman"/>
          <w:bCs/>
          <w:color w:val="000000" w:themeColor="text1"/>
          <w:sz w:val="24"/>
          <w:szCs w:val="24"/>
        </w:rPr>
        <w:t>AAA</w:t>
      </w:r>
      <w:r w:rsidRPr="004E7E3E">
        <w:rPr>
          <w:rFonts w:ascii="Times New Roman" w:hAnsi="Times New Roman" w:cs="Times New Roman"/>
          <w:bCs/>
          <w:color w:val="000000" w:themeColor="text1"/>
          <w:sz w:val="24"/>
          <w:szCs w:val="24"/>
          <w:lang w:val="ru-RU"/>
        </w:rPr>
        <w:t>(</w:t>
      </w:r>
      <w:r w:rsidRPr="004E7E3E">
        <w:rPr>
          <w:rFonts w:ascii="Times New Roman" w:hAnsi="Times New Roman" w:cs="Times New Roman"/>
          <w:bCs/>
          <w:color w:val="000000" w:themeColor="text1"/>
          <w:sz w:val="24"/>
          <w:szCs w:val="24"/>
        </w:rPr>
        <w:t>RU</w:t>
      </w:r>
      <w:r w:rsidRPr="004E7E3E">
        <w:rPr>
          <w:rFonts w:ascii="Times New Roman" w:hAnsi="Times New Roman" w:cs="Times New Roman"/>
          <w:bCs/>
          <w:color w:val="000000" w:themeColor="text1"/>
          <w:sz w:val="24"/>
          <w:szCs w:val="24"/>
          <w:lang w:val="ru-RU"/>
        </w:rPr>
        <w:t>), прогноз «Стабильный»</w:t>
      </w:r>
      <w:r w:rsidRPr="004E7E3E">
        <w:rPr>
          <w:rFonts w:ascii="Times New Roman" w:hAnsi="Times New Roman" w:cs="Times New Roman"/>
          <w:color w:val="000000" w:themeColor="text1"/>
          <w:sz w:val="24"/>
          <w:szCs w:val="24"/>
          <w:lang w:val="ru-RU" w:eastAsia="zh-CN"/>
        </w:rPr>
        <w:t xml:space="preserve"> [Электронный ресурс] / М. Полухин, С. Громова. </w:t>
      </w:r>
      <w:r w:rsidRPr="004E7E3E">
        <w:rPr>
          <w:rFonts w:ascii="Times New Roman" w:hAnsi="Times New Roman" w:cs="Times New Roman"/>
          <w:color w:val="000000" w:themeColor="text1"/>
          <w:sz w:val="24"/>
          <w:szCs w:val="24"/>
          <w:lang w:val="ru-RU"/>
        </w:rPr>
        <w:t xml:space="preserve">– 18.10.2021. Режим доступа: </w:t>
      </w:r>
      <w:r w:rsidRPr="004E7E3E">
        <w:rPr>
          <w:rFonts w:ascii="Times New Roman" w:hAnsi="Times New Roman" w:cs="Times New Roman"/>
          <w:color w:val="000000" w:themeColor="text1"/>
          <w:sz w:val="24"/>
          <w:szCs w:val="24"/>
        </w:rPr>
        <w:t>URL</w:t>
      </w:r>
      <w:r w:rsidRPr="004E7E3E">
        <w:rPr>
          <w:rFonts w:ascii="Times New Roman" w:hAnsi="Times New Roman" w:cs="Times New Roman"/>
          <w:color w:val="000000" w:themeColor="text1"/>
          <w:sz w:val="24"/>
          <w:szCs w:val="24"/>
          <w:lang w:val="ru-RU"/>
        </w:rPr>
        <w:t xml:space="preserve">: </w:t>
      </w:r>
      <w:r w:rsidRPr="004E7E3E">
        <w:rPr>
          <w:rFonts w:ascii="Times New Roman" w:hAnsi="Times New Roman" w:cs="Times New Roman"/>
          <w:color w:val="000000" w:themeColor="text1"/>
          <w:sz w:val="24"/>
          <w:szCs w:val="24"/>
        </w:rPr>
        <w:t>https</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www</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acra</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ratings</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ru</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upload</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iblock</w:t>
      </w:r>
      <w:r w:rsidRPr="004E7E3E">
        <w:rPr>
          <w:rFonts w:ascii="Times New Roman" w:hAnsi="Times New Roman" w:cs="Times New Roman"/>
          <w:color w:val="000000" w:themeColor="text1"/>
          <w:sz w:val="24"/>
          <w:szCs w:val="24"/>
          <w:lang w:val="ru-RU"/>
        </w:rPr>
        <w:t>/6</w:t>
      </w:r>
      <w:r w:rsidRPr="004E7E3E">
        <w:rPr>
          <w:rFonts w:ascii="Times New Roman" w:hAnsi="Times New Roman" w:cs="Times New Roman"/>
          <w:color w:val="000000" w:themeColor="text1"/>
          <w:sz w:val="24"/>
          <w:szCs w:val="24"/>
        </w:rPr>
        <w:t>a</w:t>
      </w:r>
      <w:r w:rsidRPr="004E7E3E">
        <w:rPr>
          <w:rFonts w:ascii="Times New Roman" w:hAnsi="Times New Roman" w:cs="Times New Roman"/>
          <w:color w:val="000000" w:themeColor="text1"/>
          <w:sz w:val="24"/>
          <w:szCs w:val="24"/>
          <w:lang w:val="ru-RU"/>
        </w:rPr>
        <w:t>1/</w:t>
      </w:r>
      <w:r w:rsidRPr="004E7E3E">
        <w:rPr>
          <w:rFonts w:ascii="Times New Roman" w:hAnsi="Times New Roman" w:cs="Times New Roman"/>
          <w:color w:val="000000" w:themeColor="text1"/>
          <w:sz w:val="24"/>
          <w:szCs w:val="24"/>
        </w:rPr>
        <w:t>c</w:t>
      </w:r>
      <w:r w:rsidRPr="004E7E3E">
        <w:rPr>
          <w:rFonts w:ascii="Times New Roman" w:hAnsi="Times New Roman" w:cs="Times New Roman"/>
          <w:color w:val="000000" w:themeColor="text1"/>
          <w:sz w:val="24"/>
          <w:szCs w:val="24"/>
          <w:lang w:val="ru-RU"/>
        </w:rPr>
        <w:t>5</w:t>
      </w:r>
      <w:r w:rsidRPr="004E7E3E">
        <w:rPr>
          <w:rFonts w:ascii="Times New Roman" w:hAnsi="Times New Roman" w:cs="Times New Roman"/>
          <w:color w:val="000000" w:themeColor="text1"/>
          <w:sz w:val="24"/>
          <w:szCs w:val="24"/>
        </w:rPr>
        <w:t>ql</w:t>
      </w:r>
      <w:r w:rsidRPr="004E7E3E">
        <w:rPr>
          <w:rFonts w:ascii="Times New Roman" w:hAnsi="Times New Roman" w:cs="Times New Roman"/>
          <w:color w:val="000000" w:themeColor="text1"/>
          <w:sz w:val="24"/>
          <w:szCs w:val="24"/>
          <w:lang w:val="ru-RU"/>
        </w:rPr>
        <w:t>7</w:t>
      </w:r>
      <w:r w:rsidRPr="004E7E3E">
        <w:rPr>
          <w:rFonts w:ascii="Times New Roman" w:hAnsi="Times New Roman" w:cs="Times New Roman"/>
          <w:color w:val="000000" w:themeColor="text1"/>
          <w:sz w:val="24"/>
          <w:szCs w:val="24"/>
        </w:rPr>
        <w:t>dtrcxjkdod</w:t>
      </w:r>
      <w:r w:rsidRPr="004E7E3E">
        <w:rPr>
          <w:rFonts w:ascii="Times New Roman" w:hAnsi="Times New Roman" w:cs="Times New Roman"/>
          <w:color w:val="000000" w:themeColor="text1"/>
          <w:sz w:val="24"/>
          <w:szCs w:val="24"/>
          <w:lang w:val="ru-RU"/>
        </w:rPr>
        <w:t>1</w:t>
      </w:r>
      <w:r w:rsidRPr="004E7E3E">
        <w:rPr>
          <w:rFonts w:ascii="Times New Roman" w:hAnsi="Times New Roman" w:cs="Times New Roman"/>
          <w:color w:val="000000" w:themeColor="text1"/>
          <w:sz w:val="24"/>
          <w:szCs w:val="24"/>
        </w:rPr>
        <w:t>eokjq</w:t>
      </w:r>
      <w:r w:rsidRPr="004E7E3E">
        <w:rPr>
          <w:rFonts w:ascii="Times New Roman" w:hAnsi="Times New Roman" w:cs="Times New Roman"/>
          <w:color w:val="000000" w:themeColor="text1"/>
          <w:sz w:val="24"/>
          <w:szCs w:val="24"/>
          <w:lang w:val="ru-RU"/>
        </w:rPr>
        <w:t>1</w:t>
      </w:r>
      <w:r w:rsidRPr="004E7E3E">
        <w:rPr>
          <w:rFonts w:ascii="Times New Roman" w:hAnsi="Times New Roman" w:cs="Times New Roman"/>
          <w:color w:val="000000" w:themeColor="text1"/>
          <w:sz w:val="24"/>
          <w:szCs w:val="24"/>
        </w:rPr>
        <w:t>lcxjjjb</w:t>
      </w:r>
      <w:r w:rsidRPr="004E7E3E">
        <w:rPr>
          <w:rFonts w:ascii="Times New Roman" w:hAnsi="Times New Roman" w:cs="Times New Roman"/>
          <w:color w:val="000000" w:themeColor="text1"/>
          <w:sz w:val="24"/>
          <w:szCs w:val="24"/>
          <w:lang w:val="ru-RU"/>
        </w:rPr>
        <w:t>8</w:t>
      </w:r>
      <w:r w:rsidRPr="004E7E3E">
        <w:rPr>
          <w:rFonts w:ascii="Times New Roman" w:hAnsi="Times New Roman" w:cs="Times New Roman"/>
          <w:color w:val="000000" w:themeColor="text1"/>
          <w:sz w:val="24"/>
          <w:szCs w:val="24"/>
        </w:rPr>
        <w:t>hu</w:t>
      </w:r>
      <w:r w:rsidRPr="004E7E3E">
        <w:rPr>
          <w:rFonts w:ascii="Times New Roman" w:hAnsi="Times New Roman" w:cs="Times New Roman"/>
          <w:color w:val="000000" w:themeColor="text1"/>
          <w:sz w:val="24"/>
          <w:szCs w:val="24"/>
          <w:lang w:val="ru-RU"/>
        </w:rPr>
        <w:t>/20211018_</w:t>
      </w:r>
      <w:r w:rsidRPr="004E7E3E">
        <w:rPr>
          <w:rFonts w:ascii="Times New Roman" w:hAnsi="Times New Roman" w:cs="Times New Roman"/>
          <w:color w:val="000000" w:themeColor="text1"/>
          <w:sz w:val="24"/>
          <w:szCs w:val="24"/>
        </w:rPr>
        <w:t>NKTS</w:t>
      </w:r>
      <w:r w:rsidRPr="004E7E3E">
        <w:rPr>
          <w:rFonts w:ascii="Times New Roman" w:hAnsi="Times New Roman" w:cs="Times New Roman"/>
          <w:color w:val="000000" w:themeColor="text1"/>
          <w:sz w:val="24"/>
          <w:szCs w:val="24"/>
          <w:lang w:val="ru-RU"/>
        </w:rPr>
        <w:t>_</w:t>
      </w:r>
      <w:r w:rsidRPr="004E7E3E">
        <w:rPr>
          <w:rFonts w:ascii="Times New Roman" w:hAnsi="Times New Roman" w:cs="Times New Roman"/>
          <w:color w:val="000000" w:themeColor="text1"/>
          <w:sz w:val="24"/>
          <w:szCs w:val="24"/>
        </w:rPr>
        <w:t>press</w:t>
      </w:r>
      <w:r w:rsidRPr="004E7E3E">
        <w:rPr>
          <w:rFonts w:ascii="Times New Roman" w:hAnsi="Times New Roman" w:cs="Times New Roman"/>
          <w:color w:val="000000" w:themeColor="text1"/>
          <w:sz w:val="24"/>
          <w:szCs w:val="24"/>
          <w:lang w:val="ru-RU"/>
        </w:rPr>
        <w:t>_</w:t>
      </w:r>
      <w:r w:rsidRPr="004E7E3E">
        <w:rPr>
          <w:rFonts w:ascii="Times New Roman" w:hAnsi="Times New Roman" w:cs="Times New Roman"/>
          <w:color w:val="000000" w:themeColor="text1"/>
          <w:sz w:val="24"/>
          <w:szCs w:val="24"/>
        </w:rPr>
        <w:t>reliz</w:t>
      </w:r>
      <w:r w:rsidRPr="004E7E3E">
        <w:rPr>
          <w:rFonts w:ascii="Times New Roman" w:hAnsi="Times New Roman" w:cs="Times New Roman"/>
          <w:color w:val="000000" w:themeColor="text1"/>
          <w:sz w:val="24"/>
          <w:szCs w:val="24"/>
          <w:lang w:val="ru-RU"/>
        </w:rPr>
        <w:t>_</w:t>
      </w:r>
      <w:r w:rsidRPr="004E7E3E">
        <w:rPr>
          <w:rFonts w:ascii="Times New Roman" w:hAnsi="Times New Roman" w:cs="Times New Roman"/>
          <w:color w:val="000000" w:themeColor="text1"/>
          <w:sz w:val="24"/>
          <w:szCs w:val="24"/>
        </w:rPr>
        <w:t>rus</w:t>
      </w:r>
      <w:r w:rsidRPr="004E7E3E">
        <w:rPr>
          <w:rFonts w:ascii="Times New Roman" w:hAnsi="Times New Roman" w:cs="Times New Roman"/>
          <w:color w:val="000000" w:themeColor="text1"/>
          <w:sz w:val="24"/>
          <w:szCs w:val="24"/>
          <w:lang w:val="ru-RU"/>
        </w:rPr>
        <w:t>.</w:t>
      </w:r>
      <w:r w:rsidRPr="004E7E3E">
        <w:rPr>
          <w:rFonts w:ascii="Times New Roman" w:hAnsi="Times New Roman" w:cs="Times New Roman"/>
          <w:color w:val="000000" w:themeColor="text1"/>
          <w:sz w:val="24"/>
          <w:szCs w:val="24"/>
        </w:rPr>
        <w:t>pdf</w:t>
      </w:r>
      <w:r w:rsidRPr="004E7E3E">
        <w:rPr>
          <w:rFonts w:ascii="Times New Roman" w:hAnsi="Times New Roman" w:cs="Times New Roman"/>
          <w:color w:val="000000" w:themeColor="text1"/>
          <w:sz w:val="24"/>
          <w:szCs w:val="24"/>
          <w:lang w:val="ru-RU"/>
        </w:rPr>
        <w:t xml:space="preserve"> (дата обращения: 01.03.2023).</w:t>
      </w:r>
      <w:bookmarkEnd w:id="168"/>
    </w:p>
    <w:p w14:paraId="12081A81" w14:textId="1591692D" w:rsidR="00FE54C9"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4E7E3E">
        <w:rPr>
          <w:rFonts w:ascii="Times New Roman" w:hAnsi="Times New Roman" w:cs="Times New Roman"/>
          <w:color w:val="000000" w:themeColor="text1"/>
          <w:sz w:val="24"/>
          <w:szCs w:val="24"/>
          <w:lang w:val="ru-RU"/>
        </w:rPr>
        <w:t xml:space="preserve">Банк России отказался войти в капитал Национального рейтингового агентства </w:t>
      </w:r>
      <w:r w:rsidRPr="004E7E3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val="ru-RU" w:eastAsia="zh-CN"/>
        </w:rPr>
        <w:t>Электронный ресурс] /</w:t>
      </w:r>
      <w:r w:rsidR="007C29CF"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Lenta</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eastAsia="zh-CN"/>
        </w:rPr>
        <w:t>ru</w:t>
      </w:r>
      <w:r w:rsidRPr="00A11C6E">
        <w:rPr>
          <w:rFonts w:ascii="Times New Roman" w:hAnsi="Times New Roman" w:cs="Times New Roman"/>
          <w:color w:val="000000" w:themeColor="text1"/>
          <w:sz w:val="24"/>
          <w:szCs w:val="24"/>
          <w:lang w:val="ru-RU" w:eastAsia="zh-CN"/>
        </w:rPr>
        <w:t xml:space="preserve">. – 15.09.2015. </w:t>
      </w:r>
      <w:r w:rsidRPr="00A11C6E">
        <w:rPr>
          <w:rFonts w:ascii="Times New Roman" w:hAnsi="Times New Roman" w:cs="Times New Roman"/>
          <w:color w:val="000000" w:themeColor="text1"/>
          <w:sz w:val="24"/>
          <w:szCs w:val="24"/>
          <w:lang w:val="ru-RU"/>
        </w:rPr>
        <w:t xml:space="preserve">–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hyperlink r:id="rId87" w:tooltip="https://lenta.ru/news/2015/08/10/ratingagency" w:history="1">
        <w:r w:rsidRPr="00A11C6E">
          <w:rPr>
            <w:rStyle w:val="a9"/>
            <w:rFonts w:ascii="Times New Roman" w:hAnsi="Times New Roman" w:cs="Times New Roman"/>
            <w:color w:val="000000" w:themeColor="text1"/>
            <w:sz w:val="24"/>
            <w:szCs w:val="24"/>
          </w:rPr>
          <w:t>https</w:t>
        </w:r>
        <w:r w:rsidRPr="00A11C6E">
          <w:rPr>
            <w:rStyle w:val="a9"/>
            <w:rFonts w:ascii="Times New Roman" w:hAnsi="Times New Roman" w:cs="Times New Roman"/>
            <w:color w:val="000000" w:themeColor="text1"/>
            <w:sz w:val="24"/>
            <w:szCs w:val="24"/>
            <w:lang w:val="ru-RU"/>
          </w:rPr>
          <w:t>://</w:t>
        </w:r>
        <w:r w:rsidRPr="00A11C6E">
          <w:rPr>
            <w:rStyle w:val="a9"/>
            <w:rFonts w:ascii="Times New Roman" w:hAnsi="Times New Roman" w:cs="Times New Roman"/>
            <w:color w:val="000000" w:themeColor="text1"/>
            <w:sz w:val="24"/>
            <w:szCs w:val="24"/>
          </w:rPr>
          <w:t>lenta</w:t>
        </w:r>
        <w:r w:rsidRPr="00A11C6E">
          <w:rPr>
            <w:rStyle w:val="a9"/>
            <w:rFonts w:ascii="Times New Roman" w:hAnsi="Times New Roman" w:cs="Times New Roman"/>
            <w:color w:val="000000" w:themeColor="text1"/>
            <w:sz w:val="24"/>
            <w:szCs w:val="24"/>
            <w:lang w:val="ru-RU"/>
          </w:rPr>
          <w:t>.</w:t>
        </w:r>
        <w:r w:rsidRPr="00A11C6E">
          <w:rPr>
            <w:rStyle w:val="a9"/>
            <w:rFonts w:ascii="Times New Roman" w:hAnsi="Times New Roman" w:cs="Times New Roman"/>
            <w:color w:val="000000" w:themeColor="text1"/>
            <w:sz w:val="24"/>
            <w:szCs w:val="24"/>
          </w:rPr>
          <w:t>ru</w:t>
        </w:r>
        <w:r w:rsidRPr="00A11C6E">
          <w:rPr>
            <w:rStyle w:val="a9"/>
            <w:rFonts w:ascii="Times New Roman" w:hAnsi="Times New Roman" w:cs="Times New Roman"/>
            <w:color w:val="000000" w:themeColor="text1"/>
            <w:sz w:val="24"/>
            <w:szCs w:val="24"/>
            <w:lang w:val="ru-RU"/>
          </w:rPr>
          <w:t>/</w:t>
        </w:r>
        <w:r w:rsidRPr="00A11C6E">
          <w:rPr>
            <w:rStyle w:val="a9"/>
            <w:rFonts w:ascii="Times New Roman" w:hAnsi="Times New Roman" w:cs="Times New Roman"/>
            <w:color w:val="000000" w:themeColor="text1"/>
            <w:sz w:val="24"/>
            <w:szCs w:val="24"/>
          </w:rPr>
          <w:t>news</w:t>
        </w:r>
        <w:r w:rsidRPr="00A11C6E">
          <w:rPr>
            <w:rStyle w:val="a9"/>
            <w:rFonts w:ascii="Times New Roman" w:hAnsi="Times New Roman" w:cs="Times New Roman"/>
            <w:color w:val="000000" w:themeColor="text1"/>
            <w:sz w:val="24"/>
            <w:szCs w:val="24"/>
            <w:lang w:val="ru-RU"/>
          </w:rPr>
          <w:t>/2015/08/10/</w:t>
        </w:r>
        <w:r w:rsidRPr="00A11C6E">
          <w:rPr>
            <w:rStyle w:val="a9"/>
            <w:rFonts w:ascii="Times New Roman" w:hAnsi="Times New Roman" w:cs="Times New Roman"/>
            <w:color w:val="000000" w:themeColor="text1"/>
            <w:sz w:val="24"/>
            <w:szCs w:val="24"/>
          </w:rPr>
          <w:t>ratingagency</w:t>
        </w:r>
      </w:hyperlink>
      <w:r w:rsidRPr="00A11C6E">
        <w:rPr>
          <w:rFonts w:ascii="Times New Roman" w:hAnsi="Times New Roman" w:cs="Times New Roman"/>
          <w:color w:val="000000" w:themeColor="text1"/>
          <w:sz w:val="24"/>
          <w:szCs w:val="24"/>
          <w:lang w:val="ru-RU"/>
        </w:rPr>
        <w:t xml:space="preserve"> (дата обращения: 01.03.2023).</w:t>
      </w:r>
      <w:bookmarkStart w:id="170" w:name="_Ref498101656"/>
      <w:bookmarkStart w:id="171" w:name="_Ref498099599"/>
      <w:bookmarkStart w:id="172" w:name="p178"/>
      <w:bookmarkStart w:id="173" w:name="_Ref459295366"/>
      <w:bookmarkEnd w:id="169"/>
    </w:p>
    <w:p w14:paraId="2E69B083" w14:textId="4AC17807" w:rsidR="00142B78" w:rsidRPr="00A11C6E" w:rsidRDefault="00FE54C9"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Банк России. Департамент инвестиционных финансовых посредников. Портрет клиента брокера. М., 2022 [Электронный ресурс].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hyperlink r:id="rId88" w:history="1">
        <w:r w:rsidRPr="00A11C6E">
          <w:rPr>
            <w:rStyle w:val="a9"/>
            <w:rFonts w:ascii="Times New Roman" w:hAnsi="Times New Roman" w:cs="Times New Roman"/>
            <w:color w:val="000000" w:themeColor="text1"/>
            <w:sz w:val="24"/>
            <w:szCs w:val="24"/>
            <w:u w:val="none"/>
          </w:rPr>
          <w:t>https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cbr</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ru</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analytics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rcb</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cl</w:t>
        </w:r>
        <w:r w:rsidRPr="00A11C6E">
          <w:rPr>
            <w:rStyle w:val="a9"/>
            <w:rFonts w:ascii="Times New Roman" w:hAnsi="Times New Roman" w:cs="Times New Roman"/>
            <w:color w:val="000000" w:themeColor="text1"/>
            <w:sz w:val="24"/>
            <w:szCs w:val="24"/>
            <w:u w:val="none"/>
            <w:lang w:val="ru-RU"/>
          </w:rPr>
          <w:t>_</w:t>
        </w:r>
        <w:r w:rsidRPr="00A11C6E">
          <w:rPr>
            <w:rStyle w:val="a9"/>
            <w:rFonts w:ascii="Times New Roman" w:hAnsi="Times New Roman" w:cs="Times New Roman"/>
            <w:color w:val="000000" w:themeColor="text1"/>
            <w:sz w:val="24"/>
            <w:szCs w:val="24"/>
            <w:u w:val="none"/>
          </w:rPr>
          <w:t>broker</w:t>
        </w:r>
      </w:hyperlink>
      <w:r w:rsidRPr="00A11C6E">
        <w:rPr>
          <w:rFonts w:ascii="Times New Roman" w:hAnsi="Times New Roman" w:cs="Times New Roman"/>
          <w:color w:val="000000" w:themeColor="text1"/>
          <w:sz w:val="24"/>
          <w:szCs w:val="24"/>
          <w:lang w:val="ru-RU"/>
        </w:rPr>
        <w:t xml:space="preserve"> (дата обращения: 05.04.2023).</w:t>
      </w:r>
    </w:p>
    <w:p w14:paraId="1F294B78" w14:textId="500BE3C1" w:rsidR="00FE54C9" w:rsidRPr="00A11C6E" w:rsidRDefault="00142B78"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Банк России. Департамент инфраструктуры финансового рынка. Анализ биржевого товарного рынка за 2020 год. М., 2021 [Электронный ресурс].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https://cbr.ru/Collection/Collection/File/32203/reveiw_br_21062021.pdf (дата обращения: 05.04.2023).</w:t>
      </w:r>
    </w:p>
    <w:p w14:paraId="1D023D35" w14:textId="7B269335"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lastRenderedPageBreak/>
        <w:t xml:space="preserve">Волошин назвал бизнес-климат основным условием развития МФЦ в Москве </w:t>
      </w:r>
      <w:r w:rsidRPr="00A11C6E">
        <w:rPr>
          <w:rFonts w:ascii="Times New Roman" w:hAnsi="Times New Roman" w:cs="Times New Roman"/>
          <w:color w:val="000000" w:themeColor="text1"/>
          <w:sz w:val="24"/>
          <w:szCs w:val="24"/>
          <w:lang w:val="ru-RU" w:eastAsia="zh-CN"/>
        </w:rPr>
        <w:t xml:space="preserve">[Электронный ресурс] // </w:t>
      </w:r>
      <w:r w:rsidRPr="00A11C6E">
        <w:rPr>
          <w:rFonts w:ascii="Times New Roman" w:hAnsi="Times New Roman" w:cs="Times New Roman"/>
          <w:color w:val="000000" w:themeColor="text1"/>
          <w:sz w:val="24"/>
          <w:szCs w:val="24"/>
          <w:lang w:eastAsia="zh-CN"/>
        </w:rPr>
        <w:t>Rambler</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News</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Service</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val="ru-RU"/>
        </w:rPr>
        <w:t xml:space="preserve">– 24.05.2017.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hyperlink r:id="rId89" w:tooltip="https://news.rambler.ru/politics/36426529-voloshin-nazval-biznes-klimat-osnovnym-usloviem-dlya-razvitiya-mfts-v-moskve" w:history="1">
        <w:r w:rsidRPr="00A11C6E">
          <w:rPr>
            <w:rStyle w:val="a9"/>
            <w:rFonts w:ascii="Times New Roman" w:hAnsi="Times New Roman" w:cs="Times New Roman"/>
            <w:color w:val="000000" w:themeColor="text1"/>
            <w:sz w:val="24"/>
            <w:szCs w:val="24"/>
            <w:u w:val="none"/>
          </w:rPr>
          <w:t>https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news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rambler</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ru</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politics</w:t>
        </w:r>
        <w:r w:rsidRPr="00A11C6E">
          <w:rPr>
            <w:rStyle w:val="a9"/>
            <w:rFonts w:ascii="Times New Roman" w:hAnsi="Times New Roman" w:cs="Times New Roman"/>
            <w:color w:val="000000" w:themeColor="text1"/>
            <w:sz w:val="24"/>
            <w:szCs w:val="24"/>
            <w:u w:val="none"/>
            <w:lang w:val="ru-RU"/>
          </w:rPr>
          <w:t>/36426529-</w:t>
        </w:r>
        <w:r w:rsidRPr="00A11C6E">
          <w:rPr>
            <w:rStyle w:val="a9"/>
            <w:rFonts w:ascii="Times New Roman" w:hAnsi="Times New Roman" w:cs="Times New Roman"/>
            <w:color w:val="000000" w:themeColor="text1"/>
            <w:sz w:val="24"/>
            <w:szCs w:val="24"/>
            <w:u w:val="none"/>
          </w:rPr>
          <w:t>voloshin</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nazval</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biznes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klimat</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osnovnym</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usloviem</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dlya</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razvitiya</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mfts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v</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moskve</w:t>
        </w:r>
      </w:hyperlink>
      <w:r w:rsidRPr="00A11C6E">
        <w:rPr>
          <w:rFonts w:ascii="Times New Roman" w:hAnsi="Times New Roman" w:cs="Times New Roman"/>
          <w:color w:val="000000" w:themeColor="text1"/>
          <w:sz w:val="24"/>
          <w:szCs w:val="24"/>
          <w:lang w:val="ru-RU"/>
        </w:rPr>
        <w:t xml:space="preserve"> (дата обращения: 01.03.2023)</w:t>
      </w:r>
      <w:bookmarkStart w:id="174" w:name="_Ref501574290"/>
      <w:bookmarkEnd w:id="170"/>
    </w:p>
    <w:p w14:paraId="79F2EB40"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 xml:space="preserve">Волошин: проектом по созданию МФЦ в надо заниматься дальше </w:t>
      </w:r>
      <w:r w:rsidRPr="00A11C6E">
        <w:rPr>
          <w:rFonts w:ascii="Times New Roman" w:hAnsi="Times New Roman" w:cs="Times New Roman"/>
          <w:color w:val="000000" w:themeColor="text1"/>
          <w:sz w:val="24"/>
          <w:szCs w:val="24"/>
          <w:lang w:val="ru-RU" w:eastAsia="zh-CN"/>
        </w:rPr>
        <w:t xml:space="preserve">[Электронный ресурс] // </w:t>
      </w:r>
      <w:r w:rsidRPr="00A11C6E">
        <w:rPr>
          <w:rFonts w:ascii="Times New Roman" w:hAnsi="Times New Roman" w:cs="Times New Roman"/>
          <w:color w:val="000000" w:themeColor="text1"/>
          <w:sz w:val="24"/>
          <w:szCs w:val="24"/>
          <w:lang w:eastAsia="zh-CN"/>
        </w:rPr>
        <w:t>Banki</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eastAsia="zh-CN"/>
        </w:rPr>
        <w:t>ru</w:t>
      </w:r>
      <w:r w:rsidRPr="00A11C6E">
        <w:rPr>
          <w:rFonts w:ascii="Times New Roman" w:hAnsi="Times New Roman" w:cs="Times New Roman"/>
          <w:color w:val="000000" w:themeColor="text1"/>
          <w:sz w:val="24"/>
          <w:szCs w:val="24"/>
          <w:lang w:val="ru-RU" w:eastAsia="zh-CN"/>
        </w:rPr>
        <w:t xml:space="preserve">. – 12.04.2016. </w:t>
      </w:r>
      <w:r w:rsidRPr="00A11C6E">
        <w:rPr>
          <w:rFonts w:ascii="Times New Roman" w:hAnsi="Times New Roman" w:cs="Times New Roman"/>
          <w:color w:val="000000" w:themeColor="text1"/>
          <w:sz w:val="24"/>
          <w:szCs w:val="24"/>
          <w:lang w:val="ru-RU"/>
        </w:rPr>
        <w:t xml:space="preserve">–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https://www.banki.ru/news/lenta/?id=8847716 (дата обращения: 01.03.2023)</w:t>
      </w:r>
      <w:bookmarkEnd w:id="171"/>
      <w:bookmarkEnd w:id="174"/>
      <w:r w:rsidRPr="00A11C6E">
        <w:rPr>
          <w:rFonts w:ascii="Times New Roman" w:hAnsi="Times New Roman" w:cs="Times New Roman"/>
          <w:color w:val="000000" w:themeColor="text1"/>
          <w:sz w:val="24"/>
          <w:szCs w:val="24"/>
          <w:lang w:val="ru-RU"/>
        </w:rPr>
        <w:t xml:space="preserve"> </w:t>
      </w:r>
      <w:bookmarkEnd w:id="172"/>
    </w:p>
    <w:p w14:paraId="7737DDA6" w14:textId="6BDAFB01"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ВТБ провёл первую международную операцию в юанях </w:t>
      </w:r>
      <w:r w:rsidR="00861A7F" w:rsidRPr="00A11C6E">
        <w:rPr>
          <w:rFonts w:ascii="Times New Roman" w:hAnsi="Times New Roman" w:cs="Times New Roman"/>
          <w:color w:val="000000" w:themeColor="text1"/>
          <w:sz w:val="24"/>
          <w:szCs w:val="24"/>
          <w:lang w:val="ru-RU" w:eastAsia="zh-CN"/>
        </w:rPr>
        <w:t>[Электронный ресурс] /</w:t>
      </w:r>
      <w:r w:rsidRPr="00A11C6E">
        <w:rPr>
          <w:rFonts w:ascii="Times New Roman" w:hAnsi="Times New Roman" w:cs="Times New Roman"/>
          <w:color w:val="000000" w:themeColor="text1"/>
          <w:sz w:val="24"/>
          <w:szCs w:val="24"/>
          <w:lang w:val="ru-RU" w:eastAsia="zh-CN"/>
        </w:rPr>
        <w:t>/</w:t>
      </w:r>
      <w:r w:rsidR="00861A7F"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Lenta</w:t>
      </w:r>
      <w:r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eastAsia="zh-CN"/>
        </w:rPr>
        <w:t>ru</w:t>
      </w:r>
      <w:r w:rsidR="00861A7F" w:rsidRPr="00A11C6E">
        <w:rPr>
          <w:rFonts w:ascii="Times New Roman" w:hAnsi="Times New Roman" w:cs="Times New Roman"/>
          <w:color w:val="000000" w:themeColor="text1"/>
          <w:sz w:val="24"/>
          <w:szCs w:val="24"/>
          <w:lang w:val="ru-RU" w:eastAsia="zh-CN"/>
        </w:rPr>
        <w:t>. – 05.21.2014. – Режим доступа:</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hyperlink r:id="rId90" w:tooltip="http://lenta.ru/news/2014/05/21/yuan" w:history="1">
        <w:r w:rsidRPr="00A11C6E">
          <w:rPr>
            <w:rStyle w:val="a9"/>
            <w:rFonts w:ascii="Times New Roman" w:hAnsi="Times New Roman" w:cs="Times New Roman"/>
            <w:color w:val="000000" w:themeColor="text1"/>
            <w:sz w:val="24"/>
            <w:szCs w:val="24"/>
            <w:u w:val="none"/>
          </w:rPr>
          <w:t>http</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lenta</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ru</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news</w:t>
        </w:r>
        <w:r w:rsidRPr="00A11C6E">
          <w:rPr>
            <w:rStyle w:val="a9"/>
            <w:rFonts w:ascii="Times New Roman" w:hAnsi="Times New Roman" w:cs="Times New Roman"/>
            <w:color w:val="000000" w:themeColor="text1"/>
            <w:sz w:val="24"/>
            <w:szCs w:val="24"/>
            <w:u w:val="none"/>
            <w:lang w:val="ru-RU"/>
          </w:rPr>
          <w:t>/2014/05/21/</w:t>
        </w:r>
        <w:r w:rsidRPr="00A11C6E">
          <w:rPr>
            <w:rStyle w:val="a9"/>
            <w:rFonts w:ascii="Times New Roman" w:hAnsi="Times New Roman" w:cs="Times New Roman"/>
            <w:color w:val="000000" w:themeColor="text1"/>
            <w:sz w:val="24"/>
            <w:szCs w:val="24"/>
            <w:u w:val="none"/>
          </w:rPr>
          <w:t>yuan</w:t>
        </w:r>
      </w:hyperlink>
      <w:r w:rsidRPr="00A11C6E">
        <w:rPr>
          <w:rFonts w:ascii="Times New Roman" w:hAnsi="Times New Roman" w:cs="Times New Roman"/>
          <w:color w:val="000000" w:themeColor="text1"/>
          <w:sz w:val="24"/>
          <w:szCs w:val="24"/>
          <w:lang w:val="ru-RU"/>
        </w:rPr>
        <w:t xml:space="preserve">  (дата обращения: 22.09.2014).</w:t>
      </w:r>
      <w:bookmarkStart w:id="175" w:name="_Ref498100841"/>
      <w:bookmarkEnd w:id="173"/>
    </w:p>
    <w:p w14:paraId="762F5262" w14:textId="74493EB7" w:rsidR="009707F0"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Для развития МФЦ в Москве будет создана новая Дорожная карта </w:t>
      </w:r>
      <w:r w:rsidRPr="00A11C6E">
        <w:rPr>
          <w:rFonts w:ascii="Times New Roman" w:hAnsi="Times New Roman" w:cs="Times New Roman"/>
          <w:color w:val="000000" w:themeColor="text1"/>
          <w:sz w:val="24"/>
          <w:szCs w:val="24"/>
          <w:lang w:val="ru-RU" w:eastAsia="zh-CN"/>
        </w:rPr>
        <w:t xml:space="preserve">[Электронный ресурс] // </w:t>
      </w:r>
      <w:r w:rsidR="00861A7F" w:rsidRPr="00A11C6E">
        <w:rPr>
          <w:rFonts w:ascii="Times New Roman" w:hAnsi="Times New Roman" w:cs="Times New Roman"/>
          <w:color w:val="000000" w:themeColor="text1"/>
          <w:sz w:val="24"/>
          <w:szCs w:val="24"/>
          <w:lang w:val="ru-RU" w:eastAsia="zh-CN"/>
        </w:rPr>
        <w:t xml:space="preserve">Портал «Москва: международный финансовый центр». </w:t>
      </w:r>
      <w:r w:rsidRPr="00A11C6E">
        <w:rPr>
          <w:rFonts w:ascii="Times New Roman" w:hAnsi="Times New Roman" w:cs="Times New Roman"/>
          <w:color w:val="000000" w:themeColor="text1"/>
          <w:sz w:val="24"/>
          <w:szCs w:val="24"/>
          <w:lang w:val="ru-RU"/>
        </w:rPr>
        <w:t xml:space="preserve">–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rPr>
        <w:t>http</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www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mfc</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moscow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com</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index</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php</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id</w:t>
      </w:r>
      <w:r w:rsidRPr="00A11C6E">
        <w:rPr>
          <w:rFonts w:ascii="Times New Roman" w:hAnsi="Times New Roman" w:cs="Times New Roman"/>
          <w:color w:val="000000" w:themeColor="text1"/>
          <w:sz w:val="24"/>
          <w:szCs w:val="24"/>
          <w:lang w:val="ru-RU"/>
        </w:rPr>
        <w:t>=91&amp;_</w:t>
      </w:r>
      <w:r w:rsidRPr="00A11C6E">
        <w:rPr>
          <w:rFonts w:ascii="Times New Roman" w:hAnsi="Times New Roman" w:cs="Times New Roman"/>
          <w:color w:val="000000" w:themeColor="text1"/>
          <w:sz w:val="24"/>
          <w:szCs w:val="24"/>
        </w:rPr>
        <w:t>shst</w:t>
      </w:r>
      <w:r w:rsidRPr="00A11C6E">
        <w:rPr>
          <w:rFonts w:ascii="Times New Roman" w:hAnsi="Times New Roman" w:cs="Times New Roman"/>
          <w:color w:val="000000" w:themeColor="text1"/>
          <w:sz w:val="24"/>
          <w:szCs w:val="24"/>
          <w:lang w:val="ru-RU"/>
        </w:rPr>
        <w:t>=4&amp;_</w:t>
      </w:r>
      <w:r w:rsidRPr="00A11C6E">
        <w:rPr>
          <w:rFonts w:ascii="Times New Roman" w:hAnsi="Times New Roman" w:cs="Times New Roman"/>
          <w:color w:val="000000" w:themeColor="text1"/>
          <w:sz w:val="24"/>
          <w:szCs w:val="24"/>
        </w:rPr>
        <w:t>pgrid</w:t>
      </w:r>
      <w:r w:rsidRPr="00A11C6E">
        <w:rPr>
          <w:rFonts w:ascii="Times New Roman" w:hAnsi="Times New Roman" w:cs="Times New Roman"/>
          <w:color w:val="000000" w:themeColor="text1"/>
          <w:sz w:val="24"/>
          <w:szCs w:val="24"/>
          <w:lang w:val="ru-RU"/>
        </w:rPr>
        <w:t>=1&amp;_</w:t>
      </w:r>
      <w:r w:rsidRPr="00A11C6E">
        <w:rPr>
          <w:rFonts w:ascii="Times New Roman" w:hAnsi="Times New Roman" w:cs="Times New Roman"/>
          <w:color w:val="000000" w:themeColor="text1"/>
          <w:sz w:val="24"/>
          <w:szCs w:val="24"/>
        </w:rPr>
        <w:t>publid</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n</w:t>
      </w:r>
      <w:r w:rsidRPr="00A11C6E">
        <w:rPr>
          <w:rFonts w:ascii="Times New Roman" w:hAnsi="Times New Roman" w:cs="Times New Roman"/>
          <w:color w:val="000000" w:themeColor="text1"/>
          <w:sz w:val="24"/>
          <w:szCs w:val="24"/>
          <w:lang w:val="ru-RU"/>
        </w:rPr>
        <w:t>2605 (дата обращения: 01.03.2023).</w:t>
      </w:r>
      <w:bookmarkStart w:id="176" w:name="_Ref459295716"/>
      <w:bookmarkEnd w:id="175"/>
    </w:p>
    <w:p w14:paraId="7CF54770" w14:textId="4F20AA4F" w:rsidR="00FE54C9" w:rsidRPr="00A11C6E" w:rsidRDefault="00FE54C9"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Инвестиционное поведение и инвестиционные ожидания российских начинающих инвесторов в крупных городах. Сентябрь 2021 [Электронный ресурс] / </w:t>
      </w:r>
      <w:r w:rsidRPr="00A11C6E">
        <w:rPr>
          <w:rFonts w:ascii="Times New Roman" w:hAnsi="Times New Roman" w:cs="Times New Roman"/>
          <w:color w:val="000000" w:themeColor="text1"/>
          <w:sz w:val="24"/>
          <w:szCs w:val="24"/>
        </w:rPr>
        <w:t>MARCS</w:t>
      </w:r>
      <w:r w:rsidRPr="00A11C6E">
        <w:rPr>
          <w:rFonts w:ascii="Times New Roman" w:hAnsi="Times New Roman" w:cs="Times New Roman"/>
          <w:color w:val="000000" w:themeColor="text1"/>
          <w:sz w:val="24"/>
          <w:szCs w:val="24"/>
          <w:lang w:val="ru-RU"/>
        </w:rPr>
        <w:t xml:space="preserve"> по заказу Банка России. – Режим </w:t>
      </w:r>
      <w:r w:rsidRPr="00573DAD">
        <w:rPr>
          <w:rFonts w:ascii="Times New Roman" w:hAnsi="Times New Roman" w:cs="Times New Roman"/>
          <w:color w:val="000000" w:themeColor="text1"/>
          <w:sz w:val="24"/>
          <w:szCs w:val="24"/>
          <w:lang w:val="ru-RU"/>
        </w:rPr>
        <w:t xml:space="preserve">доступа: </w:t>
      </w:r>
      <w:r w:rsidRPr="00573DAD">
        <w:rPr>
          <w:rFonts w:ascii="Times New Roman" w:hAnsi="Times New Roman" w:cs="Times New Roman"/>
          <w:color w:val="000000" w:themeColor="text1"/>
          <w:sz w:val="24"/>
          <w:szCs w:val="24"/>
        </w:rPr>
        <w:t>URL</w:t>
      </w:r>
      <w:r w:rsidRPr="00573DAD">
        <w:rPr>
          <w:rFonts w:ascii="Times New Roman" w:hAnsi="Times New Roman" w:cs="Times New Roman"/>
          <w:color w:val="000000" w:themeColor="text1"/>
          <w:sz w:val="24"/>
          <w:szCs w:val="24"/>
          <w:lang w:val="ru-RU"/>
        </w:rPr>
        <w:t xml:space="preserve">: </w:t>
      </w:r>
      <w:hyperlink r:id="rId91" w:history="1">
        <w:r w:rsidRPr="00573DAD">
          <w:rPr>
            <w:rStyle w:val="a9"/>
            <w:rFonts w:ascii="Times New Roman" w:hAnsi="Times New Roman" w:cs="Times New Roman"/>
            <w:color w:val="000000" w:themeColor="text1"/>
            <w:sz w:val="24"/>
            <w:szCs w:val="24"/>
            <w:u w:val="none"/>
            <w:lang w:val="ru-RU"/>
          </w:rPr>
          <w:t>https://cbr.ru/StaticHtml/File/41186/info_2021-10-06.pdf</w:t>
        </w:r>
      </w:hyperlink>
      <w:r w:rsidRPr="00573DAD">
        <w:rPr>
          <w:rFonts w:ascii="Times New Roman" w:hAnsi="Times New Roman" w:cs="Times New Roman"/>
          <w:color w:val="000000" w:themeColor="text1"/>
          <w:sz w:val="24"/>
          <w:szCs w:val="24"/>
          <w:lang w:val="ru-RU"/>
        </w:rPr>
        <w:t xml:space="preserve"> (дата обращения: 05.04.2023). </w:t>
      </w:r>
    </w:p>
    <w:p w14:paraId="1B131942" w14:textId="7770E941" w:rsidR="00030650" w:rsidRPr="00A11C6E" w:rsidRDefault="00030650"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sz w:val="24"/>
          <w:szCs w:val="24"/>
          <w:lang w:val="ru-RU"/>
        </w:rPr>
        <w:t>Информационно-аналитический доклад 2011 тематической группы по взаимодействию в банковской сфере</w:t>
      </w:r>
      <w:r w:rsidR="009707F0" w:rsidRPr="00A11C6E">
        <w:rPr>
          <w:rFonts w:ascii="Times New Roman" w:hAnsi="Times New Roman" w:cs="Times New Roman"/>
          <w:color w:val="000000"/>
          <w:sz w:val="24"/>
          <w:szCs w:val="24"/>
          <w:lang w:val="ru-RU"/>
        </w:rPr>
        <w:t xml:space="preserve"> </w:t>
      </w:r>
      <w:r w:rsidR="00861A7F" w:rsidRPr="00A11C6E">
        <w:rPr>
          <w:rFonts w:ascii="Times New Roman" w:hAnsi="Times New Roman" w:cs="Times New Roman"/>
          <w:color w:val="000000" w:themeColor="text1"/>
          <w:sz w:val="24"/>
          <w:szCs w:val="24"/>
          <w:lang w:val="ru-RU" w:eastAsia="zh-CN"/>
        </w:rPr>
        <w:t xml:space="preserve">[Электронный ресурс] – </w:t>
      </w:r>
      <w:r w:rsidR="009707F0" w:rsidRPr="00A11C6E">
        <w:rPr>
          <w:rFonts w:ascii="Times New Roman" w:hAnsi="Times New Roman" w:cs="Times New Roman"/>
          <w:color w:val="000000" w:themeColor="text1"/>
          <w:sz w:val="24"/>
          <w:szCs w:val="24"/>
          <w:lang w:val="ru-RU" w:eastAsia="zh-CN"/>
        </w:rPr>
        <w:t xml:space="preserve">Режим доступа: </w:t>
      </w:r>
      <w:r w:rsidR="009707F0" w:rsidRPr="00A11C6E">
        <w:rPr>
          <w:rFonts w:ascii="Times New Roman" w:hAnsi="Times New Roman" w:cs="Times New Roman"/>
          <w:color w:val="000000" w:themeColor="text1"/>
          <w:sz w:val="24"/>
          <w:szCs w:val="24"/>
          <w:lang w:eastAsia="zh-CN"/>
        </w:rPr>
        <w:t>URL</w:t>
      </w:r>
      <w:r w:rsidR="009707F0" w:rsidRPr="00A11C6E">
        <w:rPr>
          <w:rFonts w:ascii="Times New Roman" w:hAnsi="Times New Roman" w:cs="Times New Roman"/>
          <w:color w:val="000000" w:themeColor="text1"/>
          <w:sz w:val="24"/>
          <w:szCs w:val="24"/>
          <w:lang w:val="ru-RU" w:eastAsia="zh-CN"/>
        </w:rPr>
        <w:t xml:space="preserve">: </w:t>
      </w:r>
      <w:r w:rsidR="009707F0" w:rsidRPr="00A11C6E">
        <w:rPr>
          <w:rFonts w:ascii="Times New Roman" w:hAnsi="Times New Roman" w:cs="Times New Roman"/>
          <w:color w:val="000000" w:themeColor="text1"/>
          <w:sz w:val="24"/>
          <w:szCs w:val="24"/>
          <w:lang w:eastAsia="zh-CN"/>
        </w:rPr>
        <w:t>https</w:t>
      </w:r>
      <w:r w:rsidR="009707F0" w:rsidRPr="00A11C6E">
        <w:rPr>
          <w:rFonts w:ascii="Times New Roman" w:hAnsi="Times New Roman" w:cs="Times New Roman"/>
          <w:color w:val="000000" w:themeColor="text1"/>
          <w:sz w:val="24"/>
          <w:szCs w:val="24"/>
          <w:lang w:val="ru-RU" w:eastAsia="zh-CN"/>
        </w:rPr>
        <w:t>://</w:t>
      </w:r>
      <w:r w:rsidR="009707F0" w:rsidRPr="00A11C6E">
        <w:rPr>
          <w:rFonts w:ascii="Times New Roman" w:hAnsi="Times New Roman" w:cs="Times New Roman"/>
          <w:color w:val="000000" w:themeColor="text1"/>
          <w:sz w:val="24"/>
          <w:szCs w:val="24"/>
          <w:lang w:eastAsia="zh-CN"/>
        </w:rPr>
        <w:t>mfc</w:t>
      </w:r>
      <w:r w:rsidR="009707F0" w:rsidRPr="00A11C6E">
        <w:rPr>
          <w:rFonts w:ascii="Times New Roman" w:hAnsi="Times New Roman" w:cs="Times New Roman"/>
          <w:color w:val="000000" w:themeColor="text1"/>
          <w:sz w:val="24"/>
          <w:szCs w:val="24"/>
          <w:lang w:val="ru-RU" w:eastAsia="zh-CN"/>
        </w:rPr>
        <w:t>-</w:t>
      </w:r>
      <w:r w:rsidR="009707F0" w:rsidRPr="00A11C6E">
        <w:rPr>
          <w:rFonts w:ascii="Times New Roman" w:hAnsi="Times New Roman" w:cs="Times New Roman"/>
          <w:color w:val="000000" w:themeColor="text1"/>
          <w:sz w:val="24"/>
          <w:szCs w:val="24"/>
          <w:lang w:eastAsia="zh-CN"/>
        </w:rPr>
        <w:t>moscow</w:t>
      </w:r>
      <w:r w:rsidR="009707F0" w:rsidRPr="00A11C6E">
        <w:rPr>
          <w:rFonts w:ascii="Times New Roman" w:hAnsi="Times New Roman" w:cs="Times New Roman"/>
          <w:color w:val="000000" w:themeColor="text1"/>
          <w:sz w:val="24"/>
          <w:szCs w:val="24"/>
          <w:lang w:val="ru-RU" w:eastAsia="zh-CN"/>
        </w:rPr>
        <w:t>.</w:t>
      </w:r>
      <w:r w:rsidR="009707F0" w:rsidRPr="00A11C6E">
        <w:rPr>
          <w:rFonts w:ascii="Times New Roman" w:hAnsi="Times New Roman" w:cs="Times New Roman"/>
          <w:color w:val="000000" w:themeColor="text1"/>
          <w:sz w:val="24"/>
          <w:szCs w:val="24"/>
          <w:lang w:eastAsia="zh-CN"/>
        </w:rPr>
        <w:t>com</w:t>
      </w:r>
      <w:r w:rsidR="009707F0" w:rsidRPr="00A11C6E">
        <w:rPr>
          <w:rFonts w:ascii="Times New Roman" w:hAnsi="Times New Roman" w:cs="Times New Roman"/>
          <w:color w:val="000000" w:themeColor="text1"/>
          <w:sz w:val="24"/>
          <w:szCs w:val="24"/>
          <w:lang w:val="ru-RU" w:eastAsia="zh-CN"/>
        </w:rPr>
        <w:t>/</w:t>
      </w:r>
      <w:r w:rsidR="009707F0" w:rsidRPr="00A11C6E">
        <w:rPr>
          <w:rFonts w:ascii="Times New Roman" w:hAnsi="Times New Roman" w:cs="Times New Roman"/>
          <w:color w:val="000000" w:themeColor="text1"/>
          <w:sz w:val="24"/>
          <w:szCs w:val="24"/>
          <w:lang w:eastAsia="zh-CN"/>
        </w:rPr>
        <w:t>assets</w:t>
      </w:r>
      <w:r w:rsidR="009707F0" w:rsidRPr="00A11C6E">
        <w:rPr>
          <w:rFonts w:ascii="Times New Roman" w:hAnsi="Times New Roman" w:cs="Times New Roman"/>
          <w:color w:val="000000" w:themeColor="text1"/>
          <w:sz w:val="24"/>
          <w:szCs w:val="24"/>
          <w:lang w:val="ru-RU" w:eastAsia="zh-CN"/>
        </w:rPr>
        <w:t>/</w:t>
      </w:r>
      <w:r w:rsidR="009707F0" w:rsidRPr="00A11C6E">
        <w:rPr>
          <w:rFonts w:ascii="Times New Roman" w:hAnsi="Times New Roman" w:cs="Times New Roman"/>
          <w:color w:val="000000" w:themeColor="text1"/>
          <w:sz w:val="24"/>
          <w:szCs w:val="24"/>
          <w:lang w:eastAsia="zh-CN"/>
        </w:rPr>
        <w:t>files</w:t>
      </w:r>
      <w:r w:rsidR="009707F0" w:rsidRPr="00A11C6E">
        <w:rPr>
          <w:rFonts w:ascii="Times New Roman" w:hAnsi="Times New Roman" w:cs="Times New Roman"/>
          <w:color w:val="000000" w:themeColor="text1"/>
          <w:sz w:val="24"/>
          <w:szCs w:val="24"/>
          <w:lang w:val="ru-RU" w:eastAsia="zh-CN"/>
        </w:rPr>
        <w:t>/</w:t>
      </w:r>
      <w:r w:rsidR="009707F0" w:rsidRPr="00A11C6E">
        <w:rPr>
          <w:rFonts w:ascii="Times New Roman" w:hAnsi="Times New Roman" w:cs="Times New Roman"/>
          <w:color w:val="000000" w:themeColor="text1"/>
          <w:sz w:val="24"/>
          <w:szCs w:val="24"/>
          <w:lang w:eastAsia="zh-CN"/>
        </w:rPr>
        <w:t>analytics</w:t>
      </w:r>
      <w:r w:rsidR="009707F0" w:rsidRPr="00A11C6E">
        <w:rPr>
          <w:rFonts w:ascii="Times New Roman" w:hAnsi="Times New Roman" w:cs="Times New Roman"/>
          <w:color w:val="000000" w:themeColor="text1"/>
          <w:sz w:val="24"/>
          <w:szCs w:val="24"/>
          <w:lang w:val="ru-RU" w:eastAsia="zh-CN"/>
        </w:rPr>
        <w:t>/</w:t>
      </w:r>
      <w:r w:rsidR="009707F0" w:rsidRPr="00A11C6E">
        <w:rPr>
          <w:rFonts w:ascii="Times New Roman" w:hAnsi="Times New Roman" w:cs="Times New Roman"/>
          <w:color w:val="000000" w:themeColor="text1"/>
          <w:sz w:val="24"/>
          <w:szCs w:val="24"/>
          <w:lang w:eastAsia="zh-CN"/>
        </w:rPr>
        <w:t>doklad</w:t>
      </w:r>
      <w:r w:rsidR="009707F0" w:rsidRPr="00A11C6E">
        <w:rPr>
          <w:rFonts w:ascii="Times New Roman" w:hAnsi="Times New Roman" w:cs="Times New Roman"/>
          <w:color w:val="000000" w:themeColor="text1"/>
          <w:sz w:val="24"/>
          <w:szCs w:val="24"/>
          <w:lang w:val="ru-RU" w:eastAsia="zh-CN"/>
        </w:rPr>
        <w:t>_</w:t>
      </w:r>
      <w:r w:rsidR="009707F0" w:rsidRPr="00A11C6E">
        <w:rPr>
          <w:rFonts w:ascii="Times New Roman" w:hAnsi="Times New Roman" w:cs="Times New Roman"/>
          <w:color w:val="000000" w:themeColor="text1"/>
          <w:sz w:val="24"/>
          <w:szCs w:val="24"/>
          <w:lang w:eastAsia="zh-CN"/>
        </w:rPr>
        <w:t>svod</w:t>
      </w:r>
      <w:r w:rsidR="009707F0" w:rsidRPr="00A11C6E">
        <w:rPr>
          <w:rFonts w:ascii="Times New Roman" w:hAnsi="Times New Roman" w:cs="Times New Roman"/>
          <w:color w:val="000000" w:themeColor="text1"/>
          <w:sz w:val="24"/>
          <w:szCs w:val="24"/>
          <w:lang w:val="ru-RU" w:eastAsia="zh-CN"/>
        </w:rPr>
        <w:t>.</w:t>
      </w:r>
      <w:r w:rsidR="009707F0" w:rsidRPr="00A11C6E">
        <w:rPr>
          <w:rFonts w:ascii="Times New Roman" w:hAnsi="Times New Roman" w:cs="Times New Roman"/>
          <w:color w:val="000000" w:themeColor="text1"/>
          <w:sz w:val="24"/>
          <w:szCs w:val="24"/>
          <w:lang w:eastAsia="zh-CN"/>
        </w:rPr>
        <w:t>pdf</w:t>
      </w:r>
      <w:r w:rsidR="009707F0" w:rsidRPr="00A11C6E">
        <w:rPr>
          <w:rFonts w:ascii="Times New Roman" w:hAnsi="Times New Roman" w:cs="Times New Roman"/>
          <w:color w:val="000000" w:themeColor="text1"/>
          <w:sz w:val="24"/>
          <w:szCs w:val="24"/>
          <w:lang w:val="ru-RU" w:eastAsia="zh-CN"/>
        </w:rPr>
        <w:t xml:space="preserve"> </w:t>
      </w:r>
      <w:r w:rsidR="009707F0" w:rsidRPr="00A11C6E">
        <w:rPr>
          <w:rFonts w:ascii="Times New Roman" w:hAnsi="Times New Roman" w:cs="Times New Roman"/>
          <w:color w:val="000000" w:themeColor="text1"/>
          <w:sz w:val="24"/>
          <w:szCs w:val="24"/>
          <w:lang w:val="ru-RU"/>
        </w:rPr>
        <w:t>(дата обращения: 01.03.2023).</w:t>
      </w:r>
    </w:p>
    <w:p w14:paraId="5139C837" w14:textId="4B8B880E"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Кирьян, П. Владимир Евтушенков – РБК: «Даже когда вас съели, у вас есть два выхода» </w:t>
      </w:r>
      <w:r w:rsidR="00861A7F" w:rsidRPr="00A11C6E">
        <w:rPr>
          <w:rFonts w:ascii="Times New Roman" w:hAnsi="Times New Roman" w:cs="Times New Roman"/>
          <w:color w:val="000000" w:themeColor="text1"/>
          <w:sz w:val="24"/>
          <w:szCs w:val="24"/>
          <w:lang w:val="ru-RU" w:eastAsia="zh-CN"/>
        </w:rPr>
        <w:t xml:space="preserve">[Электронный ресурс] </w:t>
      </w:r>
      <w:r w:rsidRPr="00A11C6E">
        <w:rPr>
          <w:rFonts w:ascii="Times New Roman" w:hAnsi="Times New Roman" w:cs="Times New Roman"/>
          <w:color w:val="000000" w:themeColor="text1"/>
          <w:sz w:val="24"/>
          <w:szCs w:val="24"/>
          <w:lang w:val="ru-RU"/>
        </w:rPr>
        <w:t>/</w:t>
      </w:r>
      <w:r w:rsidR="00861A7F"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rPr>
        <w:t xml:space="preserve">П. Кирьян </w:t>
      </w:r>
      <w:r w:rsidRPr="00A11C6E">
        <w:rPr>
          <w:rFonts w:ascii="Times New Roman" w:hAnsi="Times New Roman" w:cs="Times New Roman"/>
          <w:color w:val="000000" w:themeColor="text1"/>
          <w:sz w:val="24"/>
          <w:szCs w:val="24"/>
          <w:lang w:val="ru-RU" w:eastAsia="zh-CN"/>
        </w:rPr>
        <w:t>// РБК. – 23.04.2014. – Режим доступа:</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A11C6E">
        <w:rPr>
          <w:rFonts w:ascii="Times New Roman" w:hAnsi="Times New Roman" w:cs="Times New Roman"/>
          <w:sz w:val="24"/>
          <w:szCs w:val="24"/>
        </w:rPr>
        <w:t>https</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ufa</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rbc</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ru</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ufa</w:t>
      </w:r>
      <w:r w:rsidRPr="00A11C6E">
        <w:rPr>
          <w:rFonts w:ascii="Times New Roman" w:hAnsi="Times New Roman" w:cs="Times New Roman"/>
          <w:sz w:val="24"/>
          <w:szCs w:val="24"/>
          <w:lang w:val="ru-RU"/>
        </w:rPr>
        <w:t>/23/05/2014/559291569</w:t>
      </w:r>
      <w:r w:rsidRPr="00A11C6E">
        <w:rPr>
          <w:rFonts w:ascii="Times New Roman" w:hAnsi="Times New Roman" w:cs="Times New Roman"/>
          <w:sz w:val="24"/>
          <w:szCs w:val="24"/>
        </w:rPr>
        <w:t>a</w:t>
      </w:r>
      <w:r w:rsidRPr="00A11C6E">
        <w:rPr>
          <w:rFonts w:ascii="Times New Roman" w:hAnsi="Times New Roman" w:cs="Times New Roman"/>
          <w:sz w:val="24"/>
          <w:szCs w:val="24"/>
          <w:lang w:val="ru-RU"/>
        </w:rPr>
        <w:t>794751</w:t>
      </w:r>
      <w:r w:rsidRPr="00A11C6E">
        <w:rPr>
          <w:rFonts w:ascii="Times New Roman" w:hAnsi="Times New Roman" w:cs="Times New Roman"/>
          <w:sz w:val="24"/>
          <w:szCs w:val="24"/>
        </w:rPr>
        <w:t>dc</w:t>
      </w:r>
      <w:r w:rsidRPr="00A11C6E">
        <w:rPr>
          <w:rFonts w:ascii="Times New Roman" w:hAnsi="Times New Roman" w:cs="Times New Roman"/>
          <w:sz w:val="24"/>
          <w:szCs w:val="24"/>
          <w:lang w:val="ru-RU"/>
        </w:rPr>
        <w:t>83687</w:t>
      </w:r>
      <w:r w:rsidRPr="00A11C6E">
        <w:rPr>
          <w:rFonts w:ascii="Times New Roman" w:hAnsi="Times New Roman" w:cs="Times New Roman"/>
          <w:sz w:val="24"/>
          <w:szCs w:val="24"/>
        </w:rPr>
        <w:t>e</w:t>
      </w:r>
      <w:r w:rsidRPr="00A11C6E">
        <w:rPr>
          <w:rFonts w:ascii="Times New Roman" w:hAnsi="Times New Roman" w:cs="Times New Roman"/>
          <w:color w:val="000000" w:themeColor="text1"/>
          <w:sz w:val="24"/>
          <w:szCs w:val="24"/>
          <w:lang w:val="ru-RU"/>
        </w:rPr>
        <w:t xml:space="preserve"> (дата обращения: 01.03.2023).</w:t>
      </w:r>
      <w:bookmarkStart w:id="177" w:name="_Ref459294955"/>
      <w:bookmarkEnd w:id="176"/>
    </w:p>
    <w:p w14:paraId="30C2D89F" w14:textId="12882DA3"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Китай заблокировал доступ к </w:t>
      </w:r>
      <w:r w:rsidRPr="00A11C6E">
        <w:rPr>
          <w:rFonts w:ascii="Times New Roman" w:hAnsi="Times New Roman" w:cs="Times New Roman"/>
          <w:color w:val="000000" w:themeColor="text1"/>
          <w:sz w:val="24"/>
          <w:szCs w:val="24"/>
        </w:rPr>
        <w:t>Youtub</w:t>
      </w:r>
      <w:r w:rsidRPr="00A11C6E">
        <w:rPr>
          <w:rFonts w:ascii="Times New Roman" w:hAnsi="Times New Roman" w:cs="Times New Roman"/>
          <w:color w:val="000000" w:themeColor="text1"/>
          <w:sz w:val="24"/>
          <w:szCs w:val="24"/>
          <w:lang w:val="ru-RU"/>
        </w:rPr>
        <w:t xml:space="preserve">e </w:t>
      </w:r>
      <w:r w:rsidRPr="00A11C6E">
        <w:rPr>
          <w:rFonts w:ascii="Times New Roman" w:hAnsi="Times New Roman" w:cs="Times New Roman"/>
          <w:color w:val="000000" w:themeColor="text1"/>
          <w:sz w:val="24"/>
          <w:szCs w:val="24"/>
          <w:lang w:val="ru-RU" w:eastAsia="zh-CN"/>
        </w:rPr>
        <w:t xml:space="preserve">[Электронный ресурс] </w:t>
      </w:r>
      <w:r w:rsidRPr="00A11C6E">
        <w:rPr>
          <w:rFonts w:ascii="Times New Roman" w:hAnsi="Times New Roman" w:cs="Times New Roman"/>
          <w:color w:val="000000" w:themeColor="text1"/>
          <w:sz w:val="24"/>
          <w:szCs w:val="24"/>
          <w:lang w:val="ru-RU"/>
        </w:rPr>
        <w:t>// Вести.</w:t>
      </w:r>
      <w:r w:rsidRPr="00A11C6E">
        <w:rPr>
          <w:rFonts w:ascii="Times New Roman" w:hAnsi="Times New Roman" w:cs="Times New Roman"/>
          <w:color w:val="000000" w:themeColor="text1"/>
          <w:sz w:val="24"/>
          <w:szCs w:val="24"/>
        </w:rPr>
        <w:t>Ne</w:t>
      </w:r>
      <w:r w:rsidRPr="00A11C6E">
        <w:rPr>
          <w:rFonts w:ascii="Times New Roman" w:hAnsi="Times New Roman" w:cs="Times New Roman"/>
          <w:color w:val="000000" w:themeColor="text1"/>
          <w:sz w:val="24"/>
          <w:szCs w:val="24"/>
          <w:lang w:val="ru-RU"/>
        </w:rPr>
        <w:t xml:space="preserve">t. – 25.03.2009. </w:t>
      </w:r>
      <w:r w:rsidRPr="00A11C6E">
        <w:rPr>
          <w:rFonts w:ascii="Times New Roman" w:hAnsi="Times New Roman" w:cs="Times New Roman"/>
          <w:color w:val="000000" w:themeColor="text1"/>
          <w:sz w:val="24"/>
          <w:szCs w:val="24"/>
          <w:lang w:val="ru-RU" w:eastAsia="zh-CN"/>
        </w:rPr>
        <w:t xml:space="preserve">– Режим доступа: </w:t>
      </w:r>
      <w:r w:rsidRPr="00A11C6E">
        <w:rPr>
          <w:rFonts w:ascii="Times New Roman" w:hAnsi="Times New Roman" w:cs="Times New Roman"/>
          <w:color w:val="000000" w:themeColor="text1"/>
          <w:sz w:val="24"/>
          <w:szCs w:val="24"/>
        </w:rPr>
        <w:t>UR</w:t>
      </w:r>
      <w:r w:rsidRPr="00A11C6E">
        <w:rPr>
          <w:rFonts w:ascii="Times New Roman" w:hAnsi="Times New Roman" w:cs="Times New Roman"/>
          <w:color w:val="000000" w:themeColor="text1"/>
          <w:sz w:val="24"/>
          <w:szCs w:val="24"/>
          <w:lang w:val="ru-RU"/>
        </w:rPr>
        <w:t xml:space="preserve">L: </w:t>
      </w:r>
      <w:hyperlink r:id="rId92" w:tooltip="http://www.vesti.ru/doc.html?id=267171" w:history="1">
        <w:r w:rsidRPr="00A11C6E">
          <w:rPr>
            <w:rStyle w:val="a9"/>
            <w:rFonts w:ascii="Times New Roman" w:hAnsi="Times New Roman" w:cs="Times New Roman"/>
            <w:color w:val="000000" w:themeColor="text1"/>
            <w:sz w:val="24"/>
            <w:szCs w:val="24"/>
            <w:u w:val="none"/>
          </w:rPr>
          <w:t>htt</w:t>
        </w:r>
        <w:r w:rsidRPr="00A11C6E">
          <w:rPr>
            <w:rStyle w:val="a9"/>
            <w:rFonts w:ascii="Times New Roman" w:hAnsi="Times New Roman" w:cs="Times New Roman"/>
            <w:color w:val="000000" w:themeColor="text1"/>
            <w:sz w:val="24"/>
            <w:szCs w:val="24"/>
            <w:u w:val="none"/>
            <w:lang w:val="ru-RU"/>
          </w:rPr>
          <w:t>p://</w:t>
        </w:r>
        <w:r w:rsidRPr="00A11C6E">
          <w:rPr>
            <w:rStyle w:val="a9"/>
            <w:rFonts w:ascii="Times New Roman" w:hAnsi="Times New Roman" w:cs="Times New Roman"/>
            <w:color w:val="000000" w:themeColor="text1"/>
            <w:sz w:val="24"/>
            <w:szCs w:val="24"/>
            <w:u w:val="none"/>
          </w:rPr>
          <w:t>ww</w:t>
        </w:r>
        <w:r w:rsidRPr="00A11C6E">
          <w:rPr>
            <w:rStyle w:val="a9"/>
            <w:rFonts w:ascii="Times New Roman" w:hAnsi="Times New Roman" w:cs="Times New Roman"/>
            <w:color w:val="000000" w:themeColor="text1"/>
            <w:sz w:val="24"/>
            <w:szCs w:val="24"/>
            <w:u w:val="none"/>
            <w:lang w:val="ru-RU"/>
          </w:rPr>
          <w:t>w.</w:t>
        </w:r>
        <w:r w:rsidRPr="00A11C6E">
          <w:rPr>
            <w:rStyle w:val="a9"/>
            <w:rFonts w:ascii="Times New Roman" w:hAnsi="Times New Roman" w:cs="Times New Roman"/>
            <w:color w:val="000000" w:themeColor="text1"/>
            <w:sz w:val="24"/>
            <w:szCs w:val="24"/>
            <w:u w:val="none"/>
          </w:rPr>
          <w:t>vest</w:t>
        </w:r>
        <w:r w:rsidRPr="00A11C6E">
          <w:rPr>
            <w:rStyle w:val="a9"/>
            <w:rFonts w:ascii="Times New Roman" w:hAnsi="Times New Roman" w:cs="Times New Roman"/>
            <w:color w:val="000000" w:themeColor="text1"/>
            <w:sz w:val="24"/>
            <w:szCs w:val="24"/>
            <w:u w:val="none"/>
            <w:lang w:val="ru-RU"/>
          </w:rPr>
          <w:t>i.</w:t>
        </w:r>
        <w:r w:rsidRPr="00A11C6E">
          <w:rPr>
            <w:rStyle w:val="a9"/>
            <w:rFonts w:ascii="Times New Roman" w:hAnsi="Times New Roman" w:cs="Times New Roman"/>
            <w:color w:val="000000" w:themeColor="text1"/>
            <w:sz w:val="24"/>
            <w:szCs w:val="24"/>
            <w:u w:val="none"/>
          </w:rPr>
          <w:t>r</w:t>
        </w:r>
        <w:r w:rsidRPr="00A11C6E">
          <w:rPr>
            <w:rStyle w:val="a9"/>
            <w:rFonts w:ascii="Times New Roman" w:hAnsi="Times New Roman" w:cs="Times New Roman"/>
            <w:color w:val="000000" w:themeColor="text1"/>
            <w:sz w:val="24"/>
            <w:szCs w:val="24"/>
            <w:u w:val="none"/>
            <w:lang w:val="ru-RU"/>
          </w:rPr>
          <w:t>u/</w:t>
        </w:r>
        <w:r w:rsidRPr="00A11C6E">
          <w:rPr>
            <w:rStyle w:val="a9"/>
            <w:rFonts w:ascii="Times New Roman" w:hAnsi="Times New Roman" w:cs="Times New Roman"/>
            <w:color w:val="000000" w:themeColor="text1"/>
            <w:sz w:val="24"/>
            <w:szCs w:val="24"/>
            <w:u w:val="none"/>
          </w:rPr>
          <w:t>do</w:t>
        </w:r>
        <w:r w:rsidRPr="00A11C6E">
          <w:rPr>
            <w:rStyle w:val="a9"/>
            <w:rFonts w:ascii="Times New Roman" w:hAnsi="Times New Roman" w:cs="Times New Roman"/>
            <w:color w:val="000000" w:themeColor="text1"/>
            <w:sz w:val="24"/>
            <w:szCs w:val="24"/>
            <w:u w:val="none"/>
            <w:lang w:val="ru-RU"/>
          </w:rPr>
          <w:t>c.</w:t>
        </w:r>
        <w:r w:rsidRPr="00A11C6E">
          <w:rPr>
            <w:rStyle w:val="a9"/>
            <w:rFonts w:ascii="Times New Roman" w:hAnsi="Times New Roman" w:cs="Times New Roman"/>
            <w:color w:val="000000" w:themeColor="text1"/>
            <w:sz w:val="24"/>
            <w:szCs w:val="24"/>
            <w:u w:val="none"/>
          </w:rPr>
          <w:t>htm</w:t>
        </w:r>
        <w:r w:rsidRPr="00A11C6E">
          <w:rPr>
            <w:rStyle w:val="a9"/>
            <w:rFonts w:ascii="Times New Roman" w:hAnsi="Times New Roman" w:cs="Times New Roman"/>
            <w:color w:val="000000" w:themeColor="text1"/>
            <w:sz w:val="24"/>
            <w:szCs w:val="24"/>
            <w:u w:val="none"/>
            <w:lang w:val="ru-RU"/>
          </w:rPr>
          <w:t>l?</w:t>
        </w:r>
        <w:r w:rsidRPr="00A11C6E">
          <w:rPr>
            <w:rStyle w:val="a9"/>
            <w:rFonts w:ascii="Times New Roman" w:hAnsi="Times New Roman" w:cs="Times New Roman"/>
            <w:color w:val="000000" w:themeColor="text1"/>
            <w:sz w:val="24"/>
            <w:szCs w:val="24"/>
            <w:u w:val="none"/>
          </w:rPr>
          <w:t>i</w:t>
        </w:r>
        <w:r w:rsidRPr="00A11C6E">
          <w:rPr>
            <w:rStyle w:val="a9"/>
            <w:rFonts w:ascii="Times New Roman" w:hAnsi="Times New Roman" w:cs="Times New Roman"/>
            <w:color w:val="000000" w:themeColor="text1"/>
            <w:sz w:val="24"/>
            <w:szCs w:val="24"/>
            <w:u w:val="none"/>
            <w:lang w:val="ru-RU"/>
          </w:rPr>
          <w:t>d=267171</w:t>
        </w:r>
      </w:hyperlink>
      <w:r w:rsidRPr="00A11C6E">
        <w:rPr>
          <w:rFonts w:ascii="Times New Roman" w:hAnsi="Times New Roman" w:cs="Times New Roman"/>
          <w:color w:val="000000" w:themeColor="text1"/>
          <w:sz w:val="24"/>
          <w:szCs w:val="24"/>
          <w:lang w:val="ru-RU"/>
        </w:rPr>
        <w:t xml:space="preserve"> (дата обращения: 01.03.2023).</w:t>
      </w:r>
      <w:bookmarkStart w:id="178" w:name="_Ref498100474"/>
      <w:bookmarkEnd w:id="177"/>
    </w:p>
    <w:p w14:paraId="3DFD2228" w14:textId="3F2E27A0" w:rsidR="00AE4368" w:rsidRPr="00E6130D"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Комментарий А. Волошина к распоряжению Правительства РФ №2085 от</w:t>
      </w:r>
      <w:r w:rsidR="00861A7F" w:rsidRPr="00A11C6E">
        <w:rPr>
          <w:rFonts w:ascii="Times New Roman" w:hAnsi="Times New Roman" w:cs="Times New Roman"/>
          <w:sz w:val="24"/>
          <w:szCs w:val="24"/>
          <w:lang w:val="ru-RU"/>
        </w:rPr>
        <w:t> </w:t>
      </w:r>
      <w:r w:rsidRPr="00A11C6E">
        <w:rPr>
          <w:rFonts w:ascii="Times New Roman" w:hAnsi="Times New Roman" w:cs="Times New Roman"/>
          <w:sz w:val="24"/>
          <w:szCs w:val="24"/>
          <w:lang w:val="ru-RU"/>
        </w:rPr>
        <w:t>5</w:t>
      </w:r>
      <w:r w:rsidR="00861A7F" w:rsidRPr="00A11C6E">
        <w:rPr>
          <w:rFonts w:ascii="Times New Roman" w:hAnsi="Times New Roman" w:cs="Times New Roman"/>
          <w:sz w:val="24"/>
          <w:szCs w:val="24"/>
          <w:lang w:val="ru-RU"/>
        </w:rPr>
        <w:t> </w:t>
      </w:r>
      <w:r w:rsidRPr="00A11C6E">
        <w:rPr>
          <w:rFonts w:ascii="Times New Roman" w:hAnsi="Times New Roman" w:cs="Times New Roman"/>
          <w:sz w:val="24"/>
          <w:szCs w:val="24"/>
          <w:lang w:val="ru-RU"/>
        </w:rPr>
        <w:t xml:space="preserve">октября 2016 г. </w:t>
      </w:r>
      <w:r w:rsidR="00861A7F" w:rsidRPr="00A11C6E">
        <w:rPr>
          <w:rFonts w:ascii="Times New Roman" w:hAnsi="Times New Roman" w:cs="Times New Roman"/>
          <w:color w:val="000000" w:themeColor="text1"/>
          <w:sz w:val="24"/>
          <w:szCs w:val="24"/>
          <w:lang w:val="ru-RU" w:eastAsia="zh-CN"/>
        </w:rPr>
        <w:t>[Электронный ресурс] // Портал «Москва: международный финансовый центр»</w:t>
      </w:r>
      <w:r w:rsidRPr="00A11C6E">
        <w:rPr>
          <w:rFonts w:ascii="Times New Roman" w:hAnsi="Times New Roman" w:cs="Times New Roman"/>
          <w:color w:val="000000" w:themeColor="text1"/>
          <w:sz w:val="24"/>
          <w:szCs w:val="24"/>
          <w:lang w:val="ru-RU" w:eastAsia="zh-CN"/>
        </w:rPr>
        <w:t xml:space="preserve">. – 07.10.2016.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https://mfc-moscow.com/index.php?id=91&amp;_shst=4&amp;_pgrid=1&amp;_publid=n2603 (дата обращения: 01.03.2023).</w:t>
      </w:r>
      <w:bookmarkStart w:id="179" w:name="_Ref459295707"/>
      <w:bookmarkEnd w:id="178"/>
    </w:p>
    <w:p w14:paraId="68B308C7" w14:textId="1AE6BC04" w:rsidR="00E6130D" w:rsidRDefault="00E6130D"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80" w:name="_Ref136263953"/>
      <w:r>
        <w:rPr>
          <w:rFonts w:ascii="Times New Roman" w:hAnsi="Times New Roman" w:cs="Times New Roman"/>
          <w:sz w:val="24"/>
          <w:szCs w:val="24"/>
          <w:lang w:val="ru-RU"/>
        </w:rPr>
        <w:t>Мазина, М.</w:t>
      </w:r>
      <w:r>
        <w:rPr>
          <w:rFonts w:ascii="Times New Roman" w:hAnsi="Times New Roman" w:cs="Times New Roman"/>
          <w:color w:val="000000"/>
          <w:sz w:val="24"/>
          <w:szCs w:val="24"/>
          <w:lang w:val="ru-RU"/>
        </w:rPr>
        <w:t xml:space="preserve"> Эффект </w:t>
      </w:r>
      <w:r>
        <w:rPr>
          <w:rFonts w:ascii="Times New Roman" w:hAnsi="Times New Roman" w:cs="Times New Roman"/>
          <w:color w:val="000000"/>
          <w:sz w:val="24"/>
          <w:szCs w:val="24"/>
        </w:rPr>
        <w:t>Netflix</w:t>
      </w:r>
      <w:r w:rsidRPr="00E6130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как компания устроила революцию в индустрии развлечений // РБК. – 26.05.2020. – Режим доступа: </w:t>
      </w:r>
      <w:r>
        <w:rPr>
          <w:rFonts w:ascii="Times New Roman" w:hAnsi="Times New Roman" w:cs="Times New Roman"/>
          <w:color w:val="000000"/>
          <w:sz w:val="24"/>
          <w:szCs w:val="24"/>
        </w:rPr>
        <w:t>URL</w:t>
      </w:r>
      <w:r w:rsidRPr="00E6130D">
        <w:rPr>
          <w:rFonts w:ascii="Times New Roman" w:hAnsi="Times New Roman" w:cs="Times New Roman"/>
          <w:color w:val="000000"/>
          <w:sz w:val="24"/>
          <w:szCs w:val="24"/>
          <w:lang w:val="ru-RU"/>
        </w:rPr>
        <w:t xml:space="preserve">: </w:t>
      </w:r>
      <w:r w:rsidR="0095758A" w:rsidRPr="0095758A">
        <w:rPr>
          <w:rFonts w:ascii="Times New Roman" w:hAnsi="Times New Roman" w:cs="Times New Roman"/>
          <w:color w:val="000000"/>
          <w:sz w:val="24"/>
          <w:szCs w:val="24"/>
          <w:lang w:val="ru-RU"/>
        </w:rPr>
        <w:t xml:space="preserve">https://quote.rbc.ru/news/article/5ec383c59a7947e3453b32c7 </w:t>
      </w:r>
      <w:r w:rsidRPr="00A11C6E">
        <w:rPr>
          <w:rFonts w:ascii="Times New Roman" w:hAnsi="Times New Roman" w:cs="Times New Roman"/>
          <w:color w:val="000000" w:themeColor="text1"/>
          <w:sz w:val="24"/>
          <w:szCs w:val="24"/>
          <w:lang w:val="ru-RU"/>
        </w:rPr>
        <w:t xml:space="preserve">(дата обращения: </w:t>
      </w:r>
      <w:r w:rsidRPr="0095758A">
        <w:rPr>
          <w:rFonts w:ascii="Times New Roman" w:hAnsi="Times New Roman" w:cs="Times New Roman"/>
          <w:color w:val="000000" w:themeColor="text1"/>
          <w:sz w:val="24"/>
          <w:szCs w:val="24"/>
          <w:lang w:val="ru-RU"/>
        </w:rPr>
        <w:t>29</w:t>
      </w:r>
      <w:r w:rsidRPr="00A11C6E">
        <w:rPr>
          <w:rFonts w:ascii="Times New Roman" w:hAnsi="Times New Roman" w:cs="Times New Roman"/>
          <w:color w:val="000000" w:themeColor="text1"/>
          <w:sz w:val="24"/>
          <w:szCs w:val="24"/>
          <w:lang w:val="ru-RU"/>
        </w:rPr>
        <w:t>.0</w:t>
      </w:r>
      <w:r w:rsidRPr="0095758A">
        <w:rPr>
          <w:rFonts w:ascii="Times New Roman" w:hAnsi="Times New Roman" w:cs="Times New Roman"/>
          <w:color w:val="000000" w:themeColor="text1"/>
          <w:sz w:val="24"/>
          <w:szCs w:val="24"/>
          <w:lang w:val="ru-RU"/>
        </w:rPr>
        <w:t>5</w:t>
      </w:r>
      <w:r w:rsidRPr="00A11C6E">
        <w:rPr>
          <w:rFonts w:ascii="Times New Roman" w:hAnsi="Times New Roman" w:cs="Times New Roman"/>
          <w:color w:val="000000" w:themeColor="text1"/>
          <w:sz w:val="24"/>
          <w:szCs w:val="24"/>
          <w:lang w:val="ru-RU"/>
        </w:rPr>
        <w:t>.2023).</w:t>
      </w:r>
      <w:bookmarkEnd w:id="180"/>
    </w:p>
    <w:p w14:paraId="33141C91" w14:textId="073675AA"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lastRenderedPageBreak/>
        <w:t xml:space="preserve">Мереминская, Е. За деньгами в Китай </w:t>
      </w:r>
      <w:r w:rsidRPr="00A11C6E">
        <w:rPr>
          <w:rFonts w:ascii="Times New Roman" w:hAnsi="Times New Roman" w:cs="Times New Roman"/>
          <w:color w:val="000000" w:themeColor="text1"/>
          <w:sz w:val="24"/>
          <w:szCs w:val="24"/>
          <w:lang w:val="ru-RU" w:eastAsia="zh-CN"/>
        </w:rPr>
        <w:t xml:space="preserve">[Электронный ресурс] </w:t>
      </w:r>
      <w:r w:rsidRPr="00A11C6E">
        <w:rPr>
          <w:rFonts w:ascii="Times New Roman" w:hAnsi="Times New Roman" w:cs="Times New Roman"/>
          <w:color w:val="000000" w:themeColor="text1"/>
          <w:sz w:val="24"/>
          <w:szCs w:val="24"/>
          <w:lang w:val="ru-RU"/>
        </w:rPr>
        <w:t xml:space="preserve">/ Е. Мереминская. </w:t>
      </w:r>
      <w:r w:rsidR="00861A7F" w:rsidRPr="00A11C6E">
        <w:rPr>
          <w:rFonts w:ascii="Times New Roman" w:hAnsi="Times New Roman" w:cs="Times New Roman"/>
          <w:color w:val="000000" w:themeColor="text1"/>
          <w:sz w:val="24"/>
          <w:szCs w:val="24"/>
          <w:lang w:val="ru-RU"/>
        </w:rPr>
        <w:t xml:space="preserve">// </w:t>
      </w:r>
      <w:r w:rsidR="00861A7F" w:rsidRPr="00A11C6E">
        <w:rPr>
          <w:rFonts w:ascii="Times New Roman" w:hAnsi="Times New Roman" w:cs="Times New Roman"/>
          <w:color w:val="000000" w:themeColor="text1"/>
          <w:sz w:val="24"/>
          <w:szCs w:val="24"/>
        </w:rPr>
        <w:t>Gazeta</w:t>
      </w:r>
      <w:r w:rsidR="00861A7F" w:rsidRPr="00A11C6E">
        <w:rPr>
          <w:rFonts w:ascii="Times New Roman" w:hAnsi="Times New Roman" w:cs="Times New Roman"/>
          <w:color w:val="000000" w:themeColor="text1"/>
          <w:sz w:val="24"/>
          <w:szCs w:val="24"/>
          <w:lang w:val="ru-RU"/>
        </w:rPr>
        <w:t>.</w:t>
      </w:r>
      <w:r w:rsidR="00861A7F" w:rsidRPr="00A11C6E">
        <w:rPr>
          <w:rFonts w:ascii="Times New Roman" w:hAnsi="Times New Roman" w:cs="Times New Roman"/>
          <w:color w:val="000000" w:themeColor="text1"/>
          <w:sz w:val="24"/>
          <w:szCs w:val="24"/>
        </w:rPr>
        <w:t>ru</w:t>
      </w:r>
      <w:r w:rsidR="00861A7F" w:rsidRPr="00A11C6E">
        <w:rPr>
          <w:rFonts w:ascii="Times New Roman" w:hAnsi="Times New Roman" w:cs="Times New Roman"/>
          <w:color w:val="000000" w:themeColor="text1"/>
          <w:sz w:val="24"/>
          <w:szCs w:val="24"/>
          <w:lang w:val="ru-RU"/>
        </w:rPr>
        <w:t xml:space="preserve">. – 10.11.2014. </w:t>
      </w:r>
      <w:r w:rsidRPr="00A11C6E">
        <w:rPr>
          <w:rFonts w:ascii="Times New Roman" w:hAnsi="Times New Roman" w:cs="Times New Roman"/>
          <w:color w:val="000000" w:themeColor="text1"/>
          <w:sz w:val="24"/>
          <w:szCs w:val="24"/>
          <w:lang w:val="ru-RU"/>
        </w:rPr>
        <w:t xml:space="preserve">–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A11C6E">
        <w:rPr>
          <w:rFonts w:ascii="Times New Roman" w:hAnsi="Times New Roman" w:cs="Times New Roman"/>
          <w:sz w:val="24"/>
          <w:szCs w:val="24"/>
        </w:rPr>
        <w:t>http</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www</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gazeta</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ru</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business</w:t>
      </w:r>
      <w:r w:rsidRPr="00A11C6E">
        <w:rPr>
          <w:rFonts w:ascii="Times New Roman" w:hAnsi="Times New Roman" w:cs="Times New Roman"/>
          <w:sz w:val="24"/>
          <w:szCs w:val="24"/>
          <w:lang w:val="ru-RU"/>
        </w:rPr>
        <w:t>/2014/11/10/6296289.</w:t>
      </w:r>
      <w:r w:rsidRPr="00A11C6E">
        <w:rPr>
          <w:rFonts w:ascii="Times New Roman" w:hAnsi="Times New Roman" w:cs="Times New Roman"/>
          <w:sz w:val="24"/>
          <w:szCs w:val="24"/>
        </w:rPr>
        <w:t>shtml</w:t>
      </w:r>
      <w:r w:rsidRPr="00A11C6E">
        <w:rPr>
          <w:rFonts w:ascii="Times New Roman" w:hAnsi="Times New Roman" w:cs="Times New Roman"/>
          <w:color w:val="000000" w:themeColor="text1"/>
          <w:sz w:val="24"/>
          <w:szCs w:val="24"/>
          <w:lang w:val="ru-RU"/>
        </w:rPr>
        <w:t xml:space="preserve"> (дата обращения: 02.03.2023).</w:t>
      </w:r>
      <w:bookmarkStart w:id="181" w:name="_Ref459295620"/>
      <w:bookmarkEnd w:id="179"/>
    </w:p>
    <w:p w14:paraId="2598BDD2" w14:textId="4ADC39B1"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Минфин: Россия и Китай могут перевести половину торговли в юани и рубли </w:t>
      </w:r>
      <w:r w:rsidR="00861A7F" w:rsidRPr="00A11C6E">
        <w:rPr>
          <w:rFonts w:ascii="Times New Roman" w:hAnsi="Times New Roman" w:cs="Times New Roman"/>
          <w:color w:val="000000" w:themeColor="text1"/>
          <w:sz w:val="24"/>
          <w:szCs w:val="24"/>
          <w:lang w:val="ru-RU" w:eastAsia="zh-CN"/>
        </w:rPr>
        <w:t>[Электронный ресурс]</w:t>
      </w:r>
      <w:r w:rsidRPr="00A11C6E">
        <w:rPr>
          <w:rFonts w:ascii="Times New Roman" w:hAnsi="Times New Roman" w:cs="Times New Roman"/>
          <w:color w:val="000000" w:themeColor="text1"/>
          <w:sz w:val="24"/>
          <w:szCs w:val="24"/>
          <w:lang w:val="ru-RU" w:eastAsia="zh-CN"/>
        </w:rPr>
        <w:t xml:space="preserve"> /</w:t>
      </w:r>
      <w:r w:rsidR="00861A7F"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val="ru-RU" w:eastAsia="zh-CN"/>
        </w:rPr>
        <w:t xml:space="preserve"> ИТАР=ТАСС. – 09.09.2014. – Режим доступа:</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hyperlink r:id="rId93" w:tooltip="http://itar-tass.com/ekonomika/1430158" w:history="1">
        <w:r w:rsidRPr="00A11C6E">
          <w:rPr>
            <w:rStyle w:val="a9"/>
            <w:rFonts w:ascii="Times New Roman" w:hAnsi="Times New Roman" w:cs="Times New Roman"/>
            <w:color w:val="000000" w:themeColor="text1"/>
            <w:sz w:val="24"/>
            <w:szCs w:val="24"/>
            <w:u w:val="none"/>
          </w:rPr>
          <w:t>http</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itar</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tass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com</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ekonomika</w:t>
        </w:r>
        <w:r w:rsidRPr="00A11C6E">
          <w:rPr>
            <w:rStyle w:val="a9"/>
            <w:rFonts w:ascii="Times New Roman" w:hAnsi="Times New Roman" w:cs="Times New Roman"/>
            <w:color w:val="000000" w:themeColor="text1"/>
            <w:sz w:val="24"/>
            <w:szCs w:val="24"/>
            <w:u w:val="none"/>
            <w:lang w:val="ru-RU"/>
          </w:rPr>
          <w:t>/1430158</w:t>
        </w:r>
      </w:hyperlink>
      <w:r w:rsidRPr="00A11C6E">
        <w:rPr>
          <w:rFonts w:ascii="Times New Roman" w:hAnsi="Times New Roman" w:cs="Times New Roman"/>
          <w:color w:val="000000" w:themeColor="text1"/>
          <w:sz w:val="24"/>
          <w:szCs w:val="24"/>
          <w:lang w:val="ru-RU"/>
        </w:rPr>
        <w:t xml:space="preserve"> (дата обращения: 02.03.2023).</w:t>
      </w:r>
      <w:bookmarkStart w:id="182" w:name="_Ref446791181"/>
      <w:bookmarkEnd w:id="181"/>
    </w:p>
    <w:p w14:paraId="6FB6DE47" w14:textId="2902D16F"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Миркин, Я. М. У идеи международного финансового центра в России ещё есть будущее </w:t>
      </w:r>
      <w:r w:rsidRPr="00A11C6E">
        <w:rPr>
          <w:rFonts w:ascii="Times New Roman" w:hAnsi="Times New Roman" w:cs="Times New Roman"/>
          <w:color w:val="000000" w:themeColor="text1"/>
          <w:sz w:val="24"/>
          <w:szCs w:val="24"/>
          <w:lang w:val="ru-RU" w:eastAsia="zh-CN"/>
        </w:rPr>
        <w:t>[Электронный ресурс]</w:t>
      </w:r>
      <w:r w:rsidRPr="00A11C6E">
        <w:rPr>
          <w:rFonts w:ascii="Times New Roman" w:hAnsi="Times New Roman" w:cs="Times New Roman"/>
          <w:color w:val="000000" w:themeColor="text1"/>
          <w:sz w:val="24"/>
          <w:szCs w:val="24"/>
          <w:lang w:val="ru-RU"/>
        </w:rPr>
        <w:t xml:space="preserve"> /</w:t>
      </w:r>
      <w:r w:rsidR="00861A7F"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rPr>
        <w:t xml:space="preserve">Я. М. Миркин // </w:t>
      </w:r>
      <w:r w:rsidRPr="00A11C6E">
        <w:rPr>
          <w:rFonts w:ascii="Times New Roman" w:hAnsi="Times New Roman" w:cs="Times New Roman"/>
          <w:color w:val="000000" w:themeColor="text1"/>
          <w:sz w:val="24"/>
          <w:szCs w:val="24"/>
        </w:rPr>
        <w:t>Slon</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ru</w:t>
      </w:r>
      <w:r w:rsidRPr="00A11C6E">
        <w:rPr>
          <w:rFonts w:ascii="Times New Roman" w:hAnsi="Times New Roman" w:cs="Times New Roman"/>
          <w:color w:val="000000" w:themeColor="text1"/>
          <w:sz w:val="24"/>
          <w:szCs w:val="24"/>
          <w:lang w:val="ru-RU"/>
        </w:rPr>
        <w:t xml:space="preserve">. – 27.08.2014.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http://worldcrisis.r</w:t>
      </w:r>
      <w:r w:rsidR="00861A7F" w:rsidRPr="00A11C6E">
        <w:rPr>
          <w:rFonts w:ascii="Times New Roman" w:hAnsi="Times New Roman" w:cs="Times New Roman"/>
          <w:color w:val="000000" w:themeColor="text1"/>
          <w:sz w:val="24"/>
          <w:szCs w:val="24"/>
          <w:lang w:val="ru-RU"/>
        </w:rPr>
        <w:t>u/crisis/1625143</w:t>
      </w:r>
      <w:r w:rsidRPr="00A11C6E">
        <w:rPr>
          <w:rFonts w:ascii="Times New Roman" w:hAnsi="Times New Roman" w:cs="Times New Roman"/>
          <w:color w:val="000000" w:themeColor="text1"/>
          <w:sz w:val="24"/>
          <w:szCs w:val="24"/>
          <w:lang w:val="ru-RU"/>
        </w:rPr>
        <w:t xml:space="preserve"> (дата обращения: 02.03.2023).</w:t>
      </w:r>
      <w:bookmarkStart w:id="183" w:name="_Ref459295166"/>
      <w:bookmarkEnd w:id="182"/>
    </w:p>
    <w:p w14:paraId="557A4473" w14:textId="4051D96F"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84" w:name="_Ref131438277"/>
      <w:r w:rsidRPr="00A11C6E">
        <w:rPr>
          <w:rFonts w:ascii="Times New Roman" w:hAnsi="Times New Roman" w:cs="Times New Roman"/>
          <w:color w:val="000000" w:themeColor="text1"/>
          <w:sz w:val="24"/>
          <w:szCs w:val="24"/>
          <w:lang w:val="ru-RU"/>
        </w:rPr>
        <w:t>Миркин, Я. М. МФЦ в России: границы возможного [Электронный ресурс] / Я.</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М.</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Миркин // Прямые инвестиции. – №2 (106), 2011. – С. 22–26. – Режим доступа: https://cyberleninka.ru/article/n/mezhdunarodnaya-ekonomika-mfts-v-rossii-granitsy-vozmozhnogo/viewer (дата обращения: 02.03.2023).</w:t>
      </w:r>
      <w:bookmarkStart w:id="185" w:name="_Ref459294390"/>
      <w:bookmarkEnd w:id="183"/>
      <w:bookmarkEnd w:id="184"/>
    </w:p>
    <w:p w14:paraId="12BA1274" w14:textId="4975B9C1" w:rsidR="005E0435" w:rsidRPr="00A11C6E" w:rsidRDefault="005E0435"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Мирошниченко, А. «Кризис не отменяет идею «мирового финансового центра» (интервью с Д. Ананьевым, Председателем комитета Совета Федерации по финансовым рынка и денежному обращению) [Электронный ресурс] // Банковское обозрение. – 2009, №1 (январь).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shd w:val="clear" w:color="auto" w:fill="FFFFFF"/>
        </w:rPr>
        <w:t>https</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internet</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garant</w:t>
      </w:r>
      <w:r w:rsidRPr="00A11C6E">
        <w:rPr>
          <w:rFonts w:ascii="Times New Roman" w:hAnsi="Times New Roman" w:cs="Times New Roman"/>
          <w:color w:val="000000" w:themeColor="text1"/>
          <w:sz w:val="24"/>
          <w:szCs w:val="24"/>
          <w:shd w:val="clear" w:color="auto" w:fill="FFFFFF"/>
          <w:lang w:val="ru-RU"/>
        </w:rPr>
        <w:t>.</w:t>
      </w:r>
      <w:r w:rsidRPr="00A11C6E">
        <w:rPr>
          <w:rFonts w:ascii="Times New Roman" w:hAnsi="Times New Roman" w:cs="Times New Roman"/>
          <w:color w:val="000000" w:themeColor="text1"/>
          <w:sz w:val="24"/>
          <w:szCs w:val="24"/>
          <w:shd w:val="clear" w:color="auto" w:fill="FFFFFF"/>
        </w:rPr>
        <w:t>ru</w:t>
      </w:r>
      <w:r w:rsidRPr="00A11C6E">
        <w:rPr>
          <w:rFonts w:ascii="Times New Roman" w:hAnsi="Times New Roman" w:cs="Times New Roman"/>
          <w:color w:val="000000" w:themeColor="text1"/>
          <w:sz w:val="24"/>
          <w:szCs w:val="24"/>
          <w:shd w:val="clear" w:color="auto" w:fill="FFFFFF"/>
          <w:lang w:val="ru-RU"/>
        </w:rPr>
        <w:t xml:space="preserve"> </w:t>
      </w:r>
      <w:r w:rsidRPr="00A11C6E">
        <w:rPr>
          <w:rFonts w:ascii="Times New Roman" w:hAnsi="Times New Roman" w:cs="Times New Roman"/>
          <w:color w:val="000000" w:themeColor="text1"/>
          <w:sz w:val="24"/>
          <w:szCs w:val="24"/>
          <w:lang w:val="ru-RU"/>
        </w:rPr>
        <w:t xml:space="preserve">(дата обращения: 05.04.2023). </w:t>
      </w:r>
    </w:p>
    <w:p w14:paraId="4EA0D6F4" w14:textId="3EEDA989"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Митин, Н. Китайские погромы во Вьетнаме /Н. Митин </w:t>
      </w:r>
      <w:r w:rsidRPr="00A11C6E">
        <w:rPr>
          <w:rFonts w:ascii="Times New Roman" w:hAnsi="Times New Roman" w:cs="Times New Roman"/>
          <w:color w:val="000000" w:themeColor="text1"/>
          <w:sz w:val="24"/>
          <w:szCs w:val="24"/>
          <w:lang w:val="ru-RU" w:eastAsia="zh-CN"/>
        </w:rPr>
        <w:t xml:space="preserve">[Электронный ресурс] // Эксперт.ру. – 14.05.2014. – Режим доступа: </w:t>
      </w:r>
      <w:r w:rsidRPr="00A11C6E">
        <w:rPr>
          <w:rFonts w:ascii="Times New Roman" w:hAnsi="Times New Roman" w:cs="Times New Roman"/>
          <w:color w:val="000000" w:themeColor="text1"/>
          <w:sz w:val="24"/>
          <w:szCs w:val="24"/>
          <w:lang w:eastAsia="zh-CN"/>
        </w:rPr>
        <w:t>U</w:t>
      </w:r>
      <w:r w:rsidRPr="00A11C6E">
        <w:rPr>
          <w:rFonts w:ascii="Times New Roman" w:hAnsi="Times New Roman" w:cs="Times New Roman"/>
          <w:color w:val="000000" w:themeColor="text1"/>
          <w:sz w:val="24"/>
          <w:szCs w:val="24"/>
        </w:rPr>
        <w:t>RL</w:t>
      </w:r>
      <w:r w:rsidRPr="00A11C6E">
        <w:rPr>
          <w:rFonts w:ascii="Times New Roman" w:hAnsi="Times New Roman" w:cs="Times New Roman"/>
          <w:color w:val="000000" w:themeColor="text1"/>
          <w:sz w:val="24"/>
          <w:szCs w:val="24"/>
          <w:lang w:val="ru-RU"/>
        </w:rPr>
        <w:t xml:space="preserve">: </w:t>
      </w:r>
      <w:hyperlink r:id="rId94" w:tooltip="http://expert.ru/2014/05/14/vetnamskie-pogromyi" w:history="1">
        <w:r w:rsidRPr="00A11C6E">
          <w:rPr>
            <w:rStyle w:val="a9"/>
            <w:rFonts w:ascii="Times New Roman" w:hAnsi="Times New Roman" w:cs="Times New Roman"/>
            <w:color w:val="000000" w:themeColor="text1"/>
            <w:sz w:val="24"/>
            <w:szCs w:val="24"/>
            <w:u w:val="none"/>
          </w:rPr>
          <w:t>http</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expert</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ru</w:t>
        </w:r>
        <w:r w:rsidRPr="00A11C6E">
          <w:rPr>
            <w:rStyle w:val="a9"/>
            <w:rFonts w:ascii="Times New Roman" w:hAnsi="Times New Roman" w:cs="Times New Roman"/>
            <w:color w:val="000000" w:themeColor="text1"/>
            <w:sz w:val="24"/>
            <w:szCs w:val="24"/>
            <w:u w:val="none"/>
            <w:lang w:val="ru-RU"/>
          </w:rPr>
          <w:t>/2014/05/14/</w:t>
        </w:r>
        <w:r w:rsidRPr="00A11C6E">
          <w:rPr>
            <w:rStyle w:val="a9"/>
            <w:rFonts w:ascii="Times New Roman" w:hAnsi="Times New Roman" w:cs="Times New Roman"/>
            <w:color w:val="000000" w:themeColor="text1"/>
            <w:sz w:val="24"/>
            <w:szCs w:val="24"/>
            <w:u w:val="none"/>
          </w:rPr>
          <w:t>vetnamskie</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pogromyi</w:t>
        </w:r>
      </w:hyperlink>
      <w:r w:rsidRPr="00A11C6E">
        <w:rPr>
          <w:rFonts w:ascii="Times New Roman" w:hAnsi="Times New Roman" w:cs="Times New Roman"/>
          <w:color w:val="000000" w:themeColor="text1"/>
          <w:sz w:val="24"/>
          <w:szCs w:val="24"/>
          <w:lang w:val="ru-RU"/>
        </w:rPr>
        <w:t xml:space="preserve"> (дата обращения: 02.03.2023).</w:t>
      </w:r>
      <w:bookmarkEnd w:id="185"/>
    </w:p>
    <w:p w14:paraId="0B632D0E" w14:textId="19F7B991"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 xml:space="preserve">Национальный клиринговый центр. Раскрытие информации </w:t>
      </w:r>
      <w:r w:rsidR="00861A7F" w:rsidRPr="00A11C6E">
        <w:rPr>
          <w:rFonts w:ascii="Times New Roman" w:hAnsi="Times New Roman" w:cs="Times New Roman"/>
          <w:color w:val="000000" w:themeColor="text1"/>
          <w:sz w:val="24"/>
          <w:szCs w:val="24"/>
          <w:lang w:val="ru-RU" w:eastAsia="zh-CN"/>
        </w:rPr>
        <w:t>[Электронный ресурс]</w:t>
      </w:r>
      <w:r w:rsidR="004A0184">
        <w:rPr>
          <w:rFonts w:ascii="Times New Roman" w:hAnsi="Times New Roman" w:cs="Times New Roman"/>
          <w:color w:val="000000" w:themeColor="text1"/>
          <w:sz w:val="24"/>
          <w:szCs w:val="24"/>
          <w:lang w:eastAsia="zh-CN"/>
        </w:rPr>
        <w:t> </w:t>
      </w:r>
      <w:r w:rsidRPr="00A11C6E">
        <w:rPr>
          <w:rFonts w:ascii="Times New Roman" w:hAnsi="Times New Roman" w:cs="Times New Roman"/>
          <w:sz w:val="24"/>
          <w:szCs w:val="24"/>
          <w:lang w:val="ru-RU"/>
        </w:rPr>
        <w:t>/ Национальный клиринговый центр</w:t>
      </w:r>
      <w:r w:rsidR="00861A7F" w:rsidRPr="00A11C6E">
        <w:rPr>
          <w:rFonts w:ascii="Times New Roman" w:hAnsi="Times New Roman" w:cs="Times New Roman"/>
          <w:sz w:val="24"/>
          <w:szCs w:val="24"/>
          <w:lang w:val="ru-RU"/>
        </w:rPr>
        <w:t xml:space="preserve">. </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val="ru-RU"/>
        </w:rPr>
        <w:t xml:space="preserve">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rPr>
        <w:t>https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www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nationalclearingcentre</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ru</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catalog</w:t>
      </w:r>
      <w:r w:rsidRPr="00A11C6E">
        <w:rPr>
          <w:rFonts w:ascii="Times New Roman" w:hAnsi="Times New Roman" w:cs="Times New Roman"/>
          <w:color w:val="000000" w:themeColor="text1"/>
          <w:sz w:val="24"/>
          <w:szCs w:val="24"/>
          <w:lang w:val="ru-RU"/>
        </w:rPr>
        <w:t>/0102 (дата обращения: 02.03.2023).</w:t>
      </w:r>
      <w:bookmarkStart w:id="186" w:name="_Ref501281036"/>
    </w:p>
    <w:p w14:paraId="76C42077" w14:textId="062AD81D"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sz w:val="24"/>
          <w:szCs w:val="24"/>
          <w:lang w:val="ru-RU"/>
        </w:rPr>
        <w:t>Национальный расчётный депозитарий:</w:t>
      </w:r>
      <w:r w:rsidRPr="00A11C6E">
        <w:rPr>
          <w:rFonts w:ascii="Times New Roman" w:hAnsi="Times New Roman" w:cs="Times New Roman"/>
          <w:color w:val="000000" w:themeColor="text1"/>
          <w:sz w:val="24"/>
          <w:szCs w:val="24"/>
          <w:lang w:val="ru-RU"/>
        </w:rPr>
        <w:t xml:space="preserve"> О Компании </w:t>
      </w:r>
      <w:r w:rsidRPr="00A11C6E">
        <w:rPr>
          <w:rFonts w:ascii="Times New Roman" w:hAnsi="Times New Roman" w:cs="Times New Roman"/>
          <w:color w:val="000000" w:themeColor="text1"/>
          <w:sz w:val="24"/>
          <w:szCs w:val="24"/>
          <w:lang w:val="ru-RU" w:eastAsia="zh-CN"/>
        </w:rPr>
        <w:t>[Электронный ресурс] / Национальный расчётный депозитарий</w:t>
      </w:r>
      <w:r w:rsidR="00861A7F" w:rsidRPr="00A11C6E">
        <w:rPr>
          <w:rFonts w:ascii="Times New Roman" w:hAnsi="Times New Roman" w:cs="Times New Roman"/>
          <w:color w:val="000000" w:themeColor="text1"/>
          <w:sz w:val="24"/>
          <w:szCs w:val="24"/>
          <w:lang w:val="ru-RU" w:eastAsia="zh-CN"/>
        </w:rPr>
        <w:t>.</w:t>
      </w:r>
      <w:r w:rsidRPr="00A11C6E">
        <w:rPr>
          <w:rFonts w:ascii="Times New Roman" w:hAnsi="Times New Roman" w:cs="Times New Roman"/>
          <w:color w:val="000000" w:themeColor="text1"/>
          <w:sz w:val="24"/>
          <w:szCs w:val="24"/>
          <w:lang w:val="ru-RU" w:eastAsia="zh-CN"/>
        </w:rPr>
        <w:t xml:space="preserve"> – </w:t>
      </w:r>
      <w:r w:rsidRPr="00A11C6E">
        <w:rPr>
          <w:rFonts w:ascii="Times New Roman" w:hAnsi="Times New Roman" w:cs="Times New Roman"/>
          <w:color w:val="000000" w:themeColor="text1"/>
          <w:sz w:val="24"/>
          <w:szCs w:val="24"/>
          <w:lang w:val="ru-RU"/>
        </w:rPr>
        <w:t xml:space="preserve">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https://www.nsd.ru/about (дата обращения: 02.03.2023).</w:t>
      </w:r>
      <w:bookmarkStart w:id="187" w:name="_Ref446782408"/>
      <w:bookmarkStart w:id="188" w:name="_Hlk60757096"/>
      <w:bookmarkEnd w:id="186"/>
    </w:p>
    <w:p w14:paraId="3FC0DDB7" w14:textId="62766FE5" w:rsidR="00664140"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Новый иск против </w:t>
      </w:r>
      <w:r w:rsidRPr="00A11C6E">
        <w:rPr>
          <w:rFonts w:ascii="Times New Roman" w:hAnsi="Times New Roman" w:cs="Times New Roman"/>
          <w:color w:val="000000" w:themeColor="text1"/>
          <w:sz w:val="24"/>
          <w:szCs w:val="24"/>
        </w:rPr>
        <w:t>UBS</w:t>
      </w:r>
      <w:r w:rsidRPr="00A11C6E">
        <w:rPr>
          <w:rFonts w:ascii="Times New Roman" w:hAnsi="Times New Roman" w:cs="Times New Roman"/>
          <w:color w:val="000000" w:themeColor="text1"/>
          <w:sz w:val="24"/>
          <w:szCs w:val="24"/>
          <w:lang w:val="ru-RU"/>
        </w:rPr>
        <w:t xml:space="preserve">, налоговая служба США требует назвать клиентов // РБК. – 19.08.2009. – </w:t>
      </w:r>
      <w:r w:rsidRPr="00A11C6E">
        <w:rPr>
          <w:rFonts w:ascii="Times New Roman" w:hAnsi="Times New Roman" w:cs="Times New Roman"/>
          <w:color w:val="000000" w:themeColor="text1"/>
          <w:sz w:val="24"/>
          <w:szCs w:val="24"/>
          <w:lang w:val="ru-RU" w:eastAsia="zh-CN"/>
        </w:rPr>
        <w:t>[Электронный ресурс]. –</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A11C6E">
        <w:rPr>
          <w:rFonts w:ascii="Times New Roman" w:hAnsi="Times New Roman" w:cs="Times New Roman"/>
          <w:sz w:val="24"/>
          <w:szCs w:val="24"/>
        </w:rPr>
        <w:t>https</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www</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rbc</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ru</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economics</w:t>
      </w:r>
      <w:r w:rsidRPr="00A11C6E">
        <w:rPr>
          <w:rFonts w:ascii="Times New Roman" w:hAnsi="Times New Roman" w:cs="Times New Roman"/>
          <w:sz w:val="24"/>
          <w:szCs w:val="24"/>
          <w:lang w:val="ru-RU"/>
        </w:rPr>
        <w:t>/19/08/2009/5703</w:t>
      </w:r>
      <w:r w:rsidRPr="00A11C6E">
        <w:rPr>
          <w:rFonts w:ascii="Times New Roman" w:hAnsi="Times New Roman" w:cs="Times New Roman"/>
          <w:sz w:val="24"/>
          <w:szCs w:val="24"/>
        </w:rPr>
        <w:t>d</w:t>
      </w:r>
      <w:r w:rsidRPr="00A11C6E">
        <w:rPr>
          <w:rFonts w:ascii="Times New Roman" w:hAnsi="Times New Roman" w:cs="Times New Roman"/>
          <w:sz w:val="24"/>
          <w:szCs w:val="24"/>
          <w:lang w:val="ru-RU"/>
        </w:rPr>
        <w:t>5</w:t>
      </w:r>
      <w:r w:rsidRPr="00A11C6E">
        <w:rPr>
          <w:rFonts w:ascii="Times New Roman" w:hAnsi="Times New Roman" w:cs="Times New Roman"/>
          <w:sz w:val="24"/>
          <w:szCs w:val="24"/>
        </w:rPr>
        <w:t>cf</w:t>
      </w:r>
      <w:r w:rsidRPr="00A11C6E">
        <w:rPr>
          <w:rFonts w:ascii="Times New Roman" w:hAnsi="Times New Roman" w:cs="Times New Roman"/>
          <w:sz w:val="24"/>
          <w:szCs w:val="24"/>
          <w:lang w:val="ru-RU"/>
        </w:rPr>
        <w:t>9</w:t>
      </w:r>
      <w:r w:rsidRPr="00A11C6E">
        <w:rPr>
          <w:rFonts w:ascii="Times New Roman" w:hAnsi="Times New Roman" w:cs="Times New Roman"/>
          <w:sz w:val="24"/>
          <w:szCs w:val="24"/>
        </w:rPr>
        <w:t>a</w:t>
      </w:r>
      <w:r w:rsidRPr="00A11C6E">
        <w:rPr>
          <w:rFonts w:ascii="Times New Roman" w:hAnsi="Times New Roman" w:cs="Times New Roman"/>
          <w:sz w:val="24"/>
          <w:szCs w:val="24"/>
          <w:lang w:val="ru-RU"/>
        </w:rPr>
        <w:t>7947733180</w:t>
      </w:r>
      <w:r w:rsidRPr="00A11C6E">
        <w:rPr>
          <w:rFonts w:ascii="Times New Roman" w:hAnsi="Times New Roman" w:cs="Times New Roman"/>
          <w:sz w:val="24"/>
          <w:szCs w:val="24"/>
        </w:rPr>
        <w:t>a</w:t>
      </w:r>
      <w:r w:rsidRPr="00A11C6E">
        <w:rPr>
          <w:rFonts w:ascii="Times New Roman" w:hAnsi="Times New Roman" w:cs="Times New Roman"/>
          <w:sz w:val="24"/>
          <w:szCs w:val="24"/>
          <w:lang w:val="ru-RU"/>
        </w:rPr>
        <w:t>6</w:t>
      </w:r>
      <w:r w:rsidRPr="00A11C6E">
        <w:rPr>
          <w:rFonts w:ascii="Times New Roman" w:hAnsi="Times New Roman" w:cs="Times New Roman"/>
          <w:sz w:val="24"/>
          <w:szCs w:val="24"/>
        </w:rPr>
        <w:t>ea</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from</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materials</w:t>
      </w:r>
      <w:r w:rsidRPr="00A11C6E">
        <w:rPr>
          <w:rFonts w:ascii="Times New Roman" w:hAnsi="Times New Roman" w:cs="Times New Roman"/>
          <w:sz w:val="24"/>
          <w:szCs w:val="24"/>
          <w:lang w:val="ru-RU"/>
        </w:rPr>
        <w:t>_</w:t>
      </w:r>
      <w:r w:rsidRPr="00A11C6E">
        <w:rPr>
          <w:rFonts w:ascii="Times New Roman" w:hAnsi="Times New Roman" w:cs="Times New Roman"/>
          <w:sz w:val="24"/>
          <w:szCs w:val="24"/>
        </w:rPr>
        <w:t>on</w:t>
      </w:r>
      <w:r w:rsidRPr="00A11C6E">
        <w:rPr>
          <w:rFonts w:ascii="Times New Roman" w:hAnsi="Times New Roman" w:cs="Times New Roman"/>
          <w:sz w:val="24"/>
          <w:szCs w:val="24"/>
          <w:lang w:val="ru-RU"/>
        </w:rPr>
        <w:t>_</w:t>
      </w:r>
      <w:r w:rsidRPr="00A11C6E">
        <w:rPr>
          <w:rFonts w:ascii="Times New Roman" w:hAnsi="Times New Roman" w:cs="Times New Roman"/>
          <w:sz w:val="24"/>
          <w:szCs w:val="24"/>
        </w:rPr>
        <w:t>subject</w:t>
      </w:r>
      <w:r w:rsidRPr="00A11C6E">
        <w:rPr>
          <w:rFonts w:ascii="Times New Roman" w:hAnsi="Times New Roman" w:cs="Times New Roman"/>
          <w:color w:val="000000" w:themeColor="text1"/>
          <w:sz w:val="24"/>
          <w:szCs w:val="24"/>
          <w:lang w:val="ru-RU"/>
        </w:rPr>
        <w:t xml:space="preserve"> (дата обращения: 02.03.2023).</w:t>
      </w:r>
      <w:bookmarkEnd w:id="187"/>
      <w:bookmarkEnd w:id="188"/>
    </w:p>
    <w:p w14:paraId="64058B79" w14:textId="5E26491D" w:rsidR="00664140" w:rsidRPr="00A11C6E" w:rsidRDefault="00664140"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Ответственное инвестирование и стандарты </w:t>
      </w:r>
      <w:r w:rsidRPr="00A11C6E">
        <w:rPr>
          <w:rFonts w:ascii="Times New Roman" w:hAnsi="Times New Roman" w:cs="Times New Roman"/>
          <w:color w:val="000000" w:themeColor="text1"/>
          <w:sz w:val="24"/>
          <w:szCs w:val="24"/>
        </w:rPr>
        <w:t>ESG</w:t>
      </w:r>
      <w:r w:rsidRPr="00A11C6E">
        <w:rPr>
          <w:rFonts w:ascii="Times New Roman" w:hAnsi="Times New Roman" w:cs="Times New Roman"/>
          <w:color w:val="000000" w:themeColor="text1"/>
          <w:sz w:val="24"/>
          <w:szCs w:val="24"/>
          <w:lang w:val="ru-RU"/>
        </w:rPr>
        <w:t xml:space="preserve">: события и тренды в ноябре 2022 г.: международный мониторинг / АЦ «Форум».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sz w:val="24"/>
          <w:szCs w:val="24"/>
        </w:rPr>
        <w:t>https</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ac</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forum</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ru</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analytics</w:t>
      </w:r>
      <w:r w:rsidRPr="00A11C6E">
        <w:rPr>
          <w:rFonts w:ascii="Times New Roman" w:hAnsi="Times New Roman" w:cs="Times New Roman"/>
          <w:sz w:val="24"/>
          <w:szCs w:val="24"/>
          <w:lang w:val="ru-RU"/>
        </w:rPr>
        <w:t xml:space="preserve"> </w:t>
      </w:r>
      <w:r w:rsidRPr="00A11C6E">
        <w:rPr>
          <w:rFonts w:ascii="Times New Roman" w:hAnsi="Times New Roman" w:cs="Times New Roman"/>
          <w:color w:val="000000" w:themeColor="text1"/>
          <w:sz w:val="24"/>
          <w:szCs w:val="24"/>
          <w:lang w:val="ru-RU"/>
        </w:rPr>
        <w:t>(дата обращения: 04.03.2023).</w:t>
      </w:r>
    </w:p>
    <w:p w14:paraId="714D3A85" w14:textId="30A91088"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89" w:name="_Ref131438545"/>
      <w:r w:rsidRPr="00A11C6E">
        <w:rPr>
          <w:rFonts w:ascii="Times New Roman" w:hAnsi="Times New Roman" w:cs="Times New Roman"/>
          <w:color w:val="000000" w:themeColor="text1"/>
          <w:sz w:val="24"/>
          <w:szCs w:val="24"/>
          <w:lang w:val="ru-RU"/>
        </w:rPr>
        <w:lastRenderedPageBreak/>
        <w:t xml:space="preserve">По итогам </w:t>
      </w:r>
      <w:r w:rsidRPr="00A11C6E">
        <w:rPr>
          <w:rFonts w:ascii="Times New Roman" w:hAnsi="Times New Roman" w:cs="Times New Roman"/>
          <w:color w:val="000000" w:themeColor="text1"/>
          <w:sz w:val="24"/>
          <w:szCs w:val="24"/>
        </w:rPr>
        <w:t>IPO</w:t>
      </w:r>
      <w:r w:rsidRPr="00A11C6E">
        <w:rPr>
          <w:rFonts w:ascii="Times New Roman" w:hAnsi="Times New Roman" w:cs="Times New Roman"/>
          <w:color w:val="000000" w:themeColor="text1"/>
          <w:sz w:val="24"/>
          <w:szCs w:val="24"/>
          <w:lang w:val="ru-RU"/>
        </w:rPr>
        <w:t xml:space="preserve"> Русал привлёк $2,2 млрд </w:t>
      </w:r>
      <w:r w:rsidRPr="00A11C6E">
        <w:rPr>
          <w:rFonts w:ascii="Times New Roman" w:hAnsi="Times New Roman" w:cs="Times New Roman"/>
          <w:color w:val="000000" w:themeColor="text1"/>
          <w:sz w:val="24"/>
          <w:szCs w:val="24"/>
          <w:lang w:val="ru-RU" w:eastAsia="zh-CN"/>
        </w:rPr>
        <w:t>[Электронный ресурс] // Финам. – 26.01.2010</w:t>
      </w:r>
      <w:r w:rsidRPr="00A11C6E">
        <w:rPr>
          <w:rFonts w:ascii="Times New Roman" w:hAnsi="Times New Roman" w:cs="Times New Roman"/>
          <w:color w:val="000000" w:themeColor="text1"/>
          <w:sz w:val="24"/>
          <w:szCs w:val="24"/>
          <w:lang w:val="ru-RU"/>
        </w:rPr>
        <w:t xml:space="preserve">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sz w:val="24"/>
          <w:szCs w:val="24"/>
        </w:rPr>
        <w:t>https</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www</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finam</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ru</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publications</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item</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po</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itogam</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ipo</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v</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gonkonge</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rusal</w:t>
      </w:r>
      <w:r w:rsidRPr="00A11C6E">
        <w:rPr>
          <w:rFonts w:ascii="Times New Roman" w:hAnsi="Times New Roman" w:cs="Times New Roman"/>
          <w:sz w:val="24"/>
          <w:szCs w:val="24"/>
          <w:lang w:val="ru-RU"/>
        </w:rPr>
        <w:t>-</w:t>
      </w:r>
      <w:r w:rsidRPr="00A11C6E">
        <w:rPr>
          <w:rFonts w:ascii="Times New Roman" w:hAnsi="Times New Roman" w:cs="Times New Roman"/>
          <w:sz w:val="24"/>
          <w:szCs w:val="24"/>
        </w:rPr>
        <w:t>privlek</w:t>
      </w:r>
      <w:r w:rsidRPr="00A11C6E">
        <w:rPr>
          <w:rFonts w:ascii="Times New Roman" w:hAnsi="Times New Roman" w:cs="Times New Roman"/>
          <w:sz w:val="24"/>
          <w:szCs w:val="24"/>
          <w:lang w:val="ru-RU"/>
        </w:rPr>
        <w:t>-2-2-</w:t>
      </w:r>
      <w:r w:rsidRPr="00A11C6E">
        <w:rPr>
          <w:rFonts w:ascii="Times New Roman" w:hAnsi="Times New Roman" w:cs="Times New Roman"/>
          <w:sz w:val="24"/>
          <w:szCs w:val="24"/>
        </w:rPr>
        <w:t>mlrd</w:t>
      </w:r>
      <w:r w:rsidRPr="00A11C6E">
        <w:rPr>
          <w:rFonts w:ascii="Times New Roman" w:hAnsi="Times New Roman" w:cs="Times New Roman"/>
          <w:sz w:val="24"/>
          <w:szCs w:val="24"/>
          <w:lang w:val="ru-RU"/>
        </w:rPr>
        <w:t>-20100126-0931</w:t>
      </w:r>
      <w:r w:rsidRPr="00A11C6E">
        <w:rPr>
          <w:rFonts w:ascii="Times New Roman" w:hAnsi="Times New Roman" w:cs="Times New Roman"/>
          <w:color w:val="000000" w:themeColor="text1"/>
          <w:sz w:val="24"/>
          <w:szCs w:val="24"/>
          <w:lang w:val="ru-RU"/>
        </w:rPr>
        <w:t xml:space="preserve"> (дата обращения: 02.03.2023).</w:t>
      </w:r>
      <w:bookmarkStart w:id="190" w:name="_Ref459375708"/>
      <w:bookmarkEnd w:id="189"/>
    </w:p>
    <w:p w14:paraId="3ACAE95E" w14:textId="77777777"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Полунин, А. Россия отвязывает нефть от доллара </w:t>
      </w:r>
      <w:r w:rsidRPr="00A11C6E">
        <w:rPr>
          <w:rFonts w:ascii="Times New Roman" w:hAnsi="Times New Roman" w:cs="Times New Roman"/>
          <w:color w:val="000000" w:themeColor="text1"/>
          <w:sz w:val="24"/>
          <w:szCs w:val="24"/>
          <w:lang w:val="ru-RU" w:eastAsia="zh-CN"/>
        </w:rPr>
        <w:t xml:space="preserve">[Электронный ресурс] / Свободная пресса. – 29.04.2016.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sz w:val="24"/>
          <w:szCs w:val="24"/>
          <w:lang w:val="ru-RU"/>
        </w:rPr>
        <w:t xml:space="preserve"> </w:t>
      </w:r>
      <w:r w:rsidRPr="00A11C6E">
        <w:rPr>
          <w:rFonts w:ascii="Times New Roman" w:hAnsi="Times New Roman" w:cs="Times New Roman"/>
          <w:color w:val="000000" w:themeColor="text1"/>
          <w:sz w:val="24"/>
          <w:szCs w:val="24"/>
        </w:rPr>
        <w:t>http</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svpressa</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ru</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economy</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article</w:t>
      </w:r>
      <w:r w:rsidRPr="00A11C6E">
        <w:rPr>
          <w:rFonts w:ascii="Times New Roman" w:hAnsi="Times New Roman" w:cs="Times New Roman"/>
          <w:color w:val="000000" w:themeColor="text1"/>
          <w:sz w:val="24"/>
          <w:szCs w:val="24"/>
          <w:lang w:val="ru-RU"/>
        </w:rPr>
        <w:t>/147724 (дата обращения: 02.03.2023).</w:t>
      </w:r>
      <w:bookmarkStart w:id="191" w:name="_Ref459295082"/>
      <w:bookmarkEnd w:id="190"/>
    </w:p>
    <w:p w14:paraId="1567881A" w14:textId="009FABD4"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92" w:name="_Ref135252747"/>
      <w:r w:rsidRPr="00A11C6E">
        <w:rPr>
          <w:rFonts w:ascii="Times New Roman" w:hAnsi="Times New Roman" w:cs="Times New Roman"/>
          <w:color w:val="000000" w:themeColor="text1"/>
          <w:sz w:val="24"/>
          <w:szCs w:val="24"/>
          <w:lang w:val="ru-RU"/>
        </w:rPr>
        <w:t>РФ может принять участие в финансировании строительства двух блоков АЭС в</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lang w:val="ru-RU"/>
        </w:rPr>
        <w:t xml:space="preserve">Бушере </w:t>
      </w:r>
      <w:r w:rsidRPr="00A11C6E">
        <w:rPr>
          <w:rFonts w:ascii="Times New Roman" w:hAnsi="Times New Roman" w:cs="Times New Roman"/>
          <w:color w:val="000000" w:themeColor="text1"/>
          <w:sz w:val="24"/>
          <w:szCs w:val="24"/>
          <w:lang w:val="ru-RU" w:eastAsia="zh-CN"/>
        </w:rPr>
        <w:t xml:space="preserve">[Электронный ресурс] // ТАСС. – 10.02.2016. – Режим доступа: </w:t>
      </w:r>
      <w:r w:rsidRPr="00A11C6E">
        <w:rPr>
          <w:rFonts w:ascii="Times New Roman" w:hAnsi="Times New Roman" w:cs="Times New Roman"/>
          <w:color w:val="000000" w:themeColor="text1"/>
          <w:sz w:val="24"/>
          <w:szCs w:val="24"/>
          <w:lang w:eastAsia="zh-CN"/>
        </w:rPr>
        <w:t>URL</w:t>
      </w:r>
      <w:r w:rsidRPr="00A11C6E">
        <w:rPr>
          <w:rFonts w:ascii="Times New Roman" w:hAnsi="Times New Roman" w:cs="Times New Roman"/>
          <w:color w:val="000000" w:themeColor="text1"/>
          <w:sz w:val="24"/>
          <w:szCs w:val="24"/>
          <w:lang w:val="ru-RU" w:eastAsia="zh-CN"/>
        </w:rPr>
        <w:t>:</w:t>
      </w:r>
      <w:r w:rsidR="004A0184">
        <w:rPr>
          <w:rFonts w:ascii="Times New Roman" w:hAnsi="Times New Roman" w:cs="Times New Roman"/>
          <w:color w:val="000000" w:themeColor="text1"/>
          <w:sz w:val="24"/>
          <w:szCs w:val="24"/>
          <w:lang w:eastAsia="zh-CN"/>
        </w:rPr>
        <w:t> </w:t>
      </w:r>
      <w:hyperlink r:id="rId95" w:tooltip="http://tass.ru/ekonomika/2656021" w:history="1">
        <w:r w:rsidRPr="00A11C6E">
          <w:rPr>
            <w:rStyle w:val="a9"/>
            <w:rFonts w:ascii="Times New Roman" w:hAnsi="Times New Roman" w:cs="Times New Roman"/>
            <w:color w:val="000000" w:themeColor="text1"/>
            <w:sz w:val="24"/>
            <w:szCs w:val="24"/>
            <w:u w:val="none"/>
          </w:rPr>
          <w:t>http</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tass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ru</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ekonomika</w:t>
        </w:r>
        <w:r w:rsidRPr="00A11C6E">
          <w:rPr>
            <w:rStyle w:val="a9"/>
            <w:rFonts w:ascii="Times New Roman" w:hAnsi="Times New Roman" w:cs="Times New Roman"/>
            <w:color w:val="000000" w:themeColor="text1"/>
            <w:sz w:val="24"/>
            <w:szCs w:val="24"/>
            <w:u w:val="none"/>
            <w:lang w:val="ru-RU"/>
          </w:rPr>
          <w:t>/2656021</w:t>
        </w:r>
      </w:hyperlink>
      <w:r w:rsidRPr="00A11C6E">
        <w:rPr>
          <w:rFonts w:ascii="Times New Roman" w:hAnsi="Times New Roman" w:cs="Times New Roman"/>
          <w:color w:val="000000" w:themeColor="text1"/>
          <w:sz w:val="24"/>
          <w:szCs w:val="24"/>
          <w:lang w:val="ru-RU"/>
        </w:rPr>
        <w:t xml:space="preserve"> (дата обращения: 01.03.2023).</w:t>
      </w:r>
      <w:bookmarkEnd w:id="192"/>
    </w:p>
    <w:p w14:paraId="3FDD15D4" w14:textId="088F8776"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Российская диаспора достигла 30 миллионов человек </w:t>
      </w:r>
      <w:r w:rsidRPr="00A11C6E">
        <w:rPr>
          <w:rFonts w:ascii="Times New Roman" w:hAnsi="Times New Roman" w:cs="Times New Roman"/>
          <w:color w:val="000000" w:themeColor="text1"/>
          <w:sz w:val="24"/>
          <w:szCs w:val="24"/>
          <w:lang w:val="ru-RU" w:eastAsia="zh-CN"/>
        </w:rPr>
        <w:t>[Электронный ресурс] // РИА Новости. – 12.10.2006 –</w:t>
      </w:r>
      <w:r w:rsidR="008D70E9"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val="ru-RU" w:eastAsia="zh-CN"/>
        </w:rPr>
        <w:t>Режим доступа:</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hyperlink r:id="rId96" w:tooltip="http://ria.ru/society/20061012/54757915.html" w:history="1">
        <w:r w:rsidRPr="00A11C6E">
          <w:rPr>
            <w:rStyle w:val="a9"/>
            <w:rFonts w:ascii="Times New Roman" w:hAnsi="Times New Roman" w:cs="Times New Roman"/>
            <w:color w:val="000000" w:themeColor="text1"/>
            <w:sz w:val="24"/>
            <w:szCs w:val="24"/>
            <w:u w:val="none"/>
          </w:rPr>
          <w:t>http</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ria</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ru</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society</w:t>
        </w:r>
        <w:r w:rsidRPr="00A11C6E">
          <w:rPr>
            <w:rStyle w:val="a9"/>
            <w:rFonts w:ascii="Times New Roman" w:hAnsi="Times New Roman" w:cs="Times New Roman"/>
            <w:color w:val="000000" w:themeColor="text1"/>
            <w:sz w:val="24"/>
            <w:szCs w:val="24"/>
            <w:u w:val="none"/>
            <w:lang w:val="ru-RU"/>
          </w:rPr>
          <w:t>/20061012/54757915.</w:t>
        </w:r>
        <w:r w:rsidRPr="00A11C6E">
          <w:rPr>
            <w:rStyle w:val="a9"/>
            <w:rFonts w:ascii="Times New Roman" w:hAnsi="Times New Roman" w:cs="Times New Roman"/>
            <w:color w:val="000000" w:themeColor="text1"/>
            <w:sz w:val="24"/>
            <w:szCs w:val="24"/>
            <w:u w:val="none"/>
          </w:rPr>
          <w:t>html</w:t>
        </w:r>
      </w:hyperlink>
      <w:r w:rsidRPr="00A11C6E">
        <w:rPr>
          <w:rFonts w:ascii="Times New Roman" w:hAnsi="Times New Roman" w:cs="Times New Roman"/>
          <w:color w:val="000000" w:themeColor="text1"/>
          <w:sz w:val="24"/>
          <w:szCs w:val="24"/>
          <w:lang w:val="ru-RU"/>
        </w:rPr>
        <w:t xml:space="preserve"> (дата обращения: 21.02.2016).</w:t>
      </w:r>
      <w:bookmarkStart w:id="193" w:name="_Ref459294142"/>
      <w:bookmarkEnd w:id="191"/>
    </w:p>
    <w:p w14:paraId="7F2947BA" w14:textId="620C2F4A" w:rsidR="009307B5"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Сафронова, А. В рейтинге доступности ипотеки Россия занимает 47-е место </w:t>
      </w:r>
      <w:r w:rsidRPr="00A11C6E">
        <w:rPr>
          <w:rFonts w:ascii="Times New Roman" w:hAnsi="Times New Roman" w:cs="Times New Roman"/>
          <w:color w:val="000000" w:themeColor="text1"/>
          <w:sz w:val="24"/>
          <w:szCs w:val="24"/>
          <w:lang w:val="ru-RU" w:eastAsia="zh-CN"/>
        </w:rPr>
        <w:t xml:space="preserve">[Электронный ресурс] </w:t>
      </w:r>
      <w:r w:rsidRPr="00A11C6E">
        <w:rPr>
          <w:rFonts w:ascii="Times New Roman" w:hAnsi="Times New Roman" w:cs="Times New Roman"/>
          <w:color w:val="000000" w:themeColor="text1"/>
          <w:sz w:val="24"/>
          <w:szCs w:val="24"/>
          <w:lang w:val="ru-RU"/>
        </w:rPr>
        <w:t xml:space="preserve">/А. Сафронова. // </w:t>
      </w:r>
      <w:r w:rsidRPr="00A11C6E">
        <w:rPr>
          <w:rFonts w:ascii="Times New Roman" w:hAnsi="Times New Roman" w:cs="Times New Roman"/>
          <w:color w:val="000000" w:themeColor="text1"/>
          <w:sz w:val="24"/>
          <w:szCs w:val="24"/>
        </w:rPr>
        <w:t>RB</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ru</w:t>
      </w:r>
      <w:r w:rsidRPr="00A11C6E">
        <w:rPr>
          <w:rFonts w:ascii="Times New Roman" w:hAnsi="Times New Roman" w:cs="Times New Roman"/>
          <w:color w:val="000000" w:themeColor="text1"/>
          <w:sz w:val="24"/>
          <w:szCs w:val="24"/>
          <w:lang w:val="ru-RU"/>
        </w:rPr>
        <w:t xml:space="preserve">. – 26.05.2011.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hyperlink r:id="rId97" w:tooltip="http://www.rb.ru/article/v-reytinge-dostupnosti-ipoteki-rossiya-zanimaet-47-mesto-iz-60/6703417.html" w:history="1">
        <w:r w:rsidRPr="00A11C6E">
          <w:rPr>
            <w:rStyle w:val="a9"/>
            <w:rFonts w:ascii="Times New Roman" w:hAnsi="Times New Roman" w:cs="Times New Roman"/>
            <w:color w:val="000000" w:themeColor="text1"/>
            <w:sz w:val="24"/>
            <w:szCs w:val="24"/>
            <w:u w:val="none"/>
          </w:rPr>
          <w:t>http</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www</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rb</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ru</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article</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v</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reytinge</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dostupnosti</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ipoteki</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rossiya</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zanimaet</w:t>
        </w:r>
        <w:r w:rsidRPr="00A11C6E">
          <w:rPr>
            <w:rStyle w:val="a9"/>
            <w:rFonts w:ascii="Times New Roman" w:hAnsi="Times New Roman" w:cs="Times New Roman"/>
            <w:color w:val="000000" w:themeColor="text1"/>
            <w:sz w:val="24"/>
            <w:szCs w:val="24"/>
            <w:u w:val="none"/>
            <w:lang w:val="ru-RU"/>
          </w:rPr>
          <w:t>-47-</w:t>
        </w:r>
        <w:r w:rsidRPr="00A11C6E">
          <w:rPr>
            <w:rStyle w:val="a9"/>
            <w:rFonts w:ascii="Times New Roman" w:hAnsi="Times New Roman" w:cs="Times New Roman"/>
            <w:color w:val="000000" w:themeColor="text1"/>
            <w:sz w:val="24"/>
            <w:szCs w:val="24"/>
            <w:u w:val="none"/>
          </w:rPr>
          <w:t>mesto</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iz</w:t>
        </w:r>
        <w:r w:rsidRPr="00A11C6E">
          <w:rPr>
            <w:rStyle w:val="a9"/>
            <w:rFonts w:ascii="Times New Roman" w:hAnsi="Times New Roman" w:cs="Times New Roman"/>
            <w:color w:val="000000" w:themeColor="text1"/>
            <w:sz w:val="24"/>
            <w:szCs w:val="24"/>
            <w:u w:val="none"/>
            <w:lang w:val="ru-RU"/>
          </w:rPr>
          <w:t>-60/6703417.</w:t>
        </w:r>
        <w:r w:rsidRPr="00A11C6E">
          <w:rPr>
            <w:rStyle w:val="a9"/>
            <w:rFonts w:ascii="Times New Roman" w:hAnsi="Times New Roman" w:cs="Times New Roman"/>
            <w:color w:val="000000" w:themeColor="text1"/>
            <w:sz w:val="24"/>
            <w:szCs w:val="24"/>
            <w:u w:val="none"/>
          </w:rPr>
          <w:t>html</w:t>
        </w:r>
      </w:hyperlink>
      <w:r w:rsidRPr="00A11C6E">
        <w:rPr>
          <w:rFonts w:ascii="Times New Roman" w:hAnsi="Times New Roman" w:cs="Times New Roman"/>
          <w:color w:val="000000" w:themeColor="text1"/>
          <w:sz w:val="24"/>
          <w:szCs w:val="24"/>
          <w:lang w:val="ru-RU"/>
        </w:rPr>
        <w:t xml:space="preserve"> (дата обращения: 02.03.2023).</w:t>
      </w:r>
      <w:bookmarkStart w:id="194" w:name="_Ref459294828"/>
      <w:bookmarkEnd w:id="193"/>
    </w:p>
    <w:p w14:paraId="7FBBB0D6" w14:textId="5D040A73" w:rsidR="009307B5" w:rsidRPr="00A11C6E" w:rsidRDefault="009307B5"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95" w:name="_Ref135324366"/>
      <w:r w:rsidRPr="00A11C6E">
        <w:rPr>
          <w:rFonts w:ascii="Times New Roman" w:hAnsi="Times New Roman" w:cs="Times New Roman"/>
          <w:color w:val="000000" w:themeColor="text1"/>
          <w:sz w:val="24"/>
          <w:szCs w:val="24"/>
          <w:lang w:val="ru-RU"/>
        </w:rPr>
        <w:t xml:space="preserve">Силуанов назвал включение России в черный список по налогам политическим [Электронный ресурс] // Ведомости. – 17.02.2023.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hyperlink r:id="rId98" w:history="1">
        <w:r w:rsidRPr="00A11C6E">
          <w:rPr>
            <w:rStyle w:val="a9"/>
            <w:rFonts w:ascii="Times New Roman" w:hAnsi="Times New Roman" w:cs="Times New Roman"/>
            <w:color w:val="000000" w:themeColor="text1"/>
            <w:sz w:val="24"/>
            <w:szCs w:val="24"/>
            <w:u w:val="none"/>
            <w:lang w:val="ru-RU"/>
          </w:rPr>
          <w:t>https://www.vedomosti.ru/politics/news/2023/02/17/963345-siluanov-vklyuchenie-rossii-v-chernii-spisok-politicheskim</w:t>
        </w:r>
      </w:hyperlink>
      <w:r w:rsidRPr="00A11C6E">
        <w:rPr>
          <w:rFonts w:ascii="Times New Roman" w:hAnsi="Times New Roman" w:cs="Times New Roman"/>
          <w:color w:val="000000" w:themeColor="text1"/>
          <w:sz w:val="24"/>
          <w:szCs w:val="24"/>
          <w:lang w:val="ru-RU"/>
        </w:rPr>
        <w:t xml:space="preserve"> (дата обращения: 18.05.2023).</w:t>
      </w:r>
      <w:bookmarkEnd w:id="195"/>
    </w:p>
    <w:p w14:paraId="1ED9E9AB" w14:textId="7346B70B"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96" w:name="_Ref131275710"/>
      <w:r w:rsidRPr="00A11C6E">
        <w:rPr>
          <w:rFonts w:ascii="Times New Roman" w:hAnsi="Times New Roman" w:cs="Times New Roman"/>
          <w:color w:val="000000" w:themeColor="text1"/>
          <w:sz w:val="24"/>
          <w:szCs w:val="24"/>
          <w:lang w:val="ru-RU"/>
        </w:rPr>
        <w:t xml:space="preserve">Силуанов назвал доллар и евро токсичными фантиками </w:t>
      </w:r>
      <w:r w:rsidRPr="00A11C6E">
        <w:rPr>
          <w:rFonts w:ascii="Times New Roman" w:hAnsi="Times New Roman" w:cs="Times New Roman"/>
          <w:color w:val="000000" w:themeColor="text1"/>
          <w:sz w:val="24"/>
          <w:szCs w:val="24"/>
          <w:lang w:val="ru-RU" w:eastAsia="zh-CN"/>
        </w:rPr>
        <w:t>[Электронный ресурс] // РИА Новости. – 27.05.2022. – Режим доступа:</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hyperlink r:id="rId99" w:tooltip="https://ria.ru/20220527/fantiki-1791233298.html" w:history="1">
        <w:r w:rsidRPr="00A11C6E">
          <w:rPr>
            <w:rStyle w:val="a9"/>
            <w:rFonts w:ascii="Times New Roman" w:hAnsi="Times New Roman" w:cs="Times New Roman"/>
            <w:color w:val="000000" w:themeColor="text1"/>
            <w:sz w:val="24"/>
            <w:szCs w:val="24"/>
            <w:u w:val="none"/>
            <w:lang w:val="ru-RU"/>
          </w:rPr>
          <w:t>https://ria.ru/20220527/fantiki-1791233298.html</w:t>
        </w:r>
      </w:hyperlink>
      <w:r w:rsidRPr="00A11C6E">
        <w:rPr>
          <w:rFonts w:ascii="Times New Roman" w:hAnsi="Times New Roman" w:cs="Times New Roman"/>
          <w:color w:val="000000" w:themeColor="text1"/>
          <w:sz w:val="24"/>
          <w:szCs w:val="24"/>
          <w:lang w:val="ru-RU"/>
        </w:rPr>
        <w:t xml:space="preserve"> (дата обращения: 02.03.2023).</w:t>
      </w:r>
      <w:bookmarkStart w:id="197" w:name="_Ref501308421"/>
      <w:bookmarkEnd w:id="194"/>
      <w:bookmarkEnd w:id="196"/>
    </w:p>
    <w:p w14:paraId="28E608C8" w14:textId="697EBD02" w:rsidR="00AE4368" w:rsidRPr="00E428EB"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98" w:name="_Ref136010380"/>
      <w:r w:rsidRPr="00A11C6E">
        <w:rPr>
          <w:rFonts w:ascii="Times New Roman" w:hAnsi="Times New Roman" w:cs="Times New Roman"/>
          <w:color w:val="000000" w:themeColor="text1"/>
          <w:sz w:val="24"/>
          <w:szCs w:val="24"/>
          <w:lang w:val="ru-RU"/>
        </w:rPr>
        <w:t xml:space="preserve">Смирнова Е. Ю. Развитие ипотечного жилищного кредитования в январе–сентябре 2019 года [Электронный ресурс] // Академия Бизнес-Финанс (сайт).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rPr>
        <w:t>https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nwab</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ru</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content</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data</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store</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images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w:t>
      </w:r>
      <w:r w:rsidRPr="00A11C6E">
        <w:rPr>
          <w:rFonts w:ascii="Times New Roman" w:hAnsi="Times New Roman" w:cs="Times New Roman"/>
          <w:color w:val="000000" w:themeColor="text1"/>
          <w:sz w:val="24"/>
          <w:szCs w:val="24"/>
          <w:lang w:val="ru-RU"/>
        </w:rPr>
        <w:t>_1819_74534_1.</w:t>
      </w:r>
      <w:r w:rsidRPr="00A11C6E">
        <w:rPr>
          <w:rFonts w:ascii="Times New Roman" w:hAnsi="Times New Roman" w:cs="Times New Roman"/>
          <w:color w:val="000000" w:themeColor="text1"/>
          <w:sz w:val="24"/>
          <w:szCs w:val="24"/>
        </w:rPr>
        <w:t>pdf</w:t>
      </w:r>
      <w:r w:rsidRPr="00A11C6E">
        <w:rPr>
          <w:rFonts w:ascii="Times New Roman" w:hAnsi="Times New Roman" w:cs="Times New Roman"/>
          <w:color w:val="000000" w:themeColor="text1"/>
          <w:sz w:val="24"/>
          <w:szCs w:val="24"/>
          <w:lang w:val="ru-RU"/>
        </w:rPr>
        <w:t xml:space="preserve"> (дата обращения: 03.03.2023).</w:t>
      </w:r>
      <w:bookmarkEnd w:id="198"/>
    </w:p>
    <w:p w14:paraId="4E11D2CB" w14:textId="1E39C348" w:rsidR="00E428EB" w:rsidRPr="00E428EB" w:rsidRDefault="00E428EB" w:rsidP="00E428EB">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199" w:name="_Ref136261948"/>
      <w:r>
        <w:rPr>
          <w:rFonts w:ascii="Times New Roman" w:hAnsi="Times New Roman" w:cs="Times New Roman"/>
          <w:color w:val="000000"/>
          <w:sz w:val="24"/>
          <w:szCs w:val="24"/>
          <w:lang w:val="ru-RU"/>
        </w:rPr>
        <w:t xml:space="preserve">Страны Евросоюза отчитались о заморозке более 200 млрд евро активов ЦБ </w:t>
      </w:r>
      <w:r w:rsidRPr="00E428EB">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Электронный ресурс</w:t>
      </w:r>
      <w:r w:rsidRPr="00E428EB">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E428E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Ведомости. – 25.05.2023. – Режим доступа: </w:t>
      </w:r>
      <w:r>
        <w:rPr>
          <w:rFonts w:ascii="Times New Roman" w:hAnsi="Times New Roman" w:cs="Times New Roman"/>
          <w:color w:val="000000"/>
          <w:sz w:val="24"/>
          <w:szCs w:val="24"/>
        </w:rPr>
        <w:t>URL</w:t>
      </w:r>
      <w:r w:rsidRPr="00E428EB">
        <w:rPr>
          <w:rFonts w:ascii="Times New Roman" w:hAnsi="Times New Roman" w:cs="Times New Roman"/>
          <w:color w:val="000000"/>
          <w:sz w:val="24"/>
          <w:szCs w:val="24"/>
          <w:lang w:val="ru-RU"/>
        </w:rPr>
        <w:t>:</w:t>
      </w:r>
      <w:r w:rsidR="00F5756A">
        <w:rPr>
          <w:rFonts w:ascii="Times New Roman" w:hAnsi="Times New Roman" w:cs="Times New Roman"/>
          <w:color w:val="000000"/>
          <w:sz w:val="24"/>
          <w:szCs w:val="24"/>
          <w:lang w:val="ru-RU"/>
        </w:rPr>
        <w:t> </w:t>
      </w:r>
      <w:hyperlink r:id="rId100" w:history="1">
        <w:r w:rsidRPr="00E428EB">
          <w:rPr>
            <w:rStyle w:val="a9"/>
            <w:rFonts w:ascii="Times New Roman" w:hAnsi="Times New Roman" w:cs="Times New Roman"/>
            <w:color w:val="000000" w:themeColor="text1"/>
            <w:sz w:val="24"/>
            <w:szCs w:val="24"/>
            <w:u w:val="none"/>
            <w:lang w:val="ru-RU"/>
          </w:rPr>
          <w:t>https://www.vedomosti.ru/politics/news/2023/05/25/976854-strani-evrosoyuza-otchitalis</w:t>
        </w:r>
      </w:hyperlink>
      <w:r w:rsidRPr="00E428EB">
        <w:rPr>
          <w:rFonts w:ascii="Times New Roman" w:hAnsi="Times New Roman" w:cs="Times New Roman"/>
          <w:color w:val="000000"/>
          <w:sz w:val="24"/>
          <w:szCs w:val="24"/>
          <w:lang w:val="ru-RU"/>
        </w:rPr>
        <w:t xml:space="preserve"> </w:t>
      </w:r>
      <w:r w:rsidRPr="00A11C6E">
        <w:rPr>
          <w:rFonts w:ascii="Times New Roman" w:hAnsi="Times New Roman" w:cs="Times New Roman"/>
          <w:color w:val="000000" w:themeColor="text1"/>
          <w:sz w:val="24"/>
          <w:szCs w:val="24"/>
          <w:lang w:val="ru-RU"/>
        </w:rPr>
        <w:t xml:space="preserve">(дата обращения: </w:t>
      </w:r>
      <w:r w:rsidRPr="00E428EB">
        <w:rPr>
          <w:rFonts w:ascii="Times New Roman" w:hAnsi="Times New Roman" w:cs="Times New Roman"/>
          <w:color w:val="000000" w:themeColor="text1"/>
          <w:sz w:val="24"/>
          <w:szCs w:val="24"/>
          <w:lang w:val="ru-RU"/>
        </w:rPr>
        <w:t>29</w:t>
      </w:r>
      <w:r w:rsidRPr="00A11C6E">
        <w:rPr>
          <w:rFonts w:ascii="Times New Roman" w:hAnsi="Times New Roman" w:cs="Times New Roman"/>
          <w:color w:val="000000" w:themeColor="text1"/>
          <w:sz w:val="24"/>
          <w:szCs w:val="24"/>
          <w:lang w:val="ru-RU"/>
        </w:rPr>
        <w:t>.0</w:t>
      </w:r>
      <w:r w:rsidRPr="00E428EB">
        <w:rPr>
          <w:rFonts w:ascii="Times New Roman" w:hAnsi="Times New Roman" w:cs="Times New Roman"/>
          <w:color w:val="000000" w:themeColor="text1"/>
          <w:sz w:val="24"/>
          <w:szCs w:val="24"/>
          <w:lang w:val="ru-RU"/>
        </w:rPr>
        <w:t>5</w:t>
      </w:r>
      <w:r w:rsidRPr="00A11C6E">
        <w:rPr>
          <w:rFonts w:ascii="Times New Roman" w:hAnsi="Times New Roman" w:cs="Times New Roman"/>
          <w:color w:val="000000" w:themeColor="text1"/>
          <w:sz w:val="24"/>
          <w:szCs w:val="24"/>
          <w:lang w:val="ru-RU"/>
        </w:rPr>
        <w:t>.2023).</w:t>
      </w:r>
      <w:bookmarkEnd w:id="199"/>
    </w:p>
    <w:p w14:paraId="62BA8A54" w14:textId="29055A67" w:rsidR="0049163C" w:rsidRPr="0049163C" w:rsidRDefault="0049163C" w:rsidP="0049163C">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Pr>
          <w:rFonts w:ascii="Times New Roman" w:hAnsi="Times New Roman" w:cs="Times New Roman"/>
          <w:color w:val="000000" w:themeColor="text1"/>
          <w:sz w:val="24"/>
          <w:szCs w:val="24"/>
          <w:lang w:val="ru-RU"/>
        </w:rPr>
        <w:t xml:space="preserve">Субботина, С. Правительство просят вернуть самолёты в российскую юрисдикцию </w:t>
      </w:r>
      <w:r w:rsidRPr="0049163C">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Электронный ресур</w:t>
      </w:r>
      <w:r>
        <w:rPr>
          <w:rFonts w:ascii="Times New Roman" w:hAnsi="Times New Roman" w:cs="Times New Roman"/>
          <w:color w:val="000000" w:themeColor="text1"/>
          <w:sz w:val="24"/>
          <w:szCs w:val="24"/>
        </w:rPr>
        <w:t>c</w:t>
      </w:r>
      <w:r w:rsidRPr="0049163C">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 Известия. – 15.01.2015. – Режим доступа: </w:t>
      </w:r>
      <w:r>
        <w:rPr>
          <w:rFonts w:ascii="Times New Roman" w:hAnsi="Times New Roman" w:cs="Times New Roman"/>
          <w:color w:val="000000" w:themeColor="text1"/>
          <w:sz w:val="24"/>
          <w:szCs w:val="24"/>
        </w:rPr>
        <w:t>URL</w:t>
      </w:r>
      <w:r w:rsidRPr="0049163C">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 xml:space="preserve"> </w:t>
      </w:r>
      <w:hyperlink r:id="rId101" w:history="1">
        <w:r w:rsidRPr="0049163C">
          <w:rPr>
            <w:rStyle w:val="a9"/>
            <w:rFonts w:ascii="Times New Roman" w:hAnsi="Times New Roman" w:cs="Times New Roman"/>
            <w:color w:val="000000" w:themeColor="text1"/>
            <w:sz w:val="24"/>
            <w:szCs w:val="24"/>
            <w:u w:val="none"/>
            <w:lang w:val="ru-RU"/>
          </w:rPr>
          <w:t>https://iz.ru/news/581728</w:t>
        </w:r>
      </w:hyperlink>
      <w:r w:rsidRPr="0049163C">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rPr>
        <w:t xml:space="preserve">(дата обращения: </w:t>
      </w:r>
      <w:r w:rsidRPr="0049163C">
        <w:rPr>
          <w:rFonts w:ascii="Times New Roman" w:hAnsi="Times New Roman" w:cs="Times New Roman"/>
          <w:color w:val="000000" w:themeColor="text1"/>
          <w:sz w:val="24"/>
          <w:szCs w:val="24"/>
          <w:lang w:val="ru-RU"/>
        </w:rPr>
        <w:t>28</w:t>
      </w:r>
      <w:r w:rsidRPr="00A11C6E">
        <w:rPr>
          <w:rFonts w:ascii="Times New Roman" w:hAnsi="Times New Roman" w:cs="Times New Roman"/>
          <w:color w:val="000000" w:themeColor="text1"/>
          <w:sz w:val="24"/>
          <w:szCs w:val="24"/>
          <w:lang w:val="ru-RU"/>
        </w:rPr>
        <w:t>.0</w:t>
      </w:r>
      <w:r w:rsidRPr="0049163C">
        <w:rPr>
          <w:rFonts w:ascii="Times New Roman" w:hAnsi="Times New Roman" w:cs="Times New Roman"/>
          <w:color w:val="000000" w:themeColor="text1"/>
          <w:sz w:val="24"/>
          <w:szCs w:val="24"/>
          <w:lang w:val="ru-RU"/>
        </w:rPr>
        <w:t>5</w:t>
      </w:r>
      <w:r w:rsidRPr="00A11C6E">
        <w:rPr>
          <w:rFonts w:ascii="Times New Roman" w:hAnsi="Times New Roman" w:cs="Times New Roman"/>
          <w:color w:val="000000" w:themeColor="text1"/>
          <w:sz w:val="24"/>
          <w:szCs w:val="24"/>
          <w:lang w:val="ru-RU"/>
        </w:rPr>
        <w:t>.2023).</w:t>
      </w:r>
    </w:p>
    <w:p w14:paraId="1BEBBB52" w14:textId="598D138D"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lastRenderedPageBreak/>
        <w:t>Сургуладзе, В. Ш. Место Москвы в рейтингах международных финансовых центрах [Электронный ресурс] /</w:t>
      </w:r>
      <w:r w:rsidR="00861A7F"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rPr>
        <w:t xml:space="preserve">В. Ш. Сургуладзе // Российский институт стратегических исследований. – 30.05.2014.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https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riss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ru</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analitica</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mesto</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moskvy</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v</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reytingakh</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mezhdunarodnykh</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finansovykh</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tsentrov</w:t>
      </w:r>
      <w:r w:rsidRPr="00A11C6E">
        <w:rPr>
          <w:rFonts w:ascii="Times New Roman" w:hAnsi="Times New Roman" w:cs="Times New Roman"/>
          <w:color w:val="000000" w:themeColor="text1"/>
          <w:sz w:val="24"/>
          <w:szCs w:val="24"/>
          <w:lang w:val="ru-RU"/>
        </w:rPr>
        <w:t xml:space="preserve"> (дата обращения: 02.03.2023).</w:t>
      </w:r>
      <w:bookmarkEnd w:id="197"/>
    </w:p>
    <w:p w14:paraId="35BCA9CF" w14:textId="6524240F" w:rsidR="00AE2D5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200" w:name="_Ref131275885"/>
      <w:r w:rsidRPr="00A11C6E">
        <w:rPr>
          <w:rFonts w:ascii="Times New Roman" w:hAnsi="Times New Roman" w:cs="Times New Roman"/>
          <w:color w:val="000000" w:themeColor="text1"/>
          <w:sz w:val="24"/>
          <w:szCs w:val="24"/>
          <w:lang w:val="ru-RU"/>
        </w:rPr>
        <w:t xml:space="preserve">Тофанюк, Е. Кипрская десятина: как россияне за один день лишились до €3,5 млрд </w:t>
      </w:r>
      <w:r w:rsidRPr="00A11C6E">
        <w:rPr>
          <w:rFonts w:ascii="Times New Roman" w:hAnsi="Times New Roman" w:cs="Times New Roman"/>
          <w:color w:val="000000" w:themeColor="text1"/>
          <w:sz w:val="24"/>
          <w:szCs w:val="24"/>
          <w:lang w:val="ru-RU" w:eastAsia="zh-CN"/>
        </w:rPr>
        <w:t xml:space="preserve">[Электронный ресурс] </w:t>
      </w:r>
      <w:r w:rsidRPr="00A11C6E">
        <w:rPr>
          <w:rFonts w:ascii="Times New Roman" w:hAnsi="Times New Roman" w:cs="Times New Roman"/>
          <w:color w:val="000000" w:themeColor="text1"/>
          <w:sz w:val="24"/>
          <w:szCs w:val="24"/>
          <w:lang w:val="ru-RU"/>
        </w:rPr>
        <w:t xml:space="preserve">/Е. Тофанюк // </w:t>
      </w:r>
      <w:r w:rsidRPr="00A11C6E">
        <w:rPr>
          <w:rFonts w:ascii="Times New Roman" w:hAnsi="Times New Roman" w:cs="Times New Roman"/>
          <w:color w:val="000000" w:themeColor="text1"/>
          <w:sz w:val="24"/>
          <w:szCs w:val="24"/>
        </w:rPr>
        <w:t>Forbes</w:t>
      </w:r>
      <w:r w:rsidRPr="00A11C6E">
        <w:rPr>
          <w:rFonts w:ascii="Times New Roman" w:hAnsi="Times New Roman" w:cs="Times New Roman"/>
          <w:color w:val="000000" w:themeColor="text1"/>
          <w:sz w:val="24"/>
          <w:szCs w:val="24"/>
          <w:lang w:val="ru-RU"/>
        </w:rPr>
        <w:t xml:space="preserve">. – 16.03.2013.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hyperlink r:id="rId102" w:tooltip="https://www.forbes.ru/finansy/regulirovanie/235754-kiprskaya-desyatina-kak-rossiyane-za-odin-den-lishilis-35-mlrd" w:history="1">
        <w:r w:rsidRPr="00A11C6E">
          <w:rPr>
            <w:rStyle w:val="a9"/>
            <w:rFonts w:ascii="Times New Roman" w:hAnsi="Times New Roman" w:cs="Times New Roman"/>
            <w:color w:val="000000" w:themeColor="text1"/>
            <w:sz w:val="24"/>
            <w:szCs w:val="24"/>
            <w:u w:val="none"/>
          </w:rPr>
          <w:t>https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www</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forbes</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ru</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finansy</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regulirovanie</w:t>
        </w:r>
        <w:r w:rsidRPr="00A11C6E">
          <w:rPr>
            <w:rStyle w:val="a9"/>
            <w:rFonts w:ascii="Times New Roman" w:hAnsi="Times New Roman" w:cs="Times New Roman"/>
            <w:color w:val="000000" w:themeColor="text1"/>
            <w:sz w:val="24"/>
            <w:szCs w:val="24"/>
            <w:u w:val="none"/>
            <w:lang w:val="ru-RU"/>
          </w:rPr>
          <w:t>/235754-</w:t>
        </w:r>
        <w:r w:rsidRPr="00A11C6E">
          <w:rPr>
            <w:rStyle w:val="a9"/>
            <w:rFonts w:ascii="Times New Roman" w:hAnsi="Times New Roman" w:cs="Times New Roman"/>
            <w:color w:val="000000" w:themeColor="text1"/>
            <w:sz w:val="24"/>
            <w:szCs w:val="24"/>
            <w:u w:val="none"/>
          </w:rPr>
          <w:t>kiprskaya</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desyatina</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kak</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rossiyane</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za</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odin</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den</w:t>
        </w:r>
        <w:r w:rsidRPr="00A11C6E">
          <w:rPr>
            <w:rStyle w:val="a9"/>
            <w:rFonts w:ascii="Times New Roman" w:hAnsi="Times New Roman" w:cs="Times New Roman"/>
            <w:color w:val="000000" w:themeColor="text1"/>
            <w:sz w:val="24"/>
            <w:szCs w:val="24"/>
            <w:u w:val="none"/>
            <w:lang w:val="ru-RU"/>
          </w:rPr>
          <w:t>-</w:t>
        </w:r>
        <w:r w:rsidRPr="00A11C6E">
          <w:rPr>
            <w:rStyle w:val="a9"/>
            <w:rFonts w:ascii="Times New Roman" w:hAnsi="Times New Roman" w:cs="Times New Roman"/>
            <w:color w:val="000000" w:themeColor="text1"/>
            <w:sz w:val="24"/>
            <w:szCs w:val="24"/>
            <w:u w:val="none"/>
          </w:rPr>
          <w:t>lishilis</w:t>
        </w:r>
        <w:r w:rsidRPr="00A11C6E">
          <w:rPr>
            <w:rStyle w:val="a9"/>
            <w:rFonts w:ascii="Times New Roman" w:hAnsi="Times New Roman" w:cs="Times New Roman"/>
            <w:color w:val="000000" w:themeColor="text1"/>
            <w:sz w:val="24"/>
            <w:szCs w:val="24"/>
            <w:u w:val="none"/>
            <w:lang w:val="ru-RU"/>
          </w:rPr>
          <w:t>-35-</w:t>
        </w:r>
        <w:r w:rsidRPr="00A11C6E">
          <w:rPr>
            <w:rStyle w:val="a9"/>
            <w:rFonts w:ascii="Times New Roman" w:hAnsi="Times New Roman" w:cs="Times New Roman"/>
            <w:color w:val="000000" w:themeColor="text1"/>
            <w:sz w:val="24"/>
            <w:szCs w:val="24"/>
            <w:u w:val="none"/>
          </w:rPr>
          <w:t>mlrd</w:t>
        </w:r>
      </w:hyperlink>
      <w:r w:rsidRPr="00A11C6E">
        <w:rPr>
          <w:rFonts w:ascii="Times New Roman" w:hAnsi="Times New Roman" w:cs="Times New Roman"/>
          <w:color w:val="000000" w:themeColor="text1"/>
          <w:sz w:val="24"/>
          <w:szCs w:val="24"/>
          <w:lang w:val="ru-RU"/>
        </w:rPr>
        <w:t xml:space="preserve"> (дата обращения</w:t>
      </w:r>
      <w:r w:rsidR="00AE2D58"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lang w:val="ru-RU"/>
        </w:rPr>
        <w:t xml:space="preserve"> 25.02.2023).</w:t>
      </w:r>
      <w:bookmarkStart w:id="201" w:name="_Ref459295250"/>
      <w:bookmarkEnd w:id="200"/>
    </w:p>
    <w:p w14:paraId="17F87C0A" w14:textId="6C30DAD5" w:rsidR="009707F0" w:rsidRPr="00A11C6E" w:rsidRDefault="009707F0"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Финтех: Задачи регулирования в Российской Федерации: Доклад. 02.11.2017 [Электронный ресурс] / Российской-британская рабочая группа по развитию финансовых технологий.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https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mfc</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moscow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com</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assets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files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analytics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fintech</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zadachi</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pdf</w:t>
      </w:r>
      <w:r w:rsidRPr="00A11C6E">
        <w:rPr>
          <w:rFonts w:ascii="Times New Roman" w:hAnsi="Times New Roman" w:cs="Times New Roman"/>
          <w:color w:val="000000" w:themeColor="text1"/>
          <w:sz w:val="24"/>
          <w:szCs w:val="24"/>
          <w:lang w:val="ru-RU"/>
        </w:rPr>
        <w:t xml:space="preserve"> (дата обращения 04.04.2023).</w:t>
      </w:r>
    </w:p>
    <w:p w14:paraId="27614A63" w14:textId="02A928C9" w:rsidR="00AE4368" w:rsidRPr="00A11C6E"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r w:rsidRPr="00A11C6E">
        <w:rPr>
          <w:rFonts w:ascii="Times New Roman" w:hAnsi="Times New Roman" w:cs="Times New Roman"/>
          <w:color w:val="000000" w:themeColor="text1"/>
          <w:sz w:val="24"/>
          <w:szCs w:val="24"/>
          <w:lang w:val="ru-RU"/>
        </w:rPr>
        <w:t xml:space="preserve">Цзянь, Ц. Китай отвергает идею </w:t>
      </w:r>
      <w:r w:rsidRPr="00A11C6E">
        <w:rPr>
          <w:rFonts w:ascii="Times New Roman" w:hAnsi="Times New Roman" w:cs="Times New Roman"/>
          <w:color w:val="000000" w:themeColor="text1"/>
          <w:sz w:val="24"/>
          <w:szCs w:val="24"/>
        </w:rPr>
        <w:t>G</w:t>
      </w:r>
      <w:r w:rsidRPr="00A11C6E">
        <w:rPr>
          <w:rFonts w:ascii="Times New Roman" w:hAnsi="Times New Roman" w:cs="Times New Roman"/>
          <w:color w:val="000000" w:themeColor="text1"/>
          <w:sz w:val="24"/>
          <w:szCs w:val="24"/>
          <w:lang w:val="ru-RU"/>
        </w:rPr>
        <w:t xml:space="preserve">-2 </w:t>
      </w:r>
      <w:r w:rsidRPr="00A11C6E">
        <w:rPr>
          <w:rFonts w:ascii="Times New Roman" w:hAnsi="Times New Roman" w:cs="Times New Roman"/>
          <w:color w:val="000000" w:themeColor="text1"/>
          <w:sz w:val="24"/>
          <w:szCs w:val="24"/>
          <w:lang w:val="ru-RU" w:eastAsia="zh-CN"/>
        </w:rPr>
        <w:t xml:space="preserve">[Электронный ресурс] </w:t>
      </w:r>
      <w:r w:rsidRPr="00A11C6E">
        <w:rPr>
          <w:rFonts w:ascii="Times New Roman" w:hAnsi="Times New Roman" w:cs="Times New Roman"/>
          <w:color w:val="000000" w:themeColor="text1"/>
          <w:sz w:val="24"/>
          <w:szCs w:val="24"/>
          <w:lang w:val="ru-RU"/>
        </w:rPr>
        <w:t xml:space="preserve">/Ц. Цзянь // </w:t>
      </w:r>
      <w:r w:rsidRPr="00A11C6E">
        <w:rPr>
          <w:rFonts w:ascii="Times New Roman" w:hAnsi="Times New Roman" w:cs="Times New Roman"/>
          <w:color w:val="000000" w:themeColor="text1"/>
          <w:sz w:val="24"/>
          <w:szCs w:val="24"/>
        </w:rPr>
        <w:t>Asia</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Times</w:t>
      </w:r>
      <w:r w:rsidRPr="00A11C6E">
        <w:rPr>
          <w:rFonts w:ascii="Times New Roman" w:hAnsi="Times New Roman" w:cs="Times New Roman"/>
          <w:color w:val="000000" w:themeColor="text1"/>
          <w:sz w:val="24"/>
          <w:szCs w:val="24"/>
          <w:lang w:val="ru-RU"/>
        </w:rPr>
        <w:t xml:space="preserve">. – 29.02.2009 – Гонконг. – Пер. </w:t>
      </w:r>
      <w:r w:rsidRPr="00A11C6E">
        <w:rPr>
          <w:rFonts w:ascii="Times New Roman" w:hAnsi="Times New Roman" w:cs="Times New Roman"/>
          <w:color w:val="000000" w:themeColor="text1"/>
          <w:sz w:val="24"/>
          <w:szCs w:val="24"/>
        </w:rPr>
        <w:t>c</w:t>
      </w:r>
      <w:r w:rsidRPr="00A11C6E">
        <w:rPr>
          <w:rFonts w:ascii="Times New Roman" w:hAnsi="Times New Roman" w:cs="Times New Roman"/>
          <w:color w:val="000000" w:themeColor="text1"/>
          <w:sz w:val="24"/>
          <w:szCs w:val="24"/>
          <w:lang w:val="ru-RU"/>
        </w:rPr>
        <w:t xml:space="preserve"> кит. «Иносми». – Режим доступа: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rPr>
        <w:t>http</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inosmi</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ru</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world</w:t>
      </w:r>
      <w:r w:rsidRPr="00A11C6E">
        <w:rPr>
          <w:rFonts w:ascii="Times New Roman" w:hAnsi="Times New Roman" w:cs="Times New Roman"/>
          <w:color w:val="000000" w:themeColor="text1"/>
          <w:sz w:val="24"/>
          <w:szCs w:val="24"/>
          <w:lang w:val="ru-RU"/>
        </w:rPr>
        <w:t>/20090529/249494.</w:t>
      </w:r>
      <w:r w:rsidRPr="00A11C6E">
        <w:rPr>
          <w:rFonts w:ascii="Times New Roman" w:hAnsi="Times New Roman" w:cs="Times New Roman"/>
          <w:color w:val="000000" w:themeColor="text1"/>
          <w:sz w:val="24"/>
          <w:szCs w:val="24"/>
        </w:rPr>
        <w:t>html</w:t>
      </w:r>
      <w:r w:rsidRPr="00A11C6E">
        <w:rPr>
          <w:rFonts w:ascii="Times New Roman" w:hAnsi="Times New Roman" w:cs="Times New Roman"/>
          <w:color w:val="000000" w:themeColor="text1"/>
          <w:sz w:val="24"/>
          <w:szCs w:val="24"/>
          <w:lang w:val="ru-RU"/>
        </w:rPr>
        <w:t xml:space="preserve"> (дата обращения: 02.03.2023).</w:t>
      </w:r>
      <w:bookmarkStart w:id="202" w:name="_Ref498176488"/>
      <w:bookmarkEnd w:id="201"/>
    </w:p>
    <w:p w14:paraId="5A6F8A4F" w14:textId="1ACEF575" w:rsidR="00AE4368" w:rsidRPr="00AE513B" w:rsidRDefault="002023F4" w:rsidP="00A134D2">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203" w:name="_Ref131437019"/>
      <w:r w:rsidRPr="00A11C6E">
        <w:rPr>
          <w:rFonts w:ascii="Times New Roman" w:hAnsi="Times New Roman" w:cs="Times New Roman"/>
          <w:color w:val="000000" w:themeColor="text1"/>
          <w:sz w:val="24"/>
          <w:szCs w:val="24"/>
        </w:rPr>
        <w:t>Bank</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National</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Clearing</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System</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Joint</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Stock</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Company</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Fitsch</w:t>
      </w:r>
      <w:r w:rsidRPr="00A11C6E">
        <w:rPr>
          <w:rFonts w:ascii="Times New Roman" w:hAnsi="Times New Roman" w:cs="Times New Roman"/>
          <w:color w:val="000000" w:themeColor="text1"/>
          <w:sz w:val="24"/>
          <w:szCs w:val="24"/>
          <w:lang w:val="ru-RU"/>
        </w:rPr>
        <w:t xml:space="preserve"> подтвердило РДЭ Национального Клирингового Центра в иностранной валюте на уровне «</w:t>
      </w:r>
      <w:r w:rsidRPr="00A11C6E">
        <w:rPr>
          <w:rFonts w:ascii="Times New Roman" w:hAnsi="Times New Roman" w:cs="Times New Roman"/>
          <w:color w:val="000000" w:themeColor="text1"/>
          <w:sz w:val="24"/>
          <w:szCs w:val="24"/>
        </w:rPr>
        <w:t>BBB</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lang w:val="ru-RU" w:eastAsia="zh-CN"/>
        </w:rPr>
        <w:t xml:space="preserve">[Электронный ресурс] // </w:t>
      </w:r>
      <w:r w:rsidRPr="00A11C6E">
        <w:rPr>
          <w:rFonts w:ascii="Times New Roman" w:hAnsi="Times New Roman" w:cs="Times New Roman"/>
          <w:color w:val="000000" w:themeColor="text1"/>
          <w:sz w:val="24"/>
          <w:szCs w:val="24"/>
          <w:lang w:eastAsia="zh-CN"/>
        </w:rPr>
        <w:t>Fitch</w:t>
      </w:r>
      <w:r w:rsidRPr="00A11C6E">
        <w:rPr>
          <w:rFonts w:ascii="Times New Roman" w:hAnsi="Times New Roman" w:cs="Times New Roman"/>
          <w:color w:val="000000" w:themeColor="text1"/>
          <w:sz w:val="24"/>
          <w:szCs w:val="24"/>
          <w:lang w:val="ru-RU" w:eastAsia="zh-CN"/>
        </w:rPr>
        <w:t xml:space="preserve"> </w:t>
      </w:r>
      <w:r w:rsidRPr="00A11C6E">
        <w:rPr>
          <w:rFonts w:ascii="Times New Roman" w:hAnsi="Times New Roman" w:cs="Times New Roman"/>
          <w:color w:val="000000" w:themeColor="text1"/>
          <w:sz w:val="24"/>
          <w:szCs w:val="24"/>
          <w:lang w:eastAsia="zh-CN"/>
        </w:rPr>
        <w:t>Rating</w:t>
      </w:r>
      <w:r w:rsidRPr="00A11C6E">
        <w:rPr>
          <w:rFonts w:ascii="Times New Roman" w:hAnsi="Times New Roman" w:cs="Times New Roman"/>
          <w:color w:val="000000" w:themeColor="text1"/>
          <w:sz w:val="24"/>
          <w:szCs w:val="24"/>
          <w:lang w:val="ru-RU" w:eastAsia="zh-CN"/>
        </w:rPr>
        <w:t>. – 22.02.2017. – Режим доступа:</w:t>
      </w:r>
      <w:r w:rsidRPr="00A11C6E">
        <w:rPr>
          <w:rFonts w:ascii="Times New Roman" w:hAnsi="Times New Roman" w:cs="Times New Roman"/>
          <w:color w:val="000000" w:themeColor="text1"/>
          <w:sz w:val="24"/>
          <w:szCs w:val="24"/>
          <w:lang w:val="ru-RU"/>
        </w:rPr>
        <w:t xml:space="preserve"> </w:t>
      </w:r>
      <w:r w:rsidRPr="00A11C6E">
        <w:rPr>
          <w:rFonts w:ascii="Times New Roman" w:hAnsi="Times New Roman" w:cs="Times New Roman"/>
          <w:color w:val="000000" w:themeColor="text1"/>
          <w:sz w:val="24"/>
          <w:szCs w:val="24"/>
        </w:rPr>
        <w:t>URL</w:t>
      </w:r>
      <w:r w:rsidRPr="00A11C6E">
        <w:rPr>
          <w:rFonts w:ascii="Times New Roman" w:hAnsi="Times New Roman" w:cs="Times New Roman"/>
          <w:color w:val="000000" w:themeColor="text1"/>
          <w:sz w:val="24"/>
          <w:szCs w:val="24"/>
          <w:lang w:val="ru-RU"/>
        </w:rPr>
        <w:t>:</w:t>
      </w:r>
      <w:r w:rsidR="004A0184">
        <w:rPr>
          <w:rFonts w:ascii="Times New Roman" w:hAnsi="Times New Roman" w:cs="Times New Roman"/>
          <w:color w:val="000000" w:themeColor="text1"/>
          <w:sz w:val="24"/>
          <w:szCs w:val="24"/>
        </w:rPr>
        <w:t> </w:t>
      </w:r>
      <w:r w:rsidRPr="00A11C6E">
        <w:rPr>
          <w:rFonts w:ascii="Times New Roman" w:hAnsi="Times New Roman" w:cs="Times New Roman"/>
          <w:color w:val="000000" w:themeColor="text1"/>
          <w:sz w:val="24"/>
          <w:szCs w:val="24"/>
        </w:rPr>
        <w:t>https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www</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fitchratings</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com</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site</w:t>
      </w:r>
      <w:r w:rsidRPr="00A11C6E">
        <w:rPr>
          <w:rFonts w:ascii="Times New Roman" w:hAnsi="Times New Roman" w:cs="Times New Roman"/>
          <w:color w:val="000000" w:themeColor="text1"/>
          <w:sz w:val="24"/>
          <w:szCs w:val="24"/>
          <w:lang w:val="ru-RU"/>
        </w:rPr>
        <w:t>/</w:t>
      </w:r>
      <w:r w:rsidRPr="00A11C6E">
        <w:rPr>
          <w:rFonts w:ascii="Times New Roman" w:hAnsi="Times New Roman" w:cs="Times New Roman"/>
          <w:color w:val="000000" w:themeColor="text1"/>
          <w:sz w:val="24"/>
          <w:szCs w:val="24"/>
        </w:rPr>
        <w:t>pr</w:t>
      </w:r>
      <w:r w:rsidRPr="00A11C6E">
        <w:rPr>
          <w:rFonts w:ascii="Times New Roman" w:hAnsi="Times New Roman" w:cs="Times New Roman"/>
          <w:color w:val="000000" w:themeColor="text1"/>
          <w:sz w:val="24"/>
          <w:szCs w:val="24"/>
          <w:lang w:val="ru-RU"/>
        </w:rPr>
        <w:t>/1019342 (дата обращения: 02.03.2023).</w:t>
      </w:r>
      <w:bookmarkEnd w:id="202"/>
      <w:bookmarkEnd w:id="203"/>
    </w:p>
    <w:p w14:paraId="63506DAD" w14:textId="2FB422D9" w:rsidR="00AE513B" w:rsidRPr="00AE513B" w:rsidRDefault="00AE513B" w:rsidP="00AE513B">
      <w:pPr>
        <w:pStyle w:val="af3"/>
        <w:numPr>
          <w:ilvl w:val="0"/>
          <w:numId w:val="15"/>
        </w:numPr>
        <w:tabs>
          <w:tab w:val="left" w:pos="993"/>
        </w:tabs>
        <w:spacing w:after="0" w:line="360" w:lineRule="auto"/>
        <w:ind w:left="0" w:firstLine="709"/>
        <w:jc w:val="both"/>
        <w:rPr>
          <w:rFonts w:ascii="Times New Roman" w:hAnsi="Times New Roman" w:cs="Times New Roman"/>
          <w:color w:val="000000"/>
          <w:sz w:val="24"/>
          <w:szCs w:val="24"/>
          <w:lang w:val="ru-RU"/>
        </w:rPr>
      </w:pPr>
      <w:bookmarkStart w:id="204" w:name="_Ref136241655"/>
      <w:r>
        <w:rPr>
          <w:rFonts w:ascii="Times New Roman" w:hAnsi="Times New Roman" w:cs="Times New Roman"/>
          <w:color w:val="000000" w:themeColor="text1"/>
          <w:sz w:val="24"/>
          <w:szCs w:val="24"/>
        </w:rPr>
        <w:t>Bloomberg</w:t>
      </w:r>
      <w:r w:rsidRPr="00AE513B">
        <w:rPr>
          <w:rFonts w:ascii="Times New Roman" w:hAnsi="Times New Roman" w:cs="Times New Roman"/>
          <w:color w:val="000000" w:themeColor="text1"/>
          <w:sz w:val="24"/>
          <w:szCs w:val="24"/>
          <w:lang w:val="ru-RU"/>
        </w:rPr>
        <w:t xml:space="preserve"> </w:t>
      </w:r>
      <w:r>
        <w:rPr>
          <w:rFonts w:ascii="Times New Roman" w:hAnsi="Times New Roman" w:cs="Times New Roman"/>
          <w:color w:val="000000" w:themeColor="text1"/>
          <w:sz w:val="24"/>
          <w:szCs w:val="24"/>
          <w:lang w:val="ru-RU"/>
        </w:rPr>
        <w:t xml:space="preserve">узнал об отказе Джека Ма вернуться в Китай по приглашению властей </w:t>
      </w:r>
      <w:r w:rsidRPr="00AE513B">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Электронный ресурс</w:t>
      </w:r>
      <w:r w:rsidRPr="00AE513B">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 xml:space="preserve"> // Коммерсант. – 27.03.2023. – Режим доступа: </w:t>
      </w:r>
      <w:r>
        <w:rPr>
          <w:rFonts w:ascii="Times New Roman" w:hAnsi="Times New Roman" w:cs="Times New Roman"/>
          <w:color w:val="000000" w:themeColor="text1"/>
          <w:sz w:val="24"/>
          <w:szCs w:val="24"/>
        </w:rPr>
        <w:t>URL</w:t>
      </w:r>
      <w:r w:rsidRPr="00AE513B">
        <w:rPr>
          <w:rFonts w:ascii="Times New Roman" w:hAnsi="Times New Roman" w:cs="Times New Roman"/>
          <w:color w:val="000000" w:themeColor="text1"/>
          <w:sz w:val="24"/>
          <w:szCs w:val="24"/>
          <w:lang w:val="ru-RU"/>
        </w:rPr>
        <w:t>: https://www.kommersant.ru/doc/5900066#:~:text=Китайский%20миллиардер%2C%20основатель%20Ant%20Group,намерен%20заняться%20исследованиями%20сельскохозяйственных%20технологий</w:t>
      </w:r>
      <w:r>
        <w:rPr>
          <w:rFonts w:ascii="Times New Roman" w:hAnsi="Times New Roman" w:cs="Times New Roman"/>
          <w:color w:val="000000" w:themeColor="text1"/>
          <w:sz w:val="24"/>
          <w:szCs w:val="24"/>
          <w:lang w:val="ru-RU"/>
        </w:rPr>
        <w:t xml:space="preserve"> </w:t>
      </w:r>
      <w:r w:rsidRPr="00AE513B">
        <w:rPr>
          <w:rFonts w:ascii="Times New Roman" w:hAnsi="Times New Roman" w:cs="Times New Roman"/>
          <w:color w:val="000000" w:themeColor="text1"/>
          <w:sz w:val="24"/>
          <w:szCs w:val="24"/>
          <w:lang w:val="ru-RU"/>
        </w:rPr>
        <w:t>(</w:t>
      </w:r>
      <w:r>
        <w:rPr>
          <w:rFonts w:ascii="Times New Roman" w:hAnsi="Times New Roman" w:cs="Times New Roman"/>
          <w:color w:val="000000" w:themeColor="text1"/>
          <w:sz w:val="24"/>
          <w:szCs w:val="24"/>
          <w:lang w:val="ru-RU"/>
        </w:rPr>
        <w:t>дата обращения: 29.05.2023).</w:t>
      </w:r>
      <w:bookmarkEnd w:id="204"/>
    </w:p>
    <w:p w14:paraId="0419EA72" w14:textId="77777777" w:rsidR="00AE4368" w:rsidRPr="004E7E3E" w:rsidRDefault="00AE4368" w:rsidP="00A134D2">
      <w:pPr>
        <w:spacing w:after="0" w:line="360" w:lineRule="auto"/>
        <w:contextualSpacing/>
        <w:rPr>
          <w:rFonts w:ascii="Times New Roman" w:hAnsi="Times New Roman" w:cs="Times New Roman"/>
          <w:sz w:val="24"/>
          <w:szCs w:val="24"/>
          <w:lang w:val="ru-RU"/>
        </w:rPr>
      </w:pPr>
    </w:p>
    <w:p w14:paraId="7143C08C" w14:textId="77777777" w:rsidR="00AE4368" w:rsidRDefault="00AE4368">
      <w:pPr>
        <w:spacing w:after="0" w:line="360" w:lineRule="auto"/>
        <w:contextualSpacing/>
        <w:rPr>
          <w:rFonts w:ascii="Times New Roman" w:hAnsi="Times New Roman" w:cs="Times New Roman"/>
          <w:sz w:val="24"/>
          <w:szCs w:val="24"/>
          <w:lang w:val="ru-RU"/>
        </w:rPr>
        <w:sectPr w:rsidR="00AE4368" w:rsidSect="00A134D2">
          <w:pgSz w:w="11906" w:h="16838"/>
          <w:pgMar w:top="1134" w:right="567" w:bottom="1134" w:left="1418" w:header="708" w:footer="708" w:gutter="0"/>
          <w:cols w:space="708"/>
          <w:titlePg/>
          <w:docGrid w:linePitch="360"/>
        </w:sectPr>
      </w:pPr>
    </w:p>
    <w:p w14:paraId="4F3EB059" w14:textId="77777777" w:rsidR="00AE4368" w:rsidRDefault="002023F4">
      <w:pPr>
        <w:pStyle w:val="1"/>
        <w:spacing w:line="360" w:lineRule="auto"/>
        <w:rPr>
          <w:rFonts w:cs="Times New Roman"/>
          <w:sz w:val="24"/>
          <w:szCs w:val="24"/>
        </w:rPr>
      </w:pPr>
      <w:bookmarkStart w:id="205" w:name="_Toc136448486"/>
      <w:r>
        <w:rPr>
          <w:rFonts w:cs="Times New Roman"/>
          <w:sz w:val="24"/>
          <w:szCs w:val="24"/>
        </w:rPr>
        <w:lastRenderedPageBreak/>
        <w:t>ПРИЛОЖЕНИ</w:t>
      </w:r>
      <w:r>
        <w:rPr>
          <w:rFonts w:cs="Times New Roman"/>
          <w:sz w:val="24"/>
          <w:szCs w:val="24"/>
          <w:lang w:eastAsia="zh-CN"/>
        </w:rPr>
        <w:t>Я</w:t>
      </w:r>
      <w:bookmarkEnd w:id="205"/>
      <w:r>
        <w:rPr>
          <w:rFonts w:cs="Times New Roman"/>
          <w:sz w:val="24"/>
          <w:szCs w:val="24"/>
        </w:rPr>
        <w:t xml:space="preserve"> </w:t>
      </w:r>
    </w:p>
    <w:p w14:paraId="330018FB" w14:textId="2BB95CBF" w:rsidR="00AE4368" w:rsidRDefault="002023F4" w:rsidP="00E01178">
      <w:pPr>
        <w:pStyle w:val="2"/>
        <w:spacing w:before="0" w:line="360" w:lineRule="auto"/>
        <w:contextualSpacing/>
        <w:rPr>
          <w:rFonts w:cs="Times New Roman"/>
          <w:sz w:val="24"/>
          <w:szCs w:val="24"/>
        </w:rPr>
      </w:pPr>
      <w:bookmarkStart w:id="206" w:name="_Toc136448487"/>
      <w:r>
        <w:rPr>
          <w:rFonts w:cs="Times New Roman"/>
          <w:sz w:val="24"/>
          <w:szCs w:val="24"/>
        </w:rPr>
        <w:t>Приложение 1</w:t>
      </w:r>
      <w:bookmarkEnd w:id="206"/>
    </w:p>
    <w:p w14:paraId="0127D08D" w14:textId="6F78576F" w:rsidR="00457E80" w:rsidRDefault="00457E80" w:rsidP="00457E80">
      <w:pPr>
        <w:rPr>
          <w:lang w:val="ru-RU"/>
        </w:rPr>
      </w:pPr>
    </w:p>
    <w:p w14:paraId="79729E71" w14:textId="77777777" w:rsidR="00457E80" w:rsidRPr="004E7E3E" w:rsidRDefault="00457E80" w:rsidP="00457E80">
      <w:pPr>
        <w:pStyle w:val="aff6"/>
        <w:spacing w:before="0" w:beforeAutospacing="0" w:after="0"/>
      </w:pPr>
      <w:r w:rsidRPr="004E7E3E">
        <w:t>Таблица 1. Классификация подходов к определению финансовых центров.</w:t>
      </w:r>
    </w:p>
    <w:tbl>
      <w:tblPr>
        <w:tblStyle w:val="aff5"/>
        <w:tblW w:w="0" w:type="auto"/>
        <w:tblLook w:val="04A0" w:firstRow="1" w:lastRow="0" w:firstColumn="1" w:lastColumn="0" w:noHBand="0" w:noVBand="1"/>
      </w:tblPr>
      <w:tblGrid>
        <w:gridCol w:w="456"/>
        <w:gridCol w:w="2492"/>
        <w:gridCol w:w="3001"/>
        <w:gridCol w:w="3260"/>
      </w:tblGrid>
      <w:tr w:rsidR="00457E80" w:rsidRPr="004E7E3E" w14:paraId="72892B5E" w14:textId="77777777" w:rsidTr="00576F59">
        <w:tc>
          <w:tcPr>
            <w:tcW w:w="456" w:type="dxa"/>
          </w:tcPr>
          <w:p w14:paraId="3D355999"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w:t>
            </w:r>
          </w:p>
        </w:tc>
        <w:tc>
          <w:tcPr>
            <w:tcW w:w="2492" w:type="dxa"/>
          </w:tcPr>
          <w:p w14:paraId="42BB28D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Классификационный признак</w:t>
            </w:r>
          </w:p>
        </w:tc>
        <w:tc>
          <w:tcPr>
            <w:tcW w:w="3001" w:type="dxa"/>
          </w:tcPr>
          <w:p w14:paraId="211B5771" w14:textId="77777777" w:rsidR="00457E80" w:rsidRPr="004E7E3E" w:rsidRDefault="00457E80" w:rsidP="00576F59">
            <w:pPr>
              <w:spacing w:before="100" w:beforeAutospacing="1" w:after="100" w:line="360" w:lineRule="auto"/>
              <w:contextualSpacing/>
              <w:jc w:val="center"/>
              <w:rPr>
                <w:rFonts w:ascii="Times New Roman" w:hAnsi="Times New Roman" w:cs="Times New Roman"/>
                <w:sz w:val="24"/>
                <w:szCs w:val="24"/>
                <w:lang w:val="ru-RU"/>
              </w:rPr>
            </w:pPr>
            <w:r w:rsidRPr="004E7E3E">
              <w:rPr>
                <w:rFonts w:ascii="Times New Roman" w:hAnsi="Times New Roman" w:cs="Times New Roman"/>
                <w:sz w:val="24"/>
                <w:szCs w:val="24"/>
                <w:lang w:val="ru-RU"/>
              </w:rPr>
              <w:t>Автор</w:t>
            </w:r>
          </w:p>
        </w:tc>
        <w:tc>
          <w:tcPr>
            <w:tcW w:w="3260" w:type="dxa"/>
          </w:tcPr>
          <w:p w14:paraId="30F6438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Виды финансовый центров</w:t>
            </w:r>
          </w:p>
        </w:tc>
      </w:tr>
      <w:tr w:rsidR="00457E80" w:rsidRPr="00B05AAE" w14:paraId="0AC816FE" w14:textId="77777777" w:rsidTr="00576F59">
        <w:tc>
          <w:tcPr>
            <w:tcW w:w="456" w:type="dxa"/>
            <w:vMerge w:val="restart"/>
          </w:tcPr>
          <w:p w14:paraId="13519E20"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1</w:t>
            </w:r>
          </w:p>
        </w:tc>
        <w:tc>
          <w:tcPr>
            <w:tcW w:w="2492" w:type="dxa"/>
            <w:vMerge w:val="restart"/>
          </w:tcPr>
          <w:p w14:paraId="3D2BF789"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Природа возникновения</w:t>
            </w:r>
          </w:p>
        </w:tc>
        <w:tc>
          <w:tcPr>
            <w:tcW w:w="3001" w:type="dxa"/>
            <w:vMerge w:val="restart"/>
          </w:tcPr>
          <w:p w14:paraId="5AC4084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Г. Г. Матюхин</w:t>
            </w:r>
          </w:p>
        </w:tc>
        <w:tc>
          <w:tcPr>
            <w:tcW w:w="3260" w:type="dxa"/>
          </w:tcPr>
          <w:p w14:paraId="2D7F6164"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На базе национальных рынков капитала</w:t>
            </w:r>
          </w:p>
        </w:tc>
      </w:tr>
      <w:tr w:rsidR="00457E80" w:rsidRPr="00B05AAE" w14:paraId="25429C0B" w14:textId="77777777" w:rsidTr="00576F59">
        <w:tc>
          <w:tcPr>
            <w:tcW w:w="456" w:type="dxa"/>
            <w:vMerge/>
          </w:tcPr>
          <w:p w14:paraId="3926C3B3"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1F2E7110"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53B42DC8"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424D299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На базе международных рынков капитала (офшорные)</w:t>
            </w:r>
          </w:p>
        </w:tc>
      </w:tr>
      <w:tr w:rsidR="00457E80" w:rsidRPr="004E7E3E" w14:paraId="5CA90CBF" w14:textId="77777777" w:rsidTr="00576F59">
        <w:tc>
          <w:tcPr>
            <w:tcW w:w="456" w:type="dxa"/>
            <w:vMerge w:val="restart"/>
          </w:tcPr>
          <w:p w14:paraId="07691F53"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2</w:t>
            </w:r>
          </w:p>
        </w:tc>
        <w:tc>
          <w:tcPr>
            <w:tcW w:w="2492" w:type="dxa"/>
            <w:vMerge w:val="restart"/>
          </w:tcPr>
          <w:p w14:paraId="66E3780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Стадия развития</w:t>
            </w:r>
          </w:p>
          <w:p w14:paraId="3F7FE228"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val="restart"/>
          </w:tcPr>
          <w:p w14:paraId="2813F4EB"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Г. Г. Матюхин</w:t>
            </w:r>
          </w:p>
        </w:tc>
        <w:tc>
          <w:tcPr>
            <w:tcW w:w="3260" w:type="dxa"/>
          </w:tcPr>
          <w:p w14:paraId="20A7B3CA"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Уровень местного рынка</w:t>
            </w:r>
          </w:p>
        </w:tc>
      </w:tr>
      <w:tr w:rsidR="00457E80" w:rsidRPr="004E7E3E" w14:paraId="29F35796" w14:textId="77777777" w:rsidTr="00576F59">
        <w:tc>
          <w:tcPr>
            <w:tcW w:w="456" w:type="dxa"/>
            <w:vMerge/>
          </w:tcPr>
          <w:p w14:paraId="5C5AD659"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23DE01CE"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16F7FDC7"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42CF68C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Региональный ФЦ</w:t>
            </w:r>
          </w:p>
        </w:tc>
      </w:tr>
      <w:tr w:rsidR="00457E80" w:rsidRPr="004E7E3E" w14:paraId="4DF1DD20" w14:textId="77777777" w:rsidTr="00576F59">
        <w:tc>
          <w:tcPr>
            <w:tcW w:w="456" w:type="dxa"/>
            <w:vMerge/>
          </w:tcPr>
          <w:p w14:paraId="7773DF4B"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334A3D3A"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421BB303"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3BAF44DE"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Международный ФЦ</w:t>
            </w:r>
          </w:p>
        </w:tc>
      </w:tr>
      <w:tr w:rsidR="00457E80" w:rsidRPr="004E7E3E" w14:paraId="137EBB85" w14:textId="77777777" w:rsidTr="00576F59">
        <w:tc>
          <w:tcPr>
            <w:tcW w:w="456" w:type="dxa"/>
            <w:vMerge w:val="restart"/>
          </w:tcPr>
          <w:p w14:paraId="52BD04B8"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3</w:t>
            </w:r>
          </w:p>
        </w:tc>
        <w:tc>
          <w:tcPr>
            <w:tcW w:w="2492" w:type="dxa"/>
            <w:vMerge/>
          </w:tcPr>
          <w:p w14:paraId="386AD67E"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val="restart"/>
          </w:tcPr>
          <w:p w14:paraId="75B37CD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Классификация МВФ </w:t>
            </w:r>
          </w:p>
        </w:tc>
        <w:tc>
          <w:tcPr>
            <w:tcW w:w="3260" w:type="dxa"/>
          </w:tcPr>
          <w:p w14:paraId="01C8E82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Стабильные</w:t>
            </w:r>
          </w:p>
        </w:tc>
      </w:tr>
      <w:tr w:rsidR="00457E80" w:rsidRPr="004E7E3E" w14:paraId="0CC9EAEB" w14:textId="77777777" w:rsidTr="00576F59">
        <w:tc>
          <w:tcPr>
            <w:tcW w:w="456" w:type="dxa"/>
            <w:vMerge/>
          </w:tcPr>
          <w:p w14:paraId="7FEC9C4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333370A3"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5774DCFA"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394E52C4"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Волатильные</w:t>
            </w:r>
          </w:p>
        </w:tc>
      </w:tr>
      <w:tr w:rsidR="00457E80" w:rsidRPr="004E7E3E" w14:paraId="5A76B250" w14:textId="77777777" w:rsidTr="00576F59">
        <w:tc>
          <w:tcPr>
            <w:tcW w:w="456" w:type="dxa"/>
            <w:vMerge w:val="restart"/>
          </w:tcPr>
          <w:p w14:paraId="3945F850"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4</w:t>
            </w:r>
          </w:p>
        </w:tc>
        <w:tc>
          <w:tcPr>
            <w:tcW w:w="2492" w:type="dxa"/>
            <w:vMerge/>
          </w:tcPr>
          <w:p w14:paraId="4C53DEB7"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val="restart"/>
          </w:tcPr>
          <w:p w14:paraId="4894018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Я. М. Миркин (вариант 1)</w:t>
            </w:r>
          </w:p>
        </w:tc>
        <w:tc>
          <w:tcPr>
            <w:tcW w:w="3260" w:type="dxa"/>
          </w:tcPr>
          <w:p w14:paraId="710B52D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Старые</w:t>
            </w:r>
          </w:p>
        </w:tc>
      </w:tr>
      <w:tr w:rsidR="00457E80" w:rsidRPr="004E7E3E" w14:paraId="3954075F" w14:textId="77777777" w:rsidTr="00576F59">
        <w:tc>
          <w:tcPr>
            <w:tcW w:w="456" w:type="dxa"/>
            <w:vMerge/>
          </w:tcPr>
          <w:p w14:paraId="16A3929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1C3B511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2AA1EB7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20D227F8"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Новые (догоняющие)</w:t>
            </w:r>
          </w:p>
        </w:tc>
      </w:tr>
      <w:tr w:rsidR="00457E80" w:rsidRPr="004E7E3E" w14:paraId="054AEDAB" w14:textId="77777777" w:rsidTr="00576F59">
        <w:tc>
          <w:tcPr>
            <w:tcW w:w="456" w:type="dxa"/>
            <w:vMerge w:val="restart"/>
          </w:tcPr>
          <w:p w14:paraId="67AB9CC7"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5</w:t>
            </w:r>
          </w:p>
        </w:tc>
        <w:tc>
          <w:tcPr>
            <w:tcW w:w="2492" w:type="dxa"/>
            <w:vMerge/>
          </w:tcPr>
          <w:p w14:paraId="3DAA734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val="restart"/>
          </w:tcPr>
          <w:p w14:paraId="4F14733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Я. М. Миркин (вариант 2)</w:t>
            </w:r>
          </w:p>
        </w:tc>
        <w:tc>
          <w:tcPr>
            <w:tcW w:w="3260" w:type="dxa"/>
          </w:tcPr>
          <w:p w14:paraId="5E9495F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Растущие </w:t>
            </w:r>
          </w:p>
        </w:tc>
      </w:tr>
      <w:tr w:rsidR="00457E80" w:rsidRPr="004E7E3E" w14:paraId="25BAB47E" w14:textId="77777777" w:rsidTr="00576F59">
        <w:tc>
          <w:tcPr>
            <w:tcW w:w="456" w:type="dxa"/>
            <w:vMerge/>
          </w:tcPr>
          <w:p w14:paraId="268C7C09"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767F209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0612FB7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21466C6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Стабильно функционирующие</w:t>
            </w:r>
          </w:p>
        </w:tc>
      </w:tr>
      <w:tr w:rsidR="00457E80" w:rsidRPr="004E7E3E" w14:paraId="65735D57" w14:textId="77777777" w:rsidTr="00576F59">
        <w:tc>
          <w:tcPr>
            <w:tcW w:w="456" w:type="dxa"/>
            <w:vMerge/>
          </w:tcPr>
          <w:p w14:paraId="06AB1B4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6D41E33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13B64A7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535455FB"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«Увядающие»</w:t>
            </w:r>
          </w:p>
        </w:tc>
      </w:tr>
      <w:tr w:rsidR="00457E80" w:rsidRPr="004E7E3E" w14:paraId="6C3968EA" w14:textId="77777777" w:rsidTr="00576F59">
        <w:tc>
          <w:tcPr>
            <w:tcW w:w="456" w:type="dxa"/>
            <w:vMerge w:val="restart"/>
          </w:tcPr>
          <w:p w14:paraId="15D0C6A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6</w:t>
            </w:r>
          </w:p>
        </w:tc>
        <w:tc>
          <w:tcPr>
            <w:tcW w:w="2492" w:type="dxa"/>
            <w:vMerge w:val="restart"/>
          </w:tcPr>
          <w:p w14:paraId="056275D3"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Геополитический, геоэкономический признаки</w:t>
            </w:r>
          </w:p>
        </w:tc>
        <w:tc>
          <w:tcPr>
            <w:tcW w:w="3001" w:type="dxa"/>
            <w:vMerge w:val="restart"/>
          </w:tcPr>
          <w:p w14:paraId="2D4EE21D" w14:textId="77777777" w:rsidR="00457E80" w:rsidRPr="00373761" w:rsidRDefault="00457E80" w:rsidP="00576F59">
            <w:pPr>
              <w:spacing w:before="100" w:beforeAutospacing="1" w:after="100" w:line="360" w:lineRule="auto"/>
              <w:contextualSpacing/>
              <w:rPr>
                <w:rFonts w:ascii="Times New Roman" w:hAnsi="Times New Roman" w:cs="Times New Roman"/>
                <w:sz w:val="24"/>
                <w:szCs w:val="24"/>
                <w:lang w:val="ru-RU"/>
              </w:rPr>
            </w:pPr>
            <w:r w:rsidRPr="00373761">
              <w:rPr>
                <w:rFonts w:ascii="Times New Roman" w:hAnsi="Times New Roman" w:cs="Times New Roman"/>
                <w:sz w:val="24"/>
                <w:szCs w:val="24"/>
                <w:lang w:val="ru-RU"/>
              </w:rPr>
              <w:t>С. Н. Мирошников</w:t>
            </w:r>
          </w:p>
        </w:tc>
        <w:tc>
          <w:tcPr>
            <w:tcW w:w="3260" w:type="dxa"/>
          </w:tcPr>
          <w:p w14:paraId="464550CB"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Глобальные города</w:t>
            </w:r>
          </w:p>
        </w:tc>
      </w:tr>
      <w:tr w:rsidR="00457E80" w:rsidRPr="004E7E3E" w14:paraId="509430A0" w14:textId="77777777" w:rsidTr="00576F59">
        <w:tc>
          <w:tcPr>
            <w:tcW w:w="456" w:type="dxa"/>
            <w:vMerge/>
          </w:tcPr>
          <w:p w14:paraId="717ACBC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0EE9357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23B3EBE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486E753B"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Субглобальные города</w:t>
            </w:r>
          </w:p>
        </w:tc>
      </w:tr>
      <w:tr w:rsidR="00457E80" w:rsidRPr="004E7E3E" w14:paraId="044427DF" w14:textId="77777777" w:rsidTr="00576F59">
        <w:tc>
          <w:tcPr>
            <w:tcW w:w="456" w:type="dxa"/>
            <w:vMerge/>
          </w:tcPr>
          <w:p w14:paraId="601A3BF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697A9A3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1F7C028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737901BA"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Крупные региональные центры</w:t>
            </w:r>
          </w:p>
        </w:tc>
      </w:tr>
      <w:tr w:rsidR="00457E80" w:rsidRPr="00B05AAE" w14:paraId="1A4AB56B" w14:textId="77777777" w:rsidTr="00576F59">
        <w:tc>
          <w:tcPr>
            <w:tcW w:w="456" w:type="dxa"/>
            <w:vMerge w:val="restart"/>
          </w:tcPr>
          <w:p w14:paraId="45BA4DA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7</w:t>
            </w:r>
          </w:p>
        </w:tc>
        <w:tc>
          <w:tcPr>
            <w:tcW w:w="2492" w:type="dxa"/>
            <w:vMerge/>
          </w:tcPr>
          <w:p w14:paraId="17430AD8"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val="restart"/>
          </w:tcPr>
          <w:p w14:paraId="0203B2E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Г. Рид</w:t>
            </w:r>
          </w:p>
        </w:tc>
        <w:tc>
          <w:tcPr>
            <w:tcW w:w="3260" w:type="dxa"/>
          </w:tcPr>
          <w:p w14:paraId="62F2DE6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Глобальные центры первого и второго порядка</w:t>
            </w:r>
          </w:p>
        </w:tc>
      </w:tr>
      <w:tr w:rsidR="00457E80" w:rsidRPr="00B05AAE" w14:paraId="3BCC6FC4" w14:textId="77777777" w:rsidTr="00576F59">
        <w:tc>
          <w:tcPr>
            <w:tcW w:w="456" w:type="dxa"/>
            <w:vMerge/>
          </w:tcPr>
          <w:p w14:paraId="3F1E837E"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10A74667"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7C4497C9"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6E7FE6F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Международные центры первого и второго порядка</w:t>
            </w:r>
          </w:p>
        </w:tc>
      </w:tr>
      <w:tr w:rsidR="00457E80" w:rsidRPr="004E7E3E" w14:paraId="64D91D2B" w14:textId="77777777" w:rsidTr="00576F59">
        <w:tc>
          <w:tcPr>
            <w:tcW w:w="456" w:type="dxa"/>
            <w:vMerge w:val="restart"/>
          </w:tcPr>
          <w:p w14:paraId="2CE88A8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8</w:t>
            </w:r>
          </w:p>
        </w:tc>
        <w:tc>
          <w:tcPr>
            <w:tcW w:w="2492" w:type="dxa"/>
            <w:vMerge/>
          </w:tcPr>
          <w:p w14:paraId="7017D640"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val="restart"/>
          </w:tcPr>
          <w:p w14:paraId="5D835AB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Г. Трифт</w:t>
            </w:r>
          </w:p>
        </w:tc>
        <w:tc>
          <w:tcPr>
            <w:tcW w:w="3260" w:type="dxa"/>
          </w:tcPr>
          <w:p w14:paraId="133B4BD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Глобальные центры</w:t>
            </w:r>
          </w:p>
        </w:tc>
      </w:tr>
      <w:tr w:rsidR="00457E80" w:rsidRPr="004E7E3E" w14:paraId="3902B859" w14:textId="77777777" w:rsidTr="00576F59">
        <w:tc>
          <w:tcPr>
            <w:tcW w:w="456" w:type="dxa"/>
            <w:vMerge/>
          </w:tcPr>
          <w:p w14:paraId="7840DEF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6BB5F26E"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3E22645E"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48712E1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Зональные центры</w:t>
            </w:r>
          </w:p>
        </w:tc>
      </w:tr>
      <w:tr w:rsidR="00457E80" w:rsidRPr="004E7E3E" w14:paraId="50E60F00" w14:textId="77777777" w:rsidTr="00576F59">
        <w:tc>
          <w:tcPr>
            <w:tcW w:w="456" w:type="dxa"/>
            <w:vMerge/>
          </w:tcPr>
          <w:p w14:paraId="3866EF7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5FFCBC5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7DD1F380"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7A77618B"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Региональные центры</w:t>
            </w:r>
          </w:p>
        </w:tc>
      </w:tr>
      <w:tr w:rsidR="00457E80" w:rsidRPr="004E7E3E" w14:paraId="0A433A76" w14:textId="77777777" w:rsidTr="00576F59">
        <w:tc>
          <w:tcPr>
            <w:tcW w:w="456" w:type="dxa"/>
            <w:vMerge w:val="restart"/>
          </w:tcPr>
          <w:p w14:paraId="24DA566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9</w:t>
            </w:r>
          </w:p>
        </w:tc>
        <w:tc>
          <w:tcPr>
            <w:tcW w:w="2492" w:type="dxa"/>
            <w:vMerge/>
          </w:tcPr>
          <w:p w14:paraId="67329539"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val="restart"/>
          </w:tcPr>
          <w:p w14:paraId="1A938EB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rPr>
            </w:pPr>
            <w:r w:rsidRPr="004E7E3E">
              <w:rPr>
                <w:rFonts w:ascii="Times New Roman" w:hAnsi="Times New Roman" w:cs="Times New Roman"/>
                <w:sz w:val="24"/>
                <w:szCs w:val="24"/>
                <w:lang w:val="ru-RU"/>
              </w:rPr>
              <w:t xml:space="preserve">П. Тейлор, группа </w:t>
            </w:r>
            <w:r w:rsidRPr="004E7E3E">
              <w:rPr>
                <w:rFonts w:ascii="Times New Roman" w:hAnsi="Times New Roman" w:cs="Times New Roman"/>
                <w:sz w:val="24"/>
                <w:szCs w:val="24"/>
              </w:rPr>
              <w:t>GaWC</w:t>
            </w:r>
          </w:p>
        </w:tc>
        <w:tc>
          <w:tcPr>
            <w:tcW w:w="3260" w:type="dxa"/>
          </w:tcPr>
          <w:p w14:paraId="29D5CDC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Ведущие центры</w:t>
            </w:r>
          </w:p>
        </w:tc>
      </w:tr>
      <w:tr w:rsidR="00457E80" w:rsidRPr="004E7E3E" w14:paraId="05B8BE83" w14:textId="77777777" w:rsidTr="00576F59">
        <w:tc>
          <w:tcPr>
            <w:tcW w:w="456" w:type="dxa"/>
            <w:vMerge/>
          </w:tcPr>
          <w:p w14:paraId="5026701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6DA64D0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1FE54A34"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3A5C65C3"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Главные центры</w:t>
            </w:r>
          </w:p>
        </w:tc>
      </w:tr>
      <w:tr w:rsidR="00457E80" w:rsidRPr="004E7E3E" w14:paraId="03D0DC8D" w14:textId="77777777" w:rsidTr="00576F59">
        <w:tc>
          <w:tcPr>
            <w:tcW w:w="456" w:type="dxa"/>
            <w:vMerge/>
          </w:tcPr>
          <w:p w14:paraId="1B7164C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68351C08"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5881600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764D054A"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Второстепенные центры</w:t>
            </w:r>
          </w:p>
        </w:tc>
      </w:tr>
      <w:tr w:rsidR="00457E80" w:rsidRPr="004E7E3E" w14:paraId="1E439127" w14:textId="77777777" w:rsidTr="00576F59">
        <w:tc>
          <w:tcPr>
            <w:tcW w:w="456" w:type="dxa"/>
            <w:vMerge/>
          </w:tcPr>
          <w:p w14:paraId="7EA9B9A7"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504430DB"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63131EB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6F8D6409"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Формирующиеся центры</w:t>
            </w:r>
          </w:p>
        </w:tc>
      </w:tr>
      <w:tr w:rsidR="00457E80" w:rsidRPr="00B05AAE" w14:paraId="564876C2" w14:textId="77777777" w:rsidTr="00576F59">
        <w:tc>
          <w:tcPr>
            <w:tcW w:w="456" w:type="dxa"/>
            <w:vMerge w:val="restart"/>
          </w:tcPr>
          <w:p w14:paraId="21243D97"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10</w:t>
            </w:r>
          </w:p>
        </w:tc>
        <w:tc>
          <w:tcPr>
            <w:tcW w:w="2492" w:type="dxa"/>
            <w:vMerge w:val="restart"/>
          </w:tcPr>
          <w:p w14:paraId="065B9B1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Значимость и степень интеграции в мировую экономику</w:t>
            </w:r>
          </w:p>
        </w:tc>
        <w:tc>
          <w:tcPr>
            <w:tcW w:w="3001" w:type="dxa"/>
            <w:vMerge w:val="restart"/>
          </w:tcPr>
          <w:p w14:paraId="0359243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Дж. Фридман</w:t>
            </w:r>
          </w:p>
        </w:tc>
        <w:tc>
          <w:tcPr>
            <w:tcW w:w="3260" w:type="dxa"/>
          </w:tcPr>
          <w:p w14:paraId="0DCEEC3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ФЦ центра (развитых стран), первичные и вторичные</w:t>
            </w:r>
          </w:p>
        </w:tc>
      </w:tr>
      <w:tr w:rsidR="00457E80" w:rsidRPr="00B05AAE" w14:paraId="44F76C5C" w14:textId="77777777" w:rsidTr="00576F59">
        <w:tc>
          <w:tcPr>
            <w:tcW w:w="456" w:type="dxa"/>
            <w:vMerge/>
          </w:tcPr>
          <w:p w14:paraId="3500D19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7B752A8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58EE52D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49EDDB00"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ФЦ стран полупериферии (развивающихся стран), первичные и вторичные</w:t>
            </w:r>
          </w:p>
        </w:tc>
      </w:tr>
      <w:tr w:rsidR="00457E80" w:rsidRPr="004E7E3E" w14:paraId="0B4E30A7" w14:textId="77777777" w:rsidTr="00576F59">
        <w:tc>
          <w:tcPr>
            <w:tcW w:w="456" w:type="dxa"/>
            <w:vMerge w:val="restart"/>
          </w:tcPr>
          <w:p w14:paraId="6304EBB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11</w:t>
            </w:r>
          </w:p>
        </w:tc>
        <w:tc>
          <w:tcPr>
            <w:tcW w:w="2492" w:type="dxa"/>
            <w:vMerge w:val="restart"/>
          </w:tcPr>
          <w:p w14:paraId="4ED3098B"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По роли в процессе международного распределения капитала</w:t>
            </w:r>
          </w:p>
        </w:tc>
        <w:tc>
          <w:tcPr>
            <w:tcW w:w="3001" w:type="dxa"/>
            <w:vMerge w:val="restart"/>
          </w:tcPr>
          <w:p w14:paraId="1121F95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Старая классификация </w:t>
            </w:r>
            <w:r w:rsidRPr="004E7E3E">
              <w:rPr>
                <w:rFonts w:ascii="Times New Roman" w:hAnsi="Times New Roman" w:cs="Times New Roman"/>
                <w:sz w:val="24"/>
                <w:szCs w:val="24"/>
              </w:rPr>
              <w:t>GFCI</w:t>
            </w:r>
            <w:r w:rsidRPr="004E7E3E">
              <w:rPr>
                <w:rFonts w:ascii="Times New Roman" w:hAnsi="Times New Roman" w:cs="Times New Roman"/>
                <w:color w:val="000000" w:themeColor="text1"/>
                <w:sz w:val="24"/>
                <w:szCs w:val="24"/>
                <w:lang w:val="ru-RU"/>
              </w:rPr>
              <w:t xml:space="preserve"> </w:t>
            </w:r>
          </w:p>
        </w:tc>
        <w:tc>
          <w:tcPr>
            <w:tcW w:w="3260" w:type="dxa"/>
          </w:tcPr>
          <w:p w14:paraId="5F66F19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Глобальный</w:t>
            </w:r>
          </w:p>
        </w:tc>
      </w:tr>
      <w:tr w:rsidR="00457E80" w:rsidRPr="004E7E3E" w14:paraId="21BC770E" w14:textId="77777777" w:rsidTr="00576F59">
        <w:tc>
          <w:tcPr>
            <w:tcW w:w="456" w:type="dxa"/>
            <w:vMerge/>
          </w:tcPr>
          <w:p w14:paraId="51AD3C80"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7DF6DF6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02E64C24"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5803B82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Международный</w:t>
            </w:r>
          </w:p>
        </w:tc>
      </w:tr>
      <w:tr w:rsidR="00457E80" w:rsidRPr="004E7E3E" w14:paraId="436F57CF" w14:textId="77777777" w:rsidTr="00576F59">
        <w:tc>
          <w:tcPr>
            <w:tcW w:w="456" w:type="dxa"/>
            <w:vMerge/>
          </w:tcPr>
          <w:p w14:paraId="5630181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0E1A3468"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1E5936C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5F971E39"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Национальные</w:t>
            </w:r>
          </w:p>
        </w:tc>
      </w:tr>
      <w:tr w:rsidR="00457E80" w:rsidRPr="004E7E3E" w14:paraId="4BFF0B0E" w14:textId="77777777" w:rsidTr="00576F59">
        <w:tc>
          <w:tcPr>
            <w:tcW w:w="456" w:type="dxa"/>
            <w:vMerge/>
          </w:tcPr>
          <w:p w14:paraId="218877A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0B62A77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62BE8439"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41E3674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Нишевые</w:t>
            </w:r>
          </w:p>
        </w:tc>
      </w:tr>
      <w:tr w:rsidR="00457E80" w:rsidRPr="004E7E3E" w14:paraId="1AAC4C6C" w14:textId="77777777" w:rsidTr="00576F59">
        <w:tc>
          <w:tcPr>
            <w:tcW w:w="456" w:type="dxa"/>
            <w:vMerge/>
          </w:tcPr>
          <w:p w14:paraId="1257EB4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51E90E47"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74D5A8A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43B53B2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Региональный</w:t>
            </w:r>
          </w:p>
        </w:tc>
      </w:tr>
      <w:tr w:rsidR="00457E80" w:rsidRPr="004E7E3E" w14:paraId="479F59FE" w14:textId="77777777" w:rsidTr="00576F59">
        <w:tc>
          <w:tcPr>
            <w:tcW w:w="456" w:type="dxa"/>
            <w:vMerge w:val="restart"/>
          </w:tcPr>
          <w:p w14:paraId="5EFC969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12</w:t>
            </w:r>
          </w:p>
        </w:tc>
        <w:tc>
          <w:tcPr>
            <w:tcW w:w="2492" w:type="dxa"/>
            <w:vMerge/>
          </w:tcPr>
          <w:p w14:paraId="1B2AD489"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val="restart"/>
          </w:tcPr>
          <w:p w14:paraId="55285AE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color w:val="000000" w:themeColor="text1"/>
                <w:sz w:val="24"/>
                <w:szCs w:val="24"/>
                <w:lang w:val="ru-RU"/>
              </w:rPr>
              <w:t>Концепция создания международного финансового центра в России. 5 февраля 2009 г.</w:t>
            </w:r>
          </w:p>
        </w:tc>
        <w:tc>
          <w:tcPr>
            <w:tcW w:w="3260" w:type="dxa"/>
          </w:tcPr>
          <w:p w14:paraId="0833D5D7"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Глобальные</w:t>
            </w:r>
          </w:p>
        </w:tc>
      </w:tr>
      <w:tr w:rsidR="00457E80" w:rsidRPr="004E7E3E" w14:paraId="29DA0F33" w14:textId="77777777" w:rsidTr="00576F59">
        <w:tc>
          <w:tcPr>
            <w:tcW w:w="456" w:type="dxa"/>
            <w:vMerge/>
          </w:tcPr>
          <w:p w14:paraId="474C4AA7"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54D8B94A"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194936C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28C85E6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Региональные</w:t>
            </w:r>
          </w:p>
        </w:tc>
      </w:tr>
      <w:tr w:rsidR="00457E80" w:rsidRPr="004E7E3E" w14:paraId="570A5F0C" w14:textId="77777777" w:rsidTr="00576F59">
        <w:tc>
          <w:tcPr>
            <w:tcW w:w="456" w:type="dxa"/>
            <w:vMerge/>
          </w:tcPr>
          <w:p w14:paraId="2D85EE7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061959DE"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159953F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36362A87"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Локальные</w:t>
            </w:r>
          </w:p>
        </w:tc>
      </w:tr>
      <w:tr w:rsidR="00457E80" w:rsidRPr="004E7E3E" w14:paraId="4CE5B8E7" w14:textId="77777777" w:rsidTr="00576F59">
        <w:tc>
          <w:tcPr>
            <w:tcW w:w="456" w:type="dxa"/>
            <w:vMerge/>
          </w:tcPr>
          <w:p w14:paraId="43ED3FA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7FB0B46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3905A41E"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2875DE8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Нишевые (офшорные)</w:t>
            </w:r>
          </w:p>
        </w:tc>
      </w:tr>
      <w:tr w:rsidR="00457E80" w:rsidRPr="00B05AAE" w14:paraId="307B195B" w14:textId="77777777" w:rsidTr="00576F59">
        <w:tc>
          <w:tcPr>
            <w:tcW w:w="456" w:type="dxa"/>
            <w:vMerge w:val="restart"/>
          </w:tcPr>
          <w:p w14:paraId="23F35F0B"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13</w:t>
            </w:r>
          </w:p>
        </w:tc>
        <w:tc>
          <w:tcPr>
            <w:tcW w:w="2492" w:type="dxa"/>
            <w:vMerge w:val="restart"/>
          </w:tcPr>
          <w:p w14:paraId="4A91FCC4"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Смешанный признак (значимость/широта спектра услуг)</w:t>
            </w:r>
          </w:p>
        </w:tc>
        <w:tc>
          <w:tcPr>
            <w:tcW w:w="3001" w:type="dxa"/>
            <w:vMerge w:val="restart"/>
          </w:tcPr>
          <w:p w14:paraId="5D9AC7E3"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rPr>
            </w:pPr>
            <w:r w:rsidRPr="004E7E3E">
              <w:rPr>
                <w:rFonts w:ascii="Times New Roman" w:hAnsi="Times New Roman" w:cs="Times New Roman"/>
                <w:sz w:val="24"/>
                <w:szCs w:val="24"/>
                <w:lang w:val="ru-RU"/>
              </w:rPr>
              <w:t xml:space="preserve">Новая классификация </w:t>
            </w:r>
            <w:r w:rsidRPr="004E7E3E">
              <w:rPr>
                <w:rFonts w:ascii="Times New Roman" w:hAnsi="Times New Roman" w:cs="Times New Roman"/>
                <w:sz w:val="24"/>
                <w:szCs w:val="24"/>
              </w:rPr>
              <w:t>GFCI</w:t>
            </w:r>
          </w:p>
        </w:tc>
        <w:tc>
          <w:tcPr>
            <w:tcW w:w="3260" w:type="dxa"/>
          </w:tcPr>
          <w:p w14:paraId="15F343C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Глобальные игроки: </w:t>
            </w:r>
            <w:r w:rsidRPr="004E7E3E">
              <w:rPr>
                <w:rFonts w:ascii="Times New Roman" w:hAnsi="Times New Roman" w:cs="Times New Roman"/>
                <w:sz w:val="24"/>
                <w:szCs w:val="24"/>
                <w:lang w:val="ru-RU"/>
              </w:rPr>
              <w:br/>
              <w:t>- лидеры,</w:t>
            </w:r>
            <w:r w:rsidRPr="004E7E3E">
              <w:rPr>
                <w:rFonts w:ascii="Times New Roman" w:hAnsi="Times New Roman" w:cs="Times New Roman"/>
                <w:sz w:val="24"/>
                <w:szCs w:val="24"/>
                <w:lang w:val="ru-RU"/>
              </w:rPr>
              <w:br/>
              <w:t>- диверсифицированные центры,</w:t>
            </w:r>
            <w:r w:rsidRPr="004E7E3E">
              <w:rPr>
                <w:rFonts w:ascii="Times New Roman" w:hAnsi="Times New Roman" w:cs="Times New Roman"/>
                <w:sz w:val="24"/>
                <w:szCs w:val="24"/>
                <w:lang w:val="ru-RU"/>
              </w:rPr>
              <w:br/>
              <w:t>- специалисты</w:t>
            </w:r>
          </w:p>
        </w:tc>
      </w:tr>
      <w:tr w:rsidR="00457E80" w:rsidRPr="00B05AAE" w14:paraId="258DB126" w14:textId="77777777" w:rsidTr="00576F59">
        <w:tc>
          <w:tcPr>
            <w:tcW w:w="456" w:type="dxa"/>
            <w:vMerge/>
          </w:tcPr>
          <w:p w14:paraId="7D889484"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7BB691B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260062B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77D79C2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Транснациональные игроки:</w:t>
            </w:r>
            <w:r w:rsidRPr="004E7E3E">
              <w:rPr>
                <w:rFonts w:ascii="Times New Roman" w:hAnsi="Times New Roman" w:cs="Times New Roman"/>
                <w:sz w:val="24"/>
                <w:szCs w:val="24"/>
                <w:lang w:val="ru-RU"/>
              </w:rPr>
              <w:br/>
              <w:t>- Признанные,</w:t>
            </w:r>
            <w:r w:rsidRPr="004E7E3E">
              <w:rPr>
                <w:rFonts w:ascii="Times New Roman" w:hAnsi="Times New Roman" w:cs="Times New Roman"/>
                <w:sz w:val="24"/>
                <w:szCs w:val="24"/>
                <w:lang w:val="ru-RU"/>
              </w:rPr>
              <w:br/>
              <w:t>- Диверсифицированные,</w:t>
            </w:r>
            <w:r w:rsidRPr="004E7E3E">
              <w:rPr>
                <w:rFonts w:ascii="Times New Roman" w:hAnsi="Times New Roman" w:cs="Times New Roman"/>
                <w:sz w:val="24"/>
                <w:szCs w:val="24"/>
                <w:lang w:val="ru-RU"/>
              </w:rPr>
              <w:br/>
              <w:t>- Специалисты</w:t>
            </w:r>
            <w:r w:rsidRPr="004E7E3E">
              <w:rPr>
                <w:rFonts w:ascii="Times New Roman" w:hAnsi="Times New Roman" w:cs="Times New Roman"/>
                <w:sz w:val="24"/>
                <w:szCs w:val="24"/>
                <w:lang w:val="ru-RU"/>
              </w:rPr>
              <w:br/>
              <w:t>- Претенденты</w:t>
            </w:r>
          </w:p>
        </w:tc>
      </w:tr>
      <w:tr w:rsidR="00457E80" w:rsidRPr="00B05AAE" w14:paraId="250183B3" w14:textId="77777777" w:rsidTr="00576F59">
        <w:tc>
          <w:tcPr>
            <w:tcW w:w="456" w:type="dxa"/>
            <w:vMerge/>
          </w:tcPr>
          <w:p w14:paraId="47D1CEC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56F594A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2655DDD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472D040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Локальные игроки</w:t>
            </w:r>
            <w:r w:rsidRPr="004E7E3E">
              <w:rPr>
                <w:rFonts w:ascii="Times New Roman" w:hAnsi="Times New Roman" w:cs="Times New Roman"/>
                <w:sz w:val="24"/>
                <w:szCs w:val="24"/>
                <w:lang w:val="ru-RU"/>
              </w:rPr>
              <w:br/>
              <w:t>- Признанные</w:t>
            </w:r>
            <w:r w:rsidRPr="004E7E3E">
              <w:rPr>
                <w:rFonts w:ascii="Times New Roman" w:hAnsi="Times New Roman" w:cs="Times New Roman"/>
                <w:sz w:val="24"/>
                <w:szCs w:val="24"/>
                <w:lang w:val="ru-RU"/>
              </w:rPr>
              <w:br/>
              <w:t>- Диверсифицированные</w:t>
            </w:r>
            <w:r w:rsidRPr="004E7E3E">
              <w:rPr>
                <w:rFonts w:ascii="Times New Roman" w:hAnsi="Times New Roman" w:cs="Times New Roman"/>
                <w:sz w:val="24"/>
                <w:szCs w:val="24"/>
                <w:lang w:val="ru-RU"/>
              </w:rPr>
              <w:br/>
              <w:t>-</w:t>
            </w:r>
            <w:r>
              <w:rPr>
                <w:rFonts w:ascii="Times New Roman" w:hAnsi="Times New Roman" w:cs="Times New Roman"/>
                <w:sz w:val="24"/>
                <w:szCs w:val="24"/>
                <w:lang w:val="ru-RU"/>
              </w:rPr>
              <w:t xml:space="preserve"> </w:t>
            </w:r>
            <w:r w:rsidRPr="004E7E3E">
              <w:rPr>
                <w:rFonts w:ascii="Times New Roman" w:hAnsi="Times New Roman" w:cs="Times New Roman"/>
                <w:sz w:val="24"/>
                <w:szCs w:val="24"/>
                <w:lang w:val="ru-RU"/>
              </w:rPr>
              <w:t>Специалисты</w:t>
            </w:r>
          </w:p>
        </w:tc>
      </w:tr>
      <w:tr w:rsidR="00457E80" w:rsidRPr="00B05AAE" w14:paraId="62B8A67C" w14:textId="77777777" w:rsidTr="00576F59">
        <w:tc>
          <w:tcPr>
            <w:tcW w:w="456" w:type="dxa"/>
            <w:vMerge w:val="restart"/>
          </w:tcPr>
          <w:p w14:paraId="4626321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14</w:t>
            </w:r>
          </w:p>
        </w:tc>
        <w:tc>
          <w:tcPr>
            <w:tcW w:w="2492" w:type="dxa"/>
            <w:vMerge w:val="restart"/>
          </w:tcPr>
          <w:p w14:paraId="425D2BF8"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Модели финансового рынка</w:t>
            </w:r>
          </w:p>
        </w:tc>
        <w:tc>
          <w:tcPr>
            <w:tcW w:w="3001" w:type="dxa"/>
            <w:vMerge w:val="restart"/>
          </w:tcPr>
          <w:p w14:paraId="0B6CB418"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Я. М. Миркин</w:t>
            </w:r>
          </w:p>
        </w:tc>
        <w:tc>
          <w:tcPr>
            <w:tcW w:w="3260" w:type="dxa"/>
          </w:tcPr>
          <w:p w14:paraId="6445BEE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Тяготеющие к англо-саксонской модели</w:t>
            </w:r>
          </w:p>
        </w:tc>
      </w:tr>
      <w:tr w:rsidR="00457E80" w:rsidRPr="004E7E3E" w14:paraId="33A6FB67" w14:textId="77777777" w:rsidTr="00576F59">
        <w:tc>
          <w:tcPr>
            <w:tcW w:w="456" w:type="dxa"/>
            <w:vMerge/>
          </w:tcPr>
          <w:p w14:paraId="60D7E0B3"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54D4245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698229D7"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418C04F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Тяготеющие к континентальной модели</w:t>
            </w:r>
          </w:p>
        </w:tc>
      </w:tr>
      <w:tr w:rsidR="00457E80" w:rsidRPr="004E7E3E" w14:paraId="570522C3" w14:textId="77777777" w:rsidTr="00576F59">
        <w:tc>
          <w:tcPr>
            <w:tcW w:w="456" w:type="dxa"/>
            <w:vMerge/>
          </w:tcPr>
          <w:p w14:paraId="28077470"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410AB43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52B19A4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02782A8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На основе смешанной модел</w:t>
            </w:r>
            <w:r>
              <w:rPr>
                <w:rFonts w:ascii="Times New Roman" w:hAnsi="Times New Roman" w:cs="Times New Roman"/>
                <w:sz w:val="24"/>
                <w:szCs w:val="24"/>
                <w:lang w:val="ru-RU"/>
              </w:rPr>
              <w:t>и</w:t>
            </w:r>
          </w:p>
        </w:tc>
      </w:tr>
      <w:tr w:rsidR="00457E80" w:rsidRPr="004E7E3E" w14:paraId="758218CB" w14:textId="77777777" w:rsidTr="00576F59">
        <w:tc>
          <w:tcPr>
            <w:tcW w:w="456" w:type="dxa"/>
            <w:vMerge w:val="restart"/>
          </w:tcPr>
          <w:p w14:paraId="7B136DE0"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15</w:t>
            </w:r>
          </w:p>
        </w:tc>
        <w:tc>
          <w:tcPr>
            <w:tcW w:w="2492" w:type="dxa"/>
            <w:vMerge w:val="restart"/>
          </w:tcPr>
          <w:p w14:paraId="336B35D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Принадлежность к правовой системе</w:t>
            </w:r>
          </w:p>
        </w:tc>
        <w:tc>
          <w:tcPr>
            <w:tcW w:w="3001" w:type="dxa"/>
            <w:vMerge w:val="restart"/>
          </w:tcPr>
          <w:p w14:paraId="32FC6E1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Я. М. Миркин</w:t>
            </w:r>
          </w:p>
        </w:tc>
        <w:tc>
          <w:tcPr>
            <w:tcW w:w="3260" w:type="dxa"/>
          </w:tcPr>
          <w:p w14:paraId="19192A8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Англо-саксонская правовая модель</w:t>
            </w:r>
          </w:p>
        </w:tc>
      </w:tr>
      <w:tr w:rsidR="00457E80" w:rsidRPr="004E7E3E" w14:paraId="01E85E82" w14:textId="77777777" w:rsidTr="00576F59">
        <w:tc>
          <w:tcPr>
            <w:tcW w:w="456" w:type="dxa"/>
            <w:vMerge/>
          </w:tcPr>
          <w:p w14:paraId="1AFE1F15"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21FB1B8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395B0A84"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74AF3DF2"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Романо-германская правовая модель</w:t>
            </w:r>
          </w:p>
        </w:tc>
      </w:tr>
      <w:tr w:rsidR="00457E80" w:rsidRPr="00B05AAE" w14:paraId="329B0775" w14:textId="77777777" w:rsidTr="00576F59">
        <w:tc>
          <w:tcPr>
            <w:tcW w:w="456" w:type="dxa"/>
            <w:vMerge/>
          </w:tcPr>
          <w:p w14:paraId="4A7E62CA"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tcPr>
          <w:p w14:paraId="6DA0B6C0"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tcPr>
          <w:p w14:paraId="498FCCA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tcPr>
          <w:p w14:paraId="2CAAE189"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Другие правовые модели (в том числе смешанные)</w:t>
            </w:r>
          </w:p>
        </w:tc>
      </w:tr>
      <w:tr w:rsidR="00457E80" w:rsidRPr="00B05AAE" w14:paraId="29C2E58D" w14:textId="77777777" w:rsidTr="00576F59">
        <w:tc>
          <w:tcPr>
            <w:tcW w:w="456" w:type="dxa"/>
            <w:vMerge w:val="restart"/>
            <w:shd w:val="clear" w:color="auto" w:fill="auto"/>
          </w:tcPr>
          <w:p w14:paraId="0079E04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16</w:t>
            </w:r>
          </w:p>
        </w:tc>
        <w:tc>
          <w:tcPr>
            <w:tcW w:w="2492" w:type="dxa"/>
            <w:vMerge w:val="restart"/>
            <w:shd w:val="clear" w:color="auto" w:fill="auto"/>
          </w:tcPr>
          <w:p w14:paraId="5E9EF124"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Исторический подход</w:t>
            </w:r>
          </w:p>
        </w:tc>
        <w:tc>
          <w:tcPr>
            <w:tcW w:w="3001" w:type="dxa"/>
            <w:vMerge w:val="restart"/>
            <w:shd w:val="clear" w:color="auto" w:fill="auto"/>
          </w:tcPr>
          <w:p w14:paraId="1295E5F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И. К. Ключников</w:t>
            </w:r>
          </w:p>
        </w:tc>
        <w:tc>
          <w:tcPr>
            <w:tcW w:w="3260" w:type="dxa"/>
            <w:shd w:val="clear" w:color="auto" w:fill="auto"/>
          </w:tcPr>
          <w:p w14:paraId="1BA5268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Центры первого этапа (центры формировались за счёт международной торговли)</w:t>
            </w:r>
          </w:p>
        </w:tc>
      </w:tr>
      <w:tr w:rsidR="00457E80" w:rsidRPr="00B05AAE" w14:paraId="4B5D558E" w14:textId="77777777" w:rsidTr="00576F59">
        <w:tc>
          <w:tcPr>
            <w:tcW w:w="456" w:type="dxa"/>
            <w:vMerge/>
            <w:shd w:val="clear" w:color="auto" w:fill="auto"/>
          </w:tcPr>
          <w:p w14:paraId="34ED1F0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shd w:val="clear" w:color="auto" w:fill="auto"/>
          </w:tcPr>
          <w:p w14:paraId="07CC09FE"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shd w:val="clear" w:color="auto" w:fill="auto"/>
          </w:tcPr>
          <w:p w14:paraId="39A7FC76"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shd w:val="clear" w:color="auto" w:fill="auto"/>
          </w:tcPr>
          <w:p w14:paraId="7C8D14A1"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Центры второго этапа (формировались в результате создания биржевой торговли и развития банковской системы, пик – создание Евросоюза)</w:t>
            </w:r>
          </w:p>
        </w:tc>
      </w:tr>
      <w:tr w:rsidR="00457E80" w:rsidRPr="00B05AAE" w14:paraId="00023524" w14:textId="77777777" w:rsidTr="00576F59">
        <w:tc>
          <w:tcPr>
            <w:tcW w:w="456" w:type="dxa"/>
            <w:vMerge/>
            <w:shd w:val="clear" w:color="auto" w:fill="auto"/>
          </w:tcPr>
          <w:p w14:paraId="56A8062C"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2492" w:type="dxa"/>
            <w:vMerge/>
            <w:shd w:val="clear" w:color="auto" w:fill="auto"/>
          </w:tcPr>
          <w:p w14:paraId="07019AC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001" w:type="dxa"/>
            <w:vMerge/>
            <w:shd w:val="clear" w:color="auto" w:fill="auto"/>
          </w:tcPr>
          <w:p w14:paraId="639C9BFD"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p>
        </w:tc>
        <w:tc>
          <w:tcPr>
            <w:tcW w:w="3260" w:type="dxa"/>
            <w:shd w:val="clear" w:color="auto" w:fill="auto"/>
          </w:tcPr>
          <w:p w14:paraId="0A1919DF" w14:textId="77777777" w:rsidR="00457E80" w:rsidRPr="004E7E3E" w:rsidRDefault="00457E80" w:rsidP="00576F59">
            <w:pPr>
              <w:spacing w:before="100" w:beforeAutospacing="1" w:after="100" w:line="360" w:lineRule="auto"/>
              <w:contextualSpacing/>
              <w:rPr>
                <w:rFonts w:ascii="Times New Roman" w:hAnsi="Times New Roman" w:cs="Times New Roman"/>
                <w:sz w:val="24"/>
                <w:szCs w:val="24"/>
                <w:lang w:val="ru-RU"/>
              </w:rPr>
            </w:pPr>
            <w:r w:rsidRPr="004E7E3E">
              <w:rPr>
                <w:rFonts w:ascii="Times New Roman" w:hAnsi="Times New Roman" w:cs="Times New Roman"/>
                <w:sz w:val="24"/>
                <w:szCs w:val="24"/>
                <w:lang w:val="ru-RU"/>
              </w:rPr>
              <w:t xml:space="preserve">Центры третьего этапа (связаны с процессом глобализации и развития финансовых рынков, вплоть до финансового кризиса 2008 года) </w:t>
            </w:r>
          </w:p>
        </w:tc>
      </w:tr>
    </w:tbl>
    <w:p w14:paraId="6FBD513C" w14:textId="32A60003" w:rsidR="00457E80" w:rsidRDefault="00457E80" w:rsidP="00457E8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p>
    <w:p w14:paraId="255B364D" w14:textId="5E4CCCC8" w:rsidR="00457E80" w:rsidRPr="00E97736" w:rsidRDefault="00457E80" w:rsidP="00457E80">
      <w:pPr>
        <w:spacing w:before="100" w:beforeAutospacing="1" w:after="100" w:line="360" w:lineRule="auto"/>
        <w:ind w:firstLine="709"/>
        <w:contextualSpacing/>
        <w:jc w:val="both"/>
        <w:rPr>
          <w:rFonts w:ascii="Times New Roman" w:hAnsi="Times New Roman" w:cs="Times New Roman"/>
          <w:color w:val="000000"/>
          <w:sz w:val="24"/>
          <w:szCs w:val="24"/>
          <w:shd w:val="clear" w:color="auto" w:fill="FFFFFF"/>
          <w:lang w:val="ru-RU"/>
        </w:rPr>
      </w:pPr>
      <w:r>
        <w:rPr>
          <w:rFonts w:ascii="Times New Roman" w:hAnsi="Times New Roman" w:cs="Times New Roman"/>
          <w:color w:val="000000"/>
          <w:sz w:val="24"/>
          <w:szCs w:val="24"/>
          <w:shd w:val="clear" w:color="auto" w:fill="FFFFFF"/>
          <w:lang w:val="ru-RU"/>
        </w:rPr>
        <w:t xml:space="preserve">Составлено автором по материалам: </w:t>
      </w:r>
      <w:r w:rsidRPr="00E97736">
        <w:rPr>
          <w:rFonts w:ascii="Times New Roman" w:hAnsi="Times New Roman" w:cs="Times New Roman"/>
          <w:color w:val="000000"/>
          <w:sz w:val="24"/>
          <w:szCs w:val="24"/>
          <w:shd w:val="clear" w:color="auto" w:fill="FFFFFF"/>
          <w:lang w:val="ru-RU"/>
        </w:rPr>
        <w:t>[</w:t>
      </w:r>
      <w:r>
        <w:rPr>
          <w:rFonts w:ascii="Times New Roman" w:hAnsi="Times New Roman" w:cs="Times New Roman"/>
          <w:color w:val="000000"/>
          <w:sz w:val="24"/>
          <w:szCs w:val="24"/>
          <w:shd w:val="clear" w:color="auto" w:fill="FFFFFF"/>
        </w:rPr>
        <w:fldChar w:fldCharType="begin"/>
      </w:r>
      <w:r w:rsidRPr="00E97736">
        <w:rPr>
          <w:rFonts w:ascii="Times New Roman" w:hAnsi="Times New Roman" w:cs="Times New Roman"/>
          <w:color w:val="000000"/>
          <w:sz w:val="24"/>
          <w:szCs w:val="24"/>
          <w:shd w:val="clear" w:color="auto" w:fill="FFFFFF"/>
          <w:lang w:val="ru-RU"/>
        </w:rPr>
        <w:instrText xml:space="preserve"> </w:instrText>
      </w:r>
      <w:r>
        <w:rPr>
          <w:rFonts w:ascii="Times New Roman" w:hAnsi="Times New Roman" w:cs="Times New Roman"/>
          <w:color w:val="000000"/>
          <w:sz w:val="24"/>
          <w:szCs w:val="24"/>
          <w:shd w:val="clear" w:color="auto" w:fill="FFFFFF"/>
        </w:rPr>
        <w:instrText>REF</w:instrText>
      </w:r>
      <w:r w:rsidRPr="00E97736">
        <w:rPr>
          <w:rFonts w:ascii="Times New Roman" w:hAnsi="Times New Roman" w:cs="Times New Roman"/>
          <w:color w:val="000000"/>
          <w:sz w:val="24"/>
          <w:szCs w:val="24"/>
          <w:shd w:val="clear" w:color="auto" w:fill="FFFFFF"/>
          <w:lang w:val="ru-RU"/>
        </w:rPr>
        <w:instrText xml:space="preserve"> _</w:instrText>
      </w:r>
      <w:r>
        <w:rPr>
          <w:rFonts w:ascii="Times New Roman" w:hAnsi="Times New Roman" w:cs="Times New Roman"/>
          <w:color w:val="000000"/>
          <w:sz w:val="24"/>
          <w:szCs w:val="24"/>
          <w:shd w:val="clear" w:color="auto" w:fill="FFFFFF"/>
        </w:rPr>
        <w:instrText>Ref</w:instrText>
      </w:r>
      <w:r w:rsidRPr="00E97736">
        <w:rPr>
          <w:rFonts w:ascii="Times New Roman" w:hAnsi="Times New Roman" w:cs="Times New Roman"/>
          <w:color w:val="000000"/>
          <w:sz w:val="24"/>
          <w:szCs w:val="24"/>
          <w:shd w:val="clear" w:color="auto" w:fill="FFFFFF"/>
          <w:lang w:val="ru-RU"/>
        </w:rPr>
        <w:instrText>498526579 \</w:instrText>
      </w:r>
      <w:r>
        <w:rPr>
          <w:rFonts w:ascii="Times New Roman" w:hAnsi="Times New Roman" w:cs="Times New Roman"/>
          <w:color w:val="000000"/>
          <w:sz w:val="24"/>
          <w:szCs w:val="24"/>
          <w:shd w:val="clear" w:color="auto" w:fill="FFFFFF"/>
        </w:rPr>
        <w:instrText>r</w:instrText>
      </w:r>
      <w:r w:rsidRPr="00E97736">
        <w:rPr>
          <w:rFonts w:ascii="Times New Roman" w:hAnsi="Times New Roman" w:cs="Times New Roman"/>
          <w:color w:val="000000"/>
          <w:sz w:val="24"/>
          <w:szCs w:val="24"/>
          <w:shd w:val="clear" w:color="auto" w:fill="FFFFFF"/>
          <w:lang w:val="ru-RU"/>
        </w:rPr>
        <w:instrText xml:space="preserve"> \</w:instrText>
      </w:r>
      <w:r>
        <w:rPr>
          <w:rFonts w:ascii="Times New Roman" w:hAnsi="Times New Roman" w:cs="Times New Roman"/>
          <w:color w:val="000000"/>
          <w:sz w:val="24"/>
          <w:szCs w:val="24"/>
          <w:shd w:val="clear" w:color="auto" w:fill="FFFFFF"/>
        </w:rPr>
        <w:instrText>h</w:instrText>
      </w:r>
      <w:r w:rsidRPr="00E97736">
        <w:rPr>
          <w:rFonts w:ascii="Times New Roman" w:hAnsi="Times New Roman" w:cs="Times New Roman"/>
          <w:color w:val="000000"/>
          <w:sz w:val="24"/>
          <w:szCs w:val="24"/>
          <w:shd w:val="clear" w:color="auto" w:fill="FFFFFF"/>
          <w:lang w:val="ru-RU"/>
        </w:rPr>
        <w:instrText xml:space="preserve"> </w:instrText>
      </w:r>
      <w:r>
        <w:rPr>
          <w:rFonts w:ascii="Times New Roman" w:hAnsi="Times New Roman" w:cs="Times New Roman"/>
          <w:color w:val="000000"/>
          <w:sz w:val="24"/>
          <w:szCs w:val="24"/>
          <w:shd w:val="clear" w:color="auto" w:fill="FFFFFF"/>
        </w:rPr>
      </w:r>
      <w:r>
        <w:rPr>
          <w:rFonts w:ascii="Times New Roman" w:hAnsi="Times New Roman" w:cs="Times New Roman"/>
          <w:color w:val="000000"/>
          <w:sz w:val="24"/>
          <w:szCs w:val="24"/>
          <w:shd w:val="clear" w:color="auto" w:fill="FFFFFF"/>
        </w:rPr>
        <w:fldChar w:fldCharType="separate"/>
      </w:r>
      <w:r w:rsidR="00801D78" w:rsidRPr="006978F8">
        <w:rPr>
          <w:rFonts w:ascii="Times New Roman" w:hAnsi="Times New Roman" w:cs="Times New Roman"/>
          <w:color w:val="000000"/>
          <w:sz w:val="24"/>
          <w:szCs w:val="24"/>
          <w:shd w:val="clear" w:color="auto" w:fill="FFFFFF"/>
          <w:lang w:val="ru-RU"/>
        </w:rPr>
        <w:t>122</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lang w:val="ru-RU"/>
        </w:rPr>
        <w:t xml:space="preserve">; </w:t>
      </w:r>
      <w:r>
        <w:rPr>
          <w:rFonts w:ascii="Times New Roman" w:hAnsi="Times New Roman" w:cs="Times New Roman"/>
          <w:color w:val="000000"/>
          <w:sz w:val="24"/>
          <w:szCs w:val="24"/>
          <w:shd w:val="clear" w:color="auto" w:fill="FFFFFF"/>
          <w:lang w:val="ru-RU"/>
        </w:rPr>
        <w:fldChar w:fldCharType="begin"/>
      </w:r>
      <w:r>
        <w:rPr>
          <w:rFonts w:ascii="Times New Roman" w:hAnsi="Times New Roman" w:cs="Times New Roman"/>
          <w:color w:val="000000"/>
          <w:sz w:val="24"/>
          <w:szCs w:val="24"/>
          <w:shd w:val="clear" w:color="auto" w:fill="FFFFFF"/>
          <w:lang w:val="ru-RU"/>
        </w:rPr>
        <w:instrText xml:space="preserve"> REF _Ref135307314 \r \h </w:instrText>
      </w:r>
      <w:r>
        <w:rPr>
          <w:rFonts w:ascii="Times New Roman" w:hAnsi="Times New Roman" w:cs="Times New Roman"/>
          <w:color w:val="000000"/>
          <w:sz w:val="24"/>
          <w:szCs w:val="24"/>
          <w:shd w:val="clear" w:color="auto" w:fill="FFFFFF"/>
          <w:lang w:val="ru-RU"/>
        </w:rPr>
      </w:r>
      <w:r>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101</w:t>
      </w:r>
      <w:r>
        <w:rPr>
          <w:rFonts w:ascii="Times New Roman" w:hAnsi="Times New Roman" w:cs="Times New Roman"/>
          <w:color w:val="000000"/>
          <w:sz w:val="24"/>
          <w:szCs w:val="24"/>
          <w:shd w:val="clear" w:color="auto" w:fill="FFFFFF"/>
          <w:lang w:val="ru-RU"/>
        </w:rPr>
        <w:fldChar w:fldCharType="end"/>
      </w:r>
      <w:r w:rsidR="00CD2F83">
        <w:rPr>
          <w:rFonts w:ascii="Times New Roman" w:hAnsi="Times New Roman" w:cs="Times New Roman"/>
          <w:color w:val="000000"/>
          <w:sz w:val="24"/>
          <w:szCs w:val="24"/>
          <w:shd w:val="clear" w:color="auto" w:fill="FFFFFF"/>
          <w:lang w:val="ru-RU"/>
        </w:rPr>
        <w:t xml:space="preserve">; </w:t>
      </w:r>
      <w:r w:rsidR="00CD2F83">
        <w:rPr>
          <w:rFonts w:ascii="Times New Roman" w:hAnsi="Times New Roman" w:cs="Times New Roman"/>
          <w:color w:val="000000"/>
          <w:sz w:val="24"/>
          <w:szCs w:val="24"/>
          <w:shd w:val="clear" w:color="auto" w:fill="FFFFFF"/>
          <w:lang w:val="ru-RU"/>
        </w:rPr>
        <w:fldChar w:fldCharType="begin"/>
      </w:r>
      <w:r w:rsidR="00CD2F83">
        <w:rPr>
          <w:rFonts w:ascii="Times New Roman" w:hAnsi="Times New Roman" w:cs="Times New Roman"/>
          <w:color w:val="000000"/>
          <w:sz w:val="24"/>
          <w:szCs w:val="24"/>
          <w:shd w:val="clear" w:color="auto" w:fill="FFFFFF"/>
          <w:lang w:val="ru-RU"/>
        </w:rPr>
        <w:instrText xml:space="preserve"> REF _Ref136428134 \r \h </w:instrText>
      </w:r>
      <w:r w:rsidR="00CD2F83">
        <w:rPr>
          <w:rFonts w:ascii="Times New Roman" w:hAnsi="Times New Roman" w:cs="Times New Roman"/>
          <w:color w:val="000000"/>
          <w:sz w:val="24"/>
          <w:szCs w:val="24"/>
          <w:shd w:val="clear" w:color="auto" w:fill="FFFFFF"/>
          <w:lang w:val="ru-RU"/>
        </w:rPr>
      </w:r>
      <w:r w:rsidR="00CD2F83">
        <w:rPr>
          <w:rFonts w:ascii="Times New Roman" w:hAnsi="Times New Roman" w:cs="Times New Roman"/>
          <w:color w:val="000000"/>
          <w:sz w:val="24"/>
          <w:szCs w:val="24"/>
          <w:shd w:val="clear" w:color="auto" w:fill="FFFFFF"/>
          <w:lang w:val="ru-RU"/>
        </w:rPr>
        <w:fldChar w:fldCharType="separate"/>
      </w:r>
      <w:r w:rsidR="00801D78">
        <w:rPr>
          <w:rFonts w:ascii="Times New Roman" w:hAnsi="Times New Roman" w:cs="Times New Roman"/>
          <w:color w:val="000000"/>
          <w:sz w:val="24"/>
          <w:szCs w:val="24"/>
          <w:shd w:val="clear" w:color="auto" w:fill="FFFFFF"/>
          <w:lang w:val="ru-RU"/>
        </w:rPr>
        <w:t>105</w:t>
      </w:r>
      <w:r w:rsidR="00CD2F83">
        <w:rPr>
          <w:rFonts w:ascii="Times New Roman" w:hAnsi="Times New Roman" w:cs="Times New Roman"/>
          <w:color w:val="000000"/>
          <w:sz w:val="24"/>
          <w:szCs w:val="24"/>
          <w:shd w:val="clear" w:color="auto" w:fill="FFFFFF"/>
          <w:lang w:val="ru-RU"/>
        </w:rPr>
        <w:fldChar w:fldCharType="end"/>
      </w:r>
      <w:r w:rsidRPr="00E97736">
        <w:rPr>
          <w:rFonts w:ascii="Times New Roman" w:hAnsi="Times New Roman" w:cs="Times New Roman"/>
          <w:color w:val="000000"/>
          <w:sz w:val="24"/>
          <w:szCs w:val="24"/>
          <w:shd w:val="clear" w:color="auto" w:fill="FFFFFF"/>
          <w:lang w:val="ru-RU"/>
        </w:rPr>
        <w:t>]</w:t>
      </w:r>
    </w:p>
    <w:p w14:paraId="76BF2F97" w14:textId="77777777" w:rsidR="00457E80" w:rsidRPr="00457E80" w:rsidRDefault="00457E80" w:rsidP="00457E80">
      <w:pPr>
        <w:rPr>
          <w:lang w:val="ru-RU"/>
        </w:rPr>
      </w:pPr>
    </w:p>
    <w:p w14:paraId="7F152E6B" w14:textId="76BC3097" w:rsidR="00AE4368" w:rsidRDefault="00AE4368">
      <w:pPr>
        <w:spacing w:after="0" w:line="360" w:lineRule="auto"/>
        <w:contextualSpacing/>
        <w:rPr>
          <w:rFonts w:ascii="Times New Roman" w:hAnsi="Times New Roman" w:cs="Times New Roman"/>
          <w:color w:val="000000"/>
          <w:sz w:val="24"/>
          <w:szCs w:val="24"/>
          <w:lang w:val="ru-RU" w:eastAsia="zh-CN" w:bidi="ar-SA"/>
        </w:rPr>
      </w:pPr>
    </w:p>
    <w:p w14:paraId="6AA2BCE6" w14:textId="77777777" w:rsidR="00AE4368" w:rsidRDefault="00AE4368">
      <w:pPr>
        <w:spacing w:after="0" w:line="360" w:lineRule="auto"/>
        <w:contextualSpacing/>
        <w:rPr>
          <w:rFonts w:ascii="Times New Roman" w:hAnsi="Times New Roman" w:cs="Times New Roman"/>
          <w:sz w:val="24"/>
          <w:szCs w:val="24"/>
          <w:lang w:val="ru-RU"/>
        </w:rPr>
        <w:sectPr w:rsidR="00AE4368" w:rsidSect="00457E80">
          <w:pgSz w:w="11906" w:h="16838"/>
          <w:pgMar w:top="536" w:right="1701" w:bottom="1134" w:left="850" w:header="708" w:footer="708" w:gutter="0"/>
          <w:cols w:space="708"/>
          <w:titlePg/>
          <w:docGrid w:linePitch="360"/>
        </w:sectPr>
      </w:pPr>
    </w:p>
    <w:p w14:paraId="0035B17B" w14:textId="77777777" w:rsidR="00AE4368" w:rsidRDefault="002023F4" w:rsidP="00E01178">
      <w:pPr>
        <w:pStyle w:val="2"/>
        <w:spacing w:before="0" w:line="360" w:lineRule="auto"/>
        <w:contextualSpacing/>
        <w:rPr>
          <w:rFonts w:cs="Times New Roman"/>
          <w:sz w:val="24"/>
          <w:szCs w:val="24"/>
        </w:rPr>
      </w:pPr>
      <w:bookmarkStart w:id="207" w:name="Приложение3"/>
      <w:bookmarkStart w:id="208" w:name="_Toc136448488"/>
      <w:r>
        <w:rPr>
          <w:rFonts w:cs="Times New Roman"/>
          <w:sz w:val="24"/>
          <w:szCs w:val="24"/>
        </w:rPr>
        <w:lastRenderedPageBreak/>
        <w:t>Приложение 2</w:t>
      </w:r>
      <w:bookmarkEnd w:id="208"/>
    </w:p>
    <w:p w14:paraId="65FB11B2" w14:textId="27BB9AFF" w:rsidR="00457E80" w:rsidRDefault="00457E80" w:rsidP="00457E80">
      <w:pPr>
        <w:pStyle w:val="aff6"/>
        <w:spacing w:before="0" w:beforeAutospacing="0" w:after="0"/>
      </w:pPr>
      <w:bookmarkStart w:id="209" w:name="Баллы"/>
      <w:r>
        <w:t xml:space="preserve">Таблица </w:t>
      </w:r>
      <w:r w:rsidR="006978F8">
        <w:t>3</w:t>
      </w:r>
      <w:r>
        <w:t xml:space="preserve">. Расширенная сравнительная таблица динамики показателей российских и китайских МФЦ в </w:t>
      </w:r>
      <w:r>
        <w:rPr>
          <w:lang w:eastAsia="zh-CN"/>
        </w:rPr>
        <w:t>GFCI (</w:t>
      </w:r>
      <w:r>
        <w:t>баллы)</w:t>
      </w:r>
      <w:bookmarkEnd w:id="209"/>
      <w:r>
        <w:t>.</w:t>
      </w:r>
    </w:p>
    <w:tbl>
      <w:tblPr>
        <w:tblW w:w="14243" w:type="dxa"/>
        <w:tblInd w:w="-572" w:type="dxa"/>
        <w:tblLook w:val="04A0" w:firstRow="1" w:lastRow="0" w:firstColumn="1" w:lastColumn="0" w:noHBand="0" w:noVBand="1"/>
      </w:tblPr>
      <w:tblGrid>
        <w:gridCol w:w="425"/>
        <w:gridCol w:w="1125"/>
        <w:gridCol w:w="759"/>
        <w:gridCol w:w="759"/>
        <w:gridCol w:w="759"/>
        <w:gridCol w:w="759"/>
        <w:gridCol w:w="759"/>
        <w:gridCol w:w="729"/>
        <w:gridCol w:w="759"/>
        <w:gridCol w:w="729"/>
        <w:gridCol w:w="759"/>
        <w:gridCol w:w="729"/>
        <w:gridCol w:w="759"/>
        <w:gridCol w:w="729"/>
        <w:gridCol w:w="759"/>
        <w:gridCol w:w="729"/>
        <w:gridCol w:w="759"/>
        <w:gridCol w:w="729"/>
        <w:gridCol w:w="729"/>
      </w:tblGrid>
      <w:tr w:rsidR="00457E80" w:rsidRPr="00044453" w14:paraId="7AD0DE11" w14:textId="77777777" w:rsidTr="00576F59">
        <w:trPr>
          <w:trHeight w:val="600"/>
        </w:trPr>
        <w:tc>
          <w:tcPr>
            <w:tcW w:w="425" w:type="dxa"/>
            <w:tcBorders>
              <w:top w:val="single" w:sz="4" w:space="0" w:color="auto"/>
              <w:left w:val="single" w:sz="4" w:space="0" w:color="auto"/>
              <w:bottom w:val="single" w:sz="4" w:space="0" w:color="auto"/>
              <w:right w:val="single" w:sz="4" w:space="0" w:color="auto"/>
            </w:tcBorders>
          </w:tcPr>
          <w:p w14:paraId="6BE2B992"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73F6030F"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Перечень\</w:t>
            </w:r>
          </w:p>
          <w:p w14:paraId="3FE03B61"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Выпуски рейтинга</w:t>
            </w:r>
          </w:p>
        </w:tc>
        <w:tc>
          <w:tcPr>
            <w:tcW w:w="759" w:type="dxa"/>
            <w:tcBorders>
              <w:top w:val="single" w:sz="4" w:space="0" w:color="auto"/>
              <w:left w:val="none" w:sz="4" w:space="0" w:color="000000"/>
              <w:bottom w:val="single" w:sz="4" w:space="0" w:color="auto"/>
              <w:right w:val="single" w:sz="4" w:space="0" w:color="auto"/>
            </w:tcBorders>
            <w:vAlign w:val="center"/>
          </w:tcPr>
          <w:p w14:paraId="1852C57E"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1</w:t>
            </w:r>
          </w:p>
        </w:tc>
        <w:tc>
          <w:tcPr>
            <w:tcW w:w="759" w:type="dxa"/>
            <w:tcBorders>
              <w:top w:val="single" w:sz="4" w:space="0" w:color="auto"/>
              <w:left w:val="single" w:sz="4" w:space="0" w:color="auto"/>
              <w:bottom w:val="single" w:sz="4" w:space="0" w:color="auto"/>
              <w:right w:val="single" w:sz="4" w:space="0" w:color="auto"/>
            </w:tcBorders>
            <w:vAlign w:val="center"/>
          </w:tcPr>
          <w:p w14:paraId="3A6F30AA"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2</w:t>
            </w:r>
          </w:p>
        </w:tc>
        <w:tc>
          <w:tcPr>
            <w:tcW w:w="759" w:type="dxa"/>
            <w:tcBorders>
              <w:top w:val="single" w:sz="4" w:space="0" w:color="auto"/>
              <w:left w:val="none" w:sz="4" w:space="0" w:color="000000"/>
              <w:bottom w:val="single" w:sz="4" w:space="0" w:color="auto"/>
              <w:right w:val="single" w:sz="4" w:space="0" w:color="auto"/>
            </w:tcBorders>
            <w:vAlign w:val="center"/>
          </w:tcPr>
          <w:p w14:paraId="56AAC4F2"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3</w:t>
            </w:r>
          </w:p>
        </w:tc>
        <w:tc>
          <w:tcPr>
            <w:tcW w:w="759" w:type="dxa"/>
            <w:tcBorders>
              <w:top w:val="single" w:sz="4" w:space="0" w:color="auto"/>
              <w:left w:val="single" w:sz="4" w:space="0" w:color="auto"/>
              <w:bottom w:val="single" w:sz="4" w:space="0" w:color="auto"/>
              <w:right w:val="single" w:sz="4" w:space="0" w:color="auto"/>
            </w:tcBorders>
            <w:vAlign w:val="center"/>
          </w:tcPr>
          <w:p w14:paraId="705253EC"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4</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A8709"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5</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CB3951"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6</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62921F"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7</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8C83DB"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8</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6AB452C"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9</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896FF1"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10</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984AEB"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11</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7ECF19"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12</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DBAEA1"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13</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C700FA"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14</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97D29ED"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15</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BE17ED"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16</w:t>
            </w:r>
          </w:p>
        </w:tc>
        <w:tc>
          <w:tcPr>
            <w:tcW w:w="729" w:type="dxa"/>
            <w:tcBorders>
              <w:top w:val="single" w:sz="4" w:space="0" w:color="auto"/>
              <w:left w:val="none" w:sz="4" w:space="0" w:color="000000"/>
              <w:bottom w:val="single" w:sz="4" w:space="0" w:color="auto"/>
              <w:right w:val="single" w:sz="4" w:space="0" w:color="auto"/>
            </w:tcBorders>
            <w:vAlign w:val="center"/>
          </w:tcPr>
          <w:p w14:paraId="24A8CD18"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17</w:t>
            </w:r>
          </w:p>
        </w:tc>
      </w:tr>
      <w:tr w:rsidR="00457E80" w:rsidRPr="00044453" w14:paraId="4544DC5C" w14:textId="77777777" w:rsidTr="00576F59">
        <w:trPr>
          <w:trHeight w:val="600"/>
        </w:trPr>
        <w:tc>
          <w:tcPr>
            <w:tcW w:w="425" w:type="dxa"/>
            <w:tcBorders>
              <w:top w:val="single" w:sz="4" w:space="0" w:color="auto"/>
              <w:left w:val="single" w:sz="4" w:space="0" w:color="auto"/>
              <w:bottom w:val="single" w:sz="4" w:space="0" w:color="auto"/>
              <w:right w:val="single" w:sz="4" w:space="0" w:color="auto"/>
            </w:tcBorders>
          </w:tcPr>
          <w:p w14:paraId="39E435E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02F49EFC"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Перечень\</w:t>
            </w:r>
          </w:p>
          <w:p w14:paraId="7D83E8A2"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месяц и год</w:t>
            </w:r>
          </w:p>
        </w:tc>
        <w:tc>
          <w:tcPr>
            <w:tcW w:w="759" w:type="dxa"/>
            <w:tcBorders>
              <w:top w:val="single" w:sz="4" w:space="0" w:color="auto"/>
              <w:left w:val="none" w:sz="4" w:space="0" w:color="000000"/>
              <w:bottom w:val="single" w:sz="4" w:space="0" w:color="auto"/>
              <w:right w:val="single" w:sz="4" w:space="0" w:color="auto"/>
            </w:tcBorders>
            <w:vAlign w:val="center"/>
          </w:tcPr>
          <w:p w14:paraId="48808CCF"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2007, I</w:t>
            </w:r>
          </w:p>
        </w:tc>
        <w:tc>
          <w:tcPr>
            <w:tcW w:w="759" w:type="dxa"/>
            <w:tcBorders>
              <w:top w:val="single" w:sz="4" w:space="0" w:color="auto"/>
              <w:left w:val="single" w:sz="4" w:space="0" w:color="auto"/>
              <w:bottom w:val="single" w:sz="4" w:space="0" w:color="auto"/>
              <w:right w:val="single" w:sz="4" w:space="0" w:color="auto"/>
            </w:tcBorders>
            <w:vAlign w:val="center"/>
          </w:tcPr>
          <w:p w14:paraId="06A6B8A5"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2007, II</w:t>
            </w:r>
          </w:p>
        </w:tc>
        <w:tc>
          <w:tcPr>
            <w:tcW w:w="759" w:type="dxa"/>
            <w:tcBorders>
              <w:top w:val="single" w:sz="4" w:space="0" w:color="auto"/>
              <w:left w:val="none" w:sz="4" w:space="0" w:color="000000"/>
              <w:bottom w:val="single" w:sz="4" w:space="0" w:color="auto"/>
              <w:right w:val="single" w:sz="4" w:space="0" w:color="auto"/>
            </w:tcBorders>
            <w:vAlign w:val="center"/>
          </w:tcPr>
          <w:p w14:paraId="45064471"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2008, I</w:t>
            </w:r>
          </w:p>
        </w:tc>
        <w:tc>
          <w:tcPr>
            <w:tcW w:w="759" w:type="dxa"/>
            <w:tcBorders>
              <w:top w:val="single" w:sz="4" w:space="0" w:color="auto"/>
              <w:left w:val="single" w:sz="4" w:space="0" w:color="auto"/>
              <w:bottom w:val="single" w:sz="4" w:space="0" w:color="auto"/>
              <w:right w:val="single" w:sz="4" w:space="0" w:color="auto"/>
            </w:tcBorders>
            <w:vAlign w:val="center"/>
          </w:tcPr>
          <w:p w14:paraId="1C7C8D3A"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2008, II</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2AC4E"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2009, 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D91C0E"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2009, II</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161856"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2010, 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BB04727"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2010, II</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4A66795"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2011, 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EE06C62"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2011, II</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2AAE0B8"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2012, 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07BA2B8"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2012, II</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21E6FAC"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2013, 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AEE994"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2013, II</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43D9A2"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2014, 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7011A41"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2014, II</w:t>
            </w:r>
          </w:p>
        </w:tc>
        <w:tc>
          <w:tcPr>
            <w:tcW w:w="729" w:type="dxa"/>
            <w:tcBorders>
              <w:top w:val="single" w:sz="4" w:space="0" w:color="auto"/>
              <w:left w:val="none" w:sz="4" w:space="0" w:color="000000"/>
              <w:bottom w:val="single" w:sz="4" w:space="0" w:color="auto"/>
              <w:right w:val="single" w:sz="4" w:space="0" w:color="auto"/>
            </w:tcBorders>
            <w:vAlign w:val="center"/>
          </w:tcPr>
          <w:p w14:paraId="105919F1"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2015, I</w:t>
            </w:r>
          </w:p>
        </w:tc>
      </w:tr>
      <w:tr w:rsidR="00457E80" w:rsidRPr="00044453" w14:paraId="458602BB"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7DC69CE5"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DF779"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топа</w:t>
            </w:r>
          </w:p>
        </w:tc>
        <w:tc>
          <w:tcPr>
            <w:tcW w:w="759" w:type="dxa"/>
            <w:tcBorders>
              <w:top w:val="single" w:sz="4" w:space="0" w:color="auto"/>
              <w:left w:val="single" w:sz="4" w:space="0" w:color="auto"/>
              <w:bottom w:val="single" w:sz="4" w:space="0" w:color="auto"/>
              <w:right w:val="single" w:sz="4" w:space="0" w:color="auto"/>
            </w:tcBorders>
            <w:vAlign w:val="center"/>
          </w:tcPr>
          <w:p w14:paraId="468BC794"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765</w:t>
            </w:r>
          </w:p>
        </w:tc>
        <w:tc>
          <w:tcPr>
            <w:tcW w:w="759" w:type="dxa"/>
            <w:tcBorders>
              <w:top w:val="single" w:sz="4" w:space="0" w:color="auto"/>
              <w:left w:val="single" w:sz="4" w:space="0" w:color="auto"/>
              <w:bottom w:val="single" w:sz="4" w:space="0" w:color="auto"/>
              <w:right w:val="single" w:sz="4" w:space="0" w:color="auto"/>
            </w:tcBorders>
            <w:vAlign w:val="center"/>
          </w:tcPr>
          <w:p w14:paraId="7B7464CF"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806</w:t>
            </w:r>
          </w:p>
        </w:tc>
        <w:tc>
          <w:tcPr>
            <w:tcW w:w="759" w:type="dxa"/>
            <w:tcBorders>
              <w:top w:val="single" w:sz="4" w:space="0" w:color="auto"/>
              <w:left w:val="single" w:sz="4" w:space="0" w:color="auto"/>
              <w:bottom w:val="single" w:sz="4" w:space="0" w:color="auto"/>
              <w:right w:val="single" w:sz="4" w:space="0" w:color="auto"/>
            </w:tcBorders>
            <w:vAlign w:val="center"/>
          </w:tcPr>
          <w:p w14:paraId="3B4C568E"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795</w:t>
            </w:r>
          </w:p>
        </w:tc>
        <w:tc>
          <w:tcPr>
            <w:tcW w:w="759" w:type="dxa"/>
            <w:tcBorders>
              <w:top w:val="single" w:sz="4" w:space="0" w:color="auto"/>
              <w:left w:val="single" w:sz="4" w:space="0" w:color="auto"/>
              <w:bottom w:val="single" w:sz="4" w:space="0" w:color="auto"/>
              <w:right w:val="single" w:sz="4" w:space="0" w:color="auto"/>
            </w:tcBorders>
            <w:vAlign w:val="center"/>
          </w:tcPr>
          <w:p w14:paraId="7AA15B13"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791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FF1C6"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781</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AF4CD"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790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E14F8"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775</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7464A"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772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03058"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775</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B60EE"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774</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276CE"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781</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4AFB4"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785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5153"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807</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DBB31"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794</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2F8B4"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786</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BEA2E"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778</w:t>
            </w:r>
          </w:p>
        </w:tc>
        <w:tc>
          <w:tcPr>
            <w:tcW w:w="729" w:type="dxa"/>
            <w:tcBorders>
              <w:top w:val="single" w:sz="4" w:space="0" w:color="auto"/>
              <w:left w:val="single" w:sz="4" w:space="0" w:color="auto"/>
              <w:bottom w:val="single" w:sz="4" w:space="0" w:color="auto"/>
              <w:right w:val="single" w:sz="4" w:space="0" w:color="auto"/>
            </w:tcBorders>
            <w:vAlign w:val="center"/>
          </w:tcPr>
          <w:p w14:paraId="2BA3C9EB" w14:textId="77777777" w:rsidR="00457E80" w:rsidRPr="001D2AF9" w:rsidRDefault="00457E80" w:rsidP="00576F59">
            <w:pPr>
              <w:spacing w:after="0" w:line="360" w:lineRule="auto"/>
              <w:contextualSpacing/>
              <w:jc w:val="center"/>
              <w:rPr>
                <w:rFonts w:ascii="Times New Roman" w:eastAsia="Times New Roman" w:hAnsi="Times New Roman" w:cs="Times New Roman"/>
                <w:color w:val="000000" w:themeColor="text1"/>
                <w:sz w:val="20"/>
                <w:szCs w:val="20"/>
                <w:lang w:val="ru-RU" w:eastAsia="ru-RU" w:bidi="ar-SA"/>
              </w:rPr>
            </w:pPr>
            <w:r w:rsidRPr="001D2AF9">
              <w:rPr>
                <w:rFonts w:ascii="Times New Roman" w:hAnsi="Times New Roman" w:cs="Times New Roman"/>
                <w:color w:val="000000" w:themeColor="text1"/>
                <w:sz w:val="20"/>
                <w:szCs w:val="20"/>
              </w:rPr>
              <w:t>785</w:t>
            </w:r>
          </w:p>
        </w:tc>
      </w:tr>
      <w:tr w:rsidR="00457E80" w:rsidRPr="00044453" w14:paraId="2695A31E"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412388EA"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84FB4" w14:textId="77777777" w:rsidR="00457E80" w:rsidRPr="00D66104"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r>
              <w:rPr>
                <w:rFonts w:ascii="Times New Roman" w:eastAsia="Times New Roman" w:hAnsi="Times New Roman" w:cs="Times New Roman"/>
                <w:color w:val="000000"/>
                <w:sz w:val="18"/>
                <w:szCs w:val="18"/>
                <w:lang w:val="ru-RU" w:eastAsia="ru-RU" w:bidi="ar-SA"/>
              </w:rPr>
              <w:t>Москвы</w:t>
            </w:r>
          </w:p>
        </w:tc>
        <w:tc>
          <w:tcPr>
            <w:tcW w:w="759" w:type="dxa"/>
            <w:tcBorders>
              <w:top w:val="single" w:sz="4" w:space="0" w:color="auto"/>
              <w:left w:val="single" w:sz="4" w:space="0" w:color="auto"/>
              <w:bottom w:val="single" w:sz="4" w:space="0" w:color="auto"/>
              <w:right w:val="single" w:sz="4" w:space="0" w:color="auto"/>
            </w:tcBorders>
            <w:vAlign w:val="center"/>
          </w:tcPr>
          <w:p w14:paraId="702665E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421</w:t>
            </w:r>
          </w:p>
        </w:tc>
        <w:tc>
          <w:tcPr>
            <w:tcW w:w="759" w:type="dxa"/>
            <w:tcBorders>
              <w:top w:val="single" w:sz="4" w:space="0" w:color="auto"/>
              <w:left w:val="single" w:sz="4" w:space="0" w:color="auto"/>
              <w:bottom w:val="single" w:sz="4" w:space="0" w:color="auto"/>
              <w:right w:val="single" w:sz="4" w:space="0" w:color="auto"/>
            </w:tcBorders>
            <w:vAlign w:val="center"/>
          </w:tcPr>
          <w:p w14:paraId="0C216ED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415</w:t>
            </w:r>
          </w:p>
        </w:tc>
        <w:tc>
          <w:tcPr>
            <w:tcW w:w="759" w:type="dxa"/>
            <w:tcBorders>
              <w:top w:val="single" w:sz="4" w:space="0" w:color="auto"/>
              <w:left w:val="single" w:sz="4" w:space="0" w:color="auto"/>
              <w:bottom w:val="single" w:sz="4" w:space="0" w:color="auto"/>
              <w:right w:val="single" w:sz="4" w:space="0" w:color="auto"/>
            </w:tcBorders>
            <w:vAlign w:val="center"/>
          </w:tcPr>
          <w:p w14:paraId="79A6396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422</w:t>
            </w:r>
          </w:p>
        </w:tc>
        <w:tc>
          <w:tcPr>
            <w:tcW w:w="759" w:type="dxa"/>
            <w:tcBorders>
              <w:top w:val="single" w:sz="4" w:space="0" w:color="auto"/>
              <w:left w:val="single" w:sz="4" w:space="0" w:color="auto"/>
              <w:bottom w:val="single" w:sz="4" w:space="0" w:color="auto"/>
              <w:right w:val="single" w:sz="4" w:space="0" w:color="auto"/>
            </w:tcBorders>
            <w:vAlign w:val="center"/>
          </w:tcPr>
          <w:p w14:paraId="78F4CB3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414</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573D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363</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AF8F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462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E1C7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516</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6909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506</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5D3C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506</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9B0A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C296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583</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D299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233A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606</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4F37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D465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591</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F77B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536</w:t>
            </w:r>
          </w:p>
        </w:tc>
        <w:tc>
          <w:tcPr>
            <w:tcW w:w="729" w:type="dxa"/>
            <w:tcBorders>
              <w:top w:val="single" w:sz="4" w:space="0" w:color="auto"/>
              <w:left w:val="single" w:sz="4" w:space="0" w:color="auto"/>
              <w:bottom w:val="single" w:sz="4" w:space="0" w:color="auto"/>
              <w:right w:val="single" w:sz="4" w:space="0" w:color="auto"/>
            </w:tcBorders>
            <w:vAlign w:val="center"/>
          </w:tcPr>
          <w:p w14:paraId="14C00BE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579</w:t>
            </w:r>
          </w:p>
        </w:tc>
      </w:tr>
      <w:tr w:rsidR="00457E80" w:rsidRPr="00044453" w14:paraId="3347054E"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559F7596"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2</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EE47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r>
              <w:rPr>
                <w:rFonts w:ascii="Times New Roman" w:eastAsia="Times New Roman" w:hAnsi="Times New Roman" w:cs="Times New Roman"/>
                <w:color w:val="000000"/>
                <w:sz w:val="18"/>
                <w:szCs w:val="18"/>
                <w:lang w:val="ru-RU" w:eastAsia="ru-RU" w:bidi="ar-SA"/>
              </w:rPr>
              <w:t>Санкт-Петербурга</w:t>
            </w:r>
          </w:p>
        </w:tc>
        <w:tc>
          <w:tcPr>
            <w:tcW w:w="759" w:type="dxa"/>
            <w:tcBorders>
              <w:top w:val="single" w:sz="4" w:space="0" w:color="auto"/>
              <w:left w:val="single" w:sz="4" w:space="0" w:color="auto"/>
              <w:bottom w:val="single" w:sz="4" w:space="0" w:color="auto"/>
              <w:right w:val="single" w:sz="4" w:space="0" w:color="auto"/>
            </w:tcBorders>
            <w:vAlign w:val="center"/>
          </w:tcPr>
          <w:p w14:paraId="763F956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00545B8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3F48174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4BB27C8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F241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C41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453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B9D3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501</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B63F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491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6761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504</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CF9C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554</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7A56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567</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062C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574</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9BB9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585</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E674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522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DA78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543</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1971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600</w:t>
            </w:r>
          </w:p>
        </w:tc>
        <w:tc>
          <w:tcPr>
            <w:tcW w:w="729" w:type="dxa"/>
            <w:tcBorders>
              <w:top w:val="single" w:sz="4" w:space="0" w:color="auto"/>
              <w:left w:val="single" w:sz="4" w:space="0" w:color="auto"/>
              <w:bottom w:val="single" w:sz="4" w:space="0" w:color="auto"/>
              <w:right w:val="single" w:sz="4" w:space="0" w:color="auto"/>
            </w:tcBorders>
            <w:vAlign w:val="center"/>
          </w:tcPr>
          <w:p w14:paraId="2A2D9F5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569</w:t>
            </w:r>
          </w:p>
        </w:tc>
      </w:tr>
      <w:tr w:rsidR="00457E80" w:rsidRPr="00044453" w14:paraId="3A2F2637"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46A3515C"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3</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50FF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p>
          <w:p w14:paraId="5FF22C8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Гонконг</w:t>
            </w:r>
          </w:p>
        </w:tc>
        <w:tc>
          <w:tcPr>
            <w:tcW w:w="759" w:type="dxa"/>
            <w:tcBorders>
              <w:top w:val="single" w:sz="4" w:space="0" w:color="auto"/>
              <w:left w:val="single" w:sz="4" w:space="0" w:color="auto"/>
              <w:bottom w:val="single" w:sz="4" w:space="0" w:color="auto"/>
              <w:right w:val="single" w:sz="4" w:space="0" w:color="auto"/>
            </w:tcBorders>
            <w:vAlign w:val="center"/>
          </w:tcPr>
          <w:p w14:paraId="68A320E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684</w:t>
            </w:r>
          </w:p>
        </w:tc>
        <w:tc>
          <w:tcPr>
            <w:tcW w:w="759" w:type="dxa"/>
            <w:tcBorders>
              <w:top w:val="single" w:sz="4" w:space="0" w:color="auto"/>
              <w:left w:val="single" w:sz="4" w:space="0" w:color="auto"/>
              <w:bottom w:val="single" w:sz="4" w:space="0" w:color="auto"/>
              <w:right w:val="single" w:sz="4" w:space="0" w:color="auto"/>
            </w:tcBorders>
            <w:vAlign w:val="center"/>
          </w:tcPr>
          <w:p w14:paraId="5532BB1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697</w:t>
            </w:r>
          </w:p>
        </w:tc>
        <w:tc>
          <w:tcPr>
            <w:tcW w:w="759" w:type="dxa"/>
            <w:tcBorders>
              <w:top w:val="single" w:sz="4" w:space="0" w:color="auto"/>
              <w:left w:val="single" w:sz="4" w:space="0" w:color="auto"/>
              <w:bottom w:val="single" w:sz="4" w:space="0" w:color="auto"/>
              <w:right w:val="single" w:sz="4" w:space="0" w:color="auto"/>
            </w:tcBorders>
            <w:vAlign w:val="center"/>
          </w:tcPr>
          <w:p w14:paraId="1640A53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695</w:t>
            </w:r>
          </w:p>
        </w:tc>
        <w:tc>
          <w:tcPr>
            <w:tcW w:w="759" w:type="dxa"/>
            <w:tcBorders>
              <w:top w:val="single" w:sz="4" w:space="0" w:color="auto"/>
              <w:left w:val="single" w:sz="4" w:space="0" w:color="auto"/>
              <w:bottom w:val="single" w:sz="4" w:space="0" w:color="auto"/>
              <w:right w:val="single" w:sz="4" w:space="0" w:color="auto"/>
            </w:tcBorders>
            <w:vAlign w:val="center"/>
          </w:tcPr>
          <w:p w14:paraId="490F27D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700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83C6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684</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2C27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C2BA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739</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34AE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760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D8AC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759</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1249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770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4C4B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754</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A711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0B74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761</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3DC7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D612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761</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4D72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756</w:t>
            </w:r>
          </w:p>
        </w:tc>
        <w:tc>
          <w:tcPr>
            <w:tcW w:w="729" w:type="dxa"/>
            <w:tcBorders>
              <w:top w:val="single" w:sz="4" w:space="0" w:color="auto"/>
              <w:left w:val="single" w:sz="4" w:space="0" w:color="auto"/>
              <w:bottom w:val="single" w:sz="4" w:space="0" w:color="auto"/>
              <w:right w:val="single" w:sz="4" w:space="0" w:color="auto"/>
            </w:tcBorders>
            <w:vAlign w:val="center"/>
          </w:tcPr>
          <w:p w14:paraId="6BBFDA8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758</w:t>
            </w:r>
          </w:p>
        </w:tc>
      </w:tr>
      <w:tr w:rsidR="00457E80" w:rsidRPr="00044453" w14:paraId="7774CE20"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3DD9ED2A"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4</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6C2E49"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p>
          <w:p w14:paraId="0D38920C"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Сингапур</w:t>
            </w:r>
          </w:p>
        </w:tc>
        <w:tc>
          <w:tcPr>
            <w:tcW w:w="759" w:type="dxa"/>
            <w:tcBorders>
              <w:top w:val="single" w:sz="4" w:space="0" w:color="auto"/>
              <w:left w:val="single" w:sz="4" w:space="0" w:color="auto"/>
              <w:bottom w:val="single" w:sz="4" w:space="0" w:color="auto"/>
              <w:right w:val="single" w:sz="4" w:space="0" w:color="auto"/>
            </w:tcBorders>
            <w:vAlign w:val="center"/>
          </w:tcPr>
          <w:p w14:paraId="4E477CA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660</w:t>
            </w:r>
          </w:p>
        </w:tc>
        <w:tc>
          <w:tcPr>
            <w:tcW w:w="759" w:type="dxa"/>
            <w:tcBorders>
              <w:top w:val="single" w:sz="4" w:space="0" w:color="auto"/>
              <w:left w:val="single" w:sz="4" w:space="0" w:color="auto"/>
              <w:bottom w:val="single" w:sz="4" w:space="0" w:color="auto"/>
              <w:right w:val="single" w:sz="4" w:space="0" w:color="auto"/>
            </w:tcBorders>
            <w:vAlign w:val="center"/>
          </w:tcPr>
          <w:p w14:paraId="2785BF2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673</w:t>
            </w:r>
          </w:p>
        </w:tc>
        <w:tc>
          <w:tcPr>
            <w:tcW w:w="759" w:type="dxa"/>
            <w:tcBorders>
              <w:top w:val="single" w:sz="4" w:space="0" w:color="auto"/>
              <w:left w:val="single" w:sz="4" w:space="0" w:color="auto"/>
              <w:bottom w:val="single" w:sz="4" w:space="0" w:color="auto"/>
              <w:right w:val="single" w:sz="4" w:space="0" w:color="auto"/>
            </w:tcBorders>
            <w:vAlign w:val="center"/>
          </w:tcPr>
          <w:p w14:paraId="5103F72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675</w:t>
            </w:r>
          </w:p>
        </w:tc>
        <w:tc>
          <w:tcPr>
            <w:tcW w:w="759" w:type="dxa"/>
            <w:tcBorders>
              <w:top w:val="single" w:sz="4" w:space="0" w:color="auto"/>
              <w:left w:val="single" w:sz="4" w:space="0" w:color="auto"/>
              <w:bottom w:val="single" w:sz="4" w:space="0" w:color="auto"/>
              <w:right w:val="single" w:sz="4" w:space="0" w:color="auto"/>
            </w:tcBorders>
            <w:vAlign w:val="center"/>
          </w:tcPr>
          <w:p w14:paraId="202CF91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701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CDF7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687</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5B89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7431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733</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6633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9DB8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722</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77EB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526F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729</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5C96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D045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759</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C117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6BAE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751</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C098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746</w:t>
            </w:r>
          </w:p>
        </w:tc>
        <w:tc>
          <w:tcPr>
            <w:tcW w:w="729" w:type="dxa"/>
            <w:tcBorders>
              <w:top w:val="single" w:sz="4" w:space="0" w:color="auto"/>
              <w:left w:val="single" w:sz="4" w:space="0" w:color="auto"/>
              <w:bottom w:val="single" w:sz="4" w:space="0" w:color="auto"/>
              <w:right w:val="single" w:sz="4" w:space="0" w:color="auto"/>
            </w:tcBorders>
            <w:vAlign w:val="center"/>
          </w:tcPr>
          <w:p w14:paraId="0975637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754</w:t>
            </w:r>
          </w:p>
        </w:tc>
      </w:tr>
      <w:tr w:rsidR="00457E80" w:rsidRPr="00044453" w14:paraId="52621849"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571486ED"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5</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9221D"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p>
          <w:p w14:paraId="2CEEA195" w14:textId="77777777" w:rsidR="00457E80" w:rsidRPr="00044453" w:rsidRDefault="00457E80" w:rsidP="00576F59">
            <w:pPr>
              <w:spacing w:after="0" w:line="360" w:lineRule="auto"/>
              <w:ind w:right="183"/>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Тайбэй</w:t>
            </w:r>
          </w:p>
        </w:tc>
        <w:tc>
          <w:tcPr>
            <w:tcW w:w="759" w:type="dxa"/>
            <w:tcBorders>
              <w:top w:val="single" w:sz="4" w:space="0" w:color="auto"/>
              <w:left w:val="single" w:sz="4" w:space="0" w:color="auto"/>
              <w:bottom w:val="single" w:sz="4" w:space="0" w:color="auto"/>
              <w:right w:val="single" w:sz="4" w:space="0" w:color="auto"/>
            </w:tcBorders>
            <w:vAlign w:val="center"/>
          </w:tcPr>
          <w:p w14:paraId="59B98BF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3E3AB34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6CFDA2D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595D9E7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6608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518</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2E91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44E7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638</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275B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639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B6C9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639</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892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5110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643</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C4F8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628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2E6A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653</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73F8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CF3F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636</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8F17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677</w:t>
            </w:r>
          </w:p>
        </w:tc>
        <w:tc>
          <w:tcPr>
            <w:tcW w:w="729" w:type="dxa"/>
            <w:tcBorders>
              <w:top w:val="single" w:sz="4" w:space="0" w:color="auto"/>
              <w:left w:val="single" w:sz="4" w:space="0" w:color="auto"/>
              <w:bottom w:val="single" w:sz="4" w:space="0" w:color="auto"/>
              <w:right w:val="single" w:sz="4" w:space="0" w:color="auto"/>
            </w:tcBorders>
            <w:vAlign w:val="center"/>
          </w:tcPr>
          <w:p w14:paraId="18D5852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686</w:t>
            </w:r>
          </w:p>
        </w:tc>
      </w:tr>
      <w:tr w:rsidR="00457E80" w:rsidRPr="00044453" w14:paraId="3FA85D4E"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184A90AC"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6</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CDC64"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Пекин</w:t>
            </w:r>
          </w:p>
        </w:tc>
        <w:tc>
          <w:tcPr>
            <w:tcW w:w="759" w:type="dxa"/>
            <w:tcBorders>
              <w:top w:val="single" w:sz="4" w:space="0" w:color="auto"/>
              <w:left w:val="single" w:sz="4" w:space="0" w:color="auto"/>
              <w:bottom w:val="single" w:sz="4" w:space="0" w:color="auto"/>
              <w:right w:val="single" w:sz="4" w:space="0" w:color="auto"/>
            </w:tcBorders>
            <w:vAlign w:val="center"/>
          </w:tcPr>
          <w:p w14:paraId="3FBFD43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513</w:t>
            </w:r>
          </w:p>
        </w:tc>
        <w:tc>
          <w:tcPr>
            <w:tcW w:w="759" w:type="dxa"/>
            <w:tcBorders>
              <w:top w:val="single" w:sz="4" w:space="0" w:color="auto"/>
              <w:left w:val="single" w:sz="4" w:space="0" w:color="auto"/>
              <w:bottom w:val="single" w:sz="4" w:space="0" w:color="auto"/>
              <w:right w:val="single" w:sz="4" w:space="0" w:color="auto"/>
            </w:tcBorders>
            <w:vAlign w:val="center"/>
          </w:tcPr>
          <w:p w14:paraId="3D3D7E2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482</w:t>
            </w:r>
          </w:p>
        </w:tc>
        <w:tc>
          <w:tcPr>
            <w:tcW w:w="759" w:type="dxa"/>
            <w:tcBorders>
              <w:top w:val="single" w:sz="4" w:space="0" w:color="auto"/>
              <w:left w:val="single" w:sz="4" w:space="0" w:color="auto"/>
              <w:bottom w:val="single" w:sz="4" w:space="0" w:color="auto"/>
              <w:right w:val="single" w:sz="4" w:space="0" w:color="auto"/>
            </w:tcBorders>
            <w:vAlign w:val="center"/>
          </w:tcPr>
          <w:p w14:paraId="7B1C6F4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493</w:t>
            </w:r>
          </w:p>
        </w:tc>
        <w:tc>
          <w:tcPr>
            <w:tcW w:w="759" w:type="dxa"/>
            <w:tcBorders>
              <w:top w:val="single" w:sz="4" w:space="0" w:color="auto"/>
              <w:left w:val="single" w:sz="4" w:space="0" w:color="auto"/>
              <w:bottom w:val="single" w:sz="4" w:space="0" w:color="auto"/>
              <w:right w:val="single" w:sz="4" w:space="0" w:color="auto"/>
            </w:tcBorders>
            <w:vAlign w:val="center"/>
          </w:tcPr>
          <w:p w14:paraId="0CE61F4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509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BE0C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478</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C272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63D9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651</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47A9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0561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46D2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C4A1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644</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3DEF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626</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CF4E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622</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C3FF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598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E14B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649</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C5B6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668</w:t>
            </w:r>
          </w:p>
        </w:tc>
        <w:tc>
          <w:tcPr>
            <w:tcW w:w="729" w:type="dxa"/>
            <w:tcBorders>
              <w:top w:val="single" w:sz="4" w:space="0" w:color="auto"/>
              <w:left w:val="single" w:sz="4" w:space="0" w:color="auto"/>
              <w:bottom w:val="single" w:sz="4" w:space="0" w:color="auto"/>
              <w:right w:val="single" w:sz="4" w:space="0" w:color="auto"/>
            </w:tcBorders>
            <w:vAlign w:val="center"/>
          </w:tcPr>
          <w:p w14:paraId="7ECAA85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674</w:t>
            </w:r>
          </w:p>
        </w:tc>
      </w:tr>
      <w:tr w:rsidR="00457E80" w:rsidRPr="00044453" w14:paraId="7E3A27F6"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39105B91"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7</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5A889"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p>
          <w:p w14:paraId="5F6F67F5"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Шэньчжэнь</w:t>
            </w:r>
          </w:p>
        </w:tc>
        <w:tc>
          <w:tcPr>
            <w:tcW w:w="759" w:type="dxa"/>
            <w:tcBorders>
              <w:top w:val="single" w:sz="4" w:space="0" w:color="auto"/>
              <w:left w:val="single" w:sz="4" w:space="0" w:color="auto"/>
              <w:bottom w:val="single" w:sz="4" w:space="0" w:color="auto"/>
              <w:right w:val="single" w:sz="4" w:space="0" w:color="auto"/>
            </w:tcBorders>
            <w:vAlign w:val="center"/>
          </w:tcPr>
          <w:p w14:paraId="4FF41A30" w14:textId="77777777" w:rsidR="00457E80" w:rsidRPr="00084361" w:rsidRDefault="00457E80" w:rsidP="00576F59">
            <w:pPr>
              <w:spacing w:after="0" w:line="360" w:lineRule="auto"/>
              <w:ind w:right="-1"/>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576</w:t>
            </w:r>
          </w:p>
        </w:tc>
        <w:tc>
          <w:tcPr>
            <w:tcW w:w="759" w:type="dxa"/>
            <w:tcBorders>
              <w:top w:val="single" w:sz="4" w:space="0" w:color="auto"/>
              <w:left w:val="single" w:sz="4" w:space="0" w:color="auto"/>
              <w:bottom w:val="single" w:sz="4" w:space="0" w:color="auto"/>
              <w:right w:val="single" w:sz="4" w:space="0" w:color="auto"/>
            </w:tcBorders>
            <w:vAlign w:val="center"/>
          </w:tcPr>
          <w:p w14:paraId="629D8AC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527</w:t>
            </w:r>
          </w:p>
        </w:tc>
        <w:tc>
          <w:tcPr>
            <w:tcW w:w="759" w:type="dxa"/>
            <w:tcBorders>
              <w:top w:val="single" w:sz="4" w:space="0" w:color="auto"/>
              <w:left w:val="single" w:sz="4" w:space="0" w:color="auto"/>
              <w:bottom w:val="single" w:sz="4" w:space="0" w:color="auto"/>
              <w:right w:val="single" w:sz="4" w:space="0" w:color="auto"/>
            </w:tcBorders>
            <w:vAlign w:val="center"/>
          </w:tcPr>
          <w:p w14:paraId="50E1472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554</w:t>
            </w:r>
          </w:p>
        </w:tc>
        <w:tc>
          <w:tcPr>
            <w:tcW w:w="759" w:type="dxa"/>
            <w:tcBorders>
              <w:top w:val="single" w:sz="4" w:space="0" w:color="auto"/>
              <w:left w:val="single" w:sz="4" w:space="0" w:color="auto"/>
              <w:bottom w:val="single" w:sz="4" w:space="0" w:color="auto"/>
              <w:right w:val="single" w:sz="4" w:space="0" w:color="auto"/>
            </w:tcBorders>
            <w:vAlign w:val="center"/>
          </w:tcPr>
          <w:p w14:paraId="6D74C8F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D8A7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538</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6951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21EE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668</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80FF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9F36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694</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B09B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724</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F6DE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687</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8A71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656</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DF0B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674</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8AFD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FA48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695</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7907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690</w:t>
            </w:r>
          </w:p>
        </w:tc>
        <w:tc>
          <w:tcPr>
            <w:tcW w:w="729" w:type="dxa"/>
            <w:tcBorders>
              <w:top w:val="single" w:sz="4" w:space="0" w:color="auto"/>
              <w:left w:val="single" w:sz="4" w:space="0" w:color="auto"/>
              <w:bottom w:val="single" w:sz="4" w:space="0" w:color="auto"/>
              <w:right w:val="single" w:sz="4" w:space="0" w:color="auto"/>
            </w:tcBorders>
            <w:vAlign w:val="center"/>
          </w:tcPr>
          <w:p w14:paraId="55FDA1E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694</w:t>
            </w:r>
          </w:p>
        </w:tc>
      </w:tr>
      <w:tr w:rsidR="00457E80" w:rsidRPr="00044453" w14:paraId="4B931BEB"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181BF5EA"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8</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5DB11"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Шанхай</w:t>
            </w:r>
          </w:p>
        </w:tc>
        <w:tc>
          <w:tcPr>
            <w:tcW w:w="759" w:type="dxa"/>
            <w:tcBorders>
              <w:top w:val="single" w:sz="4" w:space="0" w:color="auto"/>
              <w:left w:val="single" w:sz="4" w:space="0" w:color="auto"/>
              <w:bottom w:val="single" w:sz="4" w:space="0" w:color="auto"/>
              <w:right w:val="single" w:sz="4" w:space="0" w:color="auto"/>
            </w:tcBorders>
            <w:vAlign w:val="center"/>
          </w:tcPr>
          <w:p w14:paraId="72A1D27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451447B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3611317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4CA4971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487B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88E0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E05C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1601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654</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02B4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653</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9CD7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C136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638</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0AFE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637</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9235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D5BB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4E55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697</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EC3E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680</w:t>
            </w:r>
          </w:p>
        </w:tc>
        <w:tc>
          <w:tcPr>
            <w:tcW w:w="729" w:type="dxa"/>
            <w:tcBorders>
              <w:top w:val="single" w:sz="4" w:space="0" w:color="auto"/>
              <w:left w:val="single" w:sz="4" w:space="0" w:color="auto"/>
              <w:bottom w:val="single" w:sz="4" w:space="0" w:color="auto"/>
              <w:right w:val="single" w:sz="4" w:space="0" w:color="auto"/>
            </w:tcBorders>
            <w:vAlign w:val="center"/>
          </w:tcPr>
          <w:p w14:paraId="62AE161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689</w:t>
            </w:r>
          </w:p>
        </w:tc>
      </w:tr>
      <w:tr w:rsidR="00457E80" w:rsidRPr="00044453" w14:paraId="748A156A"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65A2E7DA"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lastRenderedPageBreak/>
              <w:t>9</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57C19"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Далянь</w:t>
            </w:r>
          </w:p>
        </w:tc>
        <w:tc>
          <w:tcPr>
            <w:tcW w:w="759" w:type="dxa"/>
            <w:tcBorders>
              <w:top w:val="single" w:sz="4" w:space="0" w:color="auto"/>
              <w:left w:val="single" w:sz="4" w:space="0" w:color="auto"/>
              <w:bottom w:val="single" w:sz="4" w:space="0" w:color="auto"/>
              <w:right w:val="single" w:sz="4" w:space="0" w:color="auto"/>
            </w:tcBorders>
            <w:vAlign w:val="center"/>
          </w:tcPr>
          <w:p w14:paraId="2896A61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366FC15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7858E46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053FD77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95D4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C21F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0E5E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1174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6CD8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823A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D063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5A8C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7D65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6CCD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CB93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9F81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vAlign w:val="center"/>
          </w:tcPr>
          <w:p w14:paraId="200ED83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632</w:t>
            </w:r>
          </w:p>
        </w:tc>
      </w:tr>
      <w:tr w:rsidR="00457E80" w:rsidRPr="00044453" w14:paraId="775D6482"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7064765F"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E05E2"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Перечень\</w:t>
            </w:r>
          </w:p>
          <w:p w14:paraId="6FD4942D"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Выпуски рейтинга</w:t>
            </w:r>
          </w:p>
        </w:tc>
        <w:tc>
          <w:tcPr>
            <w:tcW w:w="759" w:type="dxa"/>
            <w:tcBorders>
              <w:top w:val="single" w:sz="4" w:space="0" w:color="auto"/>
              <w:left w:val="single" w:sz="4" w:space="0" w:color="auto"/>
              <w:bottom w:val="single" w:sz="4" w:space="0" w:color="auto"/>
              <w:right w:val="single" w:sz="4" w:space="0" w:color="auto"/>
            </w:tcBorders>
            <w:vAlign w:val="center"/>
          </w:tcPr>
          <w:p w14:paraId="494583D3"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1</w:t>
            </w:r>
          </w:p>
        </w:tc>
        <w:tc>
          <w:tcPr>
            <w:tcW w:w="759" w:type="dxa"/>
            <w:tcBorders>
              <w:top w:val="single" w:sz="4" w:space="0" w:color="auto"/>
              <w:left w:val="single" w:sz="4" w:space="0" w:color="auto"/>
              <w:bottom w:val="single" w:sz="4" w:space="0" w:color="auto"/>
              <w:right w:val="single" w:sz="4" w:space="0" w:color="auto"/>
            </w:tcBorders>
            <w:vAlign w:val="center"/>
          </w:tcPr>
          <w:p w14:paraId="0ADF0AB3"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2</w:t>
            </w:r>
          </w:p>
        </w:tc>
        <w:tc>
          <w:tcPr>
            <w:tcW w:w="759" w:type="dxa"/>
            <w:tcBorders>
              <w:top w:val="single" w:sz="4" w:space="0" w:color="auto"/>
              <w:left w:val="single" w:sz="4" w:space="0" w:color="auto"/>
              <w:bottom w:val="single" w:sz="4" w:space="0" w:color="auto"/>
              <w:right w:val="single" w:sz="4" w:space="0" w:color="auto"/>
            </w:tcBorders>
            <w:vAlign w:val="center"/>
          </w:tcPr>
          <w:p w14:paraId="29AA2EB9"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3</w:t>
            </w:r>
          </w:p>
        </w:tc>
        <w:tc>
          <w:tcPr>
            <w:tcW w:w="759" w:type="dxa"/>
            <w:tcBorders>
              <w:top w:val="single" w:sz="4" w:space="0" w:color="auto"/>
              <w:left w:val="single" w:sz="4" w:space="0" w:color="auto"/>
              <w:bottom w:val="single" w:sz="4" w:space="0" w:color="auto"/>
              <w:right w:val="single" w:sz="4" w:space="0" w:color="auto"/>
            </w:tcBorders>
            <w:vAlign w:val="center"/>
          </w:tcPr>
          <w:p w14:paraId="00CF43CE"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4</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8EC16"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5</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5CEF4"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6</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12625"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7</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11DD1"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197E1"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9</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C76BB"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10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3B9F3"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11</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18D32"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12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2A2E8"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13</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0A647"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14</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7BF58"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15</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46CBC"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16</w:t>
            </w:r>
          </w:p>
        </w:tc>
        <w:tc>
          <w:tcPr>
            <w:tcW w:w="729" w:type="dxa"/>
            <w:tcBorders>
              <w:top w:val="single" w:sz="4" w:space="0" w:color="auto"/>
              <w:left w:val="single" w:sz="4" w:space="0" w:color="auto"/>
              <w:bottom w:val="single" w:sz="4" w:space="0" w:color="auto"/>
              <w:right w:val="single" w:sz="4" w:space="0" w:color="auto"/>
            </w:tcBorders>
            <w:vAlign w:val="center"/>
          </w:tcPr>
          <w:p w14:paraId="049C3301"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17</w:t>
            </w:r>
          </w:p>
        </w:tc>
      </w:tr>
      <w:tr w:rsidR="00457E80" w:rsidRPr="00044453" w14:paraId="5B2EE3BB"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54E5C370"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7956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Перечень\</w:t>
            </w:r>
          </w:p>
          <w:p w14:paraId="257B519C"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месяц и год</w:t>
            </w:r>
          </w:p>
        </w:tc>
        <w:tc>
          <w:tcPr>
            <w:tcW w:w="759" w:type="dxa"/>
            <w:tcBorders>
              <w:top w:val="single" w:sz="4" w:space="0" w:color="auto"/>
              <w:left w:val="single" w:sz="4" w:space="0" w:color="auto"/>
              <w:bottom w:val="single" w:sz="4" w:space="0" w:color="auto"/>
              <w:right w:val="single" w:sz="4" w:space="0" w:color="auto"/>
            </w:tcBorders>
            <w:vAlign w:val="center"/>
          </w:tcPr>
          <w:p w14:paraId="06F68233"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2007, I</w:t>
            </w:r>
          </w:p>
        </w:tc>
        <w:tc>
          <w:tcPr>
            <w:tcW w:w="759" w:type="dxa"/>
            <w:tcBorders>
              <w:top w:val="single" w:sz="4" w:space="0" w:color="auto"/>
              <w:left w:val="single" w:sz="4" w:space="0" w:color="auto"/>
              <w:bottom w:val="single" w:sz="4" w:space="0" w:color="auto"/>
              <w:right w:val="single" w:sz="4" w:space="0" w:color="auto"/>
            </w:tcBorders>
            <w:vAlign w:val="center"/>
          </w:tcPr>
          <w:p w14:paraId="39ED9EAB"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2007, II</w:t>
            </w:r>
          </w:p>
        </w:tc>
        <w:tc>
          <w:tcPr>
            <w:tcW w:w="759" w:type="dxa"/>
            <w:tcBorders>
              <w:top w:val="single" w:sz="4" w:space="0" w:color="auto"/>
              <w:left w:val="single" w:sz="4" w:space="0" w:color="auto"/>
              <w:bottom w:val="single" w:sz="4" w:space="0" w:color="auto"/>
              <w:right w:val="single" w:sz="4" w:space="0" w:color="auto"/>
            </w:tcBorders>
            <w:vAlign w:val="center"/>
          </w:tcPr>
          <w:p w14:paraId="6BECCC2D"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2008, I</w:t>
            </w:r>
          </w:p>
        </w:tc>
        <w:tc>
          <w:tcPr>
            <w:tcW w:w="759" w:type="dxa"/>
            <w:tcBorders>
              <w:top w:val="single" w:sz="4" w:space="0" w:color="auto"/>
              <w:left w:val="single" w:sz="4" w:space="0" w:color="auto"/>
              <w:bottom w:val="single" w:sz="4" w:space="0" w:color="auto"/>
              <w:right w:val="single" w:sz="4" w:space="0" w:color="auto"/>
            </w:tcBorders>
            <w:vAlign w:val="center"/>
          </w:tcPr>
          <w:p w14:paraId="7661D42E"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2008, II</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5D00A"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2009, I</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AD5B1"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2009, II</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4BAC6"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2010, I</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DFEBE"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2010, II</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29D6F"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2011, I</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E8011"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2011, II</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3F6B9"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2012, I</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CFC48"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2012, II</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57B5"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2013, I</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C96D7"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2013, II</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39902"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2014, I</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1D8F1"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2014, II</w:t>
            </w:r>
          </w:p>
        </w:tc>
        <w:tc>
          <w:tcPr>
            <w:tcW w:w="729" w:type="dxa"/>
            <w:tcBorders>
              <w:top w:val="single" w:sz="4" w:space="0" w:color="auto"/>
              <w:left w:val="single" w:sz="4" w:space="0" w:color="auto"/>
              <w:bottom w:val="single" w:sz="4" w:space="0" w:color="auto"/>
              <w:right w:val="single" w:sz="4" w:space="0" w:color="auto"/>
            </w:tcBorders>
            <w:vAlign w:val="center"/>
          </w:tcPr>
          <w:p w14:paraId="3E6C48BA" w14:textId="77777777" w:rsidR="00457E80" w:rsidRPr="00044453" w:rsidRDefault="00457E80" w:rsidP="00576F59">
            <w:pPr>
              <w:spacing w:after="0" w:line="360" w:lineRule="auto"/>
              <w:contextualSpacing/>
              <w:jc w:val="center"/>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2015, I</w:t>
            </w:r>
          </w:p>
        </w:tc>
      </w:tr>
      <w:tr w:rsidR="00457E80" w:rsidRPr="00044453" w14:paraId="1F591AC2"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30E366CF"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10</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BDFEE"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Циндао</w:t>
            </w:r>
          </w:p>
        </w:tc>
        <w:tc>
          <w:tcPr>
            <w:tcW w:w="759" w:type="dxa"/>
            <w:tcBorders>
              <w:top w:val="single" w:sz="4" w:space="0" w:color="auto"/>
              <w:left w:val="single" w:sz="4" w:space="0" w:color="auto"/>
              <w:bottom w:val="single" w:sz="4" w:space="0" w:color="auto"/>
              <w:right w:val="single" w:sz="4" w:space="0" w:color="auto"/>
            </w:tcBorders>
            <w:vAlign w:val="center"/>
          </w:tcPr>
          <w:p w14:paraId="59FA60E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7565A8D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580BD94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599CA05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0E28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E5D1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5CFE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5087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27E4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2EA0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88A3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A8BD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36B4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686A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7F5E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08A7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vAlign w:val="center"/>
          </w:tcPr>
          <w:p w14:paraId="786D977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r>
      <w:tr w:rsidR="00457E80" w:rsidRPr="00044453" w14:paraId="61FAB2AF"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38644CA2"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11</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CB99E"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r>
              <w:rPr>
                <w:rFonts w:ascii="Times New Roman" w:eastAsia="Times New Roman" w:hAnsi="Times New Roman" w:cs="Times New Roman"/>
                <w:color w:val="000000"/>
                <w:sz w:val="18"/>
                <w:szCs w:val="18"/>
                <w:lang w:val="ru-RU" w:eastAsia="ru-RU" w:bidi="ar-SA"/>
              </w:rPr>
              <w:t>Гуанчжоу</w:t>
            </w:r>
          </w:p>
        </w:tc>
        <w:tc>
          <w:tcPr>
            <w:tcW w:w="759" w:type="dxa"/>
            <w:tcBorders>
              <w:top w:val="single" w:sz="4" w:space="0" w:color="auto"/>
              <w:left w:val="none" w:sz="4" w:space="0" w:color="000000"/>
              <w:bottom w:val="single" w:sz="4" w:space="0" w:color="auto"/>
              <w:right w:val="single" w:sz="4" w:space="0" w:color="auto"/>
            </w:tcBorders>
            <w:vAlign w:val="center"/>
          </w:tcPr>
          <w:p w14:paraId="00C9C94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583B6B6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7A943A9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2399896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A061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099FD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945C70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4F071A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44793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8EB2E9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680BA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F93347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D4FD72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FDAFA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147CA1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A20D84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vAlign w:val="center"/>
          </w:tcPr>
          <w:p w14:paraId="5916FD2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r>
      <w:tr w:rsidR="00457E80" w:rsidRPr="00044453" w14:paraId="3734C072"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69A5C48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12</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170E6"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Ч</w:t>
            </w:r>
            <w:r>
              <w:rPr>
                <w:rFonts w:ascii="Times New Roman" w:eastAsia="Times New Roman" w:hAnsi="Times New Roman" w:cs="Times New Roman"/>
                <w:color w:val="000000"/>
                <w:sz w:val="18"/>
                <w:szCs w:val="18"/>
                <w:lang w:val="ru-RU" w:eastAsia="ru-RU" w:bidi="ar-SA"/>
              </w:rPr>
              <w:t>эн</w:t>
            </w:r>
            <w:r w:rsidRPr="00044453">
              <w:rPr>
                <w:rFonts w:ascii="Times New Roman" w:eastAsia="Times New Roman" w:hAnsi="Times New Roman" w:cs="Times New Roman"/>
                <w:color w:val="000000"/>
                <w:sz w:val="18"/>
                <w:szCs w:val="18"/>
                <w:lang w:val="ru-RU" w:eastAsia="ru-RU" w:bidi="ar-SA"/>
              </w:rPr>
              <w:t>ду</w:t>
            </w:r>
          </w:p>
        </w:tc>
        <w:tc>
          <w:tcPr>
            <w:tcW w:w="759" w:type="dxa"/>
            <w:tcBorders>
              <w:top w:val="single" w:sz="4" w:space="0" w:color="auto"/>
              <w:left w:val="none" w:sz="4" w:space="0" w:color="000000"/>
              <w:bottom w:val="single" w:sz="4" w:space="0" w:color="auto"/>
              <w:right w:val="single" w:sz="4" w:space="0" w:color="auto"/>
            </w:tcBorders>
            <w:vAlign w:val="center"/>
          </w:tcPr>
          <w:p w14:paraId="7604D2B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321481E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57C9845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68E7DC1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4602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19E90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0C723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087E58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7C613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A9CB7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AEFDB0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EB1FE2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70B00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1DF8D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3E083C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72C7F8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vAlign w:val="center"/>
          </w:tcPr>
          <w:p w14:paraId="712518C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r>
      <w:tr w:rsidR="00457E80" w:rsidRPr="00044453" w14:paraId="7CAA5938"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7DC79EC4"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13</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2BEBC"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 xml:space="preserve">Баллы Тяньцзинь </w:t>
            </w:r>
          </w:p>
        </w:tc>
        <w:tc>
          <w:tcPr>
            <w:tcW w:w="759" w:type="dxa"/>
            <w:tcBorders>
              <w:top w:val="single" w:sz="4" w:space="0" w:color="auto"/>
              <w:left w:val="none" w:sz="4" w:space="0" w:color="000000"/>
              <w:bottom w:val="single" w:sz="4" w:space="0" w:color="auto"/>
              <w:right w:val="single" w:sz="4" w:space="0" w:color="auto"/>
            </w:tcBorders>
            <w:vAlign w:val="center"/>
          </w:tcPr>
          <w:p w14:paraId="45FC241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7502431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72D4283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50187B3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B925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66B127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4B1264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B16DFC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79337D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D24AF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F93868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99BDE5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BADF43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B7ED3C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900F9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B26BC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vAlign w:val="center"/>
          </w:tcPr>
          <w:p w14:paraId="77DD379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r>
      <w:tr w:rsidR="00457E80" w:rsidRPr="00044453" w14:paraId="5D3AEFCD"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2E2DB08E"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14</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DB1120"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Ханчжоу</w:t>
            </w:r>
          </w:p>
        </w:tc>
        <w:tc>
          <w:tcPr>
            <w:tcW w:w="759" w:type="dxa"/>
            <w:tcBorders>
              <w:top w:val="single" w:sz="4" w:space="0" w:color="auto"/>
              <w:left w:val="none" w:sz="4" w:space="0" w:color="000000"/>
              <w:bottom w:val="single" w:sz="4" w:space="0" w:color="auto"/>
              <w:right w:val="single" w:sz="4" w:space="0" w:color="auto"/>
            </w:tcBorders>
            <w:vAlign w:val="center"/>
          </w:tcPr>
          <w:p w14:paraId="542CD4C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56EC0CE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38B779E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71CD063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4174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DAE4B6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2904A6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82EE9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E06FD6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D34324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678DFA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628BCB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3DBC6E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169E49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672F41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0B90B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vAlign w:val="center"/>
          </w:tcPr>
          <w:p w14:paraId="5DBAAAE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r>
      <w:tr w:rsidR="00457E80" w:rsidRPr="00044453" w14:paraId="69C04A4C"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390E78CB"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15</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CDE1B"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Нанкин</w:t>
            </w:r>
          </w:p>
        </w:tc>
        <w:tc>
          <w:tcPr>
            <w:tcW w:w="759" w:type="dxa"/>
            <w:tcBorders>
              <w:top w:val="single" w:sz="4" w:space="0" w:color="auto"/>
              <w:left w:val="none" w:sz="4" w:space="0" w:color="000000"/>
              <w:bottom w:val="single" w:sz="4" w:space="0" w:color="auto"/>
              <w:right w:val="single" w:sz="4" w:space="0" w:color="auto"/>
            </w:tcBorders>
            <w:vAlign w:val="center"/>
          </w:tcPr>
          <w:p w14:paraId="6921B44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4D0D2AF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0D35D0D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6498DDA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B656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EEA45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523A21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30DB88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06BDB2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C3E43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1661B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AFF75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4AF6A4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8C810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13DD61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C4AD1D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vAlign w:val="center"/>
          </w:tcPr>
          <w:p w14:paraId="0D61532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r>
      <w:tr w:rsidR="00457E80" w:rsidRPr="00044453" w14:paraId="6ABABCC4"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10EF2FDC"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16</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BD421"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Сиань</w:t>
            </w:r>
          </w:p>
        </w:tc>
        <w:tc>
          <w:tcPr>
            <w:tcW w:w="759" w:type="dxa"/>
            <w:tcBorders>
              <w:top w:val="single" w:sz="4" w:space="0" w:color="auto"/>
              <w:left w:val="none" w:sz="4" w:space="0" w:color="000000"/>
              <w:bottom w:val="single" w:sz="4" w:space="0" w:color="auto"/>
              <w:right w:val="single" w:sz="4" w:space="0" w:color="auto"/>
            </w:tcBorders>
            <w:vAlign w:val="center"/>
          </w:tcPr>
          <w:p w14:paraId="37D5BB3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1D7C4D4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44AC7E6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2879C2F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9EC4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32B2CF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A6A297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C5E3F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C67E5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0EA087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53281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363EB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E11DBF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E2F42A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61CF0E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F52F83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vAlign w:val="center"/>
          </w:tcPr>
          <w:p w14:paraId="2D09C44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r>
      <w:tr w:rsidR="00457E80" w:rsidRPr="00044453" w14:paraId="58DBDFC8"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18E88C2A"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17</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5DC62"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Ухань</w:t>
            </w:r>
          </w:p>
        </w:tc>
        <w:tc>
          <w:tcPr>
            <w:tcW w:w="759" w:type="dxa"/>
            <w:tcBorders>
              <w:top w:val="single" w:sz="4" w:space="0" w:color="auto"/>
              <w:left w:val="none" w:sz="4" w:space="0" w:color="000000"/>
              <w:bottom w:val="single" w:sz="4" w:space="0" w:color="auto"/>
              <w:right w:val="single" w:sz="4" w:space="0" w:color="auto"/>
            </w:tcBorders>
            <w:vAlign w:val="center"/>
          </w:tcPr>
          <w:p w14:paraId="74F46D1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600B301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284045C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44C2E82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1AEE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AEF83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F74D68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055F71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F6153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79988D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822BAF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76AF46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D2E5A5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64BEC4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B36C2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349F02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vAlign w:val="center"/>
          </w:tcPr>
          <w:p w14:paraId="468E36D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r>
      <w:tr w:rsidR="00457E80" w:rsidRPr="00044453" w14:paraId="2D25BDF9"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0624D32D"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18</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61ED1"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Алматы</w:t>
            </w:r>
          </w:p>
        </w:tc>
        <w:tc>
          <w:tcPr>
            <w:tcW w:w="759" w:type="dxa"/>
            <w:tcBorders>
              <w:top w:val="single" w:sz="4" w:space="0" w:color="auto"/>
              <w:left w:val="none" w:sz="4" w:space="0" w:color="000000"/>
              <w:bottom w:val="single" w:sz="4" w:space="0" w:color="auto"/>
              <w:right w:val="single" w:sz="4" w:space="0" w:color="auto"/>
            </w:tcBorders>
            <w:vAlign w:val="center"/>
          </w:tcPr>
          <w:p w14:paraId="44991DF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411FE8C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00329FF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312EC57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ACCD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871FF9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86744B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CC4A3F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ED2C8A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76919D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6123A0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44828D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F533F8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7B826B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EB0D3D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629</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BC289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653</w:t>
            </w:r>
          </w:p>
        </w:tc>
        <w:tc>
          <w:tcPr>
            <w:tcW w:w="729" w:type="dxa"/>
            <w:tcBorders>
              <w:top w:val="single" w:sz="4" w:space="0" w:color="auto"/>
              <w:left w:val="none" w:sz="4" w:space="0" w:color="000000"/>
              <w:bottom w:val="single" w:sz="4" w:space="0" w:color="auto"/>
              <w:right w:val="single" w:sz="4" w:space="0" w:color="auto"/>
            </w:tcBorders>
            <w:vAlign w:val="center"/>
          </w:tcPr>
          <w:p w14:paraId="6D6DECE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634</w:t>
            </w:r>
          </w:p>
        </w:tc>
      </w:tr>
      <w:tr w:rsidR="00457E80" w:rsidRPr="00044453" w14:paraId="3665360C"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1BF5B687"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lastRenderedPageBreak/>
              <w:t>29</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80DF1"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Астаны</w:t>
            </w:r>
          </w:p>
        </w:tc>
        <w:tc>
          <w:tcPr>
            <w:tcW w:w="759" w:type="dxa"/>
            <w:tcBorders>
              <w:top w:val="single" w:sz="4" w:space="0" w:color="auto"/>
              <w:left w:val="none" w:sz="4" w:space="0" w:color="000000"/>
              <w:bottom w:val="single" w:sz="4" w:space="0" w:color="auto"/>
              <w:right w:val="single" w:sz="4" w:space="0" w:color="auto"/>
            </w:tcBorders>
            <w:vAlign w:val="center"/>
          </w:tcPr>
          <w:p w14:paraId="7EEBB98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34396E3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1A46560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1760064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E2F5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CB942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C0014D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A2CEA3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2296A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FA479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998DA7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802286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5D4C61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EC055E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ACF1F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CC33A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vAlign w:val="center"/>
          </w:tcPr>
          <w:p w14:paraId="30E7599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r>
      <w:tr w:rsidR="00457E80" w:rsidRPr="00044453" w14:paraId="5D45FE60"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63D740AD"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20</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91047"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Баку</w:t>
            </w:r>
          </w:p>
        </w:tc>
        <w:tc>
          <w:tcPr>
            <w:tcW w:w="759" w:type="dxa"/>
            <w:tcBorders>
              <w:top w:val="single" w:sz="4" w:space="0" w:color="auto"/>
              <w:left w:val="none" w:sz="4" w:space="0" w:color="000000"/>
              <w:bottom w:val="single" w:sz="4" w:space="0" w:color="auto"/>
              <w:right w:val="single" w:sz="4" w:space="0" w:color="auto"/>
            </w:tcBorders>
            <w:vAlign w:val="center"/>
          </w:tcPr>
          <w:p w14:paraId="49524F0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75AFAF1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6FDBF6F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649F439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1DA0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546A31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EAE9E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C1BAF8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D290CB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AD9469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7693D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121EF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E3A68E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1D7663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F7864C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8C0081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vAlign w:val="center"/>
          </w:tcPr>
          <w:p w14:paraId="5A03C26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r>
    </w:tbl>
    <w:p w14:paraId="613C869C" w14:textId="77777777" w:rsidR="00457E80" w:rsidRDefault="00457E80" w:rsidP="00457E80">
      <w:pPr>
        <w:spacing w:after="0" w:line="360" w:lineRule="auto"/>
        <w:contextualSpacing/>
        <w:rPr>
          <w:rFonts w:ascii="Times New Roman" w:eastAsia="Times New Roman" w:hAnsi="Times New Roman" w:cs="Times New Roman"/>
          <w:color w:val="000000"/>
          <w:sz w:val="24"/>
          <w:szCs w:val="24"/>
          <w:lang w:val="ru-RU" w:eastAsia="zh-CN" w:bidi="ar-SA"/>
        </w:rPr>
      </w:pPr>
    </w:p>
    <w:p w14:paraId="6A04F16D" w14:textId="77777777" w:rsidR="00457E80" w:rsidRDefault="00457E80" w:rsidP="00457E80">
      <w:pPr>
        <w:spacing w:after="0" w:line="360" w:lineRule="auto"/>
        <w:contextualSpacing/>
        <w:rPr>
          <w:rFonts w:ascii="Times New Roman" w:eastAsia="Times New Roman" w:hAnsi="Times New Roman" w:cs="Times New Roman"/>
          <w:color w:val="000000"/>
          <w:sz w:val="24"/>
          <w:szCs w:val="24"/>
          <w:lang w:val="ru-RU" w:eastAsia="zh-CN" w:bidi="ar-SA"/>
        </w:rPr>
      </w:pPr>
    </w:p>
    <w:tbl>
      <w:tblPr>
        <w:tblW w:w="13514" w:type="dxa"/>
        <w:tblInd w:w="-572" w:type="dxa"/>
        <w:tblLook w:val="04A0" w:firstRow="1" w:lastRow="0" w:firstColumn="1" w:lastColumn="0" w:noHBand="0" w:noVBand="1"/>
      </w:tblPr>
      <w:tblGrid>
        <w:gridCol w:w="425"/>
        <w:gridCol w:w="1125"/>
        <w:gridCol w:w="759"/>
        <w:gridCol w:w="759"/>
        <w:gridCol w:w="759"/>
        <w:gridCol w:w="759"/>
        <w:gridCol w:w="759"/>
        <w:gridCol w:w="729"/>
        <w:gridCol w:w="759"/>
        <w:gridCol w:w="729"/>
        <w:gridCol w:w="759"/>
        <w:gridCol w:w="729"/>
        <w:gridCol w:w="759"/>
        <w:gridCol w:w="729"/>
        <w:gridCol w:w="759"/>
        <w:gridCol w:w="729"/>
        <w:gridCol w:w="759"/>
        <w:gridCol w:w="729"/>
      </w:tblGrid>
      <w:tr w:rsidR="00457E80" w:rsidRPr="00044453" w14:paraId="2012983D" w14:textId="77777777" w:rsidTr="00576F59">
        <w:trPr>
          <w:trHeight w:val="600"/>
        </w:trPr>
        <w:tc>
          <w:tcPr>
            <w:tcW w:w="425" w:type="dxa"/>
            <w:tcBorders>
              <w:top w:val="single" w:sz="4" w:space="0" w:color="auto"/>
              <w:left w:val="single" w:sz="4" w:space="0" w:color="auto"/>
              <w:bottom w:val="single" w:sz="4" w:space="0" w:color="auto"/>
              <w:right w:val="single" w:sz="4" w:space="0" w:color="auto"/>
            </w:tcBorders>
          </w:tcPr>
          <w:p w14:paraId="5AAECBDF"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7ED00BB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Перечень\</w:t>
            </w:r>
          </w:p>
          <w:p w14:paraId="0E5E664B"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Выпуски рейтинга</w:t>
            </w:r>
          </w:p>
        </w:tc>
        <w:tc>
          <w:tcPr>
            <w:tcW w:w="759" w:type="dxa"/>
            <w:tcBorders>
              <w:top w:val="single" w:sz="4" w:space="0" w:color="auto"/>
              <w:left w:val="none" w:sz="4" w:space="0" w:color="000000"/>
              <w:bottom w:val="single" w:sz="4" w:space="0" w:color="auto"/>
              <w:right w:val="single" w:sz="4" w:space="0" w:color="auto"/>
            </w:tcBorders>
            <w:vAlign w:val="center"/>
          </w:tcPr>
          <w:p w14:paraId="5686F3A2"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18</w:t>
            </w:r>
          </w:p>
        </w:tc>
        <w:tc>
          <w:tcPr>
            <w:tcW w:w="759" w:type="dxa"/>
            <w:tcBorders>
              <w:top w:val="single" w:sz="4" w:space="0" w:color="auto"/>
              <w:left w:val="single" w:sz="4" w:space="0" w:color="auto"/>
              <w:bottom w:val="single" w:sz="4" w:space="0" w:color="auto"/>
              <w:right w:val="single" w:sz="4" w:space="0" w:color="auto"/>
            </w:tcBorders>
            <w:vAlign w:val="center"/>
          </w:tcPr>
          <w:p w14:paraId="123D6406"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19</w:t>
            </w:r>
          </w:p>
        </w:tc>
        <w:tc>
          <w:tcPr>
            <w:tcW w:w="759" w:type="dxa"/>
            <w:tcBorders>
              <w:top w:val="single" w:sz="4" w:space="0" w:color="auto"/>
              <w:left w:val="none" w:sz="4" w:space="0" w:color="000000"/>
              <w:bottom w:val="single" w:sz="4" w:space="0" w:color="auto"/>
              <w:right w:val="single" w:sz="4" w:space="0" w:color="auto"/>
            </w:tcBorders>
            <w:vAlign w:val="center"/>
          </w:tcPr>
          <w:p w14:paraId="5832E94F"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20</w:t>
            </w:r>
          </w:p>
        </w:tc>
        <w:tc>
          <w:tcPr>
            <w:tcW w:w="759" w:type="dxa"/>
            <w:tcBorders>
              <w:top w:val="single" w:sz="4" w:space="0" w:color="auto"/>
              <w:left w:val="single" w:sz="4" w:space="0" w:color="auto"/>
              <w:bottom w:val="single" w:sz="4" w:space="0" w:color="auto"/>
              <w:right w:val="single" w:sz="4" w:space="0" w:color="auto"/>
            </w:tcBorders>
            <w:vAlign w:val="center"/>
          </w:tcPr>
          <w:p w14:paraId="342D5F34"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21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A301F"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22</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B04F41F"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23</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8162173"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24</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0E30F7"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25</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F7934B2"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26</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7E756A7"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27</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0F3EACE"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28</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883CC22"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29</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3B1263"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30</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C3D383A"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31</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A30839"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32</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07F55FD" w14:textId="77777777" w:rsidR="00457E80" w:rsidRPr="00664644" w:rsidRDefault="00457E80" w:rsidP="00576F59">
            <w:pPr>
              <w:spacing w:after="0" w:line="360" w:lineRule="auto"/>
              <w:contextualSpacing/>
              <w:jc w:val="center"/>
              <w:rPr>
                <w:rFonts w:ascii="Times New Roman" w:eastAsia="Times New Roman" w:hAnsi="Times New Roman" w:cs="Times New Roman"/>
                <w:color w:val="000000"/>
                <w:lang w:val="ru-RU" w:eastAsia="ru-RU" w:bidi="ar-SA"/>
              </w:rPr>
            </w:pPr>
            <w:r w:rsidRPr="00664644">
              <w:rPr>
                <w:rFonts w:ascii="Times New Roman" w:eastAsia="Times New Roman" w:hAnsi="Times New Roman" w:cs="Times New Roman"/>
                <w:color w:val="000000"/>
                <w:lang w:val="ru-RU" w:eastAsia="ru-RU" w:bidi="ar-SA"/>
              </w:rPr>
              <w:t>33</w:t>
            </w:r>
          </w:p>
        </w:tc>
      </w:tr>
      <w:tr w:rsidR="00457E80" w:rsidRPr="00044453" w14:paraId="7A7C55C1" w14:textId="77777777" w:rsidTr="00576F59">
        <w:trPr>
          <w:trHeight w:val="600"/>
        </w:trPr>
        <w:tc>
          <w:tcPr>
            <w:tcW w:w="425" w:type="dxa"/>
            <w:tcBorders>
              <w:top w:val="single" w:sz="4" w:space="0" w:color="auto"/>
              <w:left w:val="single" w:sz="4" w:space="0" w:color="auto"/>
              <w:bottom w:val="single" w:sz="4" w:space="0" w:color="auto"/>
              <w:right w:val="single" w:sz="4" w:space="0" w:color="auto"/>
            </w:tcBorders>
          </w:tcPr>
          <w:p w14:paraId="04672106"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036A93E3"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Перечень\</w:t>
            </w:r>
          </w:p>
          <w:p w14:paraId="2AB8217D"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месяц и год</w:t>
            </w:r>
          </w:p>
        </w:tc>
        <w:tc>
          <w:tcPr>
            <w:tcW w:w="759" w:type="dxa"/>
            <w:tcBorders>
              <w:top w:val="single" w:sz="4" w:space="0" w:color="auto"/>
              <w:left w:val="none" w:sz="4" w:space="0" w:color="000000"/>
              <w:bottom w:val="single" w:sz="4" w:space="0" w:color="auto"/>
              <w:right w:val="single" w:sz="4" w:space="0" w:color="auto"/>
            </w:tcBorders>
            <w:vAlign w:val="center"/>
          </w:tcPr>
          <w:p w14:paraId="74E990D3"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2015, II</w:t>
            </w:r>
          </w:p>
        </w:tc>
        <w:tc>
          <w:tcPr>
            <w:tcW w:w="759" w:type="dxa"/>
            <w:tcBorders>
              <w:top w:val="single" w:sz="4" w:space="0" w:color="auto"/>
              <w:left w:val="single" w:sz="4" w:space="0" w:color="auto"/>
              <w:bottom w:val="single" w:sz="4" w:space="0" w:color="auto"/>
              <w:right w:val="single" w:sz="4" w:space="0" w:color="auto"/>
            </w:tcBorders>
            <w:vAlign w:val="center"/>
          </w:tcPr>
          <w:p w14:paraId="3F65D561"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2016, I</w:t>
            </w:r>
          </w:p>
        </w:tc>
        <w:tc>
          <w:tcPr>
            <w:tcW w:w="759" w:type="dxa"/>
            <w:tcBorders>
              <w:top w:val="single" w:sz="4" w:space="0" w:color="auto"/>
              <w:left w:val="none" w:sz="4" w:space="0" w:color="000000"/>
              <w:bottom w:val="single" w:sz="4" w:space="0" w:color="auto"/>
              <w:right w:val="single" w:sz="4" w:space="0" w:color="auto"/>
            </w:tcBorders>
            <w:vAlign w:val="center"/>
          </w:tcPr>
          <w:p w14:paraId="40B7C547"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2016, II</w:t>
            </w:r>
          </w:p>
        </w:tc>
        <w:tc>
          <w:tcPr>
            <w:tcW w:w="759" w:type="dxa"/>
            <w:tcBorders>
              <w:top w:val="single" w:sz="4" w:space="0" w:color="auto"/>
              <w:left w:val="single" w:sz="4" w:space="0" w:color="auto"/>
              <w:bottom w:val="single" w:sz="4" w:space="0" w:color="auto"/>
              <w:right w:val="single" w:sz="4" w:space="0" w:color="auto"/>
            </w:tcBorders>
            <w:vAlign w:val="center"/>
          </w:tcPr>
          <w:p w14:paraId="651802DE"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2017, I</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2E2D3"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2017, II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C34B33C"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2018, I</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CCCE4EE"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2018, II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775A1A"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2019, I</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CC8508A"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2019 II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BC6A7B5"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2020, I</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F1CA1F8"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2020, II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7E916B"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2021, I</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A9D860B"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2021, II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82C3B7A"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2022, I</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3F264E0"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2022, II</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514D000" w14:textId="77777777" w:rsidR="00457E80" w:rsidRPr="00926698" w:rsidRDefault="00457E80" w:rsidP="00576F59">
            <w:pPr>
              <w:spacing w:after="0" w:line="360" w:lineRule="auto"/>
              <w:contextualSpacing/>
              <w:jc w:val="center"/>
              <w:rPr>
                <w:rFonts w:ascii="Times New Roman" w:eastAsia="Times New Roman" w:hAnsi="Times New Roman" w:cs="Times New Roman"/>
                <w:color w:val="000000"/>
                <w:sz w:val="16"/>
                <w:szCs w:val="16"/>
                <w:lang w:val="ru-RU" w:eastAsia="ru-RU" w:bidi="ar-SA"/>
              </w:rPr>
            </w:pPr>
            <w:r w:rsidRPr="00926698">
              <w:rPr>
                <w:rFonts w:ascii="Times New Roman" w:hAnsi="Times New Roman" w:cs="Times New Roman"/>
                <w:color w:val="000000"/>
                <w:sz w:val="16"/>
                <w:szCs w:val="16"/>
              </w:rPr>
              <w:t>2023, I</w:t>
            </w:r>
          </w:p>
        </w:tc>
      </w:tr>
      <w:tr w:rsidR="00457E80" w:rsidRPr="00044453" w14:paraId="3C7ED3C0"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0EF2D171"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4598723"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топа</w:t>
            </w:r>
          </w:p>
        </w:tc>
        <w:tc>
          <w:tcPr>
            <w:tcW w:w="759" w:type="dxa"/>
            <w:tcBorders>
              <w:top w:val="single" w:sz="4" w:space="0" w:color="auto"/>
              <w:left w:val="none" w:sz="4" w:space="0" w:color="000000"/>
              <w:bottom w:val="single" w:sz="4" w:space="0" w:color="auto"/>
              <w:right w:val="single" w:sz="4" w:space="0" w:color="auto"/>
            </w:tcBorders>
            <w:vAlign w:val="center"/>
          </w:tcPr>
          <w:p w14:paraId="49A20E33"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796</w:t>
            </w:r>
          </w:p>
        </w:tc>
        <w:tc>
          <w:tcPr>
            <w:tcW w:w="759" w:type="dxa"/>
            <w:tcBorders>
              <w:top w:val="single" w:sz="4" w:space="0" w:color="auto"/>
              <w:left w:val="single" w:sz="4" w:space="0" w:color="auto"/>
              <w:bottom w:val="single" w:sz="4" w:space="0" w:color="auto"/>
              <w:right w:val="single" w:sz="4" w:space="0" w:color="auto"/>
            </w:tcBorders>
            <w:vAlign w:val="center"/>
          </w:tcPr>
          <w:p w14:paraId="6907951D"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800</w:t>
            </w:r>
          </w:p>
        </w:tc>
        <w:tc>
          <w:tcPr>
            <w:tcW w:w="759" w:type="dxa"/>
            <w:tcBorders>
              <w:top w:val="single" w:sz="4" w:space="0" w:color="auto"/>
              <w:left w:val="none" w:sz="4" w:space="0" w:color="000000"/>
              <w:bottom w:val="single" w:sz="4" w:space="0" w:color="auto"/>
              <w:right w:val="single" w:sz="4" w:space="0" w:color="auto"/>
            </w:tcBorders>
            <w:vAlign w:val="center"/>
          </w:tcPr>
          <w:p w14:paraId="62F06A86"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795</w:t>
            </w:r>
          </w:p>
        </w:tc>
        <w:tc>
          <w:tcPr>
            <w:tcW w:w="759" w:type="dxa"/>
            <w:tcBorders>
              <w:top w:val="single" w:sz="4" w:space="0" w:color="auto"/>
              <w:left w:val="single" w:sz="4" w:space="0" w:color="auto"/>
              <w:bottom w:val="single" w:sz="4" w:space="0" w:color="auto"/>
              <w:right w:val="single" w:sz="4" w:space="0" w:color="auto"/>
            </w:tcBorders>
            <w:vAlign w:val="center"/>
          </w:tcPr>
          <w:p w14:paraId="3C339396"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782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1B377"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780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3EAB21"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794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37F518"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788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C266F8"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794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F51C58"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790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4D5D85"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769</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099367"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770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68B952"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764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9A75FF"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762</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ADB789"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759</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67055E"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760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45D811" w14:textId="77777777" w:rsidR="00457E80" w:rsidRPr="00F5756A"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F5756A">
              <w:rPr>
                <w:rFonts w:ascii="Times New Roman" w:hAnsi="Times New Roman" w:cs="Times New Roman"/>
                <w:color w:val="000000"/>
                <w:sz w:val="20"/>
                <w:szCs w:val="20"/>
              </w:rPr>
              <w:t>760</w:t>
            </w:r>
          </w:p>
        </w:tc>
      </w:tr>
      <w:tr w:rsidR="00457E80" w:rsidRPr="00044453" w14:paraId="1C75841F"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688E42D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34A726FF"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r>
              <w:rPr>
                <w:rFonts w:ascii="Times New Roman" w:eastAsia="Times New Roman" w:hAnsi="Times New Roman" w:cs="Times New Roman"/>
                <w:color w:val="000000"/>
                <w:sz w:val="18"/>
                <w:szCs w:val="18"/>
                <w:lang w:val="ru-RU" w:eastAsia="ru-RU" w:bidi="ar-SA"/>
              </w:rPr>
              <w:t>Москвы</w:t>
            </w:r>
          </w:p>
        </w:tc>
        <w:tc>
          <w:tcPr>
            <w:tcW w:w="759" w:type="dxa"/>
            <w:tcBorders>
              <w:top w:val="single" w:sz="4" w:space="0" w:color="auto"/>
              <w:left w:val="none" w:sz="4" w:space="0" w:color="000000"/>
              <w:bottom w:val="single" w:sz="4" w:space="0" w:color="auto"/>
              <w:right w:val="single" w:sz="4" w:space="0" w:color="auto"/>
            </w:tcBorders>
            <w:vAlign w:val="center"/>
          </w:tcPr>
          <w:p w14:paraId="0B8FC5E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598</w:t>
            </w:r>
          </w:p>
        </w:tc>
        <w:tc>
          <w:tcPr>
            <w:tcW w:w="759" w:type="dxa"/>
            <w:tcBorders>
              <w:top w:val="single" w:sz="4" w:space="0" w:color="auto"/>
              <w:left w:val="single" w:sz="4" w:space="0" w:color="auto"/>
              <w:bottom w:val="single" w:sz="4" w:space="0" w:color="auto"/>
              <w:right w:val="single" w:sz="4" w:space="0" w:color="auto"/>
            </w:tcBorders>
            <w:vAlign w:val="center"/>
          </w:tcPr>
          <w:p w14:paraId="25A7EA6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611</w:t>
            </w:r>
          </w:p>
        </w:tc>
        <w:tc>
          <w:tcPr>
            <w:tcW w:w="759" w:type="dxa"/>
            <w:tcBorders>
              <w:top w:val="single" w:sz="4" w:space="0" w:color="auto"/>
              <w:left w:val="none" w:sz="4" w:space="0" w:color="000000"/>
              <w:bottom w:val="single" w:sz="4" w:space="0" w:color="auto"/>
              <w:right w:val="single" w:sz="4" w:space="0" w:color="auto"/>
            </w:tcBorders>
            <w:vAlign w:val="center"/>
          </w:tcPr>
          <w:p w14:paraId="35D8A08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568</w:t>
            </w:r>
          </w:p>
        </w:tc>
        <w:tc>
          <w:tcPr>
            <w:tcW w:w="759" w:type="dxa"/>
            <w:tcBorders>
              <w:top w:val="single" w:sz="4" w:space="0" w:color="auto"/>
              <w:left w:val="single" w:sz="4" w:space="0" w:color="auto"/>
              <w:bottom w:val="single" w:sz="4" w:space="0" w:color="auto"/>
              <w:right w:val="single" w:sz="4" w:space="0" w:color="auto"/>
            </w:tcBorders>
            <w:vAlign w:val="center"/>
          </w:tcPr>
          <w:p w14:paraId="5293217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566</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8154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D4CAA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555</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6EAFA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571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55446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582</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B2D053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2F0AB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BAFD9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9FBEB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615</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64F83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638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92CEC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13E47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614</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2F7A5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605</w:t>
            </w:r>
          </w:p>
        </w:tc>
      </w:tr>
      <w:tr w:rsidR="00457E80" w:rsidRPr="00044453" w14:paraId="591FCE95"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635A604B"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2</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D2CFE95"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r>
              <w:rPr>
                <w:rFonts w:ascii="Times New Roman" w:eastAsia="Times New Roman" w:hAnsi="Times New Roman" w:cs="Times New Roman"/>
                <w:color w:val="000000"/>
                <w:sz w:val="18"/>
                <w:szCs w:val="18"/>
                <w:lang w:val="ru-RU" w:eastAsia="ru-RU" w:bidi="ar-SA"/>
              </w:rPr>
              <w:t>Санкт-Петербурга</w:t>
            </w:r>
          </w:p>
        </w:tc>
        <w:tc>
          <w:tcPr>
            <w:tcW w:w="759" w:type="dxa"/>
            <w:tcBorders>
              <w:top w:val="single" w:sz="4" w:space="0" w:color="auto"/>
              <w:left w:val="none" w:sz="4" w:space="0" w:color="000000"/>
              <w:bottom w:val="single" w:sz="4" w:space="0" w:color="auto"/>
              <w:right w:val="single" w:sz="4" w:space="0" w:color="auto"/>
            </w:tcBorders>
            <w:vAlign w:val="center"/>
          </w:tcPr>
          <w:p w14:paraId="622F4BB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552</w:t>
            </w:r>
          </w:p>
        </w:tc>
        <w:tc>
          <w:tcPr>
            <w:tcW w:w="759" w:type="dxa"/>
            <w:tcBorders>
              <w:top w:val="single" w:sz="4" w:space="0" w:color="auto"/>
              <w:left w:val="single" w:sz="4" w:space="0" w:color="auto"/>
              <w:bottom w:val="single" w:sz="4" w:space="0" w:color="auto"/>
              <w:right w:val="single" w:sz="4" w:space="0" w:color="auto"/>
            </w:tcBorders>
            <w:vAlign w:val="center"/>
          </w:tcPr>
          <w:p w14:paraId="4B79283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585</w:t>
            </w:r>
          </w:p>
        </w:tc>
        <w:tc>
          <w:tcPr>
            <w:tcW w:w="759" w:type="dxa"/>
            <w:tcBorders>
              <w:top w:val="single" w:sz="4" w:space="0" w:color="auto"/>
              <w:left w:val="none" w:sz="4" w:space="0" w:color="000000"/>
              <w:bottom w:val="single" w:sz="4" w:space="0" w:color="auto"/>
              <w:right w:val="single" w:sz="4" w:space="0" w:color="auto"/>
            </w:tcBorders>
            <w:vAlign w:val="center"/>
          </w:tcPr>
          <w:p w14:paraId="0208935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567</w:t>
            </w:r>
          </w:p>
        </w:tc>
        <w:tc>
          <w:tcPr>
            <w:tcW w:w="759" w:type="dxa"/>
            <w:tcBorders>
              <w:top w:val="single" w:sz="4" w:space="0" w:color="auto"/>
              <w:left w:val="single" w:sz="4" w:space="0" w:color="auto"/>
              <w:bottom w:val="single" w:sz="4" w:space="0" w:color="auto"/>
              <w:right w:val="single" w:sz="4" w:space="0" w:color="auto"/>
            </w:tcBorders>
            <w:vAlign w:val="center"/>
          </w:tcPr>
          <w:p w14:paraId="1E08029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6FF0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603</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822FD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531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7240D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575</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B2D797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9A183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602</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9F8FC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613</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85ACB8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523</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3F1A3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574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5DE7D5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502</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7B2AB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549</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22FD4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565</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5B999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563</w:t>
            </w:r>
          </w:p>
        </w:tc>
      </w:tr>
      <w:tr w:rsidR="00457E80" w:rsidRPr="00044453" w14:paraId="440A7FEC"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344501B9"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3</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565FD6A5"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p>
          <w:p w14:paraId="35BA59E0"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Гонконг</w:t>
            </w:r>
          </w:p>
        </w:tc>
        <w:tc>
          <w:tcPr>
            <w:tcW w:w="759" w:type="dxa"/>
            <w:tcBorders>
              <w:top w:val="single" w:sz="4" w:space="0" w:color="auto"/>
              <w:left w:val="none" w:sz="4" w:space="0" w:color="000000"/>
              <w:bottom w:val="single" w:sz="4" w:space="0" w:color="auto"/>
              <w:right w:val="single" w:sz="4" w:space="0" w:color="auto"/>
            </w:tcBorders>
            <w:vAlign w:val="center"/>
          </w:tcPr>
          <w:p w14:paraId="4916A95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755</w:t>
            </w:r>
          </w:p>
        </w:tc>
        <w:tc>
          <w:tcPr>
            <w:tcW w:w="759" w:type="dxa"/>
            <w:tcBorders>
              <w:top w:val="single" w:sz="4" w:space="0" w:color="auto"/>
              <w:left w:val="single" w:sz="4" w:space="0" w:color="auto"/>
              <w:bottom w:val="single" w:sz="4" w:space="0" w:color="auto"/>
              <w:right w:val="single" w:sz="4" w:space="0" w:color="auto"/>
            </w:tcBorders>
            <w:vAlign w:val="center"/>
          </w:tcPr>
          <w:p w14:paraId="056C171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753</w:t>
            </w:r>
          </w:p>
        </w:tc>
        <w:tc>
          <w:tcPr>
            <w:tcW w:w="759" w:type="dxa"/>
            <w:tcBorders>
              <w:top w:val="single" w:sz="4" w:space="0" w:color="auto"/>
              <w:left w:val="none" w:sz="4" w:space="0" w:color="000000"/>
              <w:bottom w:val="single" w:sz="4" w:space="0" w:color="auto"/>
              <w:right w:val="single" w:sz="4" w:space="0" w:color="auto"/>
            </w:tcBorders>
            <w:vAlign w:val="center"/>
          </w:tcPr>
          <w:p w14:paraId="1EBEEA6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748</w:t>
            </w:r>
          </w:p>
        </w:tc>
        <w:tc>
          <w:tcPr>
            <w:tcW w:w="759" w:type="dxa"/>
            <w:tcBorders>
              <w:top w:val="single" w:sz="4" w:space="0" w:color="auto"/>
              <w:left w:val="single" w:sz="4" w:space="0" w:color="auto"/>
              <w:bottom w:val="single" w:sz="4" w:space="0" w:color="auto"/>
              <w:right w:val="single" w:sz="4" w:space="0" w:color="auto"/>
            </w:tcBorders>
            <w:vAlign w:val="center"/>
          </w:tcPr>
          <w:p w14:paraId="1D3366D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CC50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744</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20957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781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8128E8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783</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F1E55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783</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F946A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771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2193A8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737</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E74B8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743</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0491E8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2532D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716</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1CC12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715</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2B5EA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725</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DAB97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722</w:t>
            </w:r>
          </w:p>
        </w:tc>
      </w:tr>
      <w:tr w:rsidR="00457E80" w:rsidRPr="00044453" w14:paraId="170AC3C6"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61DA4B36"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4</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0E84459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p>
          <w:p w14:paraId="036E65B6"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Сингапур</w:t>
            </w:r>
          </w:p>
        </w:tc>
        <w:tc>
          <w:tcPr>
            <w:tcW w:w="759" w:type="dxa"/>
            <w:tcBorders>
              <w:top w:val="single" w:sz="4" w:space="0" w:color="auto"/>
              <w:left w:val="none" w:sz="4" w:space="0" w:color="000000"/>
              <w:bottom w:val="single" w:sz="4" w:space="0" w:color="auto"/>
              <w:right w:val="single" w:sz="4" w:space="0" w:color="auto"/>
            </w:tcBorders>
            <w:vAlign w:val="center"/>
          </w:tcPr>
          <w:p w14:paraId="3D409EE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750</w:t>
            </w:r>
          </w:p>
        </w:tc>
        <w:tc>
          <w:tcPr>
            <w:tcW w:w="759" w:type="dxa"/>
            <w:tcBorders>
              <w:top w:val="single" w:sz="4" w:space="0" w:color="auto"/>
              <w:left w:val="single" w:sz="4" w:space="0" w:color="auto"/>
              <w:bottom w:val="single" w:sz="4" w:space="0" w:color="auto"/>
              <w:right w:val="single" w:sz="4" w:space="0" w:color="auto"/>
            </w:tcBorders>
            <w:vAlign w:val="center"/>
          </w:tcPr>
          <w:p w14:paraId="731CEF1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755</w:t>
            </w:r>
          </w:p>
        </w:tc>
        <w:tc>
          <w:tcPr>
            <w:tcW w:w="759" w:type="dxa"/>
            <w:tcBorders>
              <w:top w:val="single" w:sz="4" w:space="0" w:color="auto"/>
              <w:left w:val="none" w:sz="4" w:space="0" w:color="000000"/>
              <w:bottom w:val="single" w:sz="4" w:space="0" w:color="auto"/>
              <w:right w:val="single" w:sz="4" w:space="0" w:color="auto"/>
            </w:tcBorders>
            <w:vAlign w:val="center"/>
          </w:tcPr>
          <w:p w14:paraId="380C2F4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752</w:t>
            </w:r>
          </w:p>
        </w:tc>
        <w:tc>
          <w:tcPr>
            <w:tcW w:w="759" w:type="dxa"/>
            <w:tcBorders>
              <w:top w:val="single" w:sz="4" w:space="0" w:color="auto"/>
              <w:left w:val="single" w:sz="4" w:space="0" w:color="auto"/>
              <w:bottom w:val="single" w:sz="4" w:space="0" w:color="auto"/>
              <w:right w:val="single" w:sz="4" w:space="0" w:color="auto"/>
            </w:tcBorders>
            <w:vAlign w:val="center"/>
          </w:tcPr>
          <w:p w14:paraId="467E710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760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25F1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742</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AC7283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765</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5E694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769</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F96B2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772</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891D24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762</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3DA0D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738</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508C9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742</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2F061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740</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09ED9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715</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EC5AA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5F67C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726</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1C26D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723</w:t>
            </w:r>
          </w:p>
        </w:tc>
      </w:tr>
      <w:tr w:rsidR="00457E80" w:rsidRPr="00044453" w14:paraId="3E4EB552"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1305493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5</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4CD684FE"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p>
          <w:p w14:paraId="5CB8DF16" w14:textId="77777777" w:rsidR="00457E80" w:rsidRPr="00044453" w:rsidRDefault="00457E80" w:rsidP="00576F59">
            <w:pPr>
              <w:spacing w:after="0" w:line="360" w:lineRule="auto"/>
              <w:ind w:right="183"/>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Тайбэй</w:t>
            </w:r>
          </w:p>
        </w:tc>
        <w:tc>
          <w:tcPr>
            <w:tcW w:w="759" w:type="dxa"/>
            <w:tcBorders>
              <w:top w:val="single" w:sz="4" w:space="0" w:color="auto"/>
              <w:left w:val="none" w:sz="4" w:space="0" w:color="000000"/>
              <w:bottom w:val="single" w:sz="4" w:space="0" w:color="auto"/>
              <w:right w:val="single" w:sz="4" w:space="0" w:color="auto"/>
            </w:tcBorders>
            <w:vAlign w:val="center"/>
          </w:tcPr>
          <w:p w14:paraId="3B532E8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686</w:t>
            </w:r>
          </w:p>
        </w:tc>
        <w:tc>
          <w:tcPr>
            <w:tcW w:w="759" w:type="dxa"/>
            <w:tcBorders>
              <w:top w:val="single" w:sz="4" w:space="0" w:color="auto"/>
              <w:left w:val="single" w:sz="4" w:space="0" w:color="auto"/>
              <w:bottom w:val="single" w:sz="4" w:space="0" w:color="auto"/>
              <w:right w:val="single" w:sz="4" w:space="0" w:color="auto"/>
            </w:tcBorders>
            <w:vAlign w:val="center"/>
          </w:tcPr>
          <w:p w14:paraId="012CBB3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677</w:t>
            </w:r>
          </w:p>
        </w:tc>
        <w:tc>
          <w:tcPr>
            <w:tcW w:w="759" w:type="dxa"/>
            <w:tcBorders>
              <w:top w:val="single" w:sz="4" w:space="0" w:color="auto"/>
              <w:left w:val="none" w:sz="4" w:space="0" w:color="000000"/>
              <w:bottom w:val="single" w:sz="4" w:space="0" w:color="auto"/>
              <w:right w:val="single" w:sz="4" w:space="0" w:color="auto"/>
            </w:tcBorders>
            <w:vAlign w:val="center"/>
          </w:tcPr>
          <w:p w14:paraId="2C174CC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692</w:t>
            </w:r>
          </w:p>
        </w:tc>
        <w:tc>
          <w:tcPr>
            <w:tcW w:w="759" w:type="dxa"/>
            <w:tcBorders>
              <w:top w:val="single" w:sz="4" w:space="0" w:color="auto"/>
              <w:left w:val="single" w:sz="4" w:space="0" w:color="auto"/>
              <w:bottom w:val="single" w:sz="4" w:space="0" w:color="auto"/>
              <w:right w:val="single" w:sz="4" w:space="0" w:color="auto"/>
            </w:tcBorders>
            <w:vAlign w:val="center"/>
          </w:tcPr>
          <w:p w14:paraId="14EA3F2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6532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677</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30473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673</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299F0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C71F1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676</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00BB1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687</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16B72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640</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7C28E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662</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3B184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668</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1FA2F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604</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BB3CD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605</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19C18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673</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322EF9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629</w:t>
            </w:r>
          </w:p>
        </w:tc>
      </w:tr>
      <w:tr w:rsidR="00457E80" w:rsidRPr="00044453" w14:paraId="0C21DC84"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6C8EE47A"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6</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40E0066B"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Пекин</w:t>
            </w:r>
          </w:p>
        </w:tc>
        <w:tc>
          <w:tcPr>
            <w:tcW w:w="759" w:type="dxa"/>
            <w:tcBorders>
              <w:top w:val="single" w:sz="4" w:space="0" w:color="auto"/>
              <w:left w:val="none" w:sz="4" w:space="0" w:color="000000"/>
              <w:bottom w:val="single" w:sz="4" w:space="0" w:color="auto"/>
              <w:right w:val="single" w:sz="4" w:space="0" w:color="auto"/>
            </w:tcBorders>
            <w:vAlign w:val="center"/>
          </w:tcPr>
          <w:p w14:paraId="6D63188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676</w:t>
            </w:r>
          </w:p>
        </w:tc>
        <w:tc>
          <w:tcPr>
            <w:tcW w:w="759" w:type="dxa"/>
            <w:tcBorders>
              <w:top w:val="single" w:sz="4" w:space="0" w:color="auto"/>
              <w:left w:val="single" w:sz="4" w:space="0" w:color="auto"/>
              <w:bottom w:val="single" w:sz="4" w:space="0" w:color="auto"/>
              <w:right w:val="single" w:sz="4" w:space="0" w:color="auto"/>
            </w:tcBorders>
            <w:vAlign w:val="center"/>
          </w:tcPr>
          <w:p w14:paraId="0DAFDA5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682</w:t>
            </w:r>
          </w:p>
        </w:tc>
        <w:tc>
          <w:tcPr>
            <w:tcW w:w="759" w:type="dxa"/>
            <w:tcBorders>
              <w:top w:val="single" w:sz="4" w:space="0" w:color="auto"/>
              <w:left w:val="none" w:sz="4" w:space="0" w:color="000000"/>
              <w:bottom w:val="single" w:sz="4" w:space="0" w:color="auto"/>
              <w:right w:val="single" w:sz="4" w:space="0" w:color="auto"/>
            </w:tcBorders>
            <w:vAlign w:val="center"/>
          </w:tcPr>
          <w:p w14:paraId="2E580E8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683</w:t>
            </w:r>
          </w:p>
        </w:tc>
        <w:tc>
          <w:tcPr>
            <w:tcW w:w="759" w:type="dxa"/>
            <w:tcBorders>
              <w:top w:val="single" w:sz="4" w:space="0" w:color="auto"/>
              <w:left w:val="single" w:sz="4" w:space="0" w:color="auto"/>
              <w:bottom w:val="single" w:sz="4" w:space="0" w:color="auto"/>
              <w:right w:val="single" w:sz="4" w:space="0" w:color="auto"/>
            </w:tcBorders>
            <w:vAlign w:val="center"/>
          </w:tcPr>
          <w:p w14:paraId="033313F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27F7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703</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2FE42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515FD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733</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D5F47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738</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0FAE9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AA271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AA220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E73DE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737</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3DBF7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3E6690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710</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5831F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81DDA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711</w:t>
            </w:r>
          </w:p>
        </w:tc>
      </w:tr>
      <w:tr w:rsidR="00457E80" w:rsidRPr="00044453" w14:paraId="79112563"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0A155CF1"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7</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709B4ABC"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p>
          <w:p w14:paraId="108F0F8D"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lastRenderedPageBreak/>
              <w:t>Шэньчжэнь</w:t>
            </w:r>
          </w:p>
        </w:tc>
        <w:tc>
          <w:tcPr>
            <w:tcW w:w="759" w:type="dxa"/>
            <w:tcBorders>
              <w:top w:val="single" w:sz="4" w:space="0" w:color="auto"/>
              <w:left w:val="none" w:sz="4" w:space="0" w:color="000000"/>
              <w:bottom w:val="single" w:sz="4" w:space="0" w:color="auto"/>
              <w:right w:val="single" w:sz="4" w:space="0" w:color="auto"/>
            </w:tcBorders>
            <w:vAlign w:val="center"/>
          </w:tcPr>
          <w:p w14:paraId="5B54546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lastRenderedPageBreak/>
              <w:t>698</w:t>
            </w:r>
          </w:p>
        </w:tc>
        <w:tc>
          <w:tcPr>
            <w:tcW w:w="759" w:type="dxa"/>
            <w:tcBorders>
              <w:top w:val="single" w:sz="4" w:space="0" w:color="auto"/>
              <w:left w:val="single" w:sz="4" w:space="0" w:color="auto"/>
              <w:bottom w:val="single" w:sz="4" w:space="0" w:color="auto"/>
              <w:right w:val="single" w:sz="4" w:space="0" w:color="auto"/>
            </w:tcBorders>
            <w:vAlign w:val="center"/>
          </w:tcPr>
          <w:p w14:paraId="4D3819B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693</w:t>
            </w:r>
          </w:p>
        </w:tc>
        <w:tc>
          <w:tcPr>
            <w:tcW w:w="759" w:type="dxa"/>
            <w:tcBorders>
              <w:top w:val="single" w:sz="4" w:space="0" w:color="auto"/>
              <w:left w:val="none" w:sz="4" w:space="0" w:color="000000"/>
              <w:bottom w:val="single" w:sz="4" w:space="0" w:color="auto"/>
              <w:right w:val="single" w:sz="4" w:space="0" w:color="auto"/>
            </w:tcBorders>
            <w:vAlign w:val="center"/>
          </w:tcPr>
          <w:p w14:paraId="7C3F50D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700</w:t>
            </w:r>
          </w:p>
        </w:tc>
        <w:tc>
          <w:tcPr>
            <w:tcW w:w="759" w:type="dxa"/>
            <w:tcBorders>
              <w:top w:val="single" w:sz="4" w:space="0" w:color="auto"/>
              <w:left w:val="single" w:sz="4" w:space="0" w:color="auto"/>
              <w:bottom w:val="single" w:sz="4" w:space="0" w:color="auto"/>
              <w:right w:val="single" w:sz="4" w:space="0" w:color="auto"/>
            </w:tcBorders>
            <w:vAlign w:val="center"/>
          </w:tcPr>
          <w:p w14:paraId="240CBC9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715</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AE1B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A1F78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A2E6C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766</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7BC16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770</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B82C5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761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78AEDB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740</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7CE379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D38230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742</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A3B43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713</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451CB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707</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6C3D1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6FE78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712</w:t>
            </w:r>
          </w:p>
        </w:tc>
      </w:tr>
      <w:tr w:rsidR="00457E80" w:rsidRPr="00044453" w14:paraId="1B574A7A"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21D44BF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8</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6873061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Шанхай</w:t>
            </w:r>
          </w:p>
        </w:tc>
        <w:tc>
          <w:tcPr>
            <w:tcW w:w="759" w:type="dxa"/>
            <w:tcBorders>
              <w:top w:val="single" w:sz="4" w:space="0" w:color="auto"/>
              <w:left w:val="none" w:sz="4" w:space="0" w:color="000000"/>
              <w:bottom w:val="single" w:sz="4" w:space="0" w:color="auto"/>
              <w:right w:val="single" w:sz="4" w:space="0" w:color="auto"/>
            </w:tcBorders>
            <w:vAlign w:val="center"/>
          </w:tcPr>
          <w:p w14:paraId="1FBD858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694</w:t>
            </w:r>
          </w:p>
        </w:tc>
        <w:tc>
          <w:tcPr>
            <w:tcW w:w="759" w:type="dxa"/>
            <w:tcBorders>
              <w:top w:val="single" w:sz="4" w:space="0" w:color="auto"/>
              <w:left w:val="single" w:sz="4" w:space="0" w:color="auto"/>
              <w:bottom w:val="single" w:sz="4" w:space="0" w:color="auto"/>
              <w:right w:val="single" w:sz="4" w:space="0" w:color="auto"/>
            </w:tcBorders>
            <w:vAlign w:val="center"/>
          </w:tcPr>
          <w:p w14:paraId="44B7AE4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688</w:t>
            </w:r>
          </w:p>
        </w:tc>
        <w:tc>
          <w:tcPr>
            <w:tcW w:w="759" w:type="dxa"/>
            <w:tcBorders>
              <w:top w:val="single" w:sz="4" w:space="0" w:color="auto"/>
              <w:left w:val="none" w:sz="4" w:space="0" w:color="000000"/>
              <w:bottom w:val="single" w:sz="4" w:space="0" w:color="auto"/>
              <w:right w:val="single" w:sz="4" w:space="0" w:color="auto"/>
            </w:tcBorders>
            <w:vAlign w:val="center"/>
          </w:tcPr>
          <w:p w14:paraId="55A6DD9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691</w:t>
            </w:r>
          </w:p>
        </w:tc>
        <w:tc>
          <w:tcPr>
            <w:tcW w:w="759" w:type="dxa"/>
            <w:tcBorders>
              <w:top w:val="single" w:sz="4" w:space="0" w:color="auto"/>
              <w:left w:val="single" w:sz="4" w:space="0" w:color="auto"/>
              <w:bottom w:val="single" w:sz="4" w:space="0" w:color="auto"/>
              <w:right w:val="single" w:sz="4" w:space="0" w:color="auto"/>
            </w:tcBorders>
            <w:vAlign w:val="center"/>
          </w:tcPr>
          <w:p w14:paraId="7D90FD3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701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E383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D0445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710</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D9AE3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726</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FC74A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730</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14F9C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739</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BDF99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722</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1DE51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732</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DEA49C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731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01DD18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699</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FD022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47D27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723</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62836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717</w:t>
            </w:r>
          </w:p>
        </w:tc>
      </w:tr>
      <w:tr w:rsidR="00457E80" w:rsidRPr="00044453" w14:paraId="1BE87CD0"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7ED0F82B"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9</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31CD7F42"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Далянь</w:t>
            </w:r>
          </w:p>
        </w:tc>
        <w:tc>
          <w:tcPr>
            <w:tcW w:w="759" w:type="dxa"/>
            <w:tcBorders>
              <w:top w:val="single" w:sz="4" w:space="0" w:color="auto"/>
              <w:left w:val="none" w:sz="4" w:space="0" w:color="000000"/>
              <w:bottom w:val="single" w:sz="4" w:space="0" w:color="auto"/>
              <w:right w:val="single" w:sz="4" w:space="0" w:color="auto"/>
            </w:tcBorders>
            <w:vAlign w:val="center"/>
          </w:tcPr>
          <w:p w14:paraId="3397E7B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660</w:t>
            </w:r>
          </w:p>
        </w:tc>
        <w:tc>
          <w:tcPr>
            <w:tcW w:w="759" w:type="dxa"/>
            <w:tcBorders>
              <w:top w:val="single" w:sz="4" w:space="0" w:color="auto"/>
              <w:left w:val="single" w:sz="4" w:space="0" w:color="auto"/>
              <w:bottom w:val="single" w:sz="4" w:space="0" w:color="auto"/>
              <w:right w:val="single" w:sz="4" w:space="0" w:color="auto"/>
            </w:tcBorders>
            <w:vAlign w:val="center"/>
          </w:tcPr>
          <w:p w14:paraId="65A0F7B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668</w:t>
            </w:r>
          </w:p>
        </w:tc>
        <w:tc>
          <w:tcPr>
            <w:tcW w:w="759" w:type="dxa"/>
            <w:tcBorders>
              <w:top w:val="single" w:sz="4" w:space="0" w:color="auto"/>
              <w:left w:val="none" w:sz="4" w:space="0" w:color="000000"/>
              <w:bottom w:val="single" w:sz="4" w:space="0" w:color="auto"/>
              <w:right w:val="single" w:sz="4" w:space="0" w:color="auto"/>
            </w:tcBorders>
            <w:vAlign w:val="center"/>
          </w:tcPr>
          <w:p w14:paraId="6B4B6BE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629</w:t>
            </w:r>
          </w:p>
        </w:tc>
        <w:tc>
          <w:tcPr>
            <w:tcW w:w="759" w:type="dxa"/>
            <w:tcBorders>
              <w:top w:val="single" w:sz="4" w:space="0" w:color="auto"/>
              <w:left w:val="single" w:sz="4" w:space="0" w:color="auto"/>
              <w:bottom w:val="single" w:sz="4" w:space="0" w:color="auto"/>
              <w:right w:val="single" w:sz="4" w:space="0" w:color="auto"/>
            </w:tcBorders>
            <w:vAlign w:val="center"/>
          </w:tcPr>
          <w:p w14:paraId="4777BA5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597</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4564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595</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DE9DE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501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5BDAD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499</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E8427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520</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F4B154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529</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7BAE7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607</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9E0E02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455</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302FDB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491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4CD653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470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6B1179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552</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E20A0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607</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4A7FED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620</w:t>
            </w:r>
          </w:p>
        </w:tc>
      </w:tr>
      <w:tr w:rsidR="00457E80" w:rsidRPr="00044453" w14:paraId="756883B4"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4108F0F5"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10</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0F10C61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Циндао</w:t>
            </w:r>
          </w:p>
        </w:tc>
        <w:tc>
          <w:tcPr>
            <w:tcW w:w="759" w:type="dxa"/>
            <w:tcBorders>
              <w:top w:val="single" w:sz="4" w:space="0" w:color="auto"/>
              <w:left w:val="none" w:sz="4" w:space="0" w:color="000000"/>
              <w:bottom w:val="single" w:sz="4" w:space="0" w:color="auto"/>
              <w:right w:val="single" w:sz="4" w:space="0" w:color="auto"/>
            </w:tcBorders>
            <w:vAlign w:val="center"/>
          </w:tcPr>
          <w:p w14:paraId="118C271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48C462D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594</w:t>
            </w:r>
          </w:p>
        </w:tc>
        <w:tc>
          <w:tcPr>
            <w:tcW w:w="759" w:type="dxa"/>
            <w:tcBorders>
              <w:top w:val="single" w:sz="4" w:space="0" w:color="auto"/>
              <w:left w:val="none" w:sz="4" w:space="0" w:color="000000"/>
              <w:bottom w:val="single" w:sz="4" w:space="0" w:color="auto"/>
              <w:right w:val="single" w:sz="4" w:space="0" w:color="auto"/>
            </w:tcBorders>
            <w:vAlign w:val="center"/>
          </w:tcPr>
          <w:p w14:paraId="310FAE0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631</w:t>
            </w:r>
          </w:p>
        </w:tc>
        <w:tc>
          <w:tcPr>
            <w:tcW w:w="759" w:type="dxa"/>
            <w:tcBorders>
              <w:top w:val="single" w:sz="4" w:space="0" w:color="auto"/>
              <w:left w:val="single" w:sz="4" w:space="0" w:color="auto"/>
              <w:bottom w:val="single" w:sz="4" w:space="0" w:color="auto"/>
              <w:right w:val="single" w:sz="4" w:space="0" w:color="auto"/>
            </w:tcBorders>
            <w:vAlign w:val="center"/>
          </w:tcPr>
          <w:p w14:paraId="41938AD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3686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649</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09E82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662</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1BEFB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679</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C9221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2EA76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1D9C1D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610</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9EEF6C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654</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7E12A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665</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29F3D4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FEC31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663</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8FB57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693</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5310A6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688</w:t>
            </w:r>
          </w:p>
        </w:tc>
      </w:tr>
      <w:tr w:rsidR="00457E80" w:rsidRPr="00044453" w14:paraId="0A619475"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45918774"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11</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7B0638BD"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 xml:space="preserve">Баллы </w:t>
            </w:r>
            <w:r>
              <w:rPr>
                <w:rFonts w:ascii="Times New Roman" w:eastAsia="Times New Roman" w:hAnsi="Times New Roman" w:cs="Times New Roman"/>
                <w:color w:val="000000"/>
                <w:sz w:val="18"/>
                <w:szCs w:val="18"/>
                <w:lang w:val="ru-RU" w:eastAsia="ru-RU" w:bidi="ar-SA"/>
              </w:rPr>
              <w:t>Гуанчжоу</w:t>
            </w:r>
          </w:p>
        </w:tc>
        <w:tc>
          <w:tcPr>
            <w:tcW w:w="759" w:type="dxa"/>
            <w:tcBorders>
              <w:top w:val="single" w:sz="4" w:space="0" w:color="auto"/>
              <w:left w:val="none" w:sz="4" w:space="0" w:color="000000"/>
              <w:bottom w:val="single" w:sz="4" w:space="0" w:color="auto"/>
              <w:right w:val="single" w:sz="4" w:space="0" w:color="auto"/>
            </w:tcBorders>
            <w:vAlign w:val="center"/>
          </w:tcPr>
          <w:p w14:paraId="38BBB56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142BFFB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76FE2FF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1083668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650</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0573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1F294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678</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7F877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708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7DF2E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708</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DC1A4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E8DC8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60EC8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710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25DD2F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706</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72960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677</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AF398D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3C20D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704</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C4A7A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690</w:t>
            </w:r>
          </w:p>
        </w:tc>
      </w:tr>
      <w:tr w:rsidR="00457E80" w:rsidRPr="00044453" w14:paraId="2686B52F"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5C89029A"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0F35AD55"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Перечень\</w:t>
            </w:r>
          </w:p>
          <w:p w14:paraId="19475220"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Выпуски рейтинга</w:t>
            </w:r>
          </w:p>
        </w:tc>
        <w:tc>
          <w:tcPr>
            <w:tcW w:w="759" w:type="dxa"/>
            <w:tcBorders>
              <w:top w:val="single" w:sz="4" w:space="0" w:color="auto"/>
              <w:left w:val="none" w:sz="4" w:space="0" w:color="000000"/>
              <w:bottom w:val="single" w:sz="4" w:space="0" w:color="auto"/>
              <w:right w:val="single" w:sz="4" w:space="0" w:color="auto"/>
            </w:tcBorders>
            <w:vAlign w:val="bottom"/>
          </w:tcPr>
          <w:p w14:paraId="60264A99"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18</w:t>
            </w:r>
          </w:p>
        </w:tc>
        <w:tc>
          <w:tcPr>
            <w:tcW w:w="759" w:type="dxa"/>
            <w:tcBorders>
              <w:top w:val="single" w:sz="4" w:space="0" w:color="auto"/>
              <w:left w:val="single" w:sz="4" w:space="0" w:color="auto"/>
              <w:bottom w:val="single" w:sz="4" w:space="0" w:color="auto"/>
              <w:right w:val="single" w:sz="4" w:space="0" w:color="auto"/>
            </w:tcBorders>
            <w:vAlign w:val="bottom"/>
          </w:tcPr>
          <w:p w14:paraId="3808B988"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19</w:t>
            </w:r>
          </w:p>
        </w:tc>
        <w:tc>
          <w:tcPr>
            <w:tcW w:w="759" w:type="dxa"/>
            <w:tcBorders>
              <w:top w:val="single" w:sz="4" w:space="0" w:color="auto"/>
              <w:left w:val="none" w:sz="4" w:space="0" w:color="000000"/>
              <w:bottom w:val="single" w:sz="4" w:space="0" w:color="auto"/>
              <w:right w:val="single" w:sz="4" w:space="0" w:color="auto"/>
            </w:tcBorders>
            <w:vAlign w:val="bottom"/>
          </w:tcPr>
          <w:p w14:paraId="41C26A1A"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20</w:t>
            </w:r>
          </w:p>
        </w:tc>
        <w:tc>
          <w:tcPr>
            <w:tcW w:w="759" w:type="dxa"/>
            <w:tcBorders>
              <w:top w:val="single" w:sz="4" w:space="0" w:color="auto"/>
              <w:left w:val="single" w:sz="4" w:space="0" w:color="auto"/>
              <w:bottom w:val="single" w:sz="4" w:space="0" w:color="auto"/>
              <w:right w:val="single" w:sz="4" w:space="0" w:color="auto"/>
            </w:tcBorders>
            <w:vAlign w:val="bottom"/>
          </w:tcPr>
          <w:p w14:paraId="5A6D3D29"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21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D0464E"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22</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025F433"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23</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B164EDF"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24</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1DCB514"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25</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B1B81AE"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26</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94AB9A4"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27</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2C0A2B8"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28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32F3406"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29</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4EBB972"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30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2364080"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31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6555288"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32</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24BF1C4"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664644">
              <w:rPr>
                <w:rFonts w:ascii="Times New Roman" w:eastAsia="Times New Roman" w:hAnsi="Times New Roman" w:cs="Times New Roman"/>
                <w:color w:val="000000"/>
                <w:lang w:val="ru-RU" w:eastAsia="ru-RU" w:bidi="ar-SA"/>
              </w:rPr>
              <w:t>33</w:t>
            </w:r>
          </w:p>
        </w:tc>
      </w:tr>
      <w:tr w:rsidR="00457E80" w:rsidRPr="00044453" w14:paraId="1DC5B158"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18E1A2C5"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232E191D"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Перечень\</w:t>
            </w:r>
          </w:p>
          <w:p w14:paraId="3A863431"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месяц и год</w:t>
            </w:r>
          </w:p>
        </w:tc>
        <w:tc>
          <w:tcPr>
            <w:tcW w:w="759" w:type="dxa"/>
            <w:tcBorders>
              <w:top w:val="single" w:sz="4" w:space="0" w:color="auto"/>
              <w:left w:val="none" w:sz="4" w:space="0" w:color="000000"/>
              <w:bottom w:val="single" w:sz="4" w:space="0" w:color="auto"/>
              <w:right w:val="single" w:sz="4" w:space="0" w:color="auto"/>
            </w:tcBorders>
            <w:vAlign w:val="center"/>
          </w:tcPr>
          <w:p w14:paraId="498D20A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2015, II</w:t>
            </w:r>
          </w:p>
        </w:tc>
        <w:tc>
          <w:tcPr>
            <w:tcW w:w="759" w:type="dxa"/>
            <w:tcBorders>
              <w:top w:val="single" w:sz="4" w:space="0" w:color="auto"/>
              <w:left w:val="single" w:sz="4" w:space="0" w:color="auto"/>
              <w:bottom w:val="single" w:sz="4" w:space="0" w:color="auto"/>
              <w:right w:val="single" w:sz="4" w:space="0" w:color="auto"/>
            </w:tcBorders>
            <w:vAlign w:val="center"/>
          </w:tcPr>
          <w:p w14:paraId="462A933D"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2016, I</w:t>
            </w:r>
          </w:p>
        </w:tc>
        <w:tc>
          <w:tcPr>
            <w:tcW w:w="759" w:type="dxa"/>
            <w:tcBorders>
              <w:top w:val="single" w:sz="4" w:space="0" w:color="auto"/>
              <w:left w:val="none" w:sz="4" w:space="0" w:color="000000"/>
              <w:bottom w:val="single" w:sz="4" w:space="0" w:color="auto"/>
              <w:right w:val="single" w:sz="4" w:space="0" w:color="auto"/>
            </w:tcBorders>
            <w:vAlign w:val="center"/>
          </w:tcPr>
          <w:p w14:paraId="6A5F6C91"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2016, II</w:t>
            </w:r>
          </w:p>
        </w:tc>
        <w:tc>
          <w:tcPr>
            <w:tcW w:w="759" w:type="dxa"/>
            <w:tcBorders>
              <w:top w:val="single" w:sz="4" w:space="0" w:color="auto"/>
              <w:left w:val="single" w:sz="4" w:space="0" w:color="auto"/>
              <w:bottom w:val="single" w:sz="4" w:space="0" w:color="auto"/>
              <w:right w:val="single" w:sz="4" w:space="0" w:color="auto"/>
            </w:tcBorders>
            <w:vAlign w:val="center"/>
          </w:tcPr>
          <w:p w14:paraId="69D4D59C"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2017, I</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3A0D5"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2017, II</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D0DD913"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2018, I</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74DBBF8"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2018, II</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30DB8F"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2019, I</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63B4D9"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2019 II</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1DAFA4"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2020, I</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E7F302"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2020, II</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6251B0"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2021, I</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E4D574"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2021, II</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DDC18B"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2022, I</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56DBD3"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2022, II</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3BD77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926698">
              <w:rPr>
                <w:rFonts w:ascii="Times New Roman" w:hAnsi="Times New Roman" w:cs="Times New Roman"/>
                <w:color w:val="000000"/>
                <w:sz w:val="16"/>
                <w:szCs w:val="16"/>
              </w:rPr>
              <w:t>2023, I</w:t>
            </w:r>
          </w:p>
        </w:tc>
      </w:tr>
      <w:tr w:rsidR="00457E80" w:rsidRPr="00044453" w14:paraId="560015CB"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443150E3"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12</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32F8FF1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Ч</w:t>
            </w:r>
            <w:r>
              <w:rPr>
                <w:rFonts w:ascii="Times New Roman" w:eastAsia="Times New Roman" w:hAnsi="Times New Roman" w:cs="Times New Roman"/>
                <w:color w:val="000000"/>
                <w:sz w:val="18"/>
                <w:szCs w:val="18"/>
                <w:lang w:val="ru-RU" w:eastAsia="ru-RU" w:bidi="ar-SA"/>
              </w:rPr>
              <w:t>эн</w:t>
            </w:r>
            <w:r w:rsidRPr="00044453">
              <w:rPr>
                <w:rFonts w:ascii="Times New Roman" w:eastAsia="Times New Roman" w:hAnsi="Times New Roman" w:cs="Times New Roman"/>
                <w:color w:val="000000"/>
                <w:sz w:val="18"/>
                <w:szCs w:val="18"/>
                <w:lang w:val="ru-RU" w:eastAsia="ru-RU" w:bidi="ar-SA"/>
              </w:rPr>
              <w:t>ду</w:t>
            </w:r>
          </w:p>
        </w:tc>
        <w:tc>
          <w:tcPr>
            <w:tcW w:w="759" w:type="dxa"/>
            <w:tcBorders>
              <w:top w:val="single" w:sz="4" w:space="0" w:color="auto"/>
              <w:left w:val="none" w:sz="4" w:space="0" w:color="000000"/>
              <w:bottom w:val="single" w:sz="4" w:space="0" w:color="auto"/>
              <w:right w:val="single" w:sz="4" w:space="0" w:color="auto"/>
            </w:tcBorders>
            <w:vAlign w:val="center"/>
          </w:tcPr>
          <w:p w14:paraId="155EDB0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7305E59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4447008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72ECB10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0664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604</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06FD09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556</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A2DA6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576</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A139D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583</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34F58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BCF33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7CB92B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659</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C9765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678</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CDAFF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670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BE5423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2A38D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695</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FD4139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680</w:t>
            </w:r>
          </w:p>
        </w:tc>
      </w:tr>
      <w:tr w:rsidR="00457E80" w:rsidRPr="00044453" w14:paraId="38CEDEAA"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5C50DE57"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13</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EA864"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 xml:space="preserve">Баллы Тяньцзинь </w:t>
            </w:r>
          </w:p>
        </w:tc>
        <w:tc>
          <w:tcPr>
            <w:tcW w:w="759" w:type="dxa"/>
            <w:tcBorders>
              <w:top w:val="single" w:sz="4" w:space="0" w:color="auto"/>
              <w:left w:val="single" w:sz="4" w:space="0" w:color="auto"/>
              <w:bottom w:val="single" w:sz="4" w:space="0" w:color="auto"/>
              <w:right w:val="single" w:sz="4" w:space="0" w:color="auto"/>
            </w:tcBorders>
            <w:vAlign w:val="center"/>
          </w:tcPr>
          <w:p w14:paraId="213ED6A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02BE763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5FCA5E9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719AD62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6F2E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18C9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588</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C572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577</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921C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2A81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528</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8371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5CC3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477</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90F0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492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3968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480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392D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541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4FFF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DB4D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612</w:t>
            </w:r>
          </w:p>
        </w:tc>
      </w:tr>
      <w:tr w:rsidR="00457E80" w:rsidRPr="00044453" w14:paraId="74500670"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7340FBB1"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14</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04B0A3"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Ханчжоу</w:t>
            </w:r>
          </w:p>
        </w:tc>
        <w:tc>
          <w:tcPr>
            <w:tcW w:w="759" w:type="dxa"/>
            <w:tcBorders>
              <w:top w:val="single" w:sz="4" w:space="0" w:color="auto"/>
              <w:left w:val="single" w:sz="4" w:space="0" w:color="auto"/>
              <w:bottom w:val="single" w:sz="4" w:space="0" w:color="auto"/>
              <w:right w:val="single" w:sz="4" w:space="0" w:color="auto"/>
            </w:tcBorders>
            <w:vAlign w:val="center"/>
          </w:tcPr>
          <w:p w14:paraId="11F9101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1AEB290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4A9105B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3895557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B6B4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E4D9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4784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563</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7C39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84D3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459</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7993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612</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CAE9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463</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29CC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501</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4D0B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489</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8ABB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553</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0693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602</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145C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611</w:t>
            </w:r>
          </w:p>
        </w:tc>
      </w:tr>
      <w:tr w:rsidR="00457E80" w:rsidRPr="00044453" w14:paraId="65ADE6B0"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3D13FAA3"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15</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3141C"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Нанкин</w:t>
            </w:r>
          </w:p>
        </w:tc>
        <w:tc>
          <w:tcPr>
            <w:tcW w:w="759" w:type="dxa"/>
            <w:tcBorders>
              <w:top w:val="single" w:sz="4" w:space="0" w:color="auto"/>
              <w:left w:val="none" w:sz="4" w:space="0" w:color="000000"/>
              <w:bottom w:val="single" w:sz="4" w:space="0" w:color="auto"/>
              <w:right w:val="single" w:sz="4" w:space="0" w:color="auto"/>
            </w:tcBorders>
            <w:vAlign w:val="center"/>
          </w:tcPr>
          <w:p w14:paraId="39A7484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618D421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032CFB7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6FB8DEC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72F2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FE8678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1D750C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437DE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441A79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507</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5C706D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608</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F5DA49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550</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68124A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469</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368F48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462</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7A16F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533</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2D0E55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604</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2FB16F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617</w:t>
            </w:r>
          </w:p>
        </w:tc>
      </w:tr>
      <w:tr w:rsidR="00457E80" w:rsidRPr="00044453" w14:paraId="1638DA61"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5B77D4AA"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16</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1F2658B9"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Сиань</w:t>
            </w:r>
          </w:p>
        </w:tc>
        <w:tc>
          <w:tcPr>
            <w:tcW w:w="759" w:type="dxa"/>
            <w:tcBorders>
              <w:top w:val="single" w:sz="4" w:space="0" w:color="auto"/>
              <w:left w:val="none" w:sz="4" w:space="0" w:color="000000"/>
              <w:bottom w:val="single" w:sz="4" w:space="0" w:color="auto"/>
              <w:right w:val="single" w:sz="4" w:space="0" w:color="auto"/>
            </w:tcBorders>
            <w:vAlign w:val="center"/>
          </w:tcPr>
          <w:p w14:paraId="1D26785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67E27D5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76F02CA0"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76ED002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B556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77E85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D18698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9554C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7E26D5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489D05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0B623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506</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C4B1E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485</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DEA9CE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451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93030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516</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EE899C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531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C5F7C8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586</w:t>
            </w:r>
          </w:p>
        </w:tc>
      </w:tr>
      <w:tr w:rsidR="00457E80" w:rsidRPr="00044453" w14:paraId="41813439"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1E1E6979"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17</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0FC0FD35"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Ухань</w:t>
            </w:r>
          </w:p>
        </w:tc>
        <w:tc>
          <w:tcPr>
            <w:tcW w:w="759" w:type="dxa"/>
            <w:tcBorders>
              <w:top w:val="single" w:sz="4" w:space="0" w:color="auto"/>
              <w:left w:val="none" w:sz="4" w:space="0" w:color="000000"/>
              <w:bottom w:val="single" w:sz="4" w:space="0" w:color="auto"/>
              <w:right w:val="single" w:sz="4" w:space="0" w:color="auto"/>
            </w:tcBorders>
            <w:vAlign w:val="center"/>
          </w:tcPr>
          <w:p w14:paraId="79BEA13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213B6EF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001D6F6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04484CB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3D11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69219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3A03A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AA21A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DA38F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C957F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417E7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420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9CA6B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469</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B4A95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400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D29B1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448</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95C69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501</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F11A0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571</w:t>
            </w:r>
          </w:p>
        </w:tc>
      </w:tr>
      <w:tr w:rsidR="00457E80" w:rsidRPr="00044453" w14:paraId="7B923301" w14:textId="77777777" w:rsidTr="00576F59">
        <w:trPr>
          <w:trHeight w:val="300"/>
        </w:trPr>
        <w:tc>
          <w:tcPr>
            <w:tcW w:w="425" w:type="dxa"/>
            <w:tcBorders>
              <w:top w:val="none" w:sz="4" w:space="0" w:color="000000"/>
              <w:left w:val="single" w:sz="4" w:space="0" w:color="auto"/>
              <w:bottom w:val="single" w:sz="4" w:space="0" w:color="auto"/>
              <w:right w:val="single" w:sz="4" w:space="0" w:color="auto"/>
            </w:tcBorders>
          </w:tcPr>
          <w:p w14:paraId="14BD3DD6"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lastRenderedPageBreak/>
              <w:t>18</w:t>
            </w:r>
          </w:p>
        </w:tc>
        <w:tc>
          <w:tcPr>
            <w:tcW w:w="1125" w:type="dxa"/>
            <w:tcBorders>
              <w:top w:val="none" w:sz="4" w:space="0" w:color="000000"/>
              <w:left w:val="single" w:sz="4" w:space="0" w:color="auto"/>
              <w:bottom w:val="single" w:sz="4" w:space="0" w:color="auto"/>
              <w:right w:val="single" w:sz="4" w:space="0" w:color="auto"/>
            </w:tcBorders>
            <w:shd w:val="clear" w:color="auto" w:fill="auto"/>
            <w:noWrap/>
            <w:vAlign w:val="bottom"/>
          </w:tcPr>
          <w:p w14:paraId="3AF9E707"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sidRPr="00044453">
              <w:rPr>
                <w:rFonts w:ascii="Times New Roman" w:eastAsia="Times New Roman" w:hAnsi="Times New Roman" w:cs="Times New Roman"/>
                <w:color w:val="000000"/>
                <w:sz w:val="18"/>
                <w:szCs w:val="18"/>
                <w:lang w:val="ru-RU" w:eastAsia="ru-RU" w:bidi="ar-SA"/>
              </w:rPr>
              <w:t>Баллы Алматы</w:t>
            </w:r>
          </w:p>
        </w:tc>
        <w:tc>
          <w:tcPr>
            <w:tcW w:w="759" w:type="dxa"/>
            <w:tcBorders>
              <w:top w:val="single" w:sz="4" w:space="0" w:color="auto"/>
              <w:left w:val="none" w:sz="4" w:space="0" w:color="000000"/>
              <w:bottom w:val="single" w:sz="4" w:space="0" w:color="auto"/>
              <w:right w:val="single" w:sz="4" w:space="0" w:color="auto"/>
            </w:tcBorders>
            <w:vAlign w:val="center"/>
          </w:tcPr>
          <w:p w14:paraId="2020B86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640</w:t>
            </w:r>
          </w:p>
        </w:tc>
        <w:tc>
          <w:tcPr>
            <w:tcW w:w="759" w:type="dxa"/>
            <w:tcBorders>
              <w:top w:val="single" w:sz="4" w:space="0" w:color="auto"/>
              <w:left w:val="single" w:sz="4" w:space="0" w:color="auto"/>
              <w:bottom w:val="single" w:sz="4" w:space="0" w:color="auto"/>
              <w:right w:val="single" w:sz="4" w:space="0" w:color="auto"/>
            </w:tcBorders>
            <w:vAlign w:val="center"/>
          </w:tcPr>
          <w:p w14:paraId="2250395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597</w:t>
            </w:r>
          </w:p>
        </w:tc>
        <w:tc>
          <w:tcPr>
            <w:tcW w:w="759" w:type="dxa"/>
            <w:tcBorders>
              <w:top w:val="single" w:sz="4" w:space="0" w:color="auto"/>
              <w:left w:val="none" w:sz="4" w:space="0" w:color="000000"/>
              <w:bottom w:val="single" w:sz="4" w:space="0" w:color="auto"/>
              <w:right w:val="single" w:sz="4" w:space="0" w:color="auto"/>
            </w:tcBorders>
            <w:vAlign w:val="center"/>
          </w:tcPr>
          <w:p w14:paraId="7AB48F3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605</w:t>
            </w:r>
          </w:p>
        </w:tc>
        <w:tc>
          <w:tcPr>
            <w:tcW w:w="759" w:type="dxa"/>
            <w:tcBorders>
              <w:top w:val="single" w:sz="4" w:space="0" w:color="auto"/>
              <w:left w:val="single" w:sz="4" w:space="0" w:color="auto"/>
              <w:bottom w:val="single" w:sz="4" w:space="0" w:color="auto"/>
              <w:right w:val="single" w:sz="4" w:space="0" w:color="auto"/>
            </w:tcBorders>
            <w:vAlign w:val="center"/>
          </w:tcPr>
          <w:p w14:paraId="7BE78EFD"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589</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587E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615</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1B9CD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519</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5C713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550</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70430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561</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C7C9D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548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29731B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660</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D5A456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536</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25E5D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553</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7EF96B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559</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75BF1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574</w:t>
            </w:r>
          </w:p>
        </w:tc>
        <w:tc>
          <w:tcPr>
            <w:tcW w:w="75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30188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598</w:t>
            </w:r>
          </w:p>
        </w:tc>
        <w:tc>
          <w:tcPr>
            <w:tcW w:w="729"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2946E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595</w:t>
            </w:r>
          </w:p>
        </w:tc>
      </w:tr>
      <w:tr w:rsidR="00457E80" w:rsidRPr="00044453" w14:paraId="27546F55"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32BBAFD1"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29</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4A18A" w14:textId="77777777" w:rsidR="00457E80" w:rsidRPr="00044453"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Астаны</w:t>
            </w:r>
          </w:p>
        </w:tc>
        <w:tc>
          <w:tcPr>
            <w:tcW w:w="759" w:type="dxa"/>
            <w:tcBorders>
              <w:top w:val="single" w:sz="4" w:space="0" w:color="auto"/>
              <w:left w:val="none" w:sz="4" w:space="0" w:color="000000"/>
              <w:bottom w:val="single" w:sz="4" w:space="0" w:color="auto"/>
              <w:right w:val="single" w:sz="4" w:space="0" w:color="auto"/>
            </w:tcBorders>
            <w:vAlign w:val="center"/>
          </w:tcPr>
          <w:p w14:paraId="7AC6294F"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1F2BB76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6B27E66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74BFAEA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CFCF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A23D2B"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548</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0116A9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599</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732359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631</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C3F81F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648</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B69572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643</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40D05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585</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884EEAC"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586</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EC5134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569</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980652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576</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B4658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621</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CA7AAE8"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626</w:t>
            </w:r>
          </w:p>
        </w:tc>
      </w:tr>
      <w:tr w:rsidR="00457E80" w:rsidRPr="00044453" w14:paraId="2EA97614" w14:textId="77777777" w:rsidTr="00576F59">
        <w:trPr>
          <w:trHeight w:val="300"/>
        </w:trPr>
        <w:tc>
          <w:tcPr>
            <w:tcW w:w="425" w:type="dxa"/>
            <w:tcBorders>
              <w:top w:val="single" w:sz="4" w:space="0" w:color="auto"/>
              <w:left w:val="single" w:sz="4" w:space="0" w:color="auto"/>
              <w:bottom w:val="single" w:sz="4" w:space="0" w:color="auto"/>
              <w:right w:val="single" w:sz="4" w:space="0" w:color="auto"/>
            </w:tcBorders>
          </w:tcPr>
          <w:p w14:paraId="6D3FDCAE" w14:textId="77777777" w:rsidR="00457E80"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20</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1E005" w14:textId="77777777" w:rsidR="00457E80" w:rsidRPr="003873A1" w:rsidRDefault="00457E80" w:rsidP="00576F59">
            <w:pPr>
              <w:spacing w:after="0" w:line="360" w:lineRule="auto"/>
              <w:contextualSpacing/>
              <w:rPr>
                <w:rFonts w:ascii="Times New Roman" w:eastAsia="Times New Roman" w:hAnsi="Times New Roman" w:cs="Times New Roman"/>
                <w:color w:val="000000"/>
                <w:sz w:val="18"/>
                <w:szCs w:val="18"/>
                <w:lang w:val="ru-RU" w:eastAsia="ru-RU" w:bidi="ar-SA"/>
              </w:rPr>
            </w:pPr>
            <w:r>
              <w:rPr>
                <w:rFonts w:ascii="Times New Roman" w:eastAsia="Times New Roman" w:hAnsi="Times New Roman" w:cs="Times New Roman"/>
                <w:color w:val="000000"/>
                <w:sz w:val="18"/>
                <w:szCs w:val="18"/>
                <w:lang w:val="ru-RU" w:eastAsia="ru-RU" w:bidi="ar-SA"/>
              </w:rPr>
              <w:t>Баллы Баку</w:t>
            </w:r>
          </w:p>
        </w:tc>
        <w:tc>
          <w:tcPr>
            <w:tcW w:w="759" w:type="dxa"/>
            <w:tcBorders>
              <w:top w:val="single" w:sz="4" w:space="0" w:color="auto"/>
              <w:left w:val="none" w:sz="4" w:space="0" w:color="000000"/>
              <w:bottom w:val="single" w:sz="4" w:space="0" w:color="auto"/>
              <w:right w:val="single" w:sz="4" w:space="0" w:color="auto"/>
            </w:tcBorders>
            <w:vAlign w:val="center"/>
          </w:tcPr>
          <w:p w14:paraId="50FBED5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6BCE08E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none" w:sz="4" w:space="0" w:color="000000"/>
              <w:bottom w:val="single" w:sz="4" w:space="0" w:color="auto"/>
              <w:right w:val="single" w:sz="4" w:space="0" w:color="auto"/>
            </w:tcBorders>
            <w:vAlign w:val="center"/>
          </w:tcPr>
          <w:p w14:paraId="5A38C3B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vAlign w:val="center"/>
          </w:tcPr>
          <w:p w14:paraId="4EB8FAB4"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6A03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6ED02C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511</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D902087"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555</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6D3C902A"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567</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773932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584</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37E0BDE5"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658</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3E1D0A9"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537</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490EAE66"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515</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53455213"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531</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6A86A2"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519</w:t>
            </w:r>
          </w:p>
        </w:tc>
        <w:tc>
          <w:tcPr>
            <w:tcW w:w="75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02BBC5A1"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556</w:t>
            </w:r>
          </w:p>
        </w:tc>
        <w:tc>
          <w:tcPr>
            <w:tcW w:w="729"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995D9E" w14:textId="77777777" w:rsidR="00457E80" w:rsidRPr="00084361" w:rsidRDefault="00457E80" w:rsidP="00576F59">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084361">
              <w:rPr>
                <w:rFonts w:ascii="Times New Roman" w:hAnsi="Times New Roman" w:cs="Times New Roman"/>
                <w:color w:val="000000"/>
                <w:sz w:val="20"/>
                <w:szCs w:val="20"/>
              </w:rPr>
              <w:t>558</w:t>
            </w:r>
          </w:p>
        </w:tc>
      </w:tr>
    </w:tbl>
    <w:p w14:paraId="3623BB9A" w14:textId="77777777" w:rsidR="00457E80" w:rsidRDefault="00457E80" w:rsidP="00457E80">
      <w:pPr>
        <w:spacing w:after="0" w:line="360" w:lineRule="auto"/>
        <w:contextualSpacing/>
        <w:rPr>
          <w:rFonts w:ascii="Times New Roman" w:eastAsia="Times New Roman" w:hAnsi="Times New Roman" w:cs="Times New Roman"/>
          <w:color w:val="000000"/>
          <w:sz w:val="24"/>
          <w:szCs w:val="24"/>
          <w:lang w:val="ru-RU" w:eastAsia="zh-CN" w:bidi="ar-SA"/>
        </w:rPr>
      </w:pPr>
    </w:p>
    <w:p w14:paraId="13E0D0B9" w14:textId="4A3A5C56" w:rsidR="00457E80" w:rsidRDefault="00457E80" w:rsidP="00457E80">
      <w:pPr>
        <w:spacing w:after="0" w:line="360" w:lineRule="auto"/>
        <w:contextualSpacing/>
        <w:rPr>
          <w:rFonts w:ascii="Times New Roman" w:hAnsi="Times New Roman" w:cs="Times New Roman"/>
          <w:color w:val="000000"/>
          <w:sz w:val="24"/>
          <w:szCs w:val="24"/>
          <w:lang w:val="ru-RU" w:eastAsia="zh-CN" w:bidi="ar-SA"/>
        </w:rPr>
      </w:pPr>
      <w:r>
        <w:rPr>
          <w:rFonts w:ascii="Times New Roman" w:eastAsia="Times New Roman" w:hAnsi="Times New Roman" w:cs="Times New Roman"/>
          <w:color w:val="000000"/>
          <w:sz w:val="24"/>
          <w:szCs w:val="24"/>
          <w:lang w:val="ru-RU" w:eastAsia="zh-CN" w:bidi="ar-SA"/>
        </w:rPr>
        <w:t xml:space="preserve">Источник: </w:t>
      </w:r>
      <w:r>
        <w:rPr>
          <w:rFonts w:ascii="Times New Roman" w:hAnsi="Times New Roman" w:cs="Times New Roman"/>
          <w:color w:val="000000"/>
          <w:sz w:val="24"/>
          <w:szCs w:val="24"/>
          <w:lang w:val="ru-RU" w:eastAsia="zh-CN" w:bidi="ar-SA"/>
        </w:rPr>
        <w:t>[</w:t>
      </w:r>
      <w:r>
        <w:rPr>
          <w:rFonts w:ascii="Times New Roman" w:hAnsi="Times New Roman" w:cs="Times New Roman"/>
          <w:color w:val="000000"/>
          <w:sz w:val="24"/>
          <w:szCs w:val="24"/>
          <w:lang w:eastAsia="zh-CN" w:bidi="ar-SA"/>
        </w:rPr>
        <w:fldChar w:fldCharType="begin"/>
      </w:r>
      <w:r>
        <w:rPr>
          <w:rFonts w:ascii="Times New Roman" w:hAnsi="Times New Roman" w:cs="Times New Roman"/>
          <w:color w:val="000000"/>
          <w:sz w:val="24"/>
          <w:szCs w:val="24"/>
          <w:lang w:val="ru-RU" w:eastAsia="zh-CN" w:bidi="ar-SA"/>
        </w:rPr>
        <w:instrText xml:space="preserve"> </w:instrText>
      </w:r>
      <w:r>
        <w:rPr>
          <w:rFonts w:ascii="Times New Roman" w:hAnsi="Times New Roman" w:cs="Times New Roman"/>
          <w:color w:val="000000"/>
          <w:sz w:val="24"/>
          <w:szCs w:val="24"/>
          <w:lang w:eastAsia="zh-CN" w:bidi="ar-SA"/>
        </w:rPr>
        <w:instrText>REF</w:instrText>
      </w:r>
      <w:r>
        <w:rPr>
          <w:rFonts w:ascii="Times New Roman" w:hAnsi="Times New Roman" w:cs="Times New Roman"/>
          <w:color w:val="000000"/>
          <w:sz w:val="24"/>
          <w:szCs w:val="24"/>
          <w:lang w:val="ru-RU" w:eastAsia="zh-CN" w:bidi="ar-SA"/>
        </w:rPr>
        <w:instrText xml:space="preserve"> _</w:instrText>
      </w:r>
      <w:r>
        <w:rPr>
          <w:rFonts w:ascii="Times New Roman" w:hAnsi="Times New Roman" w:cs="Times New Roman"/>
          <w:color w:val="000000"/>
          <w:sz w:val="24"/>
          <w:szCs w:val="24"/>
          <w:lang w:eastAsia="zh-CN" w:bidi="ar-SA"/>
        </w:rPr>
        <w:instrText>Ref</w:instrText>
      </w:r>
      <w:r>
        <w:rPr>
          <w:rFonts w:ascii="Times New Roman" w:hAnsi="Times New Roman" w:cs="Times New Roman"/>
          <w:color w:val="000000"/>
          <w:sz w:val="24"/>
          <w:szCs w:val="24"/>
          <w:lang w:val="ru-RU" w:eastAsia="zh-CN" w:bidi="ar-SA"/>
        </w:rPr>
        <w:instrText>446780226 \</w:instrText>
      </w:r>
      <w:r>
        <w:rPr>
          <w:rFonts w:ascii="Times New Roman" w:hAnsi="Times New Roman" w:cs="Times New Roman"/>
          <w:color w:val="000000"/>
          <w:sz w:val="24"/>
          <w:szCs w:val="24"/>
          <w:lang w:eastAsia="zh-CN" w:bidi="ar-SA"/>
        </w:rPr>
        <w:instrText>r</w:instrText>
      </w:r>
      <w:r>
        <w:rPr>
          <w:rFonts w:ascii="Times New Roman" w:hAnsi="Times New Roman" w:cs="Times New Roman"/>
          <w:color w:val="000000"/>
          <w:sz w:val="24"/>
          <w:szCs w:val="24"/>
          <w:lang w:val="ru-RU" w:eastAsia="zh-CN" w:bidi="ar-SA"/>
        </w:rPr>
        <w:instrText xml:space="preserve"> \</w:instrText>
      </w:r>
      <w:r>
        <w:rPr>
          <w:rFonts w:ascii="Times New Roman" w:hAnsi="Times New Roman" w:cs="Times New Roman"/>
          <w:color w:val="000000"/>
          <w:sz w:val="24"/>
          <w:szCs w:val="24"/>
          <w:lang w:eastAsia="zh-CN" w:bidi="ar-SA"/>
        </w:rPr>
        <w:instrText>h</w:instrText>
      </w:r>
      <w:r>
        <w:rPr>
          <w:rFonts w:ascii="Times New Roman" w:hAnsi="Times New Roman" w:cs="Times New Roman"/>
          <w:color w:val="000000"/>
          <w:sz w:val="24"/>
          <w:szCs w:val="24"/>
          <w:lang w:val="ru-RU" w:eastAsia="zh-CN" w:bidi="ar-SA"/>
        </w:rPr>
        <w:instrText xml:space="preserve">  \* </w:instrText>
      </w:r>
      <w:r>
        <w:rPr>
          <w:rFonts w:ascii="Times New Roman" w:hAnsi="Times New Roman" w:cs="Times New Roman"/>
          <w:color w:val="000000"/>
          <w:sz w:val="24"/>
          <w:szCs w:val="24"/>
          <w:lang w:eastAsia="zh-CN" w:bidi="ar-SA"/>
        </w:rPr>
        <w:instrText>MERGEFORMAT</w:instrText>
      </w:r>
      <w:r>
        <w:rPr>
          <w:rFonts w:ascii="Times New Roman" w:hAnsi="Times New Roman" w:cs="Times New Roman"/>
          <w:color w:val="000000"/>
          <w:sz w:val="24"/>
          <w:szCs w:val="24"/>
          <w:lang w:val="ru-RU" w:eastAsia="zh-CN" w:bidi="ar-SA"/>
        </w:rPr>
        <w:instrText xml:space="preserve"> </w:instrText>
      </w:r>
      <w:r>
        <w:rPr>
          <w:rFonts w:ascii="Times New Roman" w:hAnsi="Times New Roman" w:cs="Times New Roman"/>
          <w:color w:val="000000"/>
          <w:sz w:val="24"/>
          <w:szCs w:val="24"/>
          <w:lang w:eastAsia="zh-CN" w:bidi="ar-SA"/>
        </w:rPr>
      </w:r>
      <w:r>
        <w:rPr>
          <w:rFonts w:ascii="Times New Roman" w:hAnsi="Times New Roman" w:cs="Times New Roman"/>
          <w:color w:val="000000"/>
          <w:sz w:val="24"/>
          <w:szCs w:val="24"/>
          <w:lang w:eastAsia="zh-CN" w:bidi="ar-SA"/>
        </w:rPr>
        <w:fldChar w:fldCharType="separate"/>
      </w:r>
      <w:r w:rsidR="00801D78" w:rsidRPr="00801D78">
        <w:rPr>
          <w:rFonts w:ascii="Times New Roman" w:hAnsi="Times New Roman" w:cs="Times New Roman"/>
          <w:color w:val="000000"/>
          <w:sz w:val="24"/>
          <w:szCs w:val="24"/>
          <w:lang w:val="ru-RU" w:eastAsia="zh-CN" w:bidi="ar-SA"/>
        </w:rPr>
        <w:t>185</w:t>
      </w:r>
      <w:r>
        <w:rPr>
          <w:rFonts w:ascii="Times New Roman" w:hAnsi="Times New Roman" w:cs="Times New Roman"/>
          <w:color w:val="000000"/>
          <w:sz w:val="24"/>
          <w:szCs w:val="24"/>
          <w:lang w:eastAsia="zh-CN" w:bidi="ar-SA"/>
        </w:rPr>
        <w:fldChar w:fldCharType="end"/>
      </w:r>
      <w:r>
        <w:rPr>
          <w:rFonts w:ascii="Times New Roman" w:hAnsi="Times New Roman" w:cs="Times New Roman"/>
          <w:color w:val="000000"/>
          <w:sz w:val="24"/>
          <w:szCs w:val="24"/>
          <w:lang w:val="ru-RU" w:eastAsia="zh-CN" w:bidi="ar-SA"/>
        </w:rPr>
        <w:t>]</w:t>
      </w:r>
    </w:p>
    <w:bookmarkEnd w:id="207"/>
    <w:p w14:paraId="72D03E5A" w14:textId="77777777" w:rsidR="00AE4368" w:rsidRDefault="00AE4368">
      <w:pPr>
        <w:spacing w:after="0" w:line="360" w:lineRule="auto"/>
        <w:contextualSpacing/>
        <w:rPr>
          <w:rFonts w:ascii="Times New Roman" w:hAnsi="Times New Roman" w:cs="Times New Roman"/>
          <w:sz w:val="24"/>
          <w:szCs w:val="24"/>
          <w:lang w:val="ru-RU"/>
        </w:rPr>
      </w:pPr>
    </w:p>
    <w:p w14:paraId="4342C0D9" w14:textId="77777777" w:rsidR="00AE4368" w:rsidRDefault="002023F4">
      <w:pPr>
        <w:spacing w:line="360" w:lineRule="auto"/>
        <w:rPr>
          <w:rFonts w:ascii="Times New Roman" w:hAnsi="Times New Roman" w:cs="Times New Roman"/>
          <w:sz w:val="24"/>
          <w:szCs w:val="24"/>
          <w:lang w:val="ru-RU"/>
        </w:rPr>
      </w:pPr>
      <w:r>
        <w:rPr>
          <w:rFonts w:ascii="Times New Roman" w:hAnsi="Times New Roman" w:cs="Times New Roman"/>
          <w:sz w:val="24"/>
          <w:szCs w:val="24"/>
          <w:lang w:val="ru-RU"/>
        </w:rPr>
        <w:br w:type="page" w:clear="all"/>
      </w:r>
      <w:bookmarkStart w:id="210" w:name="Приложение4"/>
    </w:p>
    <w:p w14:paraId="0D5422F2" w14:textId="69DB7D5F" w:rsidR="00AE4368" w:rsidRDefault="002023F4" w:rsidP="00E01178">
      <w:pPr>
        <w:pStyle w:val="2"/>
        <w:spacing w:before="0" w:line="360" w:lineRule="auto"/>
        <w:contextualSpacing/>
        <w:rPr>
          <w:rFonts w:cs="Times New Roman"/>
          <w:sz w:val="24"/>
          <w:szCs w:val="24"/>
        </w:rPr>
      </w:pPr>
      <w:bookmarkStart w:id="211" w:name="_Toc136448489"/>
      <w:r>
        <w:rPr>
          <w:rFonts w:cs="Times New Roman"/>
          <w:sz w:val="24"/>
          <w:szCs w:val="24"/>
        </w:rPr>
        <w:lastRenderedPageBreak/>
        <w:t>Приложение 3</w:t>
      </w:r>
      <w:bookmarkEnd w:id="211"/>
    </w:p>
    <w:p w14:paraId="4B51EA72" w14:textId="2888A553" w:rsidR="00457E80" w:rsidRDefault="00457E80" w:rsidP="00457E80">
      <w:pPr>
        <w:pStyle w:val="aff6"/>
        <w:spacing w:before="0" w:beforeAutospacing="0" w:after="0"/>
        <w:rPr>
          <w:lang w:eastAsia="zh-CN"/>
        </w:rPr>
      </w:pPr>
      <w:r w:rsidRPr="007A1485">
        <w:t xml:space="preserve">Таблица </w:t>
      </w:r>
      <w:r w:rsidR="006978F8">
        <w:t>4</w:t>
      </w:r>
      <w:r w:rsidRPr="007A1485">
        <w:t xml:space="preserve">. Корреляция рейтингов </w:t>
      </w:r>
      <w:r w:rsidRPr="007A1485">
        <w:rPr>
          <w:lang w:eastAsia="zh-CN"/>
        </w:rPr>
        <w:t>Doing Business 2020 и GFCI, март 2020</w:t>
      </w:r>
    </w:p>
    <w:tbl>
      <w:tblPr>
        <w:tblW w:w="14985" w:type="dxa"/>
        <w:tblLook w:val="04A0" w:firstRow="1" w:lastRow="0" w:firstColumn="1" w:lastColumn="0" w:noHBand="0" w:noVBand="1"/>
      </w:tblPr>
      <w:tblGrid>
        <w:gridCol w:w="625"/>
        <w:gridCol w:w="925"/>
        <w:gridCol w:w="1047"/>
        <w:gridCol w:w="621"/>
        <w:gridCol w:w="897"/>
        <w:gridCol w:w="621"/>
        <w:gridCol w:w="832"/>
        <w:gridCol w:w="948"/>
        <w:gridCol w:w="744"/>
        <w:gridCol w:w="1035"/>
        <w:gridCol w:w="1015"/>
        <w:gridCol w:w="1466"/>
        <w:gridCol w:w="1286"/>
        <w:gridCol w:w="1105"/>
        <w:gridCol w:w="932"/>
        <w:gridCol w:w="886"/>
      </w:tblGrid>
      <w:tr w:rsidR="00457E80" w:rsidRPr="00036538" w14:paraId="236C22A1" w14:textId="77777777" w:rsidTr="00576F59">
        <w:trPr>
          <w:trHeight w:val="1297"/>
        </w:trPr>
        <w:tc>
          <w:tcPr>
            <w:tcW w:w="6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9C0197"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Рэнкинг</w:t>
            </w:r>
          </w:p>
        </w:tc>
        <w:tc>
          <w:tcPr>
            <w:tcW w:w="908" w:type="dxa"/>
            <w:tcBorders>
              <w:top w:val="single" w:sz="4" w:space="0" w:color="auto"/>
              <w:left w:val="nil"/>
              <w:bottom w:val="single" w:sz="4" w:space="0" w:color="auto"/>
              <w:right w:val="single" w:sz="4" w:space="0" w:color="auto"/>
            </w:tcBorders>
            <w:shd w:val="clear" w:color="auto" w:fill="auto"/>
            <w:vAlign w:val="bottom"/>
            <w:hideMark/>
          </w:tcPr>
          <w:p w14:paraId="1BF5C018"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 GFCI, март 2020</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14:paraId="3DD72213"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 </w:t>
            </w:r>
            <w:r>
              <w:rPr>
                <w:rFonts w:ascii="Times New Roman" w:eastAsia="Times New Roman" w:hAnsi="Times New Roman" w:cs="Times New Roman"/>
                <w:color w:val="000000"/>
                <w:sz w:val="16"/>
                <w:szCs w:val="16"/>
                <w:lang w:val="ru-RU" w:eastAsia="ru-RU" w:bidi="ar-SA"/>
              </w:rPr>
              <w:t xml:space="preserve">Страна по </w:t>
            </w:r>
            <w:r>
              <w:rPr>
                <w:rFonts w:ascii="Times New Roman" w:eastAsia="Times New Roman" w:hAnsi="Times New Roman" w:cs="Times New Roman"/>
                <w:color w:val="000000"/>
                <w:sz w:val="16"/>
                <w:szCs w:val="16"/>
                <w:lang w:eastAsia="ru-RU" w:bidi="ar-SA"/>
              </w:rPr>
              <w:t>GFCI,</w:t>
            </w:r>
            <w:r>
              <w:rPr>
                <w:rFonts w:ascii="Times New Roman" w:eastAsia="Times New Roman" w:hAnsi="Times New Roman" w:cs="Times New Roman"/>
                <w:color w:val="000000"/>
                <w:sz w:val="16"/>
                <w:szCs w:val="16"/>
                <w:lang w:val="ru-RU" w:eastAsia="ru-RU" w:bidi="ar-SA"/>
              </w:rPr>
              <w:t xml:space="preserve"> март 2020</w:t>
            </w:r>
          </w:p>
        </w:tc>
        <w:tc>
          <w:tcPr>
            <w:tcW w:w="612" w:type="dxa"/>
            <w:tcBorders>
              <w:top w:val="single" w:sz="4" w:space="0" w:color="auto"/>
              <w:left w:val="nil"/>
              <w:bottom w:val="single" w:sz="4" w:space="0" w:color="auto"/>
              <w:right w:val="single" w:sz="4" w:space="0" w:color="auto"/>
            </w:tcBorders>
            <w:shd w:val="clear" w:color="auto" w:fill="auto"/>
            <w:vAlign w:val="bottom"/>
            <w:hideMark/>
          </w:tcPr>
          <w:p w14:paraId="01430614"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w:t>
            </w:r>
          </w:p>
        </w:tc>
        <w:tc>
          <w:tcPr>
            <w:tcW w:w="1145" w:type="dxa"/>
            <w:tcBorders>
              <w:top w:val="single" w:sz="4" w:space="0" w:color="auto"/>
              <w:left w:val="nil"/>
              <w:bottom w:val="single" w:sz="4" w:space="0" w:color="auto"/>
              <w:right w:val="single" w:sz="4" w:space="0" w:color="auto"/>
            </w:tcBorders>
            <w:shd w:val="clear" w:color="auto" w:fill="auto"/>
            <w:vAlign w:val="bottom"/>
            <w:hideMark/>
          </w:tcPr>
          <w:p w14:paraId="034CD236"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Pr>
                <w:rFonts w:ascii="Times New Roman" w:eastAsia="Times New Roman" w:hAnsi="Times New Roman" w:cs="Times New Roman"/>
                <w:color w:val="000000"/>
                <w:sz w:val="16"/>
                <w:szCs w:val="16"/>
                <w:lang w:val="ru-RU" w:eastAsia="ru-RU" w:bidi="ar-SA"/>
              </w:rPr>
              <w:t xml:space="preserve">Страна / Город по рейтингу </w:t>
            </w:r>
            <w:r>
              <w:rPr>
                <w:rFonts w:ascii="Times New Roman" w:eastAsia="Times New Roman" w:hAnsi="Times New Roman" w:cs="Times New Roman"/>
                <w:color w:val="000000"/>
                <w:sz w:val="16"/>
                <w:szCs w:val="16"/>
                <w:lang w:eastAsia="ru-RU" w:bidi="ar-SA"/>
              </w:rPr>
              <w:t>Doing</w:t>
            </w:r>
            <w:r w:rsidRPr="00BE1496">
              <w:rPr>
                <w:rFonts w:ascii="Times New Roman" w:eastAsia="Times New Roman" w:hAnsi="Times New Roman" w:cs="Times New Roman"/>
                <w:color w:val="000000"/>
                <w:sz w:val="16"/>
                <w:szCs w:val="16"/>
                <w:lang w:val="ru-RU" w:eastAsia="ru-RU" w:bidi="ar-SA"/>
              </w:rPr>
              <w:t xml:space="preserve"> </w:t>
            </w:r>
            <w:r>
              <w:rPr>
                <w:rFonts w:ascii="Times New Roman" w:eastAsia="Times New Roman" w:hAnsi="Times New Roman" w:cs="Times New Roman"/>
                <w:color w:val="000000"/>
                <w:sz w:val="16"/>
                <w:szCs w:val="16"/>
                <w:lang w:eastAsia="ru-RU" w:bidi="ar-SA"/>
              </w:rPr>
              <w:t>Business</w:t>
            </w:r>
          </w:p>
        </w:tc>
        <w:tc>
          <w:tcPr>
            <w:tcW w:w="612" w:type="dxa"/>
            <w:tcBorders>
              <w:top w:val="single" w:sz="4" w:space="0" w:color="auto"/>
              <w:left w:val="nil"/>
              <w:bottom w:val="single" w:sz="4" w:space="0" w:color="auto"/>
              <w:right w:val="single" w:sz="4" w:space="0" w:color="auto"/>
            </w:tcBorders>
            <w:shd w:val="clear" w:color="auto" w:fill="auto"/>
            <w:hideMark/>
          </w:tcPr>
          <w:p w14:paraId="352903C9"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 Doing business 2020: общий</w:t>
            </w:r>
          </w:p>
        </w:tc>
        <w:tc>
          <w:tcPr>
            <w:tcW w:w="818" w:type="dxa"/>
            <w:tcBorders>
              <w:top w:val="single" w:sz="4" w:space="0" w:color="auto"/>
              <w:left w:val="nil"/>
              <w:bottom w:val="single" w:sz="4" w:space="0" w:color="auto"/>
              <w:right w:val="single" w:sz="4" w:space="0" w:color="auto"/>
            </w:tcBorders>
            <w:shd w:val="clear" w:color="auto" w:fill="auto"/>
            <w:hideMark/>
          </w:tcPr>
          <w:p w14:paraId="018314C5"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Рейтинг-регистрация компании</w:t>
            </w:r>
          </w:p>
        </w:tc>
        <w:tc>
          <w:tcPr>
            <w:tcW w:w="931" w:type="dxa"/>
            <w:tcBorders>
              <w:top w:val="single" w:sz="4" w:space="0" w:color="auto"/>
              <w:left w:val="nil"/>
              <w:bottom w:val="single" w:sz="4" w:space="0" w:color="auto"/>
              <w:right w:val="single" w:sz="4" w:space="0" w:color="auto"/>
            </w:tcBorders>
            <w:shd w:val="clear" w:color="auto" w:fill="auto"/>
            <w:hideMark/>
          </w:tcPr>
          <w:p w14:paraId="1CC06D1F"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Рейтинг-регистрация собственности</w:t>
            </w:r>
          </w:p>
        </w:tc>
        <w:tc>
          <w:tcPr>
            <w:tcW w:w="732" w:type="dxa"/>
            <w:tcBorders>
              <w:top w:val="single" w:sz="4" w:space="0" w:color="auto"/>
              <w:left w:val="nil"/>
              <w:bottom w:val="single" w:sz="4" w:space="0" w:color="auto"/>
              <w:right w:val="single" w:sz="4" w:space="0" w:color="auto"/>
            </w:tcBorders>
            <w:shd w:val="clear" w:color="auto" w:fill="auto"/>
            <w:hideMark/>
          </w:tcPr>
          <w:p w14:paraId="1D270C27"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Рейтинг-получение кредита</w:t>
            </w:r>
          </w:p>
        </w:tc>
        <w:tc>
          <w:tcPr>
            <w:tcW w:w="1016" w:type="dxa"/>
            <w:tcBorders>
              <w:top w:val="single" w:sz="4" w:space="0" w:color="auto"/>
              <w:left w:val="nil"/>
              <w:bottom w:val="single" w:sz="4" w:space="0" w:color="auto"/>
              <w:right w:val="single" w:sz="4" w:space="0" w:color="auto"/>
            </w:tcBorders>
            <w:shd w:val="clear" w:color="auto" w:fill="auto"/>
            <w:hideMark/>
          </w:tcPr>
          <w:p w14:paraId="7E09FF3E"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Рейтинг_защита миноритариев</w:t>
            </w:r>
          </w:p>
        </w:tc>
        <w:tc>
          <w:tcPr>
            <w:tcW w:w="997" w:type="dxa"/>
            <w:tcBorders>
              <w:top w:val="single" w:sz="4" w:space="0" w:color="auto"/>
              <w:left w:val="nil"/>
              <w:bottom w:val="single" w:sz="4" w:space="0" w:color="auto"/>
              <w:right w:val="single" w:sz="4" w:space="0" w:color="auto"/>
            </w:tcBorders>
            <w:shd w:val="clear" w:color="auto" w:fill="auto"/>
            <w:hideMark/>
          </w:tcPr>
          <w:p w14:paraId="6091EDE0"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Рейтинг_оплата налогов</w:t>
            </w:r>
          </w:p>
        </w:tc>
        <w:tc>
          <w:tcPr>
            <w:tcW w:w="1437" w:type="dxa"/>
            <w:tcBorders>
              <w:top w:val="single" w:sz="4" w:space="0" w:color="auto"/>
              <w:left w:val="nil"/>
              <w:bottom w:val="single" w:sz="4" w:space="0" w:color="auto"/>
              <w:right w:val="single" w:sz="4" w:space="0" w:color="auto"/>
            </w:tcBorders>
            <w:shd w:val="clear" w:color="auto" w:fill="auto"/>
            <w:hideMark/>
          </w:tcPr>
          <w:p w14:paraId="595F8A0F"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Рейтинг_международная торговля</w:t>
            </w:r>
          </w:p>
        </w:tc>
        <w:tc>
          <w:tcPr>
            <w:tcW w:w="1262" w:type="dxa"/>
            <w:tcBorders>
              <w:top w:val="single" w:sz="4" w:space="0" w:color="auto"/>
              <w:left w:val="nil"/>
              <w:bottom w:val="single" w:sz="4" w:space="0" w:color="auto"/>
              <w:right w:val="single" w:sz="4" w:space="0" w:color="auto"/>
            </w:tcBorders>
            <w:shd w:val="clear" w:color="auto" w:fill="auto"/>
            <w:hideMark/>
          </w:tcPr>
          <w:p w14:paraId="41403991"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Рейтинг_выполнение контракта</w:t>
            </w:r>
          </w:p>
        </w:tc>
        <w:tc>
          <w:tcPr>
            <w:tcW w:w="1085" w:type="dxa"/>
            <w:tcBorders>
              <w:top w:val="single" w:sz="4" w:space="0" w:color="auto"/>
              <w:left w:val="nil"/>
              <w:bottom w:val="single" w:sz="4" w:space="0" w:color="auto"/>
              <w:right w:val="single" w:sz="4" w:space="0" w:color="auto"/>
            </w:tcBorders>
            <w:shd w:val="clear" w:color="auto" w:fill="auto"/>
            <w:hideMark/>
          </w:tcPr>
          <w:p w14:paraId="57ED3A87"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Рейтинг_вопросы банкротства</w:t>
            </w:r>
          </w:p>
        </w:tc>
        <w:tc>
          <w:tcPr>
            <w:tcW w:w="916" w:type="dxa"/>
            <w:tcBorders>
              <w:top w:val="single" w:sz="4" w:space="0" w:color="auto"/>
              <w:left w:val="nil"/>
              <w:bottom w:val="single" w:sz="4" w:space="0" w:color="auto"/>
              <w:right w:val="single" w:sz="4" w:space="0" w:color="auto"/>
            </w:tcBorders>
            <w:shd w:val="clear" w:color="auto" w:fill="auto"/>
            <w:hideMark/>
          </w:tcPr>
          <w:p w14:paraId="42EB387E"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Рейтинг-разрешение на строительство</w:t>
            </w:r>
          </w:p>
        </w:tc>
        <w:tc>
          <w:tcPr>
            <w:tcW w:w="871" w:type="dxa"/>
            <w:tcBorders>
              <w:top w:val="single" w:sz="4" w:space="0" w:color="auto"/>
              <w:left w:val="nil"/>
              <w:bottom w:val="single" w:sz="4" w:space="0" w:color="auto"/>
              <w:right w:val="single" w:sz="4" w:space="0" w:color="auto"/>
            </w:tcBorders>
            <w:shd w:val="clear" w:color="auto" w:fill="auto"/>
            <w:hideMark/>
          </w:tcPr>
          <w:p w14:paraId="54E2FF62" w14:textId="77777777" w:rsidR="00457E80" w:rsidRPr="00036538" w:rsidRDefault="00457E80" w:rsidP="00576F59">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Рейтинг - доступ к электросетям</w:t>
            </w:r>
          </w:p>
        </w:tc>
      </w:tr>
      <w:tr w:rsidR="00457E80" w:rsidRPr="00036538" w14:paraId="571DB5EE" w14:textId="77777777" w:rsidTr="00576F59">
        <w:trPr>
          <w:trHeight w:val="450"/>
        </w:trPr>
        <w:tc>
          <w:tcPr>
            <w:tcW w:w="4308" w:type="dxa"/>
            <w:gridSpan w:val="5"/>
            <w:tcBorders>
              <w:top w:val="nil"/>
              <w:left w:val="single" w:sz="4" w:space="0" w:color="auto"/>
              <w:bottom w:val="single" w:sz="4" w:space="0" w:color="auto"/>
              <w:right w:val="single" w:sz="4" w:space="0" w:color="auto"/>
            </w:tcBorders>
            <w:shd w:val="clear" w:color="auto" w:fill="auto"/>
            <w:noWrap/>
            <w:vAlign w:val="center"/>
          </w:tcPr>
          <w:p w14:paraId="06792DAB" w14:textId="77777777" w:rsidR="00457E80" w:rsidRPr="00BE1496"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Pr>
                <w:rFonts w:ascii="Times New Roman" w:eastAsia="Times New Roman" w:hAnsi="Times New Roman" w:cs="Times New Roman"/>
                <w:color w:val="000000"/>
                <w:sz w:val="16"/>
                <w:szCs w:val="16"/>
                <w:lang w:val="ru-RU" w:eastAsia="ru-RU" w:bidi="ar-SA"/>
              </w:rPr>
              <w:t xml:space="preserve">Уровень корреляции с рейтингом </w:t>
            </w:r>
            <w:r>
              <w:rPr>
                <w:rFonts w:ascii="Times New Roman" w:eastAsia="Times New Roman" w:hAnsi="Times New Roman" w:cs="Times New Roman"/>
                <w:color w:val="000000"/>
                <w:sz w:val="16"/>
                <w:szCs w:val="16"/>
                <w:lang w:eastAsia="ru-RU" w:bidi="ar-SA"/>
              </w:rPr>
              <w:t>GFCI</w:t>
            </w:r>
          </w:p>
        </w:tc>
        <w:tc>
          <w:tcPr>
            <w:tcW w:w="612" w:type="dxa"/>
            <w:tcBorders>
              <w:top w:val="nil"/>
              <w:left w:val="nil"/>
              <w:bottom w:val="single" w:sz="4" w:space="0" w:color="auto"/>
              <w:right w:val="single" w:sz="4" w:space="0" w:color="auto"/>
            </w:tcBorders>
            <w:shd w:val="clear" w:color="auto" w:fill="auto"/>
            <w:vAlign w:val="center"/>
          </w:tcPr>
          <w:p w14:paraId="71D9AEEB" w14:textId="77777777" w:rsidR="00457E80" w:rsidRPr="004A0184"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4A0184">
              <w:rPr>
                <w:rFonts w:ascii="Times New Roman" w:hAnsi="Times New Roman" w:cs="Times New Roman"/>
                <w:color w:val="000000"/>
                <w:sz w:val="20"/>
                <w:szCs w:val="20"/>
              </w:rPr>
              <w:t>0,54</w:t>
            </w:r>
          </w:p>
        </w:tc>
        <w:tc>
          <w:tcPr>
            <w:tcW w:w="818" w:type="dxa"/>
            <w:tcBorders>
              <w:top w:val="nil"/>
              <w:left w:val="nil"/>
              <w:bottom w:val="single" w:sz="4" w:space="0" w:color="auto"/>
              <w:right w:val="single" w:sz="4" w:space="0" w:color="auto"/>
            </w:tcBorders>
            <w:shd w:val="clear" w:color="auto" w:fill="auto"/>
            <w:vAlign w:val="center"/>
          </w:tcPr>
          <w:p w14:paraId="4718573F" w14:textId="77777777" w:rsidR="00457E80" w:rsidRPr="004A0184"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4A0184">
              <w:rPr>
                <w:rFonts w:ascii="Times New Roman" w:hAnsi="Times New Roman" w:cs="Times New Roman"/>
                <w:color w:val="000000"/>
                <w:sz w:val="20"/>
                <w:szCs w:val="20"/>
              </w:rPr>
              <w:t>0,29</w:t>
            </w:r>
          </w:p>
        </w:tc>
        <w:tc>
          <w:tcPr>
            <w:tcW w:w="931" w:type="dxa"/>
            <w:tcBorders>
              <w:top w:val="nil"/>
              <w:left w:val="nil"/>
              <w:bottom w:val="single" w:sz="4" w:space="0" w:color="auto"/>
              <w:right w:val="single" w:sz="4" w:space="0" w:color="auto"/>
            </w:tcBorders>
            <w:shd w:val="clear" w:color="auto" w:fill="auto"/>
            <w:vAlign w:val="center"/>
          </w:tcPr>
          <w:p w14:paraId="0BD7D8B1" w14:textId="77777777" w:rsidR="00457E80" w:rsidRPr="004A0184"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0,31</w:t>
            </w:r>
          </w:p>
        </w:tc>
        <w:tc>
          <w:tcPr>
            <w:tcW w:w="732" w:type="dxa"/>
            <w:tcBorders>
              <w:top w:val="nil"/>
              <w:left w:val="nil"/>
              <w:bottom w:val="single" w:sz="4" w:space="0" w:color="auto"/>
              <w:right w:val="single" w:sz="4" w:space="0" w:color="auto"/>
            </w:tcBorders>
            <w:shd w:val="clear" w:color="auto" w:fill="auto"/>
            <w:vAlign w:val="center"/>
          </w:tcPr>
          <w:p w14:paraId="72A0B8BE" w14:textId="77777777" w:rsidR="00457E80" w:rsidRPr="004A0184"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4A0184">
              <w:rPr>
                <w:rFonts w:ascii="Times New Roman" w:hAnsi="Times New Roman" w:cs="Times New Roman"/>
                <w:color w:val="000000"/>
                <w:sz w:val="20"/>
                <w:szCs w:val="20"/>
              </w:rPr>
              <w:t>0,32</w:t>
            </w:r>
          </w:p>
        </w:tc>
        <w:tc>
          <w:tcPr>
            <w:tcW w:w="1016" w:type="dxa"/>
            <w:tcBorders>
              <w:top w:val="nil"/>
              <w:left w:val="nil"/>
              <w:bottom w:val="single" w:sz="4" w:space="0" w:color="auto"/>
              <w:right w:val="single" w:sz="4" w:space="0" w:color="auto"/>
            </w:tcBorders>
            <w:shd w:val="clear" w:color="auto" w:fill="auto"/>
            <w:vAlign w:val="center"/>
          </w:tcPr>
          <w:p w14:paraId="1ADC44F1" w14:textId="77777777" w:rsidR="00457E80" w:rsidRPr="004A0184"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0,14</w:t>
            </w:r>
          </w:p>
        </w:tc>
        <w:tc>
          <w:tcPr>
            <w:tcW w:w="997" w:type="dxa"/>
            <w:tcBorders>
              <w:top w:val="nil"/>
              <w:left w:val="nil"/>
              <w:bottom w:val="single" w:sz="4" w:space="0" w:color="auto"/>
              <w:right w:val="single" w:sz="4" w:space="0" w:color="auto"/>
            </w:tcBorders>
            <w:shd w:val="clear" w:color="auto" w:fill="auto"/>
            <w:vAlign w:val="center"/>
          </w:tcPr>
          <w:p w14:paraId="0F4D8508" w14:textId="77777777" w:rsidR="00457E80" w:rsidRPr="004A0184"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0,39</w:t>
            </w:r>
          </w:p>
        </w:tc>
        <w:tc>
          <w:tcPr>
            <w:tcW w:w="1437" w:type="dxa"/>
            <w:tcBorders>
              <w:top w:val="nil"/>
              <w:left w:val="nil"/>
              <w:bottom w:val="single" w:sz="4" w:space="0" w:color="auto"/>
              <w:right w:val="single" w:sz="4" w:space="0" w:color="auto"/>
            </w:tcBorders>
            <w:shd w:val="clear" w:color="auto" w:fill="auto"/>
            <w:vAlign w:val="center"/>
          </w:tcPr>
          <w:p w14:paraId="2BF52F37" w14:textId="77777777" w:rsidR="00457E80" w:rsidRPr="004A0184"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0,38</w:t>
            </w:r>
          </w:p>
        </w:tc>
        <w:tc>
          <w:tcPr>
            <w:tcW w:w="1262" w:type="dxa"/>
            <w:tcBorders>
              <w:top w:val="nil"/>
              <w:left w:val="nil"/>
              <w:bottom w:val="single" w:sz="4" w:space="0" w:color="auto"/>
              <w:right w:val="single" w:sz="4" w:space="0" w:color="auto"/>
            </w:tcBorders>
            <w:shd w:val="clear" w:color="auto" w:fill="auto"/>
            <w:vAlign w:val="center"/>
          </w:tcPr>
          <w:p w14:paraId="78212A5E" w14:textId="77777777" w:rsidR="00457E80" w:rsidRPr="004A0184"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0,28</w:t>
            </w:r>
          </w:p>
        </w:tc>
        <w:tc>
          <w:tcPr>
            <w:tcW w:w="1085" w:type="dxa"/>
            <w:tcBorders>
              <w:top w:val="nil"/>
              <w:left w:val="nil"/>
              <w:bottom w:val="single" w:sz="4" w:space="0" w:color="auto"/>
              <w:right w:val="single" w:sz="4" w:space="0" w:color="auto"/>
            </w:tcBorders>
            <w:shd w:val="clear" w:color="auto" w:fill="auto"/>
            <w:vAlign w:val="center"/>
          </w:tcPr>
          <w:p w14:paraId="2B634CBD" w14:textId="77777777" w:rsidR="00457E80" w:rsidRPr="004A0184"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0,46</w:t>
            </w:r>
          </w:p>
        </w:tc>
        <w:tc>
          <w:tcPr>
            <w:tcW w:w="916" w:type="dxa"/>
            <w:tcBorders>
              <w:top w:val="nil"/>
              <w:left w:val="nil"/>
              <w:bottom w:val="single" w:sz="4" w:space="0" w:color="auto"/>
              <w:right w:val="single" w:sz="4" w:space="0" w:color="auto"/>
            </w:tcBorders>
            <w:shd w:val="clear" w:color="auto" w:fill="auto"/>
            <w:vAlign w:val="center"/>
          </w:tcPr>
          <w:p w14:paraId="1B83BA6A" w14:textId="77777777" w:rsidR="00457E80" w:rsidRPr="004A0184"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0,39</w:t>
            </w:r>
          </w:p>
        </w:tc>
        <w:tc>
          <w:tcPr>
            <w:tcW w:w="871" w:type="dxa"/>
            <w:tcBorders>
              <w:top w:val="nil"/>
              <w:left w:val="nil"/>
              <w:bottom w:val="single" w:sz="4" w:space="0" w:color="auto"/>
              <w:right w:val="single" w:sz="4" w:space="0" w:color="auto"/>
            </w:tcBorders>
            <w:shd w:val="clear" w:color="auto" w:fill="auto"/>
            <w:vAlign w:val="center"/>
          </w:tcPr>
          <w:p w14:paraId="2793407D" w14:textId="77777777" w:rsidR="00457E80" w:rsidRPr="004A0184"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0,17</w:t>
            </w:r>
          </w:p>
        </w:tc>
      </w:tr>
      <w:tr w:rsidR="00457E80" w:rsidRPr="00036538" w14:paraId="6C8000AC" w14:textId="77777777" w:rsidTr="00576F59">
        <w:trPr>
          <w:trHeight w:val="45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9D93FFB"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w:t>
            </w:r>
          </w:p>
        </w:tc>
        <w:tc>
          <w:tcPr>
            <w:tcW w:w="908" w:type="dxa"/>
            <w:tcBorders>
              <w:top w:val="nil"/>
              <w:left w:val="nil"/>
              <w:bottom w:val="single" w:sz="4" w:space="0" w:color="auto"/>
              <w:right w:val="single" w:sz="4" w:space="0" w:color="auto"/>
            </w:tcBorders>
            <w:shd w:val="clear" w:color="auto" w:fill="auto"/>
            <w:vAlign w:val="bottom"/>
            <w:hideMark/>
          </w:tcPr>
          <w:p w14:paraId="0E7855D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Нью-Йорк</w:t>
            </w:r>
          </w:p>
        </w:tc>
        <w:tc>
          <w:tcPr>
            <w:tcW w:w="1028" w:type="dxa"/>
            <w:tcBorders>
              <w:top w:val="nil"/>
              <w:left w:val="nil"/>
              <w:bottom w:val="single" w:sz="4" w:space="0" w:color="auto"/>
              <w:right w:val="single" w:sz="4" w:space="0" w:color="auto"/>
            </w:tcBorders>
            <w:shd w:val="clear" w:color="auto" w:fill="auto"/>
            <w:vAlign w:val="bottom"/>
            <w:hideMark/>
          </w:tcPr>
          <w:p w14:paraId="3981711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США</w:t>
            </w:r>
          </w:p>
        </w:tc>
        <w:tc>
          <w:tcPr>
            <w:tcW w:w="612" w:type="dxa"/>
            <w:tcBorders>
              <w:top w:val="nil"/>
              <w:left w:val="nil"/>
              <w:bottom w:val="single" w:sz="4" w:space="0" w:color="auto"/>
              <w:right w:val="single" w:sz="4" w:space="0" w:color="auto"/>
            </w:tcBorders>
            <w:shd w:val="clear" w:color="000000" w:fill="92D050"/>
            <w:vAlign w:val="center"/>
            <w:hideMark/>
          </w:tcPr>
          <w:p w14:paraId="35DC7FB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769</w:t>
            </w:r>
          </w:p>
        </w:tc>
        <w:tc>
          <w:tcPr>
            <w:tcW w:w="1145" w:type="dxa"/>
            <w:tcBorders>
              <w:top w:val="nil"/>
              <w:left w:val="nil"/>
              <w:bottom w:val="single" w:sz="4" w:space="0" w:color="auto"/>
              <w:right w:val="single" w:sz="4" w:space="0" w:color="auto"/>
            </w:tcBorders>
            <w:shd w:val="clear" w:color="auto" w:fill="auto"/>
            <w:vAlign w:val="center"/>
            <w:hideMark/>
          </w:tcPr>
          <w:p w14:paraId="671C225C"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eastAsia="ru-RU" w:bidi="ar-SA"/>
              </w:rPr>
            </w:pPr>
            <w:r w:rsidRPr="00036538">
              <w:rPr>
                <w:rFonts w:ascii="Times New Roman" w:eastAsia="Times New Roman" w:hAnsi="Times New Roman" w:cs="Times New Roman"/>
                <w:color w:val="000000"/>
                <w:sz w:val="16"/>
                <w:szCs w:val="16"/>
                <w:lang w:eastAsia="ru-RU" w:bidi="ar-SA"/>
              </w:rPr>
              <w:t>United States New York City</w:t>
            </w:r>
          </w:p>
        </w:tc>
        <w:tc>
          <w:tcPr>
            <w:tcW w:w="612" w:type="dxa"/>
            <w:tcBorders>
              <w:top w:val="nil"/>
              <w:left w:val="nil"/>
              <w:bottom w:val="single" w:sz="4" w:space="0" w:color="auto"/>
              <w:right w:val="single" w:sz="4" w:space="0" w:color="auto"/>
            </w:tcBorders>
            <w:shd w:val="clear" w:color="auto" w:fill="auto"/>
            <w:vAlign w:val="center"/>
            <w:hideMark/>
          </w:tcPr>
          <w:p w14:paraId="3D5F1AE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85,2</w:t>
            </w:r>
          </w:p>
        </w:tc>
        <w:tc>
          <w:tcPr>
            <w:tcW w:w="818" w:type="dxa"/>
            <w:tcBorders>
              <w:top w:val="nil"/>
              <w:left w:val="nil"/>
              <w:bottom w:val="single" w:sz="4" w:space="0" w:color="auto"/>
              <w:right w:val="single" w:sz="4" w:space="0" w:color="auto"/>
            </w:tcBorders>
            <w:shd w:val="clear" w:color="auto" w:fill="auto"/>
            <w:vAlign w:val="center"/>
            <w:hideMark/>
          </w:tcPr>
          <w:p w14:paraId="049911C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91,6</w:t>
            </w:r>
          </w:p>
        </w:tc>
        <w:tc>
          <w:tcPr>
            <w:tcW w:w="931" w:type="dxa"/>
            <w:tcBorders>
              <w:top w:val="nil"/>
              <w:left w:val="nil"/>
              <w:bottom w:val="single" w:sz="4" w:space="0" w:color="auto"/>
              <w:right w:val="single" w:sz="4" w:space="0" w:color="auto"/>
            </w:tcBorders>
            <w:shd w:val="clear" w:color="auto" w:fill="auto"/>
            <w:vAlign w:val="center"/>
            <w:hideMark/>
          </w:tcPr>
          <w:p w14:paraId="7F4CAA2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76,8</w:t>
            </w:r>
          </w:p>
        </w:tc>
        <w:tc>
          <w:tcPr>
            <w:tcW w:w="732" w:type="dxa"/>
            <w:tcBorders>
              <w:top w:val="nil"/>
              <w:left w:val="nil"/>
              <w:bottom w:val="single" w:sz="4" w:space="0" w:color="auto"/>
              <w:right w:val="single" w:sz="4" w:space="0" w:color="auto"/>
            </w:tcBorders>
            <w:shd w:val="clear" w:color="auto" w:fill="auto"/>
            <w:vAlign w:val="center"/>
            <w:hideMark/>
          </w:tcPr>
          <w:p w14:paraId="3B29963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95,0</w:t>
            </w:r>
          </w:p>
        </w:tc>
        <w:tc>
          <w:tcPr>
            <w:tcW w:w="1016" w:type="dxa"/>
            <w:tcBorders>
              <w:top w:val="nil"/>
              <w:left w:val="nil"/>
              <w:bottom w:val="single" w:sz="4" w:space="0" w:color="auto"/>
              <w:right w:val="single" w:sz="4" w:space="0" w:color="auto"/>
            </w:tcBorders>
            <w:shd w:val="clear" w:color="auto" w:fill="auto"/>
            <w:vAlign w:val="center"/>
            <w:hideMark/>
          </w:tcPr>
          <w:p w14:paraId="45742D8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70,0</w:t>
            </w:r>
          </w:p>
        </w:tc>
        <w:tc>
          <w:tcPr>
            <w:tcW w:w="997" w:type="dxa"/>
            <w:tcBorders>
              <w:top w:val="nil"/>
              <w:left w:val="nil"/>
              <w:bottom w:val="single" w:sz="4" w:space="0" w:color="auto"/>
              <w:right w:val="single" w:sz="4" w:space="0" w:color="auto"/>
            </w:tcBorders>
            <w:shd w:val="clear" w:color="auto" w:fill="auto"/>
            <w:vAlign w:val="center"/>
            <w:hideMark/>
          </w:tcPr>
          <w:p w14:paraId="15031EF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85,8</w:t>
            </w:r>
          </w:p>
        </w:tc>
        <w:tc>
          <w:tcPr>
            <w:tcW w:w="1437" w:type="dxa"/>
            <w:tcBorders>
              <w:top w:val="nil"/>
              <w:left w:val="nil"/>
              <w:bottom w:val="single" w:sz="4" w:space="0" w:color="auto"/>
              <w:right w:val="single" w:sz="4" w:space="0" w:color="auto"/>
            </w:tcBorders>
            <w:shd w:val="clear" w:color="auto" w:fill="auto"/>
            <w:vAlign w:val="center"/>
            <w:hideMark/>
          </w:tcPr>
          <w:p w14:paraId="33C870F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92,0</w:t>
            </w:r>
          </w:p>
        </w:tc>
        <w:tc>
          <w:tcPr>
            <w:tcW w:w="1262" w:type="dxa"/>
            <w:tcBorders>
              <w:top w:val="nil"/>
              <w:left w:val="nil"/>
              <w:bottom w:val="single" w:sz="4" w:space="0" w:color="auto"/>
              <w:right w:val="single" w:sz="4" w:space="0" w:color="auto"/>
            </w:tcBorders>
            <w:shd w:val="clear" w:color="auto" w:fill="auto"/>
            <w:vAlign w:val="center"/>
            <w:hideMark/>
          </w:tcPr>
          <w:p w14:paraId="2BA21E7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79,1</w:t>
            </w:r>
          </w:p>
        </w:tc>
        <w:tc>
          <w:tcPr>
            <w:tcW w:w="1085" w:type="dxa"/>
            <w:tcBorders>
              <w:top w:val="nil"/>
              <w:left w:val="nil"/>
              <w:bottom w:val="single" w:sz="4" w:space="0" w:color="auto"/>
              <w:right w:val="single" w:sz="4" w:space="0" w:color="auto"/>
            </w:tcBorders>
            <w:shd w:val="clear" w:color="auto" w:fill="auto"/>
            <w:vAlign w:val="center"/>
            <w:hideMark/>
          </w:tcPr>
          <w:p w14:paraId="05770B8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90,5</w:t>
            </w:r>
          </w:p>
        </w:tc>
        <w:tc>
          <w:tcPr>
            <w:tcW w:w="916" w:type="dxa"/>
            <w:tcBorders>
              <w:top w:val="nil"/>
              <w:left w:val="nil"/>
              <w:bottom w:val="single" w:sz="4" w:space="0" w:color="auto"/>
              <w:right w:val="single" w:sz="4" w:space="0" w:color="auto"/>
            </w:tcBorders>
            <w:shd w:val="clear" w:color="auto" w:fill="auto"/>
            <w:vAlign w:val="center"/>
            <w:hideMark/>
          </w:tcPr>
          <w:p w14:paraId="430112A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80,1</w:t>
            </w:r>
          </w:p>
        </w:tc>
        <w:tc>
          <w:tcPr>
            <w:tcW w:w="871" w:type="dxa"/>
            <w:tcBorders>
              <w:top w:val="nil"/>
              <w:left w:val="nil"/>
              <w:bottom w:val="single" w:sz="4" w:space="0" w:color="auto"/>
              <w:right w:val="single" w:sz="4" w:space="0" w:color="auto"/>
            </w:tcBorders>
            <w:shd w:val="clear" w:color="auto" w:fill="auto"/>
            <w:vAlign w:val="center"/>
            <w:hideMark/>
          </w:tcPr>
          <w:p w14:paraId="1B3572C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91,2</w:t>
            </w:r>
          </w:p>
        </w:tc>
      </w:tr>
      <w:tr w:rsidR="00457E80" w:rsidRPr="00036538" w14:paraId="1BA6EBB5" w14:textId="77777777" w:rsidTr="00576F59">
        <w:trPr>
          <w:trHeight w:val="371"/>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5A6A6EC"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2</w:t>
            </w:r>
          </w:p>
        </w:tc>
        <w:tc>
          <w:tcPr>
            <w:tcW w:w="908" w:type="dxa"/>
            <w:tcBorders>
              <w:top w:val="nil"/>
              <w:left w:val="nil"/>
              <w:bottom w:val="single" w:sz="4" w:space="0" w:color="auto"/>
              <w:right w:val="single" w:sz="4" w:space="0" w:color="auto"/>
            </w:tcBorders>
            <w:shd w:val="clear" w:color="auto" w:fill="auto"/>
            <w:vAlign w:val="bottom"/>
            <w:hideMark/>
          </w:tcPr>
          <w:p w14:paraId="655E568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Лондон</w:t>
            </w:r>
          </w:p>
        </w:tc>
        <w:tc>
          <w:tcPr>
            <w:tcW w:w="1028" w:type="dxa"/>
            <w:tcBorders>
              <w:top w:val="nil"/>
              <w:left w:val="nil"/>
              <w:bottom w:val="single" w:sz="4" w:space="0" w:color="auto"/>
              <w:right w:val="single" w:sz="4" w:space="0" w:color="auto"/>
            </w:tcBorders>
            <w:shd w:val="clear" w:color="auto" w:fill="auto"/>
            <w:vAlign w:val="bottom"/>
            <w:hideMark/>
          </w:tcPr>
          <w:p w14:paraId="6F29FB4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Великобритания</w:t>
            </w:r>
          </w:p>
        </w:tc>
        <w:tc>
          <w:tcPr>
            <w:tcW w:w="612" w:type="dxa"/>
            <w:tcBorders>
              <w:top w:val="nil"/>
              <w:left w:val="nil"/>
              <w:bottom w:val="single" w:sz="4" w:space="0" w:color="auto"/>
              <w:right w:val="single" w:sz="4" w:space="0" w:color="auto"/>
            </w:tcBorders>
            <w:shd w:val="clear" w:color="000000" w:fill="92D050"/>
            <w:vAlign w:val="center"/>
            <w:hideMark/>
          </w:tcPr>
          <w:p w14:paraId="389A30F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742</w:t>
            </w:r>
          </w:p>
        </w:tc>
        <w:tc>
          <w:tcPr>
            <w:tcW w:w="1145" w:type="dxa"/>
            <w:tcBorders>
              <w:top w:val="nil"/>
              <w:left w:val="nil"/>
              <w:bottom w:val="single" w:sz="4" w:space="0" w:color="auto"/>
              <w:right w:val="single" w:sz="4" w:space="0" w:color="auto"/>
            </w:tcBorders>
            <w:shd w:val="clear" w:color="auto" w:fill="auto"/>
            <w:vAlign w:val="center"/>
            <w:hideMark/>
          </w:tcPr>
          <w:p w14:paraId="0E54F036"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Kingdom</w:t>
            </w:r>
          </w:p>
        </w:tc>
        <w:tc>
          <w:tcPr>
            <w:tcW w:w="612" w:type="dxa"/>
            <w:tcBorders>
              <w:top w:val="nil"/>
              <w:left w:val="nil"/>
              <w:bottom w:val="single" w:sz="4" w:space="0" w:color="auto"/>
              <w:right w:val="single" w:sz="4" w:space="0" w:color="auto"/>
            </w:tcBorders>
            <w:shd w:val="clear" w:color="auto" w:fill="auto"/>
            <w:vAlign w:val="center"/>
            <w:hideMark/>
          </w:tcPr>
          <w:p w14:paraId="6B900CD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83,5</w:t>
            </w:r>
          </w:p>
        </w:tc>
        <w:tc>
          <w:tcPr>
            <w:tcW w:w="818" w:type="dxa"/>
            <w:tcBorders>
              <w:top w:val="nil"/>
              <w:left w:val="nil"/>
              <w:bottom w:val="single" w:sz="4" w:space="0" w:color="auto"/>
              <w:right w:val="single" w:sz="4" w:space="0" w:color="auto"/>
            </w:tcBorders>
            <w:shd w:val="clear" w:color="auto" w:fill="auto"/>
            <w:vAlign w:val="center"/>
            <w:hideMark/>
          </w:tcPr>
          <w:p w14:paraId="1049DAB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94,6</w:t>
            </w:r>
          </w:p>
        </w:tc>
        <w:tc>
          <w:tcPr>
            <w:tcW w:w="931" w:type="dxa"/>
            <w:tcBorders>
              <w:top w:val="nil"/>
              <w:left w:val="nil"/>
              <w:bottom w:val="single" w:sz="4" w:space="0" w:color="auto"/>
              <w:right w:val="single" w:sz="4" w:space="0" w:color="auto"/>
            </w:tcBorders>
            <w:shd w:val="clear" w:color="auto" w:fill="auto"/>
            <w:vAlign w:val="center"/>
            <w:hideMark/>
          </w:tcPr>
          <w:p w14:paraId="7C5972E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0E99030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1F14C1C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7A5B0AF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86,2</w:t>
            </w:r>
          </w:p>
        </w:tc>
        <w:tc>
          <w:tcPr>
            <w:tcW w:w="1437" w:type="dxa"/>
            <w:tcBorders>
              <w:top w:val="nil"/>
              <w:left w:val="nil"/>
              <w:bottom w:val="single" w:sz="4" w:space="0" w:color="auto"/>
              <w:right w:val="single" w:sz="4" w:space="0" w:color="auto"/>
            </w:tcBorders>
            <w:shd w:val="clear" w:color="auto" w:fill="auto"/>
            <w:vAlign w:val="center"/>
            <w:hideMark/>
          </w:tcPr>
          <w:p w14:paraId="11C19D5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93,8</w:t>
            </w:r>
          </w:p>
        </w:tc>
        <w:tc>
          <w:tcPr>
            <w:tcW w:w="1262" w:type="dxa"/>
            <w:tcBorders>
              <w:top w:val="nil"/>
              <w:left w:val="nil"/>
              <w:bottom w:val="single" w:sz="4" w:space="0" w:color="auto"/>
              <w:right w:val="single" w:sz="4" w:space="0" w:color="auto"/>
            </w:tcBorders>
            <w:shd w:val="clear" w:color="auto" w:fill="auto"/>
            <w:vAlign w:val="center"/>
            <w:hideMark/>
          </w:tcPr>
          <w:p w14:paraId="4BBE288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68,7</w:t>
            </w:r>
          </w:p>
        </w:tc>
        <w:tc>
          <w:tcPr>
            <w:tcW w:w="1085" w:type="dxa"/>
            <w:tcBorders>
              <w:top w:val="nil"/>
              <w:left w:val="nil"/>
              <w:bottom w:val="single" w:sz="4" w:space="0" w:color="auto"/>
              <w:right w:val="single" w:sz="4" w:space="0" w:color="auto"/>
            </w:tcBorders>
            <w:shd w:val="clear" w:color="auto" w:fill="auto"/>
            <w:vAlign w:val="center"/>
            <w:hideMark/>
          </w:tcPr>
          <w:p w14:paraId="5925FB5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916" w:type="dxa"/>
            <w:tcBorders>
              <w:top w:val="nil"/>
              <w:left w:val="nil"/>
              <w:bottom w:val="single" w:sz="4" w:space="0" w:color="auto"/>
              <w:right w:val="single" w:sz="4" w:space="0" w:color="auto"/>
            </w:tcBorders>
            <w:shd w:val="clear" w:color="auto" w:fill="auto"/>
            <w:vAlign w:val="center"/>
            <w:hideMark/>
          </w:tcPr>
          <w:p w14:paraId="212918B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871" w:type="dxa"/>
            <w:tcBorders>
              <w:top w:val="nil"/>
              <w:left w:val="nil"/>
              <w:bottom w:val="single" w:sz="4" w:space="0" w:color="auto"/>
              <w:right w:val="single" w:sz="4" w:space="0" w:color="auto"/>
            </w:tcBorders>
            <w:shd w:val="clear" w:color="auto" w:fill="auto"/>
            <w:vAlign w:val="center"/>
            <w:hideMark/>
          </w:tcPr>
          <w:p w14:paraId="40A52C7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96,9</w:t>
            </w:r>
          </w:p>
        </w:tc>
      </w:tr>
      <w:tr w:rsidR="00457E80" w:rsidRPr="00036538" w14:paraId="55FBAA57" w14:textId="77777777" w:rsidTr="00576F59">
        <w:trPr>
          <w:trHeight w:val="278"/>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DAD2D82"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3</w:t>
            </w:r>
          </w:p>
        </w:tc>
        <w:tc>
          <w:tcPr>
            <w:tcW w:w="908" w:type="dxa"/>
            <w:tcBorders>
              <w:top w:val="nil"/>
              <w:left w:val="nil"/>
              <w:bottom w:val="single" w:sz="4" w:space="0" w:color="auto"/>
              <w:right w:val="single" w:sz="4" w:space="0" w:color="auto"/>
            </w:tcBorders>
            <w:shd w:val="clear" w:color="auto" w:fill="auto"/>
            <w:vAlign w:val="bottom"/>
            <w:hideMark/>
          </w:tcPr>
          <w:p w14:paraId="27B7BB41"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Токио</w:t>
            </w:r>
          </w:p>
        </w:tc>
        <w:tc>
          <w:tcPr>
            <w:tcW w:w="1028" w:type="dxa"/>
            <w:tcBorders>
              <w:top w:val="nil"/>
              <w:left w:val="nil"/>
              <w:bottom w:val="single" w:sz="4" w:space="0" w:color="auto"/>
              <w:right w:val="single" w:sz="4" w:space="0" w:color="auto"/>
            </w:tcBorders>
            <w:shd w:val="clear" w:color="auto" w:fill="auto"/>
            <w:vAlign w:val="bottom"/>
            <w:hideMark/>
          </w:tcPr>
          <w:p w14:paraId="4E977D2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Япония</w:t>
            </w:r>
          </w:p>
        </w:tc>
        <w:tc>
          <w:tcPr>
            <w:tcW w:w="612" w:type="dxa"/>
            <w:tcBorders>
              <w:top w:val="nil"/>
              <w:left w:val="nil"/>
              <w:bottom w:val="single" w:sz="4" w:space="0" w:color="auto"/>
              <w:right w:val="single" w:sz="4" w:space="0" w:color="auto"/>
            </w:tcBorders>
            <w:shd w:val="clear" w:color="000000" w:fill="92D050"/>
            <w:vAlign w:val="center"/>
            <w:hideMark/>
          </w:tcPr>
          <w:p w14:paraId="24A971D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741</w:t>
            </w:r>
          </w:p>
        </w:tc>
        <w:tc>
          <w:tcPr>
            <w:tcW w:w="1145" w:type="dxa"/>
            <w:tcBorders>
              <w:top w:val="nil"/>
              <w:left w:val="nil"/>
              <w:bottom w:val="single" w:sz="4" w:space="0" w:color="auto"/>
              <w:right w:val="single" w:sz="4" w:space="0" w:color="auto"/>
            </w:tcBorders>
            <w:shd w:val="clear" w:color="auto" w:fill="auto"/>
            <w:vAlign w:val="center"/>
            <w:hideMark/>
          </w:tcPr>
          <w:p w14:paraId="13817783"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Japan Tokyo</w:t>
            </w:r>
          </w:p>
        </w:tc>
        <w:tc>
          <w:tcPr>
            <w:tcW w:w="612" w:type="dxa"/>
            <w:tcBorders>
              <w:top w:val="nil"/>
              <w:left w:val="nil"/>
              <w:bottom w:val="single" w:sz="4" w:space="0" w:color="auto"/>
              <w:right w:val="single" w:sz="4" w:space="0" w:color="auto"/>
            </w:tcBorders>
            <w:shd w:val="clear" w:color="auto" w:fill="auto"/>
            <w:vAlign w:val="center"/>
            <w:hideMark/>
          </w:tcPr>
          <w:p w14:paraId="68D2A2B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77,8</w:t>
            </w:r>
          </w:p>
        </w:tc>
        <w:tc>
          <w:tcPr>
            <w:tcW w:w="818" w:type="dxa"/>
            <w:tcBorders>
              <w:top w:val="nil"/>
              <w:left w:val="nil"/>
              <w:bottom w:val="single" w:sz="4" w:space="0" w:color="auto"/>
              <w:right w:val="single" w:sz="4" w:space="0" w:color="auto"/>
            </w:tcBorders>
            <w:shd w:val="clear" w:color="auto" w:fill="auto"/>
            <w:vAlign w:val="center"/>
            <w:hideMark/>
          </w:tcPr>
          <w:p w14:paraId="73B96DA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86,0</w:t>
            </w:r>
          </w:p>
        </w:tc>
        <w:tc>
          <w:tcPr>
            <w:tcW w:w="931" w:type="dxa"/>
            <w:tcBorders>
              <w:top w:val="nil"/>
              <w:left w:val="nil"/>
              <w:bottom w:val="single" w:sz="4" w:space="0" w:color="auto"/>
              <w:right w:val="single" w:sz="4" w:space="0" w:color="auto"/>
            </w:tcBorders>
            <w:shd w:val="clear" w:color="auto" w:fill="auto"/>
            <w:vAlign w:val="center"/>
            <w:hideMark/>
          </w:tcPr>
          <w:p w14:paraId="2BB0360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75,6</w:t>
            </w:r>
          </w:p>
        </w:tc>
        <w:tc>
          <w:tcPr>
            <w:tcW w:w="732" w:type="dxa"/>
            <w:tcBorders>
              <w:top w:val="nil"/>
              <w:left w:val="nil"/>
              <w:bottom w:val="single" w:sz="4" w:space="0" w:color="auto"/>
              <w:right w:val="single" w:sz="4" w:space="0" w:color="auto"/>
            </w:tcBorders>
            <w:shd w:val="clear" w:color="auto" w:fill="auto"/>
            <w:vAlign w:val="center"/>
            <w:hideMark/>
          </w:tcPr>
          <w:p w14:paraId="2214569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0149FE3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64,0</w:t>
            </w:r>
          </w:p>
        </w:tc>
        <w:tc>
          <w:tcPr>
            <w:tcW w:w="997" w:type="dxa"/>
            <w:tcBorders>
              <w:top w:val="nil"/>
              <w:left w:val="nil"/>
              <w:bottom w:val="single" w:sz="4" w:space="0" w:color="auto"/>
              <w:right w:val="single" w:sz="4" w:space="0" w:color="auto"/>
            </w:tcBorders>
            <w:shd w:val="clear" w:color="auto" w:fill="auto"/>
            <w:vAlign w:val="center"/>
            <w:hideMark/>
          </w:tcPr>
          <w:p w14:paraId="0EA9B83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81,6</w:t>
            </w:r>
          </w:p>
        </w:tc>
        <w:tc>
          <w:tcPr>
            <w:tcW w:w="1437" w:type="dxa"/>
            <w:tcBorders>
              <w:top w:val="nil"/>
              <w:left w:val="nil"/>
              <w:bottom w:val="single" w:sz="4" w:space="0" w:color="auto"/>
              <w:right w:val="single" w:sz="4" w:space="0" w:color="auto"/>
            </w:tcBorders>
            <w:shd w:val="clear" w:color="auto" w:fill="auto"/>
            <w:vAlign w:val="center"/>
            <w:hideMark/>
          </w:tcPr>
          <w:p w14:paraId="200D70C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86,3</w:t>
            </w:r>
          </w:p>
        </w:tc>
        <w:tc>
          <w:tcPr>
            <w:tcW w:w="1262" w:type="dxa"/>
            <w:tcBorders>
              <w:top w:val="nil"/>
              <w:left w:val="nil"/>
              <w:bottom w:val="single" w:sz="4" w:space="0" w:color="auto"/>
              <w:right w:val="single" w:sz="4" w:space="0" w:color="auto"/>
            </w:tcBorders>
            <w:shd w:val="clear" w:color="auto" w:fill="auto"/>
            <w:vAlign w:val="center"/>
            <w:hideMark/>
          </w:tcPr>
          <w:p w14:paraId="3EAC29E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65,3</w:t>
            </w:r>
          </w:p>
        </w:tc>
        <w:tc>
          <w:tcPr>
            <w:tcW w:w="1085" w:type="dxa"/>
            <w:tcBorders>
              <w:top w:val="nil"/>
              <w:left w:val="nil"/>
              <w:bottom w:val="single" w:sz="4" w:space="0" w:color="auto"/>
              <w:right w:val="single" w:sz="4" w:space="0" w:color="auto"/>
            </w:tcBorders>
            <w:shd w:val="clear" w:color="auto" w:fill="auto"/>
            <w:vAlign w:val="center"/>
            <w:hideMark/>
          </w:tcPr>
          <w:p w14:paraId="6DCFFCB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90,0</w:t>
            </w:r>
          </w:p>
        </w:tc>
        <w:tc>
          <w:tcPr>
            <w:tcW w:w="916" w:type="dxa"/>
            <w:tcBorders>
              <w:top w:val="nil"/>
              <w:left w:val="nil"/>
              <w:bottom w:val="single" w:sz="4" w:space="0" w:color="auto"/>
              <w:right w:val="single" w:sz="4" w:space="0" w:color="auto"/>
            </w:tcBorders>
            <w:shd w:val="clear" w:color="auto" w:fill="auto"/>
            <w:vAlign w:val="center"/>
            <w:hideMark/>
          </w:tcPr>
          <w:p w14:paraId="5F1FA5D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83,1</w:t>
            </w:r>
          </w:p>
        </w:tc>
        <w:tc>
          <w:tcPr>
            <w:tcW w:w="871" w:type="dxa"/>
            <w:tcBorders>
              <w:top w:val="nil"/>
              <w:left w:val="nil"/>
              <w:bottom w:val="single" w:sz="4" w:space="0" w:color="auto"/>
              <w:right w:val="single" w:sz="4" w:space="0" w:color="auto"/>
            </w:tcBorders>
            <w:shd w:val="clear" w:color="auto" w:fill="auto"/>
            <w:vAlign w:val="center"/>
            <w:hideMark/>
          </w:tcPr>
          <w:p w14:paraId="5C2A188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90,7</w:t>
            </w:r>
          </w:p>
        </w:tc>
      </w:tr>
      <w:tr w:rsidR="00457E80" w:rsidRPr="00036538" w14:paraId="7100BC0F" w14:textId="77777777" w:rsidTr="00576F59">
        <w:trPr>
          <w:trHeight w:val="267"/>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2C2A765"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4</w:t>
            </w:r>
          </w:p>
        </w:tc>
        <w:tc>
          <w:tcPr>
            <w:tcW w:w="908" w:type="dxa"/>
            <w:tcBorders>
              <w:top w:val="nil"/>
              <w:left w:val="nil"/>
              <w:bottom w:val="single" w:sz="4" w:space="0" w:color="auto"/>
              <w:right w:val="single" w:sz="4" w:space="0" w:color="auto"/>
            </w:tcBorders>
            <w:shd w:val="clear" w:color="auto" w:fill="auto"/>
            <w:vAlign w:val="bottom"/>
            <w:hideMark/>
          </w:tcPr>
          <w:p w14:paraId="709C94B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Шанхай</w:t>
            </w:r>
          </w:p>
        </w:tc>
        <w:tc>
          <w:tcPr>
            <w:tcW w:w="1028" w:type="dxa"/>
            <w:tcBorders>
              <w:top w:val="nil"/>
              <w:left w:val="nil"/>
              <w:bottom w:val="single" w:sz="4" w:space="0" w:color="auto"/>
              <w:right w:val="single" w:sz="4" w:space="0" w:color="auto"/>
            </w:tcBorders>
            <w:shd w:val="clear" w:color="auto" w:fill="auto"/>
            <w:vAlign w:val="bottom"/>
            <w:hideMark/>
          </w:tcPr>
          <w:p w14:paraId="42025E8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Китай</w:t>
            </w:r>
          </w:p>
        </w:tc>
        <w:tc>
          <w:tcPr>
            <w:tcW w:w="612" w:type="dxa"/>
            <w:tcBorders>
              <w:top w:val="nil"/>
              <w:left w:val="nil"/>
              <w:bottom w:val="single" w:sz="4" w:space="0" w:color="auto"/>
              <w:right w:val="single" w:sz="4" w:space="0" w:color="auto"/>
            </w:tcBorders>
            <w:shd w:val="clear" w:color="000000" w:fill="92D050"/>
            <w:vAlign w:val="center"/>
            <w:hideMark/>
          </w:tcPr>
          <w:p w14:paraId="6FF1AC2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740</w:t>
            </w:r>
          </w:p>
        </w:tc>
        <w:tc>
          <w:tcPr>
            <w:tcW w:w="1145" w:type="dxa"/>
            <w:tcBorders>
              <w:top w:val="nil"/>
              <w:left w:val="nil"/>
              <w:bottom w:val="single" w:sz="4" w:space="0" w:color="auto"/>
              <w:right w:val="single" w:sz="4" w:space="0" w:color="auto"/>
            </w:tcBorders>
            <w:shd w:val="clear" w:color="auto" w:fill="auto"/>
            <w:vAlign w:val="center"/>
            <w:hideMark/>
          </w:tcPr>
          <w:p w14:paraId="2566FE3C"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China Shanghai</w:t>
            </w:r>
          </w:p>
        </w:tc>
        <w:tc>
          <w:tcPr>
            <w:tcW w:w="612" w:type="dxa"/>
            <w:tcBorders>
              <w:top w:val="nil"/>
              <w:left w:val="nil"/>
              <w:bottom w:val="single" w:sz="4" w:space="0" w:color="auto"/>
              <w:right w:val="single" w:sz="4" w:space="0" w:color="auto"/>
            </w:tcBorders>
            <w:shd w:val="clear" w:color="auto" w:fill="auto"/>
            <w:vAlign w:val="center"/>
            <w:hideMark/>
          </w:tcPr>
          <w:p w14:paraId="7B340D2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77,0</w:t>
            </w:r>
          </w:p>
        </w:tc>
        <w:tc>
          <w:tcPr>
            <w:tcW w:w="818" w:type="dxa"/>
            <w:tcBorders>
              <w:top w:val="nil"/>
              <w:left w:val="nil"/>
              <w:bottom w:val="single" w:sz="4" w:space="0" w:color="auto"/>
              <w:right w:val="single" w:sz="4" w:space="0" w:color="auto"/>
            </w:tcBorders>
            <w:shd w:val="clear" w:color="auto" w:fill="auto"/>
            <w:vAlign w:val="center"/>
            <w:hideMark/>
          </w:tcPr>
          <w:p w14:paraId="16E9645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91,8</w:t>
            </w:r>
          </w:p>
        </w:tc>
        <w:tc>
          <w:tcPr>
            <w:tcW w:w="931" w:type="dxa"/>
            <w:tcBorders>
              <w:top w:val="nil"/>
              <w:left w:val="nil"/>
              <w:bottom w:val="single" w:sz="4" w:space="0" w:color="auto"/>
              <w:right w:val="single" w:sz="4" w:space="0" w:color="auto"/>
            </w:tcBorders>
            <w:shd w:val="clear" w:color="auto" w:fill="auto"/>
            <w:vAlign w:val="center"/>
            <w:hideMark/>
          </w:tcPr>
          <w:p w14:paraId="12BB291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79,7</w:t>
            </w:r>
          </w:p>
        </w:tc>
        <w:tc>
          <w:tcPr>
            <w:tcW w:w="732" w:type="dxa"/>
            <w:tcBorders>
              <w:top w:val="nil"/>
              <w:left w:val="nil"/>
              <w:bottom w:val="single" w:sz="4" w:space="0" w:color="auto"/>
              <w:right w:val="single" w:sz="4" w:space="0" w:color="auto"/>
            </w:tcBorders>
            <w:shd w:val="clear" w:color="auto" w:fill="auto"/>
            <w:vAlign w:val="center"/>
            <w:hideMark/>
          </w:tcPr>
          <w:p w14:paraId="3122FAE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2600D46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08E039E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68,7</w:t>
            </w:r>
          </w:p>
        </w:tc>
        <w:tc>
          <w:tcPr>
            <w:tcW w:w="1437" w:type="dxa"/>
            <w:tcBorders>
              <w:top w:val="nil"/>
              <w:left w:val="nil"/>
              <w:bottom w:val="single" w:sz="4" w:space="0" w:color="auto"/>
              <w:right w:val="single" w:sz="4" w:space="0" w:color="auto"/>
            </w:tcBorders>
            <w:shd w:val="clear" w:color="auto" w:fill="auto"/>
            <w:vAlign w:val="center"/>
            <w:hideMark/>
          </w:tcPr>
          <w:p w14:paraId="1D19E9E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87,2</w:t>
            </w:r>
          </w:p>
        </w:tc>
        <w:tc>
          <w:tcPr>
            <w:tcW w:w="1262" w:type="dxa"/>
            <w:tcBorders>
              <w:top w:val="nil"/>
              <w:left w:val="nil"/>
              <w:bottom w:val="single" w:sz="4" w:space="0" w:color="auto"/>
              <w:right w:val="single" w:sz="4" w:space="0" w:color="auto"/>
            </w:tcBorders>
            <w:shd w:val="clear" w:color="auto" w:fill="auto"/>
            <w:vAlign w:val="center"/>
            <w:hideMark/>
          </w:tcPr>
          <w:p w14:paraId="062FD38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81,6</w:t>
            </w:r>
          </w:p>
        </w:tc>
        <w:tc>
          <w:tcPr>
            <w:tcW w:w="1085" w:type="dxa"/>
            <w:tcBorders>
              <w:top w:val="nil"/>
              <w:left w:val="nil"/>
              <w:bottom w:val="single" w:sz="4" w:space="0" w:color="auto"/>
              <w:right w:val="single" w:sz="4" w:space="0" w:color="auto"/>
            </w:tcBorders>
            <w:shd w:val="clear" w:color="auto" w:fill="auto"/>
            <w:vAlign w:val="center"/>
            <w:hideMark/>
          </w:tcPr>
          <w:p w14:paraId="73D1F4B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62,1</w:t>
            </w:r>
          </w:p>
        </w:tc>
        <w:tc>
          <w:tcPr>
            <w:tcW w:w="916" w:type="dxa"/>
            <w:tcBorders>
              <w:top w:val="nil"/>
              <w:left w:val="nil"/>
              <w:bottom w:val="single" w:sz="4" w:space="0" w:color="auto"/>
              <w:right w:val="single" w:sz="4" w:space="0" w:color="auto"/>
            </w:tcBorders>
            <w:shd w:val="clear" w:color="auto" w:fill="auto"/>
            <w:vAlign w:val="center"/>
            <w:hideMark/>
          </w:tcPr>
          <w:p w14:paraId="58A6368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77,0</w:t>
            </w:r>
          </w:p>
        </w:tc>
        <w:tc>
          <w:tcPr>
            <w:tcW w:w="871" w:type="dxa"/>
            <w:tcBorders>
              <w:top w:val="nil"/>
              <w:left w:val="nil"/>
              <w:bottom w:val="single" w:sz="4" w:space="0" w:color="auto"/>
              <w:right w:val="single" w:sz="4" w:space="0" w:color="auto"/>
            </w:tcBorders>
            <w:shd w:val="clear" w:color="auto" w:fill="auto"/>
            <w:vAlign w:val="center"/>
            <w:hideMark/>
          </w:tcPr>
          <w:p w14:paraId="7B8679E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95,4</w:t>
            </w:r>
          </w:p>
        </w:tc>
      </w:tr>
      <w:tr w:rsidR="00457E80" w:rsidRPr="00036538" w14:paraId="4F920565" w14:textId="77777777" w:rsidTr="00576F59">
        <w:trPr>
          <w:trHeight w:val="286"/>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43B7D91"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5</w:t>
            </w:r>
          </w:p>
        </w:tc>
        <w:tc>
          <w:tcPr>
            <w:tcW w:w="908" w:type="dxa"/>
            <w:tcBorders>
              <w:top w:val="nil"/>
              <w:left w:val="nil"/>
              <w:bottom w:val="single" w:sz="4" w:space="0" w:color="auto"/>
              <w:right w:val="single" w:sz="4" w:space="0" w:color="auto"/>
            </w:tcBorders>
            <w:shd w:val="clear" w:color="auto" w:fill="auto"/>
            <w:vAlign w:val="bottom"/>
            <w:hideMark/>
          </w:tcPr>
          <w:p w14:paraId="394CEFB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Сингапур</w:t>
            </w:r>
          </w:p>
        </w:tc>
        <w:tc>
          <w:tcPr>
            <w:tcW w:w="1028" w:type="dxa"/>
            <w:tcBorders>
              <w:top w:val="nil"/>
              <w:left w:val="nil"/>
              <w:bottom w:val="single" w:sz="4" w:space="0" w:color="auto"/>
              <w:right w:val="single" w:sz="4" w:space="0" w:color="auto"/>
            </w:tcBorders>
            <w:shd w:val="clear" w:color="auto" w:fill="auto"/>
            <w:vAlign w:val="bottom"/>
            <w:hideMark/>
          </w:tcPr>
          <w:p w14:paraId="57959A6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Сингапур</w:t>
            </w:r>
          </w:p>
        </w:tc>
        <w:tc>
          <w:tcPr>
            <w:tcW w:w="612" w:type="dxa"/>
            <w:tcBorders>
              <w:top w:val="nil"/>
              <w:left w:val="nil"/>
              <w:bottom w:val="single" w:sz="4" w:space="0" w:color="auto"/>
              <w:right w:val="single" w:sz="4" w:space="0" w:color="auto"/>
            </w:tcBorders>
            <w:shd w:val="clear" w:color="000000" w:fill="92D050"/>
            <w:vAlign w:val="center"/>
            <w:hideMark/>
          </w:tcPr>
          <w:p w14:paraId="2151F1A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738</w:t>
            </w:r>
          </w:p>
        </w:tc>
        <w:tc>
          <w:tcPr>
            <w:tcW w:w="1145" w:type="dxa"/>
            <w:tcBorders>
              <w:top w:val="nil"/>
              <w:left w:val="nil"/>
              <w:bottom w:val="single" w:sz="4" w:space="0" w:color="auto"/>
              <w:right w:val="single" w:sz="4" w:space="0" w:color="auto"/>
            </w:tcBorders>
            <w:shd w:val="clear" w:color="auto" w:fill="auto"/>
            <w:vAlign w:val="center"/>
            <w:hideMark/>
          </w:tcPr>
          <w:p w14:paraId="5FAFA9DE"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Singapore</w:t>
            </w:r>
          </w:p>
        </w:tc>
        <w:tc>
          <w:tcPr>
            <w:tcW w:w="612" w:type="dxa"/>
            <w:tcBorders>
              <w:top w:val="nil"/>
              <w:left w:val="nil"/>
              <w:bottom w:val="single" w:sz="4" w:space="0" w:color="auto"/>
              <w:right w:val="single" w:sz="4" w:space="0" w:color="auto"/>
            </w:tcBorders>
            <w:shd w:val="clear" w:color="auto" w:fill="auto"/>
            <w:vAlign w:val="center"/>
            <w:hideMark/>
          </w:tcPr>
          <w:p w14:paraId="7114979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86,2</w:t>
            </w:r>
          </w:p>
        </w:tc>
        <w:tc>
          <w:tcPr>
            <w:tcW w:w="818" w:type="dxa"/>
            <w:tcBorders>
              <w:top w:val="nil"/>
              <w:left w:val="nil"/>
              <w:bottom w:val="single" w:sz="4" w:space="0" w:color="auto"/>
              <w:right w:val="single" w:sz="4" w:space="0" w:color="auto"/>
            </w:tcBorders>
            <w:shd w:val="clear" w:color="auto" w:fill="auto"/>
            <w:vAlign w:val="center"/>
            <w:hideMark/>
          </w:tcPr>
          <w:p w14:paraId="3E07816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98,2</w:t>
            </w:r>
          </w:p>
        </w:tc>
        <w:tc>
          <w:tcPr>
            <w:tcW w:w="931" w:type="dxa"/>
            <w:tcBorders>
              <w:top w:val="nil"/>
              <w:left w:val="nil"/>
              <w:bottom w:val="single" w:sz="4" w:space="0" w:color="auto"/>
              <w:right w:val="single" w:sz="4" w:space="0" w:color="auto"/>
            </w:tcBorders>
            <w:shd w:val="clear" w:color="auto" w:fill="auto"/>
            <w:vAlign w:val="center"/>
            <w:hideMark/>
          </w:tcPr>
          <w:p w14:paraId="40FCEDD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83,1</w:t>
            </w:r>
          </w:p>
        </w:tc>
        <w:tc>
          <w:tcPr>
            <w:tcW w:w="732" w:type="dxa"/>
            <w:tcBorders>
              <w:top w:val="nil"/>
              <w:left w:val="nil"/>
              <w:bottom w:val="single" w:sz="4" w:space="0" w:color="auto"/>
              <w:right w:val="single" w:sz="4" w:space="0" w:color="auto"/>
            </w:tcBorders>
            <w:shd w:val="clear" w:color="auto" w:fill="auto"/>
            <w:vAlign w:val="center"/>
            <w:hideMark/>
          </w:tcPr>
          <w:p w14:paraId="423E2B2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66093D6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86,0</w:t>
            </w:r>
          </w:p>
        </w:tc>
        <w:tc>
          <w:tcPr>
            <w:tcW w:w="997" w:type="dxa"/>
            <w:tcBorders>
              <w:top w:val="nil"/>
              <w:left w:val="nil"/>
              <w:bottom w:val="single" w:sz="4" w:space="0" w:color="auto"/>
              <w:right w:val="single" w:sz="4" w:space="0" w:color="auto"/>
            </w:tcBorders>
            <w:shd w:val="clear" w:color="auto" w:fill="auto"/>
            <w:vAlign w:val="center"/>
            <w:hideMark/>
          </w:tcPr>
          <w:p w14:paraId="0B86271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91,6</w:t>
            </w:r>
          </w:p>
        </w:tc>
        <w:tc>
          <w:tcPr>
            <w:tcW w:w="1437" w:type="dxa"/>
            <w:tcBorders>
              <w:top w:val="nil"/>
              <w:left w:val="nil"/>
              <w:bottom w:val="single" w:sz="4" w:space="0" w:color="auto"/>
              <w:right w:val="single" w:sz="4" w:space="0" w:color="auto"/>
            </w:tcBorders>
            <w:shd w:val="clear" w:color="auto" w:fill="auto"/>
            <w:vAlign w:val="center"/>
            <w:hideMark/>
          </w:tcPr>
          <w:p w14:paraId="3495479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89,6</w:t>
            </w:r>
          </w:p>
        </w:tc>
        <w:tc>
          <w:tcPr>
            <w:tcW w:w="1262" w:type="dxa"/>
            <w:tcBorders>
              <w:top w:val="nil"/>
              <w:left w:val="nil"/>
              <w:bottom w:val="single" w:sz="4" w:space="0" w:color="auto"/>
              <w:right w:val="single" w:sz="4" w:space="0" w:color="auto"/>
            </w:tcBorders>
            <w:shd w:val="clear" w:color="auto" w:fill="auto"/>
            <w:vAlign w:val="center"/>
            <w:hideMark/>
          </w:tcPr>
          <w:p w14:paraId="5DE816D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84,5</w:t>
            </w:r>
          </w:p>
        </w:tc>
        <w:tc>
          <w:tcPr>
            <w:tcW w:w="1085" w:type="dxa"/>
            <w:tcBorders>
              <w:top w:val="nil"/>
              <w:left w:val="nil"/>
              <w:bottom w:val="single" w:sz="4" w:space="0" w:color="auto"/>
              <w:right w:val="single" w:sz="4" w:space="0" w:color="auto"/>
            </w:tcBorders>
            <w:shd w:val="clear" w:color="auto" w:fill="auto"/>
            <w:vAlign w:val="center"/>
            <w:hideMark/>
          </w:tcPr>
          <w:p w14:paraId="2BC2002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74,3</w:t>
            </w:r>
          </w:p>
        </w:tc>
        <w:tc>
          <w:tcPr>
            <w:tcW w:w="916" w:type="dxa"/>
            <w:tcBorders>
              <w:top w:val="nil"/>
              <w:left w:val="nil"/>
              <w:bottom w:val="single" w:sz="4" w:space="0" w:color="auto"/>
              <w:right w:val="single" w:sz="4" w:space="0" w:color="auto"/>
            </w:tcBorders>
            <w:shd w:val="clear" w:color="auto" w:fill="auto"/>
            <w:vAlign w:val="center"/>
            <w:hideMark/>
          </w:tcPr>
          <w:p w14:paraId="4C8D29F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87,9</w:t>
            </w:r>
          </w:p>
        </w:tc>
        <w:tc>
          <w:tcPr>
            <w:tcW w:w="871" w:type="dxa"/>
            <w:tcBorders>
              <w:top w:val="nil"/>
              <w:left w:val="nil"/>
              <w:bottom w:val="single" w:sz="4" w:space="0" w:color="auto"/>
              <w:right w:val="single" w:sz="4" w:space="0" w:color="auto"/>
            </w:tcBorders>
            <w:shd w:val="clear" w:color="auto" w:fill="auto"/>
            <w:vAlign w:val="center"/>
            <w:hideMark/>
          </w:tcPr>
          <w:p w14:paraId="5E8FD95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91,8</w:t>
            </w:r>
          </w:p>
        </w:tc>
      </w:tr>
      <w:tr w:rsidR="00457E80" w:rsidRPr="00036538" w14:paraId="0C82B349" w14:textId="77777777" w:rsidTr="00576F59">
        <w:trPr>
          <w:trHeight w:val="275"/>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FE5DA45"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6</w:t>
            </w:r>
          </w:p>
        </w:tc>
        <w:tc>
          <w:tcPr>
            <w:tcW w:w="908" w:type="dxa"/>
            <w:tcBorders>
              <w:top w:val="nil"/>
              <w:left w:val="nil"/>
              <w:bottom w:val="single" w:sz="4" w:space="0" w:color="auto"/>
              <w:right w:val="single" w:sz="4" w:space="0" w:color="auto"/>
            </w:tcBorders>
            <w:shd w:val="clear" w:color="auto" w:fill="auto"/>
            <w:vAlign w:val="bottom"/>
            <w:hideMark/>
          </w:tcPr>
          <w:p w14:paraId="1FF3561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Гонконг</w:t>
            </w:r>
          </w:p>
        </w:tc>
        <w:tc>
          <w:tcPr>
            <w:tcW w:w="1028" w:type="dxa"/>
            <w:tcBorders>
              <w:top w:val="nil"/>
              <w:left w:val="nil"/>
              <w:bottom w:val="single" w:sz="4" w:space="0" w:color="auto"/>
              <w:right w:val="single" w:sz="4" w:space="0" w:color="auto"/>
            </w:tcBorders>
            <w:shd w:val="clear" w:color="auto" w:fill="auto"/>
            <w:vAlign w:val="bottom"/>
            <w:hideMark/>
          </w:tcPr>
          <w:p w14:paraId="553AA611"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Китай</w:t>
            </w:r>
          </w:p>
        </w:tc>
        <w:tc>
          <w:tcPr>
            <w:tcW w:w="612" w:type="dxa"/>
            <w:tcBorders>
              <w:top w:val="nil"/>
              <w:left w:val="nil"/>
              <w:bottom w:val="single" w:sz="4" w:space="0" w:color="auto"/>
              <w:right w:val="single" w:sz="4" w:space="0" w:color="auto"/>
            </w:tcBorders>
            <w:shd w:val="clear" w:color="000000" w:fill="92D050"/>
            <w:vAlign w:val="center"/>
            <w:hideMark/>
          </w:tcPr>
          <w:p w14:paraId="4601C1B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737</w:t>
            </w:r>
          </w:p>
        </w:tc>
        <w:tc>
          <w:tcPr>
            <w:tcW w:w="1145" w:type="dxa"/>
            <w:tcBorders>
              <w:top w:val="nil"/>
              <w:left w:val="nil"/>
              <w:bottom w:val="single" w:sz="4" w:space="0" w:color="auto"/>
              <w:right w:val="single" w:sz="4" w:space="0" w:color="auto"/>
            </w:tcBorders>
            <w:shd w:val="clear" w:color="auto" w:fill="auto"/>
            <w:vAlign w:val="center"/>
            <w:hideMark/>
          </w:tcPr>
          <w:p w14:paraId="4C71D775"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Hong Kong SAR, China</w:t>
            </w:r>
          </w:p>
        </w:tc>
        <w:tc>
          <w:tcPr>
            <w:tcW w:w="612" w:type="dxa"/>
            <w:tcBorders>
              <w:top w:val="nil"/>
              <w:left w:val="nil"/>
              <w:bottom w:val="single" w:sz="4" w:space="0" w:color="auto"/>
              <w:right w:val="single" w:sz="4" w:space="0" w:color="auto"/>
            </w:tcBorders>
            <w:shd w:val="clear" w:color="auto" w:fill="auto"/>
            <w:vAlign w:val="center"/>
            <w:hideMark/>
          </w:tcPr>
          <w:p w14:paraId="46638A0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85,3</w:t>
            </w:r>
          </w:p>
        </w:tc>
        <w:tc>
          <w:tcPr>
            <w:tcW w:w="818" w:type="dxa"/>
            <w:tcBorders>
              <w:top w:val="nil"/>
              <w:left w:val="nil"/>
              <w:bottom w:val="single" w:sz="4" w:space="0" w:color="auto"/>
              <w:right w:val="single" w:sz="4" w:space="0" w:color="auto"/>
            </w:tcBorders>
            <w:shd w:val="clear" w:color="auto" w:fill="auto"/>
            <w:vAlign w:val="center"/>
            <w:hideMark/>
          </w:tcPr>
          <w:p w14:paraId="73B234C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98,2</w:t>
            </w:r>
          </w:p>
        </w:tc>
        <w:tc>
          <w:tcPr>
            <w:tcW w:w="931" w:type="dxa"/>
            <w:tcBorders>
              <w:top w:val="nil"/>
              <w:left w:val="nil"/>
              <w:bottom w:val="single" w:sz="4" w:space="0" w:color="auto"/>
              <w:right w:val="single" w:sz="4" w:space="0" w:color="auto"/>
            </w:tcBorders>
            <w:shd w:val="clear" w:color="auto" w:fill="auto"/>
            <w:vAlign w:val="center"/>
            <w:hideMark/>
          </w:tcPr>
          <w:p w14:paraId="169FD67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73,6</w:t>
            </w:r>
          </w:p>
        </w:tc>
        <w:tc>
          <w:tcPr>
            <w:tcW w:w="732" w:type="dxa"/>
            <w:tcBorders>
              <w:top w:val="nil"/>
              <w:left w:val="nil"/>
              <w:bottom w:val="single" w:sz="4" w:space="0" w:color="auto"/>
              <w:right w:val="single" w:sz="4" w:space="0" w:color="auto"/>
            </w:tcBorders>
            <w:shd w:val="clear" w:color="auto" w:fill="auto"/>
            <w:vAlign w:val="center"/>
            <w:hideMark/>
          </w:tcPr>
          <w:p w14:paraId="0CF460B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162FF8A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49629E7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99,7</w:t>
            </w:r>
          </w:p>
        </w:tc>
        <w:tc>
          <w:tcPr>
            <w:tcW w:w="1437" w:type="dxa"/>
            <w:tcBorders>
              <w:top w:val="nil"/>
              <w:left w:val="nil"/>
              <w:bottom w:val="single" w:sz="4" w:space="0" w:color="auto"/>
              <w:right w:val="single" w:sz="4" w:space="0" w:color="auto"/>
            </w:tcBorders>
            <w:shd w:val="clear" w:color="auto" w:fill="auto"/>
            <w:vAlign w:val="center"/>
            <w:hideMark/>
          </w:tcPr>
          <w:p w14:paraId="6765405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95,0</w:t>
            </w:r>
          </w:p>
        </w:tc>
        <w:tc>
          <w:tcPr>
            <w:tcW w:w="1262" w:type="dxa"/>
            <w:tcBorders>
              <w:top w:val="nil"/>
              <w:left w:val="nil"/>
              <w:bottom w:val="single" w:sz="4" w:space="0" w:color="auto"/>
              <w:right w:val="single" w:sz="4" w:space="0" w:color="auto"/>
            </w:tcBorders>
            <w:shd w:val="clear" w:color="auto" w:fill="auto"/>
            <w:vAlign w:val="center"/>
            <w:hideMark/>
          </w:tcPr>
          <w:p w14:paraId="3262745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69,1</w:t>
            </w:r>
          </w:p>
        </w:tc>
        <w:tc>
          <w:tcPr>
            <w:tcW w:w="1085" w:type="dxa"/>
            <w:tcBorders>
              <w:top w:val="nil"/>
              <w:left w:val="nil"/>
              <w:bottom w:val="single" w:sz="4" w:space="0" w:color="auto"/>
              <w:right w:val="single" w:sz="4" w:space="0" w:color="auto"/>
            </w:tcBorders>
            <w:shd w:val="clear" w:color="auto" w:fill="auto"/>
            <w:vAlign w:val="center"/>
            <w:hideMark/>
          </w:tcPr>
          <w:p w14:paraId="0617126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65,7</w:t>
            </w:r>
          </w:p>
        </w:tc>
        <w:tc>
          <w:tcPr>
            <w:tcW w:w="916" w:type="dxa"/>
            <w:tcBorders>
              <w:top w:val="nil"/>
              <w:left w:val="nil"/>
              <w:bottom w:val="single" w:sz="4" w:space="0" w:color="auto"/>
              <w:right w:val="single" w:sz="4" w:space="0" w:color="auto"/>
            </w:tcBorders>
            <w:shd w:val="clear" w:color="auto" w:fill="auto"/>
            <w:vAlign w:val="center"/>
            <w:hideMark/>
          </w:tcPr>
          <w:p w14:paraId="3E2A454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93,5</w:t>
            </w:r>
          </w:p>
        </w:tc>
        <w:tc>
          <w:tcPr>
            <w:tcW w:w="871" w:type="dxa"/>
            <w:tcBorders>
              <w:top w:val="nil"/>
              <w:left w:val="nil"/>
              <w:bottom w:val="single" w:sz="4" w:space="0" w:color="auto"/>
              <w:right w:val="single" w:sz="4" w:space="0" w:color="auto"/>
            </w:tcBorders>
            <w:shd w:val="clear" w:color="auto" w:fill="auto"/>
            <w:vAlign w:val="center"/>
            <w:hideMark/>
          </w:tcPr>
          <w:p w14:paraId="76B157D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99,3</w:t>
            </w:r>
          </w:p>
        </w:tc>
      </w:tr>
      <w:tr w:rsidR="00457E80" w:rsidRPr="00036538" w14:paraId="41B96EB5" w14:textId="77777777" w:rsidTr="00576F59">
        <w:trPr>
          <w:trHeight w:val="324"/>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D24C094"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7</w:t>
            </w:r>
          </w:p>
        </w:tc>
        <w:tc>
          <w:tcPr>
            <w:tcW w:w="908" w:type="dxa"/>
            <w:tcBorders>
              <w:top w:val="nil"/>
              <w:left w:val="nil"/>
              <w:bottom w:val="single" w:sz="4" w:space="0" w:color="auto"/>
              <w:right w:val="single" w:sz="4" w:space="0" w:color="auto"/>
            </w:tcBorders>
            <w:shd w:val="clear" w:color="auto" w:fill="auto"/>
            <w:vAlign w:val="bottom"/>
            <w:hideMark/>
          </w:tcPr>
          <w:p w14:paraId="55FCA510"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Пекин</w:t>
            </w:r>
          </w:p>
        </w:tc>
        <w:tc>
          <w:tcPr>
            <w:tcW w:w="1028" w:type="dxa"/>
            <w:tcBorders>
              <w:top w:val="nil"/>
              <w:left w:val="nil"/>
              <w:bottom w:val="single" w:sz="4" w:space="0" w:color="auto"/>
              <w:right w:val="single" w:sz="4" w:space="0" w:color="auto"/>
            </w:tcBorders>
            <w:shd w:val="clear" w:color="auto" w:fill="auto"/>
            <w:vAlign w:val="bottom"/>
            <w:hideMark/>
          </w:tcPr>
          <w:p w14:paraId="5855329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Китай</w:t>
            </w:r>
          </w:p>
        </w:tc>
        <w:tc>
          <w:tcPr>
            <w:tcW w:w="612" w:type="dxa"/>
            <w:tcBorders>
              <w:top w:val="nil"/>
              <w:left w:val="nil"/>
              <w:bottom w:val="single" w:sz="4" w:space="0" w:color="auto"/>
              <w:right w:val="single" w:sz="4" w:space="0" w:color="auto"/>
            </w:tcBorders>
            <w:shd w:val="clear" w:color="000000" w:fill="92D050"/>
            <w:vAlign w:val="center"/>
            <w:hideMark/>
          </w:tcPr>
          <w:p w14:paraId="578304F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734</w:t>
            </w:r>
          </w:p>
        </w:tc>
        <w:tc>
          <w:tcPr>
            <w:tcW w:w="1145" w:type="dxa"/>
            <w:tcBorders>
              <w:top w:val="nil"/>
              <w:left w:val="nil"/>
              <w:bottom w:val="single" w:sz="4" w:space="0" w:color="auto"/>
              <w:right w:val="single" w:sz="4" w:space="0" w:color="auto"/>
            </w:tcBorders>
            <w:shd w:val="clear" w:color="auto" w:fill="auto"/>
            <w:vAlign w:val="center"/>
            <w:hideMark/>
          </w:tcPr>
          <w:p w14:paraId="5862CC27"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China Beijing</w:t>
            </w:r>
          </w:p>
        </w:tc>
        <w:tc>
          <w:tcPr>
            <w:tcW w:w="612" w:type="dxa"/>
            <w:tcBorders>
              <w:top w:val="nil"/>
              <w:left w:val="nil"/>
              <w:bottom w:val="single" w:sz="4" w:space="0" w:color="auto"/>
              <w:right w:val="single" w:sz="4" w:space="0" w:color="auto"/>
            </w:tcBorders>
            <w:shd w:val="clear" w:color="auto" w:fill="auto"/>
            <w:vAlign w:val="center"/>
            <w:hideMark/>
          </w:tcPr>
          <w:p w14:paraId="613ECC2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77,6</w:t>
            </w:r>
          </w:p>
        </w:tc>
        <w:tc>
          <w:tcPr>
            <w:tcW w:w="818" w:type="dxa"/>
            <w:tcBorders>
              <w:top w:val="nil"/>
              <w:left w:val="nil"/>
              <w:bottom w:val="single" w:sz="4" w:space="0" w:color="auto"/>
              <w:right w:val="single" w:sz="4" w:space="0" w:color="auto"/>
            </w:tcBorders>
            <w:shd w:val="clear" w:color="auto" w:fill="auto"/>
            <w:vAlign w:val="center"/>
            <w:hideMark/>
          </w:tcPr>
          <w:p w14:paraId="412A17A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93,6</w:t>
            </w:r>
          </w:p>
        </w:tc>
        <w:tc>
          <w:tcPr>
            <w:tcW w:w="931" w:type="dxa"/>
            <w:tcBorders>
              <w:top w:val="nil"/>
              <w:left w:val="nil"/>
              <w:bottom w:val="single" w:sz="4" w:space="0" w:color="auto"/>
              <w:right w:val="single" w:sz="4" w:space="0" w:color="auto"/>
            </w:tcBorders>
            <w:shd w:val="clear" w:color="auto" w:fill="auto"/>
            <w:vAlign w:val="center"/>
            <w:hideMark/>
          </w:tcPr>
          <w:p w14:paraId="06D96F2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82,6</w:t>
            </w:r>
          </w:p>
        </w:tc>
        <w:tc>
          <w:tcPr>
            <w:tcW w:w="732" w:type="dxa"/>
            <w:tcBorders>
              <w:top w:val="nil"/>
              <w:left w:val="nil"/>
              <w:bottom w:val="single" w:sz="4" w:space="0" w:color="auto"/>
              <w:right w:val="single" w:sz="4" w:space="0" w:color="auto"/>
            </w:tcBorders>
            <w:shd w:val="clear" w:color="auto" w:fill="auto"/>
            <w:vAlign w:val="center"/>
            <w:hideMark/>
          </w:tcPr>
          <w:p w14:paraId="5E8AFC9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1508441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79299C3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71,7</w:t>
            </w:r>
          </w:p>
        </w:tc>
        <w:tc>
          <w:tcPr>
            <w:tcW w:w="1437" w:type="dxa"/>
            <w:tcBorders>
              <w:top w:val="nil"/>
              <w:left w:val="nil"/>
              <w:bottom w:val="single" w:sz="4" w:space="0" w:color="auto"/>
              <w:right w:val="single" w:sz="4" w:space="0" w:color="auto"/>
            </w:tcBorders>
            <w:shd w:val="clear" w:color="auto" w:fill="auto"/>
            <w:vAlign w:val="center"/>
            <w:hideMark/>
          </w:tcPr>
          <w:p w14:paraId="4C5A029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85,7</w:t>
            </w:r>
          </w:p>
        </w:tc>
        <w:tc>
          <w:tcPr>
            <w:tcW w:w="1262" w:type="dxa"/>
            <w:tcBorders>
              <w:top w:val="nil"/>
              <w:left w:val="nil"/>
              <w:bottom w:val="single" w:sz="4" w:space="0" w:color="auto"/>
              <w:right w:val="single" w:sz="4" w:space="0" w:color="auto"/>
            </w:tcBorders>
            <w:shd w:val="clear" w:color="auto" w:fill="auto"/>
            <w:vAlign w:val="center"/>
            <w:hideMark/>
          </w:tcPr>
          <w:p w14:paraId="3421CE7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80,0</w:t>
            </w:r>
          </w:p>
        </w:tc>
        <w:tc>
          <w:tcPr>
            <w:tcW w:w="1085" w:type="dxa"/>
            <w:tcBorders>
              <w:top w:val="nil"/>
              <w:left w:val="nil"/>
              <w:bottom w:val="single" w:sz="4" w:space="0" w:color="auto"/>
              <w:right w:val="single" w:sz="4" w:space="0" w:color="auto"/>
            </w:tcBorders>
            <w:shd w:val="clear" w:color="auto" w:fill="auto"/>
            <w:vAlign w:val="center"/>
            <w:hideMark/>
          </w:tcPr>
          <w:p w14:paraId="0FFB92B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62,1</w:t>
            </w:r>
          </w:p>
        </w:tc>
        <w:tc>
          <w:tcPr>
            <w:tcW w:w="916" w:type="dxa"/>
            <w:tcBorders>
              <w:top w:val="nil"/>
              <w:left w:val="nil"/>
              <w:bottom w:val="single" w:sz="4" w:space="0" w:color="auto"/>
              <w:right w:val="single" w:sz="4" w:space="0" w:color="auto"/>
            </w:tcBorders>
            <w:shd w:val="clear" w:color="auto" w:fill="auto"/>
            <w:vAlign w:val="center"/>
            <w:hideMark/>
          </w:tcPr>
          <w:p w14:paraId="413923C4"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77,8</w:t>
            </w:r>
          </w:p>
        </w:tc>
        <w:tc>
          <w:tcPr>
            <w:tcW w:w="871" w:type="dxa"/>
            <w:tcBorders>
              <w:top w:val="nil"/>
              <w:left w:val="nil"/>
              <w:bottom w:val="single" w:sz="4" w:space="0" w:color="auto"/>
              <w:right w:val="single" w:sz="4" w:space="0" w:color="auto"/>
            </w:tcBorders>
            <w:shd w:val="clear" w:color="auto" w:fill="auto"/>
            <w:vAlign w:val="center"/>
            <w:hideMark/>
          </w:tcPr>
          <w:p w14:paraId="481DFE8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95,4</w:t>
            </w:r>
          </w:p>
        </w:tc>
      </w:tr>
      <w:tr w:rsidR="00457E80" w:rsidRPr="00036538" w14:paraId="3B0837E9" w14:textId="77777777" w:rsidTr="00576F59">
        <w:trPr>
          <w:trHeight w:val="13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1D8F96A"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8</w:t>
            </w:r>
          </w:p>
        </w:tc>
        <w:tc>
          <w:tcPr>
            <w:tcW w:w="908" w:type="dxa"/>
            <w:tcBorders>
              <w:top w:val="nil"/>
              <w:left w:val="nil"/>
              <w:bottom w:val="single" w:sz="4" w:space="0" w:color="auto"/>
              <w:right w:val="single" w:sz="4" w:space="0" w:color="auto"/>
            </w:tcBorders>
            <w:shd w:val="clear" w:color="auto" w:fill="auto"/>
            <w:vAlign w:val="bottom"/>
            <w:hideMark/>
          </w:tcPr>
          <w:p w14:paraId="7BE4FAF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Сан-Фанциско</w:t>
            </w:r>
          </w:p>
        </w:tc>
        <w:tc>
          <w:tcPr>
            <w:tcW w:w="1028" w:type="dxa"/>
            <w:tcBorders>
              <w:top w:val="nil"/>
              <w:left w:val="nil"/>
              <w:bottom w:val="single" w:sz="4" w:space="0" w:color="auto"/>
              <w:right w:val="single" w:sz="4" w:space="0" w:color="auto"/>
            </w:tcBorders>
            <w:shd w:val="clear" w:color="auto" w:fill="auto"/>
            <w:vAlign w:val="bottom"/>
            <w:hideMark/>
          </w:tcPr>
          <w:p w14:paraId="1A7C12E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США</w:t>
            </w:r>
          </w:p>
        </w:tc>
        <w:tc>
          <w:tcPr>
            <w:tcW w:w="612" w:type="dxa"/>
            <w:tcBorders>
              <w:top w:val="nil"/>
              <w:left w:val="nil"/>
              <w:bottom w:val="single" w:sz="4" w:space="0" w:color="auto"/>
              <w:right w:val="single" w:sz="4" w:space="0" w:color="auto"/>
            </w:tcBorders>
            <w:shd w:val="clear" w:color="000000" w:fill="92D050"/>
            <w:vAlign w:val="center"/>
            <w:hideMark/>
          </w:tcPr>
          <w:p w14:paraId="24EDCB3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732</w:t>
            </w:r>
          </w:p>
        </w:tc>
        <w:tc>
          <w:tcPr>
            <w:tcW w:w="1145" w:type="dxa"/>
            <w:tcBorders>
              <w:top w:val="nil"/>
              <w:left w:val="nil"/>
              <w:bottom w:val="single" w:sz="4" w:space="0" w:color="auto"/>
              <w:right w:val="single" w:sz="4" w:space="0" w:color="auto"/>
            </w:tcBorders>
            <w:shd w:val="clear" w:color="auto" w:fill="auto"/>
            <w:vAlign w:val="center"/>
            <w:hideMark/>
          </w:tcPr>
          <w:p w14:paraId="51999F4C"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States</w:t>
            </w:r>
          </w:p>
        </w:tc>
        <w:tc>
          <w:tcPr>
            <w:tcW w:w="612" w:type="dxa"/>
            <w:tcBorders>
              <w:top w:val="nil"/>
              <w:left w:val="nil"/>
              <w:bottom w:val="single" w:sz="4" w:space="0" w:color="auto"/>
              <w:right w:val="single" w:sz="4" w:space="0" w:color="auto"/>
            </w:tcBorders>
            <w:shd w:val="clear" w:color="auto" w:fill="auto"/>
            <w:vAlign w:val="center"/>
            <w:hideMark/>
          </w:tcPr>
          <w:p w14:paraId="0D8107C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84,0</w:t>
            </w:r>
          </w:p>
        </w:tc>
        <w:tc>
          <w:tcPr>
            <w:tcW w:w="818" w:type="dxa"/>
            <w:tcBorders>
              <w:top w:val="nil"/>
              <w:left w:val="nil"/>
              <w:bottom w:val="single" w:sz="4" w:space="0" w:color="auto"/>
              <w:right w:val="single" w:sz="4" w:space="0" w:color="auto"/>
            </w:tcBorders>
            <w:shd w:val="clear" w:color="auto" w:fill="auto"/>
            <w:vAlign w:val="center"/>
            <w:hideMark/>
          </w:tcPr>
          <w:p w14:paraId="2A14C0C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91,6</w:t>
            </w:r>
          </w:p>
        </w:tc>
        <w:tc>
          <w:tcPr>
            <w:tcW w:w="931" w:type="dxa"/>
            <w:tcBorders>
              <w:top w:val="nil"/>
              <w:left w:val="nil"/>
              <w:bottom w:val="single" w:sz="4" w:space="0" w:color="auto"/>
              <w:right w:val="single" w:sz="4" w:space="0" w:color="auto"/>
            </w:tcBorders>
            <w:shd w:val="clear" w:color="auto" w:fill="auto"/>
            <w:vAlign w:val="center"/>
            <w:hideMark/>
          </w:tcPr>
          <w:p w14:paraId="7934577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76,9</w:t>
            </w:r>
          </w:p>
        </w:tc>
        <w:tc>
          <w:tcPr>
            <w:tcW w:w="732" w:type="dxa"/>
            <w:tcBorders>
              <w:top w:val="nil"/>
              <w:left w:val="nil"/>
              <w:bottom w:val="single" w:sz="4" w:space="0" w:color="auto"/>
              <w:right w:val="single" w:sz="4" w:space="0" w:color="auto"/>
            </w:tcBorders>
            <w:shd w:val="clear" w:color="auto" w:fill="auto"/>
            <w:vAlign w:val="center"/>
            <w:hideMark/>
          </w:tcPr>
          <w:p w14:paraId="680BC9B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95,0</w:t>
            </w:r>
          </w:p>
        </w:tc>
        <w:tc>
          <w:tcPr>
            <w:tcW w:w="1016" w:type="dxa"/>
            <w:tcBorders>
              <w:top w:val="nil"/>
              <w:left w:val="nil"/>
              <w:bottom w:val="single" w:sz="4" w:space="0" w:color="auto"/>
              <w:right w:val="single" w:sz="4" w:space="0" w:color="auto"/>
            </w:tcBorders>
            <w:shd w:val="clear" w:color="auto" w:fill="auto"/>
            <w:vAlign w:val="center"/>
            <w:hideMark/>
          </w:tcPr>
          <w:p w14:paraId="274663E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71,6</w:t>
            </w:r>
          </w:p>
        </w:tc>
        <w:tc>
          <w:tcPr>
            <w:tcW w:w="997" w:type="dxa"/>
            <w:tcBorders>
              <w:top w:val="nil"/>
              <w:left w:val="nil"/>
              <w:bottom w:val="single" w:sz="4" w:space="0" w:color="auto"/>
              <w:right w:val="single" w:sz="4" w:space="0" w:color="auto"/>
            </w:tcBorders>
            <w:shd w:val="clear" w:color="auto" w:fill="auto"/>
            <w:vAlign w:val="center"/>
            <w:hideMark/>
          </w:tcPr>
          <w:p w14:paraId="5273300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86,8</w:t>
            </w:r>
          </w:p>
        </w:tc>
        <w:tc>
          <w:tcPr>
            <w:tcW w:w="1437" w:type="dxa"/>
            <w:tcBorders>
              <w:top w:val="nil"/>
              <w:left w:val="nil"/>
              <w:bottom w:val="single" w:sz="4" w:space="0" w:color="auto"/>
              <w:right w:val="single" w:sz="4" w:space="0" w:color="auto"/>
            </w:tcBorders>
            <w:shd w:val="clear" w:color="auto" w:fill="auto"/>
            <w:vAlign w:val="center"/>
            <w:hideMark/>
          </w:tcPr>
          <w:p w14:paraId="2806E66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92,0</w:t>
            </w:r>
          </w:p>
        </w:tc>
        <w:tc>
          <w:tcPr>
            <w:tcW w:w="1262" w:type="dxa"/>
            <w:tcBorders>
              <w:top w:val="nil"/>
              <w:left w:val="nil"/>
              <w:bottom w:val="single" w:sz="4" w:space="0" w:color="auto"/>
              <w:right w:val="single" w:sz="4" w:space="0" w:color="auto"/>
            </w:tcBorders>
            <w:shd w:val="clear" w:color="auto" w:fill="auto"/>
            <w:vAlign w:val="center"/>
            <w:hideMark/>
          </w:tcPr>
          <w:p w14:paraId="2BC186B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73,4</w:t>
            </w:r>
          </w:p>
        </w:tc>
        <w:tc>
          <w:tcPr>
            <w:tcW w:w="1085" w:type="dxa"/>
            <w:tcBorders>
              <w:top w:val="nil"/>
              <w:left w:val="nil"/>
              <w:bottom w:val="single" w:sz="4" w:space="0" w:color="auto"/>
              <w:right w:val="single" w:sz="4" w:space="0" w:color="auto"/>
            </w:tcBorders>
            <w:shd w:val="clear" w:color="auto" w:fill="auto"/>
            <w:vAlign w:val="center"/>
            <w:hideMark/>
          </w:tcPr>
          <w:p w14:paraId="3A59BBA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90,5</w:t>
            </w:r>
          </w:p>
        </w:tc>
        <w:tc>
          <w:tcPr>
            <w:tcW w:w="916" w:type="dxa"/>
            <w:tcBorders>
              <w:top w:val="nil"/>
              <w:left w:val="nil"/>
              <w:bottom w:val="single" w:sz="4" w:space="0" w:color="auto"/>
              <w:right w:val="single" w:sz="4" w:space="0" w:color="auto"/>
            </w:tcBorders>
            <w:shd w:val="clear" w:color="auto" w:fill="auto"/>
            <w:vAlign w:val="center"/>
            <w:hideMark/>
          </w:tcPr>
          <w:p w14:paraId="1F81A13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80,0</w:t>
            </w:r>
          </w:p>
        </w:tc>
        <w:tc>
          <w:tcPr>
            <w:tcW w:w="871" w:type="dxa"/>
            <w:tcBorders>
              <w:top w:val="nil"/>
              <w:left w:val="nil"/>
              <w:bottom w:val="single" w:sz="4" w:space="0" w:color="auto"/>
              <w:right w:val="single" w:sz="4" w:space="0" w:color="auto"/>
            </w:tcBorders>
            <w:shd w:val="clear" w:color="auto" w:fill="auto"/>
            <w:vAlign w:val="center"/>
            <w:hideMark/>
          </w:tcPr>
          <w:p w14:paraId="4B1335E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82,2</w:t>
            </w:r>
          </w:p>
        </w:tc>
      </w:tr>
      <w:tr w:rsidR="00457E80" w:rsidRPr="00036538" w14:paraId="03BB554B" w14:textId="77777777" w:rsidTr="00576F59">
        <w:trPr>
          <w:trHeight w:val="305"/>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555C0AF"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9</w:t>
            </w:r>
          </w:p>
        </w:tc>
        <w:tc>
          <w:tcPr>
            <w:tcW w:w="908" w:type="dxa"/>
            <w:tcBorders>
              <w:top w:val="nil"/>
              <w:left w:val="nil"/>
              <w:bottom w:val="single" w:sz="4" w:space="0" w:color="auto"/>
              <w:right w:val="single" w:sz="4" w:space="0" w:color="auto"/>
            </w:tcBorders>
            <w:shd w:val="clear" w:color="auto" w:fill="auto"/>
            <w:vAlign w:val="bottom"/>
            <w:hideMark/>
          </w:tcPr>
          <w:p w14:paraId="05CDC7A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Женева</w:t>
            </w:r>
          </w:p>
        </w:tc>
        <w:tc>
          <w:tcPr>
            <w:tcW w:w="1028" w:type="dxa"/>
            <w:tcBorders>
              <w:top w:val="nil"/>
              <w:left w:val="nil"/>
              <w:bottom w:val="single" w:sz="4" w:space="0" w:color="auto"/>
              <w:right w:val="single" w:sz="4" w:space="0" w:color="auto"/>
            </w:tcBorders>
            <w:shd w:val="clear" w:color="auto" w:fill="auto"/>
            <w:vAlign w:val="bottom"/>
            <w:hideMark/>
          </w:tcPr>
          <w:p w14:paraId="42710F7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Швейцария</w:t>
            </w:r>
          </w:p>
        </w:tc>
        <w:tc>
          <w:tcPr>
            <w:tcW w:w="612" w:type="dxa"/>
            <w:tcBorders>
              <w:top w:val="nil"/>
              <w:left w:val="nil"/>
              <w:bottom w:val="single" w:sz="4" w:space="0" w:color="auto"/>
              <w:right w:val="single" w:sz="4" w:space="0" w:color="auto"/>
            </w:tcBorders>
            <w:shd w:val="clear" w:color="000000" w:fill="92D050"/>
            <w:vAlign w:val="center"/>
            <w:hideMark/>
          </w:tcPr>
          <w:p w14:paraId="066BDC4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729</w:t>
            </w:r>
          </w:p>
        </w:tc>
        <w:tc>
          <w:tcPr>
            <w:tcW w:w="1145" w:type="dxa"/>
            <w:tcBorders>
              <w:top w:val="nil"/>
              <w:left w:val="nil"/>
              <w:bottom w:val="single" w:sz="4" w:space="0" w:color="auto"/>
              <w:right w:val="single" w:sz="4" w:space="0" w:color="auto"/>
            </w:tcBorders>
            <w:shd w:val="clear" w:color="auto" w:fill="auto"/>
            <w:vAlign w:val="center"/>
            <w:hideMark/>
          </w:tcPr>
          <w:p w14:paraId="72EDFCD5"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Switzerland</w:t>
            </w:r>
          </w:p>
        </w:tc>
        <w:tc>
          <w:tcPr>
            <w:tcW w:w="612" w:type="dxa"/>
            <w:tcBorders>
              <w:top w:val="nil"/>
              <w:left w:val="nil"/>
              <w:bottom w:val="single" w:sz="4" w:space="0" w:color="auto"/>
              <w:right w:val="single" w:sz="4" w:space="0" w:color="auto"/>
            </w:tcBorders>
            <w:shd w:val="clear" w:color="auto" w:fill="auto"/>
            <w:vAlign w:val="center"/>
            <w:hideMark/>
          </w:tcPr>
          <w:p w14:paraId="2F09794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76,6</w:t>
            </w:r>
          </w:p>
        </w:tc>
        <w:tc>
          <w:tcPr>
            <w:tcW w:w="818" w:type="dxa"/>
            <w:tcBorders>
              <w:top w:val="nil"/>
              <w:left w:val="nil"/>
              <w:bottom w:val="single" w:sz="4" w:space="0" w:color="auto"/>
              <w:right w:val="single" w:sz="4" w:space="0" w:color="auto"/>
            </w:tcBorders>
            <w:shd w:val="clear" w:color="auto" w:fill="auto"/>
            <w:vAlign w:val="center"/>
            <w:hideMark/>
          </w:tcPr>
          <w:p w14:paraId="197F7DF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88,4</w:t>
            </w:r>
          </w:p>
        </w:tc>
        <w:tc>
          <w:tcPr>
            <w:tcW w:w="931" w:type="dxa"/>
            <w:tcBorders>
              <w:top w:val="nil"/>
              <w:left w:val="nil"/>
              <w:bottom w:val="single" w:sz="4" w:space="0" w:color="auto"/>
              <w:right w:val="single" w:sz="4" w:space="0" w:color="auto"/>
            </w:tcBorders>
            <w:shd w:val="clear" w:color="auto" w:fill="auto"/>
            <w:vAlign w:val="center"/>
            <w:hideMark/>
          </w:tcPr>
          <w:p w14:paraId="4B10B51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86,1</w:t>
            </w:r>
          </w:p>
        </w:tc>
        <w:tc>
          <w:tcPr>
            <w:tcW w:w="732" w:type="dxa"/>
            <w:tcBorders>
              <w:top w:val="nil"/>
              <w:left w:val="nil"/>
              <w:bottom w:val="single" w:sz="4" w:space="0" w:color="auto"/>
              <w:right w:val="single" w:sz="4" w:space="0" w:color="auto"/>
            </w:tcBorders>
            <w:shd w:val="clear" w:color="auto" w:fill="auto"/>
            <w:vAlign w:val="center"/>
            <w:hideMark/>
          </w:tcPr>
          <w:p w14:paraId="5B0001F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65,0</w:t>
            </w:r>
          </w:p>
        </w:tc>
        <w:tc>
          <w:tcPr>
            <w:tcW w:w="1016" w:type="dxa"/>
            <w:tcBorders>
              <w:top w:val="nil"/>
              <w:left w:val="nil"/>
              <w:bottom w:val="single" w:sz="4" w:space="0" w:color="auto"/>
              <w:right w:val="single" w:sz="4" w:space="0" w:color="auto"/>
            </w:tcBorders>
            <w:shd w:val="clear" w:color="auto" w:fill="auto"/>
            <w:vAlign w:val="center"/>
            <w:hideMark/>
          </w:tcPr>
          <w:p w14:paraId="2A57DC3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50,0</w:t>
            </w:r>
          </w:p>
        </w:tc>
        <w:tc>
          <w:tcPr>
            <w:tcW w:w="997" w:type="dxa"/>
            <w:tcBorders>
              <w:top w:val="nil"/>
              <w:left w:val="nil"/>
              <w:bottom w:val="single" w:sz="4" w:space="0" w:color="auto"/>
              <w:right w:val="single" w:sz="4" w:space="0" w:color="auto"/>
            </w:tcBorders>
            <w:shd w:val="clear" w:color="auto" w:fill="auto"/>
            <w:vAlign w:val="center"/>
            <w:hideMark/>
          </w:tcPr>
          <w:p w14:paraId="07A8C78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87,7</w:t>
            </w:r>
          </w:p>
        </w:tc>
        <w:tc>
          <w:tcPr>
            <w:tcW w:w="1437" w:type="dxa"/>
            <w:tcBorders>
              <w:top w:val="nil"/>
              <w:left w:val="nil"/>
              <w:bottom w:val="single" w:sz="4" w:space="0" w:color="auto"/>
              <w:right w:val="single" w:sz="4" w:space="0" w:color="auto"/>
            </w:tcBorders>
            <w:shd w:val="clear" w:color="auto" w:fill="auto"/>
            <w:vAlign w:val="center"/>
            <w:hideMark/>
          </w:tcPr>
          <w:p w14:paraId="70FB8F2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96,1</w:t>
            </w:r>
          </w:p>
        </w:tc>
        <w:tc>
          <w:tcPr>
            <w:tcW w:w="1262" w:type="dxa"/>
            <w:tcBorders>
              <w:top w:val="nil"/>
              <w:left w:val="nil"/>
              <w:bottom w:val="single" w:sz="4" w:space="0" w:color="auto"/>
              <w:right w:val="single" w:sz="4" w:space="0" w:color="auto"/>
            </w:tcBorders>
            <w:shd w:val="clear" w:color="auto" w:fill="auto"/>
            <w:vAlign w:val="center"/>
            <w:hideMark/>
          </w:tcPr>
          <w:p w14:paraId="7DB0012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64,1</w:t>
            </w:r>
          </w:p>
        </w:tc>
        <w:tc>
          <w:tcPr>
            <w:tcW w:w="1085" w:type="dxa"/>
            <w:tcBorders>
              <w:top w:val="nil"/>
              <w:left w:val="nil"/>
              <w:bottom w:val="single" w:sz="4" w:space="0" w:color="auto"/>
              <w:right w:val="single" w:sz="4" w:space="0" w:color="auto"/>
            </w:tcBorders>
            <w:shd w:val="clear" w:color="auto" w:fill="auto"/>
            <w:vAlign w:val="center"/>
            <w:hideMark/>
          </w:tcPr>
          <w:p w14:paraId="6429B06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62,6</w:t>
            </w:r>
          </w:p>
        </w:tc>
        <w:tc>
          <w:tcPr>
            <w:tcW w:w="916" w:type="dxa"/>
            <w:tcBorders>
              <w:top w:val="nil"/>
              <w:left w:val="nil"/>
              <w:bottom w:val="single" w:sz="4" w:space="0" w:color="auto"/>
              <w:right w:val="single" w:sz="4" w:space="0" w:color="auto"/>
            </w:tcBorders>
            <w:shd w:val="clear" w:color="auto" w:fill="auto"/>
            <w:vAlign w:val="center"/>
            <w:hideMark/>
          </w:tcPr>
          <w:p w14:paraId="2E613AE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71,8</w:t>
            </w:r>
          </w:p>
        </w:tc>
        <w:tc>
          <w:tcPr>
            <w:tcW w:w="871" w:type="dxa"/>
            <w:tcBorders>
              <w:top w:val="nil"/>
              <w:left w:val="nil"/>
              <w:bottom w:val="single" w:sz="4" w:space="0" w:color="auto"/>
              <w:right w:val="single" w:sz="4" w:space="0" w:color="auto"/>
            </w:tcBorders>
            <w:shd w:val="clear" w:color="auto" w:fill="auto"/>
            <w:vAlign w:val="center"/>
            <w:hideMark/>
          </w:tcPr>
          <w:p w14:paraId="631DA7C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94,4</w:t>
            </w:r>
          </w:p>
        </w:tc>
      </w:tr>
      <w:tr w:rsidR="00457E80" w:rsidRPr="00036538" w14:paraId="38F5AE55" w14:textId="77777777" w:rsidTr="00576F59">
        <w:trPr>
          <w:trHeight w:val="282"/>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4C3CE5A"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10</w:t>
            </w:r>
          </w:p>
        </w:tc>
        <w:tc>
          <w:tcPr>
            <w:tcW w:w="908" w:type="dxa"/>
            <w:tcBorders>
              <w:top w:val="nil"/>
              <w:left w:val="nil"/>
              <w:bottom w:val="single" w:sz="4" w:space="0" w:color="auto"/>
              <w:right w:val="single" w:sz="4" w:space="0" w:color="auto"/>
            </w:tcBorders>
            <w:shd w:val="clear" w:color="auto" w:fill="auto"/>
            <w:vAlign w:val="bottom"/>
            <w:hideMark/>
          </w:tcPr>
          <w:p w14:paraId="26D01DB3"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Лос-Анжелес</w:t>
            </w:r>
          </w:p>
        </w:tc>
        <w:tc>
          <w:tcPr>
            <w:tcW w:w="1028" w:type="dxa"/>
            <w:tcBorders>
              <w:top w:val="nil"/>
              <w:left w:val="nil"/>
              <w:bottom w:val="single" w:sz="4" w:space="0" w:color="auto"/>
              <w:right w:val="single" w:sz="4" w:space="0" w:color="auto"/>
            </w:tcBorders>
            <w:shd w:val="clear" w:color="auto" w:fill="auto"/>
            <w:vAlign w:val="bottom"/>
            <w:hideMark/>
          </w:tcPr>
          <w:p w14:paraId="19102F0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США</w:t>
            </w:r>
          </w:p>
        </w:tc>
        <w:tc>
          <w:tcPr>
            <w:tcW w:w="612" w:type="dxa"/>
            <w:tcBorders>
              <w:top w:val="nil"/>
              <w:left w:val="nil"/>
              <w:bottom w:val="single" w:sz="4" w:space="0" w:color="auto"/>
              <w:right w:val="single" w:sz="4" w:space="0" w:color="auto"/>
            </w:tcBorders>
            <w:shd w:val="clear" w:color="000000" w:fill="92D050"/>
            <w:vAlign w:val="center"/>
            <w:hideMark/>
          </w:tcPr>
          <w:p w14:paraId="1CE9C31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723</w:t>
            </w:r>
          </w:p>
        </w:tc>
        <w:tc>
          <w:tcPr>
            <w:tcW w:w="1145" w:type="dxa"/>
            <w:tcBorders>
              <w:top w:val="nil"/>
              <w:left w:val="nil"/>
              <w:bottom w:val="single" w:sz="4" w:space="0" w:color="auto"/>
              <w:right w:val="single" w:sz="4" w:space="0" w:color="auto"/>
            </w:tcBorders>
            <w:shd w:val="clear" w:color="auto" w:fill="auto"/>
            <w:vAlign w:val="center"/>
            <w:hideMark/>
          </w:tcPr>
          <w:p w14:paraId="4EEE1A21"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States Los Angeles</w:t>
            </w:r>
          </w:p>
        </w:tc>
        <w:tc>
          <w:tcPr>
            <w:tcW w:w="612" w:type="dxa"/>
            <w:tcBorders>
              <w:top w:val="nil"/>
              <w:left w:val="nil"/>
              <w:bottom w:val="single" w:sz="4" w:space="0" w:color="auto"/>
              <w:right w:val="single" w:sz="4" w:space="0" w:color="auto"/>
            </w:tcBorders>
            <w:shd w:val="clear" w:color="auto" w:fill="auto"/>
            <w:vAlign w:val="center"/>
            <w:hideMark/>
          </w:tcPr>
          <w:p w14:paraId="1F6D367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82,2</w:t>
            </w:r>
          </w:p>
        </w:tc>
        <w:tc>
          <w:tcPr>
            <w:tcW w:w="818" w:type="dxa"/>
            <w:tcBorders>
              <w:top w:val="nil"/>
              <w:left w:val="nil"/>
              <w:bottom w:val="single" w:sz="4" w:space="0" w:color="auto"/>
              <w:right w:val="single" w:sz="4" w:space="0" w:color="auto"/>
            </w:tcBorders>
            <w:shd w:val="clear" w:color="auto" w:fill="auto"/>
            <w:vAlign w:val="center"/>
            <w:hideMark/>
          </w:tcPr>
          <w:p w14:paraId="3BD00C5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91,6</w:t>
            </w:r>
          </w:p>
        </w:tc>
        <w:tc>
          <w:tcPr>
            <w:tcW w:w="931" w:type="dxa"/>
            <w:tcBorders>
              <w:top w:val="nil"/>
              <w:left w:val="nil"/>
              <w:bottom w:val="single" w:sz="4" w:space="0" w:color="auto"/>
              <w:right w:val="single" w:sz="4" w:space="0" w:color="auto"/>
            </w:tcBorders>
            <w:shd w:val="clear" w:color="auto" w:fill="auto"/>
            <w:vAlign w:val="center"/>
            <w:hideMark/>
          </w:tcPr>
          <w:p w14:paraId="3777130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77,1</w:t>
            </w:r>
          </w:p>
        </w:tc>
        <w:tc>
          <w:tcPr>
            <w:tcW w:w="732" w:type="dxa"/>
            <w:tcBorders>
              <w:top w:val="nil"/>
              <w:left w:val="nil"/>
              <w:bottom w:val="single" w:sz="4" w:space="0" w:color="auto"/>
              <w:right w:val="single" w:sz="4" w:space="0" w:color="auto"/>
            </w:tcBorders>
            <w:shd w:val="clear" w:color="auto" w:fill="auto"/>
            <w:vAlign w:val="center"/>
            <w:hideMark/>
          </w:tcPr>
          <w:p w14:paraId="6E225CD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95,0</w:t>
            </w:r>
          </w:p>
        </w:tc>
        <w:tc>
          <w:tcPr>
            <w:tcW w:w="1016" w:type="dxa"/>
            <w:tcBorders>
              <w:top w:val="nil"/>
              <w:left w:val="nil"/>
              <w:bottom w:val="single" w:sz="4" w:space="0" w:color="auto"/>
              <w:right w:val="single" w:sz="4" w:space="0" w:color="auto"/>
            </w:tcBorders>
            <w:shd w:val="clear" w:color="auto" w:fill="auto"/>
            <w:vAlign w:val="center"/>
            <w:hideMark/>
          </w:tcPr>
          <w:p w14:paraId="3751A29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74,0</w:t>
            </w:r>
          </w:p>
        </w:tc>
        <w:tc>
          <w:tcPr>
            <w:tcW w:w="997" w:type="dxa"/>
            <w:tcBorders>
              <w:top w:val="nil"/>
              <w:left w:val="nil"/>
              <w:bottom w:val="single" w:sz="4" w:space="0" w:color="auto"/>
              <w:right w:val="single" w:sz="4" w:space="0" w:color="auto"/>
            </w:tcBorders>
            <w:shd w:val="clear" w:color="auto" w:fill="auto"/>
            <w:vAlign w:val="center"/>
            <w:hideMark/>
          </w:tcPr>
          <w:p w14:paraId="51D8458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88,3</w:t>
            </w:r>
          </w:p>
        </w:tc>
        <w:tc>
          <w:tcPr>
            <w:tcW w:w="1437" w:type="dxa"/>
            <w:tcBorders>
              <w:top w:val="nil"/>
              <w:left w:val="nil"/>
              <w:bottom w:val="single" w:sz="4" w:space="0" w:color="auto"/>
              <w:right w:val="single" w:sz="4" w:space="0" w:color="auto"/>
            </w:tcBorders>
            <w:shd w:val="clear" w:color="auto" w:fill="auto"/>
            <w:vAlign w:val="center"/>
            <w:hideMark/>
          </w:tcPr>
          <w:p w14:paraId="70EFA2A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92,0</w:t>
            </w:r>
          </w:p>
        </w:tc>
        <w:tc>
          <w:tcPr>
            <w:tcW w:w="1262" w:type="dxa"/>
            <w:tcBorders>
              <w:top w:val="nil"/>
              <w:left w:val="nil"/>
              <w:bottom w:val="single" w:sz="4" w:space="0" w:color="auto"/>
              <w:right w:val="single" w:sz="4" w:space="0" w:color="auto"/>
            </w:tcBorders>
            <w:shd w:val="clear" w:color="auto" w:fill="auto"/>
            <w:vAlign w:val="center"/>
            <w:hideMark/>
          </w:tcPr>
          <w:p w14:paraId="3440E33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65,0</w:t>
            </w:r>
          </w:p>
        </w:tc>
        <w:tc>
          <w:tcPr>
            <w:tcW w:w="1085" w:type="dxa"/>
            <w:tcBorders>
              <w:top w:val="nil"/>
              <w:left w:val="nil"/>
              <w:bottom w:val="single" w:sz="4" w:space="0" w:color="auto"/>
              <w:right w:val="single" w:sz="4" w:space="0" w:color="auto"/>
            </w:tcBorders>
            <w:shd w:val="clear" w:color="auto" w:fill="auto"/>
            <w:vAlign w:val="center"/>
            <w:hideMark/>
          </w:tcPr>
          <w:p w14:paraId="3859DED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90,5</w:t>
            </w:r>
          </w:p>
        </w:tc>
        <w:tc>
          <w:tcPr>
            <w:tcW w:w="916" w:type="dxa"/>
            <w:tcBorders>
              <w:top w:val="nil"/>
              <w:left w:val="nil"/>
              <w:bottom w:val="single" w:sz="4" w:space="0" w:color="auto"/>
              <w:right w:val="single" w:sz="4" w:space="0" w:color="auto"/>
            </w:tcBorders>
            <w:shd w:val="clear" w:color="auto" w:fill="auto"/>
            <w:vAlign w:val="center"/>
            <w:hideMark/>
          </w:tcPr>
          <w:p w14:paraId="6AC6D5D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79,9</w:t>
            </w:r>
          </w:p>
        </w:tc>
        <w:tc>
          <w:tcPr>
            <w:tcW w:w="871" w:type="dxa"/>
            <w:tcBorders>
              <w:top w:val="nil"/>
              <w:left w:val="nil"/>
              <w:bottom w:val="single" w:sz="4" w:space="0" w:color="auto"/>
              <w:right w:val="single" w:sz="4" w:space="0" w:color="auto"/>
            </w:tcBorders>
            <w:shd w:val="clear" w:color="auto" w:fill="auto"/>
            <w:vAlign w:val="center"/>
            <w:hideMark/>
          </w:tcPr>
          <w:p w14:paraId="69067CF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68,5</w:t>
            </w:r>
          </w:p>
        </w:tc>
      </w:tr>
      <w:tr w:rsidR="00457E80" w:rsidRPr="00036538" w14:paraId="7B77E11A" w14:textId="77777777" w:rsidTr="00576F59">
        <w:trPr>
          <w:trHeight w:val="187"/>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42DC41A"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lastRenderedPageBreak/>
              <w:t>11</w:t>
            </w:r>
          </w:p>
        </w:tc>
        <w:tc>
          <w:tcPr>
            <w:tcW w:w="908" w:type="dxa"/>
            <w:tcBorders>
              <w:top w:val="nil"/>
              <w:left w:val="nil"/>
              <w:bottom w:val="single" w:sz="4" w:space="0" w:color="auto"/>
              <w:right w:val="single" w:sz="4" w:space="0" w:color="auto"/>
            </w:tcBorders>
            <w:shd w:val="clear" w:color="auto" w:fill="auto"/>
            <w:vAlign w:val="bottom"/>
            <w:hideMark/>
          </w:tcPr>
          <w:p w14:paraId="2AC8EF6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Шэньчжэнь</w:t>
            </w:r>
          </w:p>
        </w:tc>
        <w:tc>
          <w:tcPr>
            <w:tcW w:w="1028" w:type="dxa"/>
            <w:tcBorders>
              <w:top w:val="nil"/>
              <w:left w:val="nil"/>
              <w:bottom w:val="single" w:sz="4" w:space="0" w:color="auto"/>
              <w:right w:val="single" w:sz="4" w:space="0" w:color="auto"/>
            </w:tcBorders>
            <w:shd w:val="clear" w:color="auto" w:fill="auto"/>
            <w:vAlign w:val="bottom"/>
            <w:hideMark/>
          </w:tcPr>
          <w:p w14:paraId="79948FE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Китай</w:t>
            </w:r>
          </w:p>
        </w:tc>
        <w:tc>
          <w:tcPr>
            <w:tcW w:w="612" w:type="dxa"/>
            <w:tcBorders>
              <w:top w:val="nil"/>
              <w:left w:val="nil"/>
              <w:bottom w:val="single" w:sz="4" w:space="0" w:color="auto"/>
              <w:right w:val="single" w:sz="4" w:space="0" w:color="auto"/>
            </w:tcBorders>
            <w:shd w:val="clear" w:color="000000" w:fill="92D050"/>
            <w:vAlign w:val="center"/>
            <w:hideMark/>
          </w:tcPr>
          <w:p w14:paraId="5361F3E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722</w:t>
            </w:r>
          </w:p>
        </w:tc>
        <w:tc>
          <w:tcPr>
            <w:tcW w:w="1145" w:type="dxa"/>
            <w:tcBorders>
              <w:top w:val="nil"/>
              <w:left w:val="nil"/>
              <w:bottom w:val="single" w:sz="4" w:space="0" w:color="auto"/>
              <w:right w:val="single" w:sz="4" w:space="0" w:color="auto"/>
            </w:tcBorders>
            <w:shd w:val="clear" w:color="auto" w:fill="auto"/>
            <w:vAlign w:val="center"/>
            <w:hideMark/>
          </w:tcPr>
          <w:p w14:paraId="6FD5B98E"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China</w:t>
            </w:r>
          </w:p>
        </w:tc>
        <w:tc>
          <w:tcPr>
            <w:tcW w:w="612" w:type="dxa"/>
            <w:tcBorders>
              <w:top w:val="nil"/>
              <w:left w:val="nil"/>
              <w:bottom w:val="single" w:sz="4" w:space="0" w:color="auto"/>
              <w:right w:val="single" w:sz="4" w:space="0" w:color="auto"/>
            </w:tcBorders>
            <w:shd w:val="clear" w:color="auto" w:fill="auto"/>
            <w:vAlign w:val="center"/>
            <w:hideMark/>
          </w:tcPr>
          <w:p w14:paraId="753C6CF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77,3</w:t>
            </w:r>
          </w:p>
        </w:tc>
        <w:tc>
          <w:tcPr>
            <w:tcW w:w="818" w:type="dxa"/>
            <w:tcBorders>
              <w:top w:val="nil"/>
              <w:left w:val="nil"/>
              <w:bottom w:val="single" w:sz="4" w:space="0" w:color="auto"/>
              <w:right w:val="single" w:sz="4" w:space="0" w:color="auto"/>
            </w:tcBorders>
            <w:shd w:val="clear" w:color="auto" w:fill="auto"/>
            <w:vAlign w:val="center"/>
            <w:hideMark/>
          </w:tcPr>
          <w:p w14:paraId="2A2D9E5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92,6</w:t>
            </w:r>
          </w:p>
        </w:tc>
        <w:tc>
          <w:tcPr>
            <w:tcW w:w="931" w:type="dxa"/>
            <w:tcBorders>
              <w:top w:val="nil"/>
              <w:left w:val="nil"/>
              <w:bottom w:val="single" w:sz="4" w:space="0" w:color="auto"/>
              <w:right w:val="single" w:sz="4" w:space="0" w:color="auto"/>
            </w:tcBorders>
            <w:shd w:val="clear" w:color="auto" w:fill="auto"/>
            <w:vAlign w:val="center"/>
            <w:hideMark/>
          </w:tcPr>
          <w:p w14:paraId="3320629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81,0</w:t>
            </w:r>
          </w:p>
        </w:tc>
        <w:tc>
          <w:tcPr>
            <w:tcW w:w="732" w:type="dxa"/>
            <w:tcBorders>
              <w:top w:val="nil"/>
              <w:left w:val="nil"/>
              <w:bottom w:val="single" w:sz="4" w:space="0" w:color="auto"/>
              <w:right w:val="single" w:sz="4" w:space="0" w:color="auto"/>
            </w:tcBorders>
            <w:shd w:val="clear" w:color="auto" w:fill="auto"/>
            <w:vAlign w:val="center"/>
            <w:hideMark/>
          </w:tcPr>
          <w:p w14:paraId="7C7440A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12E05CA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444EFF0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70,1</w:t>
            </w:r>
          </w:p>
        </w:tc>
        <w:tc>
          <w:tcPr>
            <w:tcW w:w="1437" w:type="dxa"/>
            <w:tcBorders>
              <w:top w:val="nil"/>
              <w:left w:val="nil"/>
              <w:bottom w:val="single" w:sz="4" w:space="0" w:color="auto"/>
              <w:right w:val="single" w:sz="4" w:space="0" w:color="auto"/>
            </w:tcBorders>
            <w:shd w:val="clear" w:color="auto" w:fill="auto"/>
            <w:vAlign w:val="center"/>
            <w:hideMark/>
          </w:tcPr>
          <w:p w14:paraId="259AAEA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86,5</w:t>
            </w:r>
          </w:p>
        </w:tc>
        <w:tc>
          <w:tcPr>
            <w:tcW w:w="1262" w:type="dxa"/>
            <w:tcBorders>
              <w:top w:val="nil"/>
              <w:left w:val="nil"/>
              <w:bottom w:val="single" w:sz="4" w:space="0" w:color="auto"/>
              <w:right w:val="single" w:sz="4" w:space="0" w:color="auto"/>
            </w:tcBorders>
            <w:shd w:val="clear" w:color="auto" w:fill="auto"/>
            <w:vAlign w:val="center"/>
            <w:hideMark/>
          </w:tcPr>
          <w:p w14:paraId="3A29E60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80,9</w:t>
            </w:r>
          </w:p>
        </w:tc>
        <w:tc>
          <w:tcPr>
            <w:tcW w:w="1085" w:type="dxa"/>
            <w:tcBorders>
              <w:top w:val="nil"/>
              <w:left w:val="nil"/>
              <w:bottom w:val="single" w:sz="4" w:space="0" w:color="auto"/>
              <w:right w:val="single" w:sz="4" w:space="0" w:color="auto"/>
            </w:tcBorders>
            <w:shd w:val="clear" w:color="auto" w:fill="auto"/>
            <w:vAlign w:val="center"/>
            <w:hideMark/>
          </w:tcPr>
          <w:p w14:paraId="7469587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62,1</w:t>
            </w:r>
          </w:p>
        </w:tc>
        <w:tc>
          <w:tcPr>
            <w:tcW w:w="916" w:type="dxa"/>
            <w:tcBorders>
              <w:top w:val="nil"/>
              <w:left w:val="nil"/>
              <w:bottom w:val="single" w:sz="4" w:space="0" w:color="auto"/>
              <w:right w:val="single" w:sz="4" w:space="0" w:color="auto"/>
            </w:tcBorders>
            <w:shd w:val="clear" w:color="auto" w:fill="auto"/>
            <w:vAlign w:val="center"/>
            <w:hideMark/>
          </w:tcPr>
          <w:p w14:paraId="08742F4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77,3</w:t>
            </w:r>
          </w:p>
        </w:tc>
        <w:tc>
          <w:tcPr>
            <w:tcW w:w="871" w:type="dxa"/>
            <w:tcBorders>
              <w:top w:val="nil"/>
              <w:left w:val="nil"/>
              <w:bottom w:val="single" w:sz="4" w:space="0" w:color="auto"/>
              <w:right w:val="single" w:sz="4" w:space="0" w:color="auto"/>
            </w:tcBorders>
            <w:shd w:val="clear" w:color="auto" w:fill="auto"/>
            <w:vAlign w:val="center"/>
            <w:hideMark/>
          </w:tcPr>
          <w:p w14:paraId="6C47042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95,4</w:t>
            </w:r>
          </w:p>
        </w:tc>
      </w:tr>
      <w:tr w:rsidR="00457E80" w:rsidRPr="00036538" w14:paraId="29B5C402" w14:textId="77777777" w:rsidTr="00576F59">
        <w:trPr>
          <w:trHeight w:val="134"/>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1038979"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12</w:t>
            </w:r>
          </w:p>
        </w:tc>
        <w:tc>
          <w:tcPr>
            <w:tcW w:w="908" w:type="dxa"/>
            <w:tcBorders>
              <w:top w:val="nil"/>
              <w:left w:val="nil"/>
              <w:bottom w:val="single" w:sz="4" w:space="0" w:color="auto"/>
              <w:right w:val="single" w:sz="4" w:space="0" w:color="auto"/>
            </w:tcBorders>
            <w:shd w:val="clear" w:color="auto" w:fill="auto"/>
            <w:vAlign w:val="bottom"/>
            <w:hideMark/>
          </w:tcPr>
          <w:p w14:paraId="3FBDB781"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Дубай</w:t>
            </w:r>
          </w:p>
        </w:tc>
        <w:tc>
          <w:tcPr>
            <w:tcW w:w="1028" w:type="dxa"/>
            <w:tcBorders>
              <w:top w:val="nil"/>
              <w:left w:val="nil"/>
              <w:bottom w:val="single" w:sz="4" w:space="0" w:color="auto"/>
              <w:right w:val="single" w:sz="4" w:space="0" w:color="auto"/>
            </w:tcBorders>
            <w:shd w:val="clear" w:color="auto" w:fill="auto"/>
            <w:vAlign w:val="bottom"/>
            <w:hideMark/>
          </w:tcPr>
          <w:p w14:paraId="6C35B3D1"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ОАЭ</w:t>
            </w:r>
          </w:p>
        </w:tc>
        <w:tc>
          <w:tcPr>
            <w:tcW w:w="612" w:type="dxa"/>
            <w:tcBorders>
              <w:top w:val="nil"/>
              <w:left w:val="nil"/>
              <w:bottom w:val="single" w:sz="4" w:space="0" w:color="auto"/>
              <w:right w:val="single" w:sz="4" w:space="0" w:color="auto"/>
            </w:tcBorders>
            <w:shd w:val="clear" w:color="000000" w:fill="92D050"/>
            <w:vAlign w:val="center"/>
            <w:hideMark/>
          </w:tcPr>
          <w:p w14:paraId="63403E9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721</w:t>
            </w:r>
          </w:p>
        </w:tc>
        <w:tc>
          <w:tcPr>
            <w:tcW w:w="1145" w:type="dxa"/>
            <w:tcBorders>
              <w:top w:val="nil"/>
              <w:left w:val="nil"/>
              <w:bottom w:val="single" w:sz="4" w:space="0" w:color="auto"/>
              <w:right w:val="single" w:sz="4" w:space="0" w:color="auto"/>
            </w:tcBorders>
            <w:shd w:val="clear" w:color="auto" w:fill="auto"/>
            <w:vAlign w:val="center"/>
            <w:hideMark/>
          </w:tcPr>
          <w:p w14:paraId="32AE8684"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Arab Emirates</w:t>
            </w:r>
          </w:p>
        </w:tc>
        <w:tc>
          <w:tcPr>
            <w:tcW w:w="612" w:type="dxa"/>
            <w:tcBorders>
              <w:top w:val="nil"/>
              <w:left w:val="nil"/>
              <w:bottom w:val="single" w:sz="4" w:space="0" w:color="auto"/>
              <w:right w:val="single" w:sz="4" w:space="0" w:color="auto"/>
            </w:tcBorders>
            <w:shd w:val="clear" w:color="auto" w:fill="auto"/>
            <w:vAlign w:val="center"/>
            <w:hideMark/>
          </w:tcPr>
          <w:p w14:paraId="6C6B575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80,8</w:t>
            </w:r>
          </w:p>
        </w:tc>
        <w:tc>
          <w:tcPr>
            <w:tcW w:w="818" w:type="dxa"/>
            <w:tcBorders>
              <w:top w:val="nil"/>
              <w:left w:val="nil"/>
              <w:bottom w:val="single" w:sz="4" w:space="0" w:color="auto"/>
              <w:right w:val="single" w:sz="4" w:space="0" w:color="auto"/>
            </w:tcBorders>
            <w:shd w:val="clear" w:color="auto" w:fill="auto"/>
            <w:vAlign w:val="center"/>
            <w:hideMark/>
          </w:tcPr>
          <w:p w14:paraId="6D03435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94,8</w:t>
            </w:r>
          </w:p>
        </w:tc>
        <w:tc>
          <w:tcPr>
            <w:tcW w:w="931" w:type="dxa"/>
            <w:tcBorders>
              <w:top w:val="nil"/>
              <w:left w:val="nil"/>
              <w:bottom w:val="single" w:sz="4" w:space="0" w:color="auto"/>
              <w:right w:val="single" w:sz="4" w:space="0" w:color="auto"/>
            </w:tcBorders>
            <w:shd w:val="clear" w:color="auto" w:fill="auto"/>
            <w:vAlign w:val="center"/>
            <w:hideMark/>
          </w:tcPr>
          <w:p w14:paraId="313BD94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90,1</w:t>
            </w:r>
          </w:p>
        </w:tc>
        <w:tc>
          <w:tcPr>
            <w:tcW w:w="732" w:type="dxa"/>
            <w:tcBorders>
              <w:top w:val="nil"/>
              <w:left w:val="nil"/>
              <w:bottom w:val="single" w:sz="4" w:space="0" w:color="auto"/>
              <w:right w:val="single" w:sz="4" w:space="0" w:color="auto"/>
            </w:tcBorders>
            <w:shd w:val="clear" w:color="auto" w:fill="auto"/>
            <w:vAlign w:val="center"/>
            <w:hideMark/>
          </w:tcPr>
          <w:p w14:paraId="600BE6F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43A9627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80,0</w:t>
            </w:r>
          </w:p>
        </w:tc>
        <w:tc>
          <w:tcPr>
            <w:tcW w:w="997" w:type="dxa"/>
            <w:tcBorders>
              <w:top w:val="nil"/>
              <w:left w:val="nil"/>
              <w:bottom w:val="single" w:sz="4" w:space="0" w:color="auto"/>
              <w:right w:val="single" w:sz="4" w:space="0" w:color="auto"/>
            </w:tcBorders>
            <w:shd w:val="clear" w:color="auto" w:fill="auto"/>
            <w:vAlign w:val="center"/>
            <w:hideMark/>
          </w:tcPr>
          <w:p w14:paraId="5433079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83,7</w:t>
            </w:r>
          </w:p>
        </w:tc>
        <w:tc>
          <w:tcPr>
            <w:tcW w:w="1437" w:type="dxa"/>
            <w:tcBorders>
              <w:top w:val="nil"/>
              <w:left w:val="nil"/>
              <w:bottom w:val="single" w:sz="4" w:space="0" w:color="auto"/>
              <w:right w:val="single" w:sz="4" w:space="0" w:color="auto"/>
            </w:tcBorders>
            <w:shd w:val="clear" w:color="auto" w:fill="auto"/>
            <w:vAlign w:val="center"/>
            <w:hideMark/>
          </w:tcPr>
          <w:p w14:paraId="44B6BA3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74,1</w:t>
            </w:r>
          </w:p>
        </w:tc>
        <w:tc>
          <w:tcPr>
            <w:tcW w:w="1262" w:type="dxa"/>
            <w:tcBorders>
              <w:top w:val="nil"/>
              <w:left w:val="nil"/>
              <w:bottom w:val="single" w:sz="4" w:space="0" w:color="auto"/>
              <w:right w:val="single" w:sz="4" w:space="0" w:color="auto"/>
            </w:tcBorders>
            <w:shd w:val="clear" w:color="auto" w:fill="auto"/>
            <w:vAlign w:val="center"/>
            <w:hideMark/>
          </w:tcPr>
          <w:p w14:paraId="3113B19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75,9</w:t>
            </w:r>
          </w:p>
        </w:tc>
        <w:tc>
          <w:tcPr>
            <w:tcW w:w="1085" w:type="dxa"/>
            <w:tcBorders>
              <w:top w:val="nil"/>
              <w:left w:val="nil"/>
              <w:bottom w:val="single" w:sz="4" w:space="0" w:color="auto"/>
              <w:right w:val="single" w:sz="4" w:space="0" w:color="auto"/>
            </w:tcBorders>
            <w:shd w:val="clear" w:color="auto" w:fill="auto"/>
            <w:vAlign w:val="center"/>
            <w:hideMark/>
          </w:tcPr>
          <w:p w14:paraId="5B8FE7B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49,3</w:t>
            </w:r>
          </w:p>
        </w:tc>
        <w:tc>
          <w:tcPr>
            <w:tcW w:w="916" w:type="dxa"/>
            <w:tcBorders>
              <w:top w:val="nil"/>
              <w:left w:val="nil"/>
              <w:bottom w:val="single" w:sz="4" w:space="0" w:color="auto"/>
              <w:right w:val="single" w:sz="4" w:space="0" w:color="auto"/>
            </w:tcBorders>
            <w:shd w:val="clear" w:color="auto" w:fill="auto"/>
            <w:vAlign w:val="center"/>
            <w:hideMark/>
          </w:tcPr>
          <w:p w14:paraId="3AB9EBE4"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89,8</w:t>
            </w:r>
          </w:p>
        </w:tc>
        <w:tc>
          <w:tcPr>
            <w:tcW w:w="871" w:type="dxa"/>
            <w:tcBorders>
              <w:top w:val="nil"/>
              <w:left w:val="nil"/>
              <w:bottom w:val="single" w:sz="4" w:space="0" w:color="auto"/>
              <w:right w:val="single" w:sz="4" w:space="0" w:color="auto"/>
            </w:tcBorders>
            <w:shd w:val="clear" w:color="auto" w:fill="auto"/>
            <w:vAlign w:val="center"/>
            <w:hideMark/>
          </w:tcPr>
          <w:p w14:paraId="099B667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100,0</w:t>
            </w:r>
          </w:p>
        </w:tc>
      </w:tr>
      <w:tr w:rsidR="00457E80" w:rsidRPr="00036538" w14:paraId="2AFADF65" w14:textId="77777777" w:rsidTr="00576F59">
        <w:trPr>
          <w:trHeight w:val="323"/>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D2D5B17"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13</w:t>
            </w:r>
          </w:p>
        </w:tc>
        <w:tc>
          <w:tcPr>
            <w:tcW w:w="908" w:type="dxa"/>
            <w:tcBorders>
              <w:top w:val="nil"/>
              <w:left w:val="nil"/>
              <w:bottom w:val="single" w:sz="4" w:space="0" w:color="auto"/>
              <w:right w:val="single" w:sz="4" w:space="0" w:color="auto"/>
            </w:tcBorders>
            <w:shd w:val="clear" w:color="auto" w:fill="auto"/>
            <w:vAlign w:val="bottom"/>
            <w:hideMark/>
          </w:tcPr>
          <w:p w14:paraId="100C5D7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Франкфурт-на-Майне</w:t>
            </w:r>
          </w:p>
        </w:tc>
        <w:tc>
          <w:tcPr>
            <w:tcW w:w="1028" w:type="dxa"/>
            <w:tcBorders>
              <w:top w:val="nil"/>
              <w:left w:val="nil"/>
              <w:bottom w:val="single" w:sz="4" w:space="0" w:color="auto"/>
              <w:right w:val="single" w:sz="4" w:space="0" w:color="auto"/>
            </w:tcBorders>
            <w:shd w:val="clear" w:color="auto" w:fill="auto"/>
            <w:vAlign w:val="bottom"/>
            <w:hideMark/>
          </w:tcPr>
          <w:p w14:paraId="45699AF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ФРГ</w:t>
            </w:r>
          </w:p>
        </w:tc>
        <w:tc>
          <w:tcPr>
            <w:tcW w:w="612" w:type="dxa"/>
            <w:tcBorders>
              <w:top w:val="nil"/>
              <w:left w:val="nil"/>
              <w:bottom w:val="single" w:sz="4" w:space="0" w:color="auto"/>
              <w:right w:val="single" w:sz="4" w:space="0" w:color="auto"/>
            </w:tcBorders>
            <w:shd w:val="clear" w:color="000000" w:fill="92D050"/>
            <w:vAlign w:val="center"/>
            <w:hideMark/>
          </w:tcPr>
          <w:p w14:paraId="7F6A79D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720</w:t>
            </w:r>
          </w:p>
        </w:tc>
        <w:tc>
          <w:tcPr>
            <w:tcW w:w="1145" w:type="dxa"/>
            <w:tcBorders>
              <w:top w:val="nil"/>
              <w:left w:val="nil"/>
              <w:bottom w:val="single" w:sz="4" w:space="0" w:color="auto"/>
              <w:right w:val="single" w:sz="4" w:space="0" w:color="auto"/>
            </w:tcBorders>
            <w:shd w:val="clear" w:color="auto" w:fill="auto"/>
            <w:vAlign w:val="center"/>
            <w:hideMark/>
          </w:tcPr>
          <w:p w14:paraId="32D179A9"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Germany</w:t>
            </w:r>
          </w:p>
        </w:tc>
        <w:tc>
          <w:tcPr>
            <w:tcW w:w="612" w:type="dxa"/>
            <w:tcBorders>
              <w:top w:val="nil"/>
              <w:left w:val="nil"/>
              <w:bottom w:val="single" w:sz="4" w:space="0" w:color="auto"/>
              <w:right w:val="single" w:sz="4" w:space="0" w:color="auto"/>
            </w:tcBorders>
            <w:shd w:val="clear" w:color="auto" w:fill="auto"/>
            <w:vAlign w:val="center"/>
            <w:hideMark/>
          </w:tcPr>
          <w:p w14:paraId="29351DB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79,7</w:t>
            </w:r>
          </w:p>
        </w:tc>
        <w:tc>
          <w:tcPr>
            <w:tcW w:w="818" w:type="dxa"/>
            <w:tcBorders>
              <w:top w:val="nil"/>
              <w:left w:val="nil"/>
              <w:bottom w:val="single" w:sz="4" w:space="0" w:color="auto"/>
              <w:right w:val="single" w:sz="4" w:space="0" w:color="auto"/>
            </w:tcBorders>
            <w:shd w:val="clear" w:color="auto" w:fill="auto"/>
            <w:vAlign w:val="center"/>
            <w:hideMark/>
          </w:tcPr>
          <w:p w14:paraId="75C2B13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83,7</w:t>
            </w:r>
          </w:p>
        </w:tc>
        <w:tc>
          <w:tcPr>
            <w:tcW w:w="931" w:type="dxa"/>
            <w:tcBorders>
              <w:top w:val="nil"/>
              <w:left w:val="nil"/>
              <w:bottom w:val="single" w:sz="4" w:space="0" w:color="auto"/>
              <w:right w:val="single" w:sz="4" w:space="0" w:color="auto"/>
            </w:tcBorders>
            <w:shd w:val="clear" w:color="auto" w:fill="auto"/>
            <w:vAlign w:val="center"/>
            <w:hideMark/>
          </w:tcPr>
          <w:p w14:paraId="4915E88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66,6</w:t>
            </w:r>
          </w:p>
        </w:tc>
        <w:tc>
          <w:tcPr>
            <w:tcW w:w="732" w:type="dxa"/>
            <w:tcBorders>
              <w:top w:val="nil"/>
              <w:left w:val="nil"/>
              <w:bottom w:val="single" w:sz="4" w:space="0" w:color="auto"/>
              <w:right w:val="single" w:sz="4" w:space="0" w:color="auto"/>
            </w:tcBorders>
            <w:shd w:val="clear" w:color="auto" w:fill="auto"/>
            <w:vAlign w:val="center"/>
            <w:hideMark/>
          </w:tcPr>
          <w:p w14:paraId="6886FAA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1D4BCB6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997" w:type="dxa"/>
            <w:tcBorders>
              <w:top w:val="nil"/>
              <w:left w:val="nil"/>
              <w:bottom w:val="single" w:sz="4" w:space="0" w:color="auto"/>
              <w:right w:val="single" w:sz="4" w:space="0" w:color="auto"/>
            </w:tcBorders>
            <w:shd w:val="clear" w:color="auto" w:fill="auto"/>
            <w:vAlign w:val="center"/>
            <w:hideMark/>
          </w:tcPr>
          <w:p w14:paraId="7FC7720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82,2</w:t>
            </w:r>
          </w:p>
        </w:tc>
        <w:tc>
          <w:tcPr>
            <w:tcW w:w="1437" w:type="dxa"/>
            <w:tcBorders>
              <w:top w:val="nil"/>
              <w:left w:val="nil"/>
              <w:bottom w:val="single" w:sz="4" w:space="0" w:color="auto"/>
              <w:right w:val="single" w:sz="4" w:space="0" w:color="auto"/>
            </w:tcBorders>
            <w:shd w:val="clear" w:color="auto" w:fill="auto"/>
            <w:vAlign w:val="center"/>
            <w:hideMark/>
          </w:tcPr>
          <w:p w14:paraId="216F670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91,8</w:t>
            </w:r>
          </w:p>
        </w:tc>
        <w:tc>
          <w:tcPr>
            <w:tcW w:w="1262" w:type="dxa"/>
            <w:tcBorders>
              <w:top w:val="nil"/>
              <w:left w:val="nil"/>
              <w:bottom w:val="single" w:sz="4" w:space="0" w:color="auto"/>
              <w:right w:val="single" w:sz="4" w:space="0" w:color="auto"/>
            </w:tcBorders>
            <w:shd w:val="clear" w:color="auto" w:fill="auto"/>
            <w:vAlign w:val="center"/>
            <w:hideMark/>
          </w:tcPr>
          <w:p w14:paraId="49D0D07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74,1</w:t>
            </w:r>
          </w:p>
        </w:tc>
        <w:tc>
          <w:tcPr>
            <w:tcW w:w="1085" w:type="dxa"/>
            <w:tcBorders>
              <w:top w:val="nil"/>
              <w:left w:val="nil"/>
              <w:bottom w:val="single" w:sz="4" w:space="0" w:color="auto"/>
              <w:right w:val="single" w:sz="4" w:space="0" w:color="auto"/>
            </w:tcBorders>
            <w:shd w:val="clear" w:color="auto" w:fill="auto"/>
            <w:vAlign w:val="center"/>
            <w:hideMark/>
          </w:tcPr>
          <w:p w14:paraId="6ADA12E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89,8</w:t>
            </w:r>
          </w:p>
        </w:tc>
        <w:tc>
          <w:tcPr>
            <w:tcW w:w="916" w:type="dxa"/>
            <w:tcBorders>
              <w:top w:val="nil"/>
              <w:left w:val="nil"/>
              <w:bottom w:val="single" w:sz="4" w:space="0" w:color="auto"/>
              <w:right w:val="single" w:sz="4" w:space="0" w:color="auto"/>
            </w:tcBorders>
            <w:shd w:val="clear" w:color="auto" w:fill="auto"/>
            <w:vAlign w:val="center"/>
            <w:hideMark/>
          </w:tcPr>
          <w:p w14:paraId="4B15536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78,2</w:t>
            </w:r>
          </w:p>
        </w:tc>
        <w:tc>
          <w:tcPr>
            <w:tcW w:w="871" w:type="dxa"/>
            <w:tcBorders>
              <w:top w:val="nil"/>
              <w:left w:val="nil"/>
              <w:bottom w:val="single" w:sz="4" w:space="0" w:color="auto"/>
              <w:right w:val="single" w:sz="4" w:space="0" w:color="auto"/>
            </w:tcBorders>
            <w:shd w:val="clear" w:color="auto" w:fill="auto"/>
            <w:vAlign w:val="center"/>
            <w:hideMark/>
          </w:tcPr>
          <w:p w14:paraId="0C2CBA7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98,8</w:t>
            </w:r>
          </w:p>
        </w:tc>
      </w:tr>
      <w:tr w:rsidR="00457E80" w:rsidRPr="00036538" w14:paraId="3B70A0E9"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558EFF1"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14</w:t>
            </w:r>
          </w:p>
        </w:tc>
        <w:tc>
          <w:tcPr>
            <w:tcW w:w="908" w:type="dxa"/>
            <w:tcBorders>
              <w:top w:val="nil"/>
              <w:left w:val="nil"/>
              <w:bottom w:val="single" w:sz="4" w:space="0" w:color="auto"/>
              <w:right w:val="single" w:sz="4" w:space="0" w:color="auto"/>
            </w:tcBorders>
            <w:shd w:val="clear" w:color="auto" w:fill="auto"/>
            <w:vAlign w:val="bottom"/>
            <w:hideMark/>
          </w:tcPr>
          <w:p w14:paraId="6FF9F0F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Цюрих</w:t>
            </w:r>
          </w:p>
        </w:tc>
        <w:tc>
          <w:tcPr>
            <w:tcW w:w="1028" w:type="dxa"/>
            <w:tcBorders>
              <w:top w:val="nil"/>
              <w:left w:val="nil"/>
              <w:bottom w:val="single" w:sz="4" w:space="0" w:color="auto"/>
              <w:right w:val="single" w:sz="4" w:space="0" w:color="auto"/>
            </w:tcBorders>
            <w:shd w:val="clear" w:color="auto" w:fill="auto"/>
            <w:vAlign w:val="bottom"/>
            <w:hideMark/>
          </w:tcPr>
          <w:p w14:paraId="629E8D8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Швейцария</w:t>
            </w:r>
          </w:p>
        </w:tc>
        <w:tc>
          <w:tcPr>
            <w:tcW w:w="612" w:type="dxa"/>
            <w:tcBorders>
              <w:top w:val="nil"/>
              <w:left w:val="nil"/>
              <w:bottom w:val="single" w:sz="4" w:space="0" w:color="auto"/>
              <w:right w:val="single" w:sz="4" w:space="0" w:color="auto"/>
            </w:tcBorders>
            <w:shd w:val="clear" w:color="000000" w:fill="92D050"/>
            <w:vAlign w:val="center"/>
            <w:hideMark/>
          </w:tcPr>
          <w:p w14:paraId="77A90EE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719</w:t>
            </w:r>
          </w:p>
        </w:tc>
        <w:tc>
          <w:tcPr>
            <w:tcW w:w="1145" w:type="dxa"/>
            <w:tcBorders>
              <w:top w:val="nil"/>
              <w:left w:val="nil"/>
              <w:bottom w:val="single" w:sz="4" w:space="0" w:color="auto"/>
              <w:right w:val="single" w:sz="4" w:space="0" w:color="auto"/>
            </w:tcBorders>
            <w:shd w:val="clear" w:color="auto" w:fill="auto"/>
            <w:vAlign w:val="center"/>
            <w:hideMark/>
          </w:tcPr>
          <w:p w14:paraId="2BAD5BA2"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Switzerland</w:t>
            </w:r>
          </w:p>
        </w:tc>
        <w:tc>
          <w:tcPr>
            <w:tcW w:w="612" w:type="dxa"/>
            <w:tcBorders>
              <w:top w:val="nil"/>
              <w:left w:val="nil"/>
              <w:bottom w:val="single" w:sz="4" w:space="0" w:color="auto"/>
              <w:right w:val="single" w:sz="4" w:space="0" w:color="auto"/>
            </w:tcBorders>
            <w:shd w:val="clear" w:color="auto" w:fill="auto"/>
            <w:vAlign w:val="center"/>
            <w:hideMark/>
          </w:tcPr>
          <w:p w14:paraId="34A113D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76,6</w:t>
            </w:r>
          </w:p>
        </w:tc>
        <w:tc>
          <w:tcPr>
            <w:tcW w:w="818" w:type="dxa"/>
            <w:tcBorders>
              <w:top w:val="nil"/>
              <w:left w:val="nil"/>
              <w:bottom w:val="single" w:sz="4" w:space="0" w:color="auto"/>
              <w:right w:val="single" w:sz="4" w:space="0" w:color="auto"/>
            </w:tcBorders>
            <w:shd w:val="clear" w:color="auto" w:fill="auto"/>
            <w:vAlign w:val="center"/>
            <w:hideMark/>
          </w:tcPr>
          <w:p w14:paraId="22821B1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88,4</w:t>
            </w:r>
          </w:p>
        </w:tc>
        <w:tc>
          <w:tcPr>
            <w:tcW w:w="931" w:type="dxa"/>
            <w:tcBorders>
              <w:top w:val="nil"/>
              <w:left w:val="nil"/>
              <w:bottom w:val="single" w:sz="4" w:space="0" w:color="auto"/>
              <w:right w:val="single" w:sz="4" w:space="0" w:color="auto"/>
            </w:tcBorders>
            <w:shd w:val="clear" w:color="auto" w:fill="auto"/>
            <w:vAlign w:val="center"/>
            <w:hideMark/>
          </w:tcPr>
          <w:p w14:paraId="7455CC8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86,1</w:t>
            </w:r>
          </w:p>
        </w:tc>
        <w:tc>
          <w:tcPr>
            <w:tcW w:w="732" w:type="dxa"/>
            <w:tcBorders>
              <w:top w:val="nil"/>
              <w:left w:val="nil"/>
              <w:bottom w:val="single" w:sz="4" w:space="0" w:color="auto"/>
              <w:right w:val="single" w:sz="4" w:space="0" w:color="auto"/>
            </w:tcBorders>
            <w:shd w:val="clear" w:color="auto" w:fill="auto"/>
            <w:vAlign w:val="center"/>
            <w:hideMark/>
          </w:tcPr>
          <w:p w14:paraId="1A93E6A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65,0</w:t>
            </w:r>
          </w:p>
        </w:tc>
        <w:tc>
          <w:tcPr>
            <w:tcW w:w="1016" w:type="dxa"/>
            <w:tcBorders>
              <w:top w:val="nil"/>
              <w:left w:val="nil"/>
              <w:bottom w:val="single" w:sz="4" w:space="0" w:color="auto"/>
              <w:right w:val="single" w:sz="4" w:space="0" w:color="auto"/>
            </w:tcBorders>
            <w:shd w:val="clear" w:color="auto" w:fill="auto"/>
            <w:vAlign w:val="center"/>
            <w:hideMark/>
          </w:tcPr>
          <w:p w14:paraId="37037FF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50,0</w:t>
            </w:r>
          </w:p>
        </w:tc>
        <w:tc>
          <w:tcPr>
            <w:tcW w:w="997" w:type="dxa"/>
            <w:tcBorders>
              <w:top w:val="nil"/>
              <w:left w:val="nil"/>
              <w:bottom w:val="single" w:sz="4" w:space="0" w:color="auto"/>
              <w:right w:val="single" w:sz="4" w:space="0" w:color="auto"/>
            </w:tcBorders>
            <w:shd w:val="clear" w:color="auto" w:fill="auto"/>
            <w:vAlign w:val="center"/>
            <w:hideMark/>
          </w:tcPr>
          <w:p w14:paraId="1C4FDEA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87,7</w:t>
            </w:r>
          </w:p>
        </w:tc>
        <w:tc>
          <w:tcPr>
            <w:tcW w:w="1437" w:type="dxa"/>
            <w:tcBorders>
              <w:top w:val="nil"/>
              <w:left w:val="nil"/>
              <w:bottom w:val="single" w:sz="4" w:space="0" w:color="auto"/>
              <w:right w:val="single" w:sz="4" w:space="0" w:color="auto"/>
            </w:tcBorders>
            <w:shd w:val="clear" w:color="auto" w:fill="auto"/>
            <w:vAlign w:val="center"/>
            <w:hideMark/>
          </w:tcPr>
          <w:p w14:paraId="3F1E471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96,1</w:t>
            </w:r>
          </w:p>
        </w:tc>
        <w:tc>
          <w:tcPr>
            <w:tcW w:w="1262" w:type="dxa"/>
            <w:tcBorders>
              <w:top w:val="nil"/>
              <w:left w:val="nil"/>
              <w:bottom w:val="single" w:sz="4" w:space="0" w:color="auto"/>
              <w:right w:val="single" w:sz="4" w:space="0" w:color="auto"/>
            </w:tcBorders>
            <w:shd w:val="clear" w:color="auto" w:fill="auto"/>
            <w:vAlign w:val="center"/>
            <w:hideMark/>
          </w:tcPr>
          <w:p w14:paraId="07996E8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64,1</w:t>
            </w:r>
          </w:p>
        </w:tc>
        <w:tc>
          <w:tcPr>
            <w:tcW w:w="1085" w:type="dxa"/>
            <w:tcBorders>
              <w:top w:val="nil"/>
              <w:left w:val="nil"/>
              <w:bottom w:val="single" w:sz="4" w:space="0" w:color="auto"/>
              <w:right w:val="single" w:sz="4" w:space="0" w:color="auto"/>
            </w:tcBorders>
            <w:shd w:val="clear" w:color="auto" w:fill="auto"/>
            <w:vAlign w:val="center"/>
            <w:hideMark/>
          </w:tcPr>
          <w:p w14:paraId="24322DF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62,6</w:t>
            </w:r>
          </w:p>
        </w:tc>
        <w:tc>
          <w:tcPr>
            <w:tcW w:w="916" w:type="dxa"/>
            <w:tcBorders>
              <w:top w:val="nil"/>
              <w:left w:val="nil"/>
              <w:bottom w:val="single" w:sz="4" w:space="0" w:color="auto"/>
              <w:right w:val="single" w:sz="4" w:space="0" w:color="auto"/>
            </w:tcBorders>
            <w:shd w:val="clear" w:color="auto" w:fill="auto"/>
            <w:vAlign w:val="center"/>
            <w:hideMark/>
          </w:tcPr>
          <w:p w14:paraId="3419954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71,8</w:t>
            </w:r>
          </w:p>
        </w:tc>
        <w:tc>
          <w:tcPr>
            <w:tcW w:w="871" w:type="dxa"/>
            <w:tcBorders>
              <w:top w:val="nil"/>
              <w:left w:val="nil"/>
              <w:bottom w:val="single" w:sz="4" w:space="0" w:color="auto"/>
              <w:right w:val="single" w:sz="4" w:space="0" w:color="auto"/>
            </w:tcBorders>
            <w:shd w:val="clear" w:color="auto" w:fill="auto"/>
            <w:vAlign w:val="center"/>
            <w:hideMark/>
          </w:tcPr>
          <w:p w14:paraId="547F872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94,4</w:t>
            </w:r>
          </w:p>
        </w:tc>
      </w:tr>
      <w:tr w:rsidR="00457E80" w:rsidRPr="00036538" w14:paraId="7615C802"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AD9D7E5"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15</w:t>
            </w:r>
          </w:p>
        </w:tc>
        <w:tc>
          <w:tcPr>
            <w:tcW w:w="908" w:type="dxa"/>
            <w:tcBorders>
              <w:top w:val="nil"/>
              <w:left w:val="nil"/>
              <w:bottom w:val="single" w:sz="4" w:space="0" w:color="auto"/>
              <w:right w:val="single" w:sz="4" w:space="0" w:color="auto"/>
            </w:tcBorders>
            <w:shd w:val="clear" w:color="auto" w:fill="auto"/>
            <w:vAlign w:val="bottom"/>
            <w:hideMark/>
          </w:tcPr>
          <w:p w14:paraId="423C507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Париж</w:t>
            </w:r>
          </w:p>
        </w:tc>
        <w:tc>
          <w:tcPr>
            <w:tcW w:w="1028" w:type="dxa"/>
            <w:tcBorders>
              <w:top w:val="nil"/>
              <w:left w:val="nil"/>
              <w:bottom w:val="single" w:sz="4" w:space="0" w:color="auto"/>
              <w:right w:val="single" w:sz="4" w:space="0" w:color="auto"/>
            </w:tcBorders>
            <w:shd w:val="clear" w:color="auto" w:fill="auto"/>
            <w:vAlign w:val="bottom"/>
            <w:hideMark/>
          </w:tcPr>
          <w:p w14:paraId="1EE700C1"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Франция</w:t>
            </w:r>
          </w:p>
        </w:tc>
        <w:tc>
          <w:tcPr>
            <w:tcW w:w="612" w:type="dxa"/>
            <w:tcBorders>
              <w:top w:val="nil"/>
              <w:left w:val="nil"/>
              <w:bottom w:val="single" w:sz="4" w:space="0" w:color="auto"/>
              <w:right w:val="single" w:sz="4" w:space="0" w:color="auto"/>
            </w:tcBorders>
            <w:shd w:val="clear" w:color="000000" w:fill="92D050"/>
            <w:vAlign w:val="center"/>
            <w:hideMark/>
          </w:tcPr>
          <w:p w14:paraId="1F14AFB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718</w:t>
            </w:r>
          </w:p>
        </w:tc>
        <w:tc>
          <w:tcPr>
            <w:tcW w:w="1145" w:type="dxa"/>
            <w:tcBorders>
              <w:top w:val="nil"/>
              <w:left w:val="nil"/>
              <w:bottom w:val="single" w:sz="4" w:space="0" w:color="auto"/>
              <w:right w:val="single" w:sz="4" w:space="0" w:color="auto"/>
            </w:tcBorders>
            <w:shd w:val="clear" w:color="auto" w:fill="auto"/>
            <w:vAlign w:val="center"/>
            <w:hideMark/>
          </w:tcPr>
          <w:p w14:paraId="77A539B8"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France</w:t>
            </w:r>
          </w:p>
        </w:tc>
        <w:tc>
          <w:tcPr>
            <w:tcW w:w="612" w:type="dxa"/>
            <w:tcBorders>
              <w:top w:val="nil"/>
              <w:left w:val="nil"/>
              <w:bottom w:val="single" w:sz="4" w:space="0" w:color="auto"/>
              <w:right w:val="single" w:sz="4" w:space="0" w:color="auto"/>
            </w:tcBorders>
            <w:shd w:val="clear" w:color="auto" w:fill="auto"/>
            <w:vAlign w:val="center"/>
            <w:hideMark/>
          </w:tcPr>
          <w:p w14:paraId="18A443E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76,8</w:t>
            </w:r>
          </w:p>
        </w:tc>
        <w:tc>
          <w:tcPr>
            <w:tcW w:w="818" w:type="dxa"/>
            <w:tcBorders>
              <w:top w:val="nil"/>
              <w:left w:val="nil"/>
              <w:bottom w:val="single" w:sz="4" w:space="0" w:color="auto"/>
              <w:right w:val="single" w:sz="4" w:space="0" w:color="auto"/>
            </w:tcBorders>
            <w:shd w:val="clear" w:color="auto" w:fill="auto"/>
            <w:vAlign w:val="center"/>
            <w:hideMark/>
          </w:tcPr>
          <w:p w14:paraId="70CEAD2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93,1</w:t>
            </w:r>
          </w:p>
        </w:tc>
        <w:tc>
          <w:tcPr>
            <w:tcW w:w="931" w:type="dxa"/>
            <w:tcBorders>
              <w:top w:val="nil"/>
              <w:left w:val="nil"/>
              <w:bottom w:val="single" w:sz="4" w:space="0" w:color="auto"/>
              <w:right w:val="single" w:sz="4" w:space="0" w:color="auto"/>
            </w:tcBorders>
            <w:shd w:val="clear" w:color="auto" w:fill="auto"/>
            <w:vAlign w:val="center"/>
            <w:hideMark/>
          </w:tcPr>
          <w:p w14:paraId="43D53A4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63,3</w:t>
            </w:r>
          </w:p>
        </w:tc>
        <w:tc>
          <w:tcPr>
            <w:tcW w:w="732" w:type="dxa"/>
            <w:tcBorders>
              <w:top w:val="nil"/>
              <w:left w:val="nil"/>
              <w:bottom w:val="single" w:sz="4" w:space="0" w:color="auto"/>
              <w:right w:val="single" w:sz="4" w:space="0" w:color="auto"/>
            </w:tcBorders>
            <w:shd w:val="clear" w:color="auto" w:fill="auto"/>
            <w:vAlign w:val="center"/>
            <w:hideMark/>
          </w:tcPr>
          <w:p w14:paraId="662AC8D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50,0</w:t>
            </w:r>
          </w:p>
        </w:tc>
        <w:tc>
          <w:tcPr>
            <w:tcW w:w="1016" w:type="dxa"/>
            <w:tcBorders>
              <w:top w:val="nil"/>
              <w:left w:val="nil"/>
              <w:bottom w:val="single" w:sz="4" w:space="0" w:color="auto"/>
              <w:right w:val="single" w:sz="4" w:space="0" w:color="auto"/>
            </w:tcBorders>
            <w:shd w:val="clear" w:color="auto" w:fill="auto"/>
            <w:vAlign w:val="center"/>
            <w:hideMark/>
          </w:tcPr>
          <w:p w14:paraId="12676EF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68,0</w:t>
            </w:r>
          </w:p>
        </w:tc>
        <w:tc>
          <w:tcPr>
            <w:tcW w:w="997" w:type="dxa"/>
            <w:tcBorders>
              <w:top w:val="nil"/>
              <w:left w:val="nil"/>
              <w:bottom w:val="single" w:sz="4" w:space="0" w:color="auto"/>
              <w:right w:val="single" w:sz="4" w:space="0" w:color="auto"/>
            </w:tcBorders>
            <w:shd w:val="clear" w:color="auto" w:fill="auto"/>
            <w:vAlign w:val="center"/>
            <w:hideMark/>
          </w:tcPr>
          <w:p w14:paraId="2517EC0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79,2</w:t>
            </w:r>
          </w:p>
        </w:tc>
        <w:tc>
          <w:tcPr>
            <w:tcW w:w="1437" w:type="dxa"/>
            <w:tcBorders>
              <w:top w:val="nil"/>
              <w:left w:val="nil"/>
              <w:bottom w:val="single" w:sz="4" w:space="0" w:color="auto"/>
              <w:right w:val="single" w:sz="4" w:space="0" w:color="auto"/>
            </w:tcBorders>
            <w:shd w:val="clear" w:color="auto" w:fill="auto"/>
            <w:vAlign w:val="center"/>
            <w:hideMark/>
          </w:tcPr>
          <w:p w14:paraId="21C7295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7089525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73,5</w:t>
            </w:r>
          </w:p>
        </w:tc>
        <w:tc>
          <w:tcPr>
            <w:tcW w:w="1085" w:type="dxa"/>
            <w:tcBorders>
              <w:top w:val="nil"/>
              <w:left w:val="nil"/>
              <w:bottom w:val="single" w:sz="4" w:space="0" w:color="auto"/>
              <w:right w:val="single" w:sz="4" w:space="0" w:color="auto"/>
            </w:tcBorders>
            <w:shd w:val="clear" w:color="auto" w:fill="auto"/>
            <w:vAlign w:val="center"/>
            <w:hideMark/>
          </w:tcPr>
          <w:p w14:paraId="5F295AE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74,6</w:t>
            </w:r>
          </w:p>
        </w:tc>
        <w:tc>
          <w:tcPr>
            <w:tcW w:w="916" w:type="dxa"/>
            <w:tcBorders>
              <w:top w:val="nil"/>
              <w:left w:val="nil"/>
              <w:bottom w:val="single" w:sz="4" w:space="0" w:color="auto"/>
              <w:right w:val="single" w:sz="4" w:space="0" w:color="auto"/>
            </w:tcBorders>
            <w:shd w:val="clear" w:color="auto" w:fill="auto"/>
            <w:vAlign w:val="center"/>
            <w:hideMark/>
          </w:tcPr>
          <w:p w14:paraId="509134D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74,3</w:t>
            </w:r>
          </w:p>
        </w:tc>
        <w:tc>
          <w:tcPr>
            <w:tcW w:w="871" w:type="dxa"/>
            <w:tcBorders>
              <w:top w:val="nil"/>
              <w:left w:val="nil"/>
              <w:bottom w:val="single" w:sz="4" w:space="0" w:color="auto"/>
              <w:right w:val="single" w:sz="4" w:space="0" w:color="auto"/>
            </w:tcBorders>
            <w:shd w:val="clear" w:color="auto" w:fill="auto"/>
            <w:vAlign w:val="center"/>
            <w:hideMark/>
          </w:tcPr>
          <w:p w14:paraId="6DA5360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92,0</w:t>
            </w:r>
          </w:p>
        </w:tc>
      </w:tr>
      <w:tr w:rsidR="00457E80" w:rsidRPr="00036538" w14:paraId="13C6B10F"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CA6FA79"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16</w:t>
            </w:r>
          </w:p>
        </w:tc>
        <w:tc>
          <w:tcPr>
            <w:tcW w:w="908" w:type="dxa"/>
            <w:tcBorders>
              <w:top w:val="nil"/>
              <w:left w:val="nil"/>
              <w:bottom w:val="single" w:sz="4" w:space="0" w:color="auto"/>
              <w:right w:val="single" w:sz="4" w:space="0" w:color="auto"/>
            </w:tcBorders>
            <w:shd w:val="clear" w:color="auto" w:fill="auto"/>
            <w:vAlign w:val="bottom"/>
            <w:hideMark/>
          </w:tcPr>
          <w:p w14:paraId="6CE3D6A3"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Чикаго</w:t>
            </w:r>
          </w:p>
        </w:tc>
        <w:tc>
          <w:tcPr>
            <w:tcW w:w="1028" w:type="dxa"/>
            <w:tcBorders>
              <w:top w:val="nil"/>
              <w:left w:val="nil"/>
              <w:bottom w:val="single" w:sz="4" w:space="0" w:color="auto"/>
              <w:right w:val="single" w:sz="4" w:space="0" w:color="auto"/>
            </w:tcBorders>
            <w:shd w:val="clear" w:color="auto" w:fill="auto"/>
            <w:vAlign w:val="bottom"/>
            <w:hideMark/>
          </w:tcPr>
          <w:p w14:paraId="7BAE0D8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США</w:t>
            </w:r>
          </w:p>
        </w:tc>
        <w:tc>
          <w:tcPr>
            <w:tcW w:w="612" w:type="dxa"/>
            <w:tcBorders>
              <w:top w:val="nil"/>
              <w:left w:val="nil"/>
              <w:bottom w:val="single" w:sz="4" w:space="0" w:color="auto"/>
              <w:right w:val="single" w:sz="4" w:space="0" w:color="auto"/>
            </w:tcBorders>
            <w:shd w:val="clear" w:color="000000" w:fill="92D050"/>
            <w:vAlign w:val="center"/>
            <w:hideMark/>
          </w:tcPr>
          <w:p w14:paraId="5F498D2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717</w:t>
            </w:r>
          </w:p>
        </w:tc>
        <w:tc>
          <w:tcPr>
            <w:tcW w:w="1145" w:type="dxa"/>
            <w:tcBorders>
              <w:top w:val="nil"/>
              <w:left w:val="nil"/>
              <w:bottom w:val="single" w:sz="4" w:space="0" w:color="auto"/>
              <w:right w:val="single" w:sz="4" w:space="0" w:color="auto"/>
            </w:tcBorders>
            <w:shd w:val="clear" w:color="auto" w:fill="auto"/>
            <w:vAlign w:val="center"/>
            <w:hideMark/>
          </w:tcPr>
          <w:p w14:paraId="23B89897"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States</w:t>
            </w:r>
          </w:p>
        </w:tc>
        <w:tc>
          <w:tcPr>
            <w:tcW w:w="612" w:type="dxa"/>
            <w:tcBorders>
              <w:top w:val="nil"/>
              <w:left w:val="nil"/>
              <w:bottom w:val="single" w:sz="4" w:space="0" w:color="auto"/>
              <w:right w:val="single" w:sz="4" w:space="0" w:color="auto"/>
            </w:tcBorders>
            <w:shd w:val="clear" w:color="auto" w:fill="auto"/>
            <w:vAlign w:val="center"/>
            <w:hideMark/>
          </w:tcPr>
          <w:p w14:paraId="7BC28BA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84,0</w:t>
            </w:r>
          </w:p>
        </w:tc>
        <w:tc>
          <w:tcPr>
            <w:tcW w:w="818" w:type="dxa"/>
            <w:tcBorders>
              <w:top w:val="nil"/>
              <w:left w:val="nil"/>
              <w:bottom w:val="single" w:sz="4" w:space="0" w:color="auto"/>
              <w:right w:val="single" w:sz="4" w:space="0" w:color="auto"/>
            </w:tcBorders>
            <w:shd w:val="clear" w:color="auto" w:fill="auto"/>
            <w:vAlign w:val="center"/>
            <w:hideMark/>
          </w:tcPr>
          <w:p w14:paraId="71748BB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91,6</w:t>
            </w:r>
          </w:p>
        </w:tc>
        <w:tc>
          <w:tcPr>
            <w:tcW w:w="931" w:type="dxa"/>
            <w:tcBorders>
              <w:top w:val="nil"/>
              <w:left w:val="nil"/>
              <w:bottom w:val="single" w:sz="4" w:space="0" w:color="auto"/>
              <w:right w:val="single" w:sz="4" w:space="0" w:color="auto"/>
            </w:tcBorders>
            <w:shd w:val="clear" w:color="auto" w:fill="auto"/>
            <w:vAlign w:val="center"/>
            <w:hideMark/>
          </w:tcPr>
          <w:p w14:paraId="1F20C3A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76,9</w:t>
            </w:r>
          </w:p>
        </w:tc>
        <w:tc>
          <w:tcPr>
            <w:tcW w:w="732" w:type="dxa"/>
            <w:tcBorders>
              <w:top w:val="nil"/>
              <w:left w:val="nil"/>
              <w:bottom w:val="single" w:sz="4" w:space="0" w:color="auto"/>
              <w:right w:val="single" w:sz="4" w:space="0" w:color="auto"/>
            </w:tcBorders>
            <w:shd w:val="clear" w:color="auto" w:fill="auto"/>
            <w:vAlign w:val="center"/>
            <w:hideMark/>
          </w:tcPr>
          <w:p w14:paraId="46FF6F6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95,0</w:t>
            </w:r>
          </w:p>
        </w:tc>
        <w:tc>
          <w:tcPr>
            <w:tcW w:w="1016" w:type="dxa"/>
            <w:tcBorders>
              <w:top w:val="nil"/>
              <w:left w:val="nil"/>
              <w:bottom w:val="single" w:sz="4" w:space="0" w:color="auto"/>
              <w:right w:val="single" w:sz="4" w:space="0" w:color="auto"/>
            </w:tcBorders>
            <w:shd w:val="clear" w:color="auto" w:fill="auto"/>
            <w:vAlign w:val="center"/>
            <w:hideMark/>
          </w:tcPr>
          <w:p w14:paraId="5060CA8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71,6</w:t>
            </w:r>
          </w:p>
        </w:tc>
        <w:tc>
          <w:tcPr>
            <w:tcW w:w="997" w:type="dxa"/>
            <w:tcBorders>
              <w:top w:val="nil"/>
              <w:left w:val="nil"/>
              <w:bottom w:val="single" w:sz="4" w:space="0" w:color="auto"/>
              <w:right w:val="single" w:sz="4" w:space="0" w:color="auto"/>
            </w:tcBorders>
            <w:shd w:val="clear" w:color="auto" w:fill="auto"/>
            <w:vAlign w:val="center"/>
            <w:hideMark/>
          </w:tcPr>
          <w:p w14:paraId="2C46ABA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86,8</w:t>
            </w:r>
          </w:p>
        </w:tc>
        <w:tc>
          <w:tcPr>
            <w:tcW w:w="1437" w:type="dxa"/>
            <w:tcBorders>
              <w:top w:val="nil"/>
              <w:left w:val="nil"/>
              <w:bottom w:val="single" w:sz="4" w:space="0" w:color="auto"/>
              <w:right w:val="single" w:sz="4" w:space="0" w:color="auto"/>
            </w:tcBorders>
            <w:shd w:val="clear" w:color="auto" w:fill="auto"/>
            <w:vAlign w:val="center"/>
            <w:hideMark/>
          </w:tcPr>
          <w:p w14:paraId="2E3332B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92,0</w:t>
            </w:r>
          </w:p>
        </w:tc>
        <w:tc>
          <w:tcPr>
            <w:tcW w:w="1262" w:type="dxa"/>
            <w:tcBorders>
              <w:top w:val="nil"/>
              <w:left w:val="nil"/>
              <w:bottom w:val="single" w:sz="4" w:space="0" w:color="auto"/>
              <w:right w:val="single" w:sz="4" w:space="0" w:color="auto"/>
            </w:tcBorders>
            <w:shd w:val="clear" w:color="auto" w:fill="auto"/>
            <w:vAlign w:val="center"/>
            <w:hideMark/>
          </w:tcPr>
          <w:p w14:paraId="7D2DF15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73,4</w:t>
            </w:r>
          </w:p>
        </w:tc>
        <w:tc>
          <w:tcPr>
            <w:tcW w:w="1085" w:type="dxa"/>
            <w:tcBorders>
              <w:top w:val="nil"/>
              <w:left w:val="nil"/>
              <w:bottom w:val="single" w:sz="4" w:space="0" w:color="auto"/>
              <w:right w:val="single" w:sz="4" w:space="0" w:color="auto"/>
            </w:tcBorders>
            <w:shd w:val="clear" w:color="auto" w:fill="auto"/>
            <w:vAlign w:val="center"/>
            <w:hideMark/>
          </w:tcPr>
          <w:p w14:paraId="6690ACC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90,5</w:t>
            </w:r>
          </w:p>
        </w:tc>
        <w:tc>
          <w:tcPr>
            <w:tcW w:w="916" w:type="dxa"/>
            <w:tcBorders>
              <w:top w:val="nil"/>
              <w:left w:val="nil"/>
              <w:bottom w:val="single" w:sz="4" w:space="0" w:color="auto"/>
              <w:right w:val="single" w:sz="4" w:space="0" w:color="auto"/>
            </w:tcBorders>
            <w:shd w:val="clear" w:color="auto" w:fill="auto"/>
            <w:vAlign w:val="center"/>
            <w:hideMark/>
          </w:tcPr>
          <w:p w14:paraId="57408EF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80,0</w:t>
            </w:r>
          </w:p>
        </w:tc>
        <w:tc>
          <w:tcPr>
            <w:tcW w:w="871" w:type="dxa"/>
            <w:tcBorders>
              <w:top w:val="nil"/>
              <w:left w:val="nil"/>
              <w:bottom w:val="single" w:sz="4" w:space="0" w:color="auto"/>
              <w:right w:val="single" w:sz="4" w:space="0" w:color="auto"/>
            </w:tcBorders>
            <w:shd w:val="clear" w:color="auto" w:fill="auto"/>
            <w:vAlign w:val="center"/>
            <w:hideMark/>
          </w:tcPr>
          <w:p w14:paraId="62B9FA5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82,2</w:t>
            </w:r>
          </w:p>
        </w:tc>
      </w:tr>
      <w:tr w:rsidR="00457E80" w:rsidRPr="00036538" w14:paraId="31FADCCF"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88335CF"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17</w:t>
            </w:r>
          </w:p>
        </w:tc>
        <w:tc>
          <w:tcPr>
            <w:tcW w:w="908" w:type="dxa"/>
            <w:tcBorders>
              <w:top w:val="nil"/>
              <w:left w:val="nil"/>
              <w:bottom w:val="single" w:sz="4" w:space="0" w:color="auto"/>
              <w:right w:val="single" w:sz="4" w:space="0" w:color="auto"/>
            </w:tcBorders>
            <w:shd w:val="clear" w:color="auto" w:fill="auto"/>
            <w:vAlign w:val="bottom"/>
            <w:hideMark/>
          </w:tcPr>
          <w:p w14:paraId="6CB42A3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Эдинбург</w:t>
            </w:r>
          </w:p>
        </w:tc>
        <w:tc>
          <w:tcPr>
            <w:tcW w:w="1028" w:type="dxa"/>
            <w:tcBorders>
              <w:top w:val="nil"/>
              <w:left w:val="nil"/>
              <w:bottom w:val="single" w:sz="4" w:space="0" w:color="auto"/>
              <w:right w:val="single" w:sz="4" w:space="0" w:color="auto"/>
            </w:tcBorders>
            <w:shd w:val="clear" w:color="auto" w:fill="auto"/>
            <w:vAlign w:val="bottom"/>
            <w:hideMark/>
          </w:tcPr>
          <w:p w14:paraId="56C4DFB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Великобритания</w:t>
            </w:r>
          </w:p>
        </w:tc>
        <w:tc>
          <w:tcPr>
            <w:tcW w:w="612" w:type="dxa"/>
            <w:tcBorders>
              <w:top w:val="nil"/>
              <w:left w:val="nil"/>
              <w:bottom w:val="single" w:sz="4" w:space="0" w:color="auto"/>
              <w:right w:val="single" w:sz="4" w:space="0" w:color="auto"/>
            </w:tcBorders>
            <w:shd w:val="clear" w:color="000000" w:fill="92D050"/>
            <w:vAlign w:val="center"/>
            <w:hideMark/>
          </w:tcPr>
          <w:p w14:paraId="59C7580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716</w:t>
            </w:r>
          </w:p>
        </w:tc>
        <w:tc>
          <w:tcPr>
            <w:tcW w:w="1145" w:type="dxa"/>
            <w:tcBorders>
              <w:top w:val="nil"/>
              <w:left w:val="nil"/>
              <w:bottom w:val="single" w:sz="4" w:space="0" w:color="auto"/>
              <w:right w:val="single" w:sz="4" w:space="0" w:color="auto"/>
            </w:tcBorders>
            <w:shd w:val="clear" w:color="auto" w:fill="auto"/>
            <w:vAlign w:val="center"/>
            <w:hideMark/>
          </w:tcPr>
          <w:p w14:paraId="4F88071D"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Kingdom</w:t>
            </w:r>
          </w:p>
        </w:tc>
        <w:tc>
          <w:tcPr>
            <w:tcW w:w="612" w:type="dxa"/>
            <w:tcBorders>
              <w:top w:val="nil"/>
              <w:left w:val="nil"/>
              <w:bottom w:val="single" w:sz="4" w:space="0" w:color="auto"/>
              <w:right w:val="single" w:sz="4" w:space="0" w:color="auto"/>
            </w:tcBorders>
            <w:shd w:val="clear" w:color="auto" w:fill="auto"/>
            <w:vAlign w:val="center"/>
            <w:hideMark/>
          </w:tcPr>
          <w:p w14:paraId="3085BAD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83,5</w:t>
            </w:r>
          </w:p>
        </w:tc>
        <w:tc>
          <w:tcPr>
            <w:tcW w:w="818" w:type="dxa"/>
            <w:tcBorders>
              <w:top w:val="nil"/>
              <w:left w:val="nil"/>
              <w:bottom w:val="single" w:sz="4" w:space="0" w:color="auto"/>
              <w:right w:val="single" w:sz="4" w:space="0" w:color="auto"/>
            </w:tcBorders>
            <w:shd w:val="clear" w:color="auto" w:fill="auto"/>
            <w:vAlign w:val="center"/>
            <w:hideMark/>
          </w:tcPr>
          <w:p w14:paraId="155D21F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94,6</w:t>
            </w:r>
          </w:p>
        </w:tc>
        <w:tc>
          <w:tcPr>
            <w:tcW w:w="931" w:type="dxa"/>
            <w:tcBorders>
              <w:top w:val="nil"/>
              <w:left w:val="nil"/>
              <w:bottom w:val="single" w:sz="4" w:space="0" w:color="auto"/>
              <w:right w:val="single" w:sz="4" w:space="0" w:color="auto"/>
            </w:tcBorders>
            <w:shd w:val="clear" w:color="auto" w:fill="auto"/>
            <w:vAlign w:val="center"/>
            <w:hideMark/>
          </w:tcPr>
          <w:p w14:paraId="30EC0CF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6ABA479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0758EF8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79E9E40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86,2</w:t>
            </w:r>
          </w:p>
        </w:tc>
        <w:tc>
          <w:tcPr>
            <w:tcW w:w="1437" w:type="dxa"/>
            <w:tcBorders>
              <w:top w:val="nil"/>
              <w:left w:val="nil"/>
              <w:bottom w:val="single" w:sz="4" w:space="0" w:color="auto"/>
              <w:right w:val="single" w:sz="4" w:space="0" w:color="auto"/>
            </w:tcBorders>
            <w:shd w:val="clear" w:color="auto" w:fill="auto"/>
            <w:vAlign w:val="center"/>
            <w:hideMark/>
          </w:tcPr>
          <w:p w14:paraId="1CDF015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93,8</w:t>
            </w:r>
          </w:p>
        </w:tc>
        <w:tc>
          <w:tcPr>
            <w:tcW w:w="1262" w:type="dxa"/>
            <w:tcBorders>
              <w:top w:val="nil"/>
              <w:left w:val="nil"/>
              <w:bottom w:val="single" w:sz="4" w:space="0" w:color="auto"/>
              <w:right w:val="single" w:sz="4" w:space="0" w:color="auto"/>
            </w:tcBorders>
            <w:shd w:val="clear" w:color="auto" w:fill="auto"/>
            <w:vAlign w:val="center"/>
            <w:hideMark/>
          </w:tcPr>
          <w:p w14:paraId="32445EF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68,7</w:t>
            </w:r>
          </w:p>
        </w:tc>
        <w:tc>
          <w:tcPr>
            <w:tcW w:w="1085" w:type="dxa"/>
            <w:tcBorders>
              <w:top w:val="nil"/>
              <w:left w:val="nil"/>
              <w:bottom w:val="single" w:sz="4" w:space="0" w:color="auto"/>
              <w:right w:val="single" w:sz="4" w:space="0" w:color="auto"/>
            </w:tcBorders>
            <w:shd w:val="clear" w:color="auto" w:fill="auto"/>
            <w:vAlign w:val="center"/>
            <w:hideMark/>
          </w:tcPr>
          <w:p w14:paraId="03FC388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916" w:type="dxa"/>
            <w:tcBorders>
              <w:top w:val="nil"/>
              <w:left w:val="nil"/>
              <w:bottom w:val="single" w:sz="4" w:space="0" w:color="auto"/>
              <w:right w:val="single" w:sz="4" w:space="0" w:color="auto"/>
            </w:tcBorders>
            <w:shd w:val="clear" w:color="auto" w:fill="auto"/>
            <w:vAlign w:val="center"/>
            <w:hideMark/>
          </w:tcPr>
          <w:p w14:paraId="7E120E4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871" w:type="dxa"/>
            <w:tcBorders>
              <w:top w:val="nil"/>
              <w:left w:val="nil"/>
              <w:bottom w:val="single" w:sz="4" w:space="0" w:color="auto"/>
              <w:right w:val="single" w:sz="4" w:space="0" w:color="auto"/>
            </w:tcBorders>
            <w:shd w:val="clear" w:color="auto" w:fill="auto"/>
            <w:vAlign w:val="center"/>
            <w:hideMark/>
          </w:tcPr>
          <w:p w14:paraId="15BA953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96,9</w:t>
            </w:r>
          </w:p>
        </w:tc>
      </w:tr>
      <w:tr w:rsidR="00457E80" w:rsidRPr="00036538" w14:paraId="255FDB94"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FF5C0C5"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18</w:t>
            </w:r>
          </w:p>
        </w:tc>
        <w:tc>
          <w:tcPr>
            <w:tcW w:w="908" w:type="dxa"/>
            <w:tcBorders>
              <w:top w:val="nil"/>
              <w:left w:val="nil"/>
              <w:bottom w:val="single" w:sz="4" w:space="0" w:color="auto"/>
              <w:right w:val="single" w:sz="4" w:space="0" w:color="auto"/>
            </w:tcBorders>
            <w:shd w:val="clear" w:color="auto" w:fill="auto"/>
            <w:vAlign w:val="bottom"/>
            <w:hideMark/>
          </w:tcPr>
          <w:p w14:paraId="11F1420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Люксембург</w:t>
            </w:r>
          </w:p>
        </w:tc>
        <w:tc>
          <w:tcPr>
            <w:tcW w:w="1028" w:type="dxa"/>
            <w:tcBorders>
              <w:top w:val="nil"/>
              <w:left w:val="nil"/>
              <w:bottom w:val="single" w:sz="4" w:space="0" w:color="auto"/>
              <w:right w:val="single" w:sz="4" w:space="0" w:color="auto"/>
            </w:tcBorders>
            <w:shd w:val="clear" w:color="auto" w:fill="auto"/>
            <w:vAlign w:val="bottom"/>
            <w:hideMark/>
          </w:tcPr>
          <w:p w14:paraId="6F7EAEC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Люксембург</w:t>
            </w:r>
          </w:p>
        </w:tc>
        <w:tc>
          <w:tcPr>
            <w:tcW w:w="612" w:type="dxa"/>
            <w:tcBorders>
              <w:top w:val="nil"/>
              <w:left w:val="nil"/>
              <w:bottom w:val="single" w:sz="4" w:space="0" w:color="auto"/>
              <w:right w:val="single" w:sz="4" w:space="0" w:color="auto"/>
            </w:tcBorders>
            <w:shd w:val="clear" w:color="000000" w:fill="92D050"/>
            <w:vAlign w:val="center"/>
            <w:hideMark/>
          </w:tcPr>
          <w:p w14:paraId="6A03F6E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715</w:t>
            </w:r>
          </w:p>
        </w:tc>
        <w:tc>
          <w:tcPr>
            <w:tcW w:w="1145" w:type="dxa"/>
            <w:tcBorders>
              <w:top w:val="nil"/>
              <w:left w:val="nil"/>
              <w:bottom w:val="single" w:sz="4" w:space="0" w:color="auto"/>
              <w:right w:val="single" w:sz="4" w:space="0" w:color="auto"/>
            </w:tcBorders>
            <w:shd w:val="clear" w:color="auto" w:fill="auto"/>
            <w:vAlign w:val="center"/>
            <w:hideMark/>
          </w:tcPr>
          <w:p w14:paraId="35234033"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Luxembourg</w:t>
            </w:r>
          </w:p>
        </w:tc>
        <w:tc>
          <w:tcPr>
            <w:tcW w:w="612" w:type="dxa"/>
            <w:tcBorders>
              <w:top w:val="nil"/>
              <w:left w:val="nil"/>
              <w:bottom w:val="single" w:sz="4" w:space="0" w:color="auto"/>
              <w:right w:val="single" w:sz="4" w:space="0" w:color="auto"/>
            </w:tcBorders>
            <w:shd w:val="clear" w:color="auto" w:fill="auto"/>
            <w:vAlign w:val="center"/>
            <w:hideMark/>
          </w:tcPr>
          <w:p w14:paraId="2462C74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69,6</w:t>
            </w:r>
          </w:p>
        </w:tc>
        <w:tc>
          <w:tcPr>
            <w:tcW w:w="818" w:type="dxa"/>
            <w:tcBorders>
              <w:top w:val="nil"/>
              <w:left w:val="nil"/>
              <w:bottom w:val="single" w:sz="4" w:space="0" w:color="auto"/>
              <w:right w:val="single" w:sz="4" w:space="0" w:color="auto"/>
            </w:tcBorders>
            <w:shd w:val="clear" w:color="auto" w:fill="auto"/>
            <w:vAlign w:val="center"/>
            <w:hideMark/>
          </w:tcPr>
          <w:p w14:paraId="7C83FE6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88,8</w:t>
            </w:r>
          </w:p>
        </w:tc>
        <w:tc>
          <w:tcPr>
            <w:tcW w:w="931" w:type="dxa"/>
            <w:tcBorders>
              <w:top w:val="nil"/>
              <w:left w:val="nil"/>
              <w:bottom w:val="single" w:sz="4" w:space="0" w:color="auto"/>
              <w:right w:val="single" w:sz="4" w:space="0" w:color="auto"/>
            </w:tcBorders>
            <w:shd w:val="clear" w:color="auto" w:fill="auto"/>
            <w:vAlign w:val="center"/>
            <w:hideMark/>
          </w:tcPr>
          <w:p w14:paraId="6EC4A3A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63,9</w:t>
            </w:r>
          </w:p>
        </w:tc>
        <w:tc>
          <w:tcPr>
            <w:tcW w:w="732" w:type="dxa"/>
            <w:tcBorders>
              <w:top w:val="nil"/>
              <w:left w:val="nil"/>
              <w:bottom w:val="single" w:sz="4" w:space="0" w:color="auto"/>
              <w:right w:val="single" w:sz="4" w:space="0" w:color="auto"/>
            </w:tcBorders>
            <w:shd w:val="clear" w:color="auto" w:fill="auto"/>
            <w:vAlign w:val="center"/>
            <w:hideMark/>
          </w:tcPr>
          <w:p w14:paraId="08C7AB9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15,0</w:t>
            </w:r>
          </w:p>
        </w:tc>
        <w:tc>
          <w:tcPr>
            <w:tcW w:w="1016" w:type="dxa"/>
            <w:tcBorders>
              <w:top w:val="nil"/>
              <w:left w:val="nil"/>
              <w:bottom w:val="single" w:sz="4" w:space="0" w:color="auto"/>
              <w:right w:val="single" w:sz="4" w:space="0" w:color="auto"/>
            </w:tcBorders>
            <w:shd w:val="clear" w:color="auto" w:fill="auto"/>
            <w:vAlign w:val="center"/>
            <w:hideMark/>
          </w:tcPr>
          <w:p w14:paraId="6F0DA86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54,0</w:t>
            </w:r>
          </w:p>
        </w:tc>
        <w:tc>
          <w:tcPr>
            <w:tcW w:w="997" w:type="dxa"/>
            <w:tcBorders>
              <w:top w:val="nil"/>
              <w:left w:val="nil"/>
              <w:bottom w:val="single" w:sz="4" w:space="0" w:color="auto"/>
              <w:right w:val="single" w:sz="4" w:space="0" w:color="auto"/>
            </w:tcBorders>
            <w:shd w:val="clear" w:color="auto" w:fill="auto"/>
            <w:vAlign w:val="center"/>
            <w:hideMark/>
          </w:tcPr>
          <w:p w14:paraId="7A0333C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87,4</w:t>
            </w:r>
          </w:p>
        </w:tc>
        <w:tc>
          <w:tcPr>
            <w:tcW w:w="1437" w:type="dxa"/>
            <w:tcBorders>
              <w:top w:val="nil"/>
              <w:left w:val="nil"/>
              <w:bottom w:val="single" w:sz="4" w:space="0" w:color="auto"/>
              <w:right w:val="single" w:sz="4" w:space="0" w:color="auto"/>
            </w:tcBorders>
            <w:shd w:val="clear" w:color="auto" w:fill="auto"/>
            <w:vAlign w:val="center"/>
            <w:hideMark/>
          </w:tcPr>
          <w:p w14:paraId="67E5BBD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73643EF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73,3</w:t>
            </w:r>
          </w:p>
        </w:tc>
        <w:tc>
          <w:tcPr>
            <w:tcW w:w="1085" w:type="dxa"/>
            <w:tcBorders>
              <w:top w:val="nil"/>
              <w:left w:val="nil"/>
              <w:bottom w:val="single" w:sz="4" w:space="0" w:color="auto"/>
              <w:right w:val="single" w:sz="4" w:space="0" w:color="auto"/>
            </w:tcBorders>
            <w:shd w:val="clear" w:color="auto" w:fill="auto"/>
            <w:vAlign w:val="center"/>
            <w:hideMark/>
          </w:tcPr>
          <w:p w14:paraId="67D12A8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45,5</w:t>
            </w:r>
          </w:p>
        </w:tc>
        <w:tc>
          <w:tcPr>
            <w:tcW w:w="916" w:type="dxa"/>
            <w:tcBorders>
              <w:top w:val="nil"/>
              <w:left w:val="nil"/>
              <w:bottom w:val="single" w:sz="4" w:space="0" w:color="auto"/>
              <w:right w:val="single" w:sz="4" w:space="0" w:color="auto"/>
            </w:tcBorders>
            <w:shd w:val="clear" w:color="auto" w:fill="auto"/>
            <w:vAlign w:val="center"/>
            <w:hideMark/>
          </w:tcPr>
          <w:p w14:paraId="5E58728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83,9</w:t>
            </w:r>
          </w:p>
        </w:tc>
        <w:tc>
          <w:tcPr>
            <w:tcW w:w="871" w:type="dxa"/>
            <w:tcBorders>
              <w:top w:val="nil"/>
              <w:left w:val="nil"/>
              <w:bottom w:val="single" w:sz="4" w:space="0" w:color="auto"/>
              <w:right w:val="single" w:sz="4" w:space="0" w:color="auto"/>
            </w:tcBorders>
            <w:shd w:val="clear" w:color="auto" w:fill="auto"/>
            <w:vAlign w:val="center"/>
            <w:hideMark/>
          </w:tcPr>
          <w:p w14:paraId="022D77F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84,3</w:t>
            </w:r>
          </w:p>
        </w:tc>
      </w:tr>
      <w:tr w:rsidR="00457E80" w:rsidRPr="00036538" w14:paraId="763E67E8"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97793FB"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19</w:t>
            </w:r>
          </w:p>
        </w:tc>
        <w:tc>
          <w:tcPr>
            <w:tcW w:w="908" w:type="dxa"/>
            <w:tcBorders>
              <w:top w:val="nil"/>
              <w:left w:val="nil"/>
              <w:bottom w:val="single" w:sz="4" w:space="0" w:color="auto"/>
              <w:right w:val="single" w:sz="4" w:space="0" w:color="auto"/>
            </w:tcBorders>
            <w:shd w:val="clear" w:color="auto" w:fill="auto"/>
            <w:vAlign w:val="bottom"/>
            <w:hideMark/>
          </w:tcPr>
          <w:p w14:paraId="2B750583"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Гуанчжоу</w:t>
            </w:r>
          </w:p>
        </w:tc>
        <w:tc>
          <w:tcPr>
            <w:tcW w:w="1028" w:type="dxa"/>
            <w:tcBorders>
              <w:top w:val="nil"/>
              <w:left w:val="nil"/>
              <w:bottom w:val="single" w:sz="4" w:space="0" w:color="auto"/>
              <w:right w:val="single" w:sz="4" w:space="0" w:color="auto"/>
            </w:tcBorders>
            <w:shd w:val="clear" w:color="auto" w:fill="auto"/>
            <w:vAlign w:val="bottom"/>
            <w:hideMark/>
          </w:tcPr>
          <w:p w14:paraId="436139B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Китай</w:t>
            </w:r>
          </w:p>
        </w:tc>
        <w:tc>
          <w:tcPr>
            <w:tcW w:w="612" w:type="dxa"/>
            <w:tcBorders>
              <w:top w:val="nil"/>
              <w:left w:val="nil"/>
              <w:bottom w:val="single" w:sz="4" w:space="0" w:color="auto"/>
              <w:right w:val="single" w:sz="4" w:space="0" w:color="auto"/>
            </w:tcBorders>
            <w:shd w:val="clear" w:color="000000" w:fill="92D050"/>
            <w:vAlign w:val="center"/>
            <w:hideMark/>
          </w:tcPr>
          <w:p w14:paraId="03EF49F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714</w:t>
            </w:r>
          </w:p>
        </w:tc>
        <w:tc>
          <w:tcPr>
            <w:tcW w:w="1145" w:type="dxa"/>
            <w:tcBorders>
              <w:top w:val="nil"/>
              <w:left w:val="nil"/>
              <w:bottom w:val="single" w:sz="4" w:space="0" w:color="auto"/>
              <w:right w:val="single" w:sz="4" w:space="0" w:color="auto"/>
            </w:tcBorders>
            <w:shd w:val="clear" w:color="auto" w:fill="auto"/>
            <w:vAlign w:val="center"/>
            <w:hideMark/>
          </w:tcPr>
          <w:p w14:paraId="0DF55C94"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China</w:t>
            </w:r>
          </w:p>
        </w:tc>
        <w:tc>
          <w:tcPr>
            <w:tcW w:w="612" w:type="dxa"/>
            <w:tcBorders>
              <w:top w:val="nil"/>
              <w:left w:val="nil"/>
              <w:bottom w:val="single" w:sz="4" w:space="0" w:color="auto"/>
              <w:right w:val="single" w:sz="4" w:space="0" w:color="auto"/>
            </w:tcBorders>
            <w:shd w:val="clear" w:color="auto" w:fill="auto"/>
            <w:vAlign w:val="center"/>
            <w:hideMark/>
          </w:tcPr>
          <w:p w14:paraId="18ED570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77,3</w:t>
            </w:r>
          </w:p>
        </w:tc>
        <w:tc>
          <w:tcPr>
            <w:tcW w:w="818" w:type="dxa"/>
            <w:tcBorders>
              <w:top w:val="nil"/>
              <w:left w:val="nil"/>
              <w:bottom w:val="single" w:sz="4" w:space="0" w:color="auto"/>
              <w:right w:val="single" w:sz="4" w:space="0" w:color="auto"/>
            </w:tcBorders>
            <w:shd w:val="clear" w:color="auto" w:fill="auto"/>
            <w:vAlign w:val="center"/>
            <w:hideMark/>
          </w:tcPr>
          <w:p w14:paraId="6431A44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92,6</w:t>
            </w:r>
          </w:p>
        </w:tc>
        <w:tc>
          <w:tcPr>
            <w:tcW w:w="931" w:type="dxa"/>
            <w:tcBorders>
              <w:top w:val="nil"/>
              <w:left w:val="nil"/>
              <w:bottom w:val="single" w:sz="4" w:space="0" w:color="auto"/>
              <w:right w:val="single" w:sz="4" w:space="0" w:color="auto"/>
            </w:tcBorders>
            <w:shd w:val="clear" w:color="auto" w:fill="auto"/>
            <w:vAlign w:val="center"/>
            <w:hideMark/>
          </w:tcPr>
          <w:p w14:paraId="5F77283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81,0</w:t>
            </w:r>
          </w:p>
        </w:tc>
        <w:tc>
          <w:tcPr>
            <w:tcW w:w="732" w:type="dxa"/>
            <w:tcBorders>
              <w:top w:val="nil"/>
              <w:left w:val="nil"/>
              <w:bottom w:val="single" w:sz="4" w:space="0" w:color="auto"/>
              <w:right w:val="single" w:sz="4" w:space="0" w:color="auto"/>
            </w:tcBorders>
            <w:shd w:val="clear" w:color="auto" w:fill="auto"/>
            <w:vAlign w:val="center"/>
            <w:hideMark/>
          </w:tcPr>
          <w:p w14:paraId="794F385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6F3285A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003E3C4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70,1</w:t>
            </w:r>
          </w:p>
        </w:tc>
        <w:tc>
          <w:tcPr>
            <w:tcW w:w="1437" w:type="dxa"/>
            <w:tcBorders>
              <w:top w:val="nil"/>
              <w:left w:val="nil"/>
              <w:bottom w:val="single" w:sz="4" w:space="0" w:color="auto"/>
              <w:right w:val="single" w:sz="4" w:space="0" w:color="auto"/>
            </w:tcBorders>
            <w:shd w:val="clear" w:color="auto" w:fill="auto"/>
            <w:vAlign w:val="center"/>
            <w:hideMark/>
          </w:tcPr>
          <w:p w14:paraId="6E9C075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86,5</w:t>
            </w:r>
          </w:p>
        </w:tc>
        <w:tc>
          <w:tcPr>
            <w:tcW w:w="1262" w:type="dxa"/>
            <w:tcBorders>
              <w:top w:val="nil"/>
              <w:left w:val="nil"/>
              <w:bottom w:val="single" w:sz="4" w:space="0" w:color="auto"/>
              <w:right w:val="single" w:sz="4" w:space="0" w:color="auto"/>
            </w:tcBorders>
            <w:shd w:val="clear" w:color="auto" w:fill="auto"/>
            <w:vAlign w:val="center"/>
            <w:hideMark/>
          </w:tcPr>
          <w:p w14:paraId="72D2D61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80,9</w:t>
            </w:r>
          </w:p>
        </w:tc>
        <w:tc>
          <w:tcPr>
            <w:tcW w:w="1085" w:type="dxa"/>
            <w:tcBorders>
              <w:top w:val="nil"/>
              <w:left w:val="nil"/>
              <w:bottom w:val="single" w:sz="4" w:space="0" w:color="auto"/>
              <w:right w:val="single" w:sz="4" w:space="0" w:color="auto"/>
            </w:tcBorders>
            <w:shd w:val="clear" w:color="auto" w:fill="auto"/>
            <w:vAlign w:val="center"/>
            <w:hideMark/>
          </w:tcPr>
          <w:p w14:paraId="1D6B589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62,1</w:t>
            </w:r>
          </w:p>
        </w:tc>
        <w:tc>
          <w:tcPr>
            <w:tcW w:w="916" w:type="dxa"/>
            <w:tcBorders>
              <w:top w:val="nil"/>
              <w:left w:val="nil"/>
              <w:bottom w:val="single" w:sz="4" w:space="0" w:color="auto"/>
              <w:right w:val="single" w:sz="4" w:space="0" w:color="auto"/>
            </w:tcBorders>
            <w:shd w:val="clear" w:color="auto" w:fill="auto"/>
            <w:vAlign w:val="center"/>
            <w:hideMark/>
          </w:tcPr>
          <w:p w14:paraId="3A33646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77,3</w:t>
            </w:r>
          </w:p>
        </w:tc>
        <w:tc>
          <w:tcPr>
            <w:tcW w:w="871" w:type="dxa"/>
            <w:tcBorders>
              <w:top w:val="nil"/>
              <w:left w:val="nil"/>
              <w:bottom w:val="single" w:sz="4" w:space="0" w:color="auto"/>
              <w:right w:val="single" w:sz="4" w:space="0" w:color="auto"/>
            </w:tcBorders>
            <w:shd w:val="clear" w:color="auto" w:fill="auto"/>
            <w:vAlign w:val="center"/>
            <w:hideMark/>
          </w:tcPr>
          <w:p w14:paraId="60A0072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95,4</w:t>
            </w:r>
          </w:p>
        </w:tc>
      </w:tr>
      <w:tr w:rsidR="00457E80" w:rsidRPr="00036538" w14:paraId="07A8FBDA"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3253733"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20</w:t>
            </w:r>
          </w:p>
        </w:tc>
        <w:tc>
          <w:tcPr>
            <w:tcW w:w="908" w:type="dxa"/>
            <w:tcBorders>
              <w:top w:val="nil"/>
              <w:left w:val="nil"/>
              <w:bottom w:val="single" w:sz="4" w:space="0" w:color="auto"/>
              <w:right w:val="single" w:sz="4" w:space="0" w:color="auto"/>
            </w:tcBorders>
            <w:shd w:val="clear" w:color="auto" w:fill="auto"/>
            <w:vAlign w:val="bottom"/>
            <w:hideMark/>
          </w:tcPr>
          <w:p w14:paraId="55C38C8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Сидней</w:t>
            </w:r>
          </w:p>
        </w:tc>
        <w:tc>
          <w:tcPr>
            <w:tcW w:w="1028" w:type="dxa"/>
            <w:tcBorders>
              <w:top w:val="nil"/>
              <w:left w:val="nil"/>
              <w:bottom w:val="single" w:sz="4" w:space="0" w:color="auto"/>
              <w:right w:val="single" w:sz="4" w:space="0" w:color="auto"/>
            </w:tcBorders>
            <w:shd w:val="clear" w:color="auto" w:fill="auto"/>
            <w:vAlign w:val="bottom"/>
            <w:hideMark/>
          </w:tcPr>
          <w:p w14:paraId="49F3BBB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Австралия</w:t>
            </w:r>
          </w:p>
        </w:tc>
        <w:tc>
          <w:tcPr>
            <w:tcW w:w="612" w:type="dxa"/>
            <w:tcBorders>
              <w:top w:val="nil"/>
              <w:left w:val="nil"/>
              <w:bottom w:val="single" w:sz="4" w:space="0" w:color="auto"/>
              <w:right w:val="single" w:sz="4" w:space="0" w:color="auto"/>
            </w:tcBorders>
            <w:shd w:val="clear" w:color="000000" w:fill="92D050"/>
            <w:vAlign w:val="center"/>
            <w:hideMark/>
          </w:tcPr>
          <w:p w14:paraId="267521B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713</w:t>
            </w:r>
          </w:p>
        </w:tc>
        <w:tc>
          <w:tcPr>
            <w:tcW w:w="1145" w:type="dxa"/>
            <w:tcBorders>
              <w:top w:val="nil"/>
              <w:left w:val="nil"/>
              <w:bottom w:val="single" w:sz="4" w:space="0" w:color="auto"/>
              <w:right w:val="single" w:sz="4" w:space="0" w:color="auto"/>
            </w:tcBorders>
            <w:shd w:val="clear" w:color="auto" w:fill="auto"/>
            <w:vAlign w:val="center"/>
            <w:hideMark/>
          </w:tcPr>
          <w:p w14:paraId="769A3E57"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Australia</w:t>
            </w:r>
          </w:p>
        </w:tc>
        <w:tc>
          <w:tcPr>
            <w:tcW w:w="612" w:type="dxa"/>
            <w:tcBorders>
              <w:top w:val="nil"/>
              <w:left w:val="nil"/>
              <w:bottom w:val="single" w:sz="4" w:space="0" w:color="auto"/>
              <w:right w:val="single" w:sz="4" w:space="0" w:color="auto"/>
            </w:tcBorders>
            <w:shd w:val="clear" w:color="auto" w:fill="auto"/>
            <w:vAlign w:val="center"/>
            <w:hideMark/>
          </w:tcPr>
          <w:p w14:paraId="165694E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81,2</w:t>
            </w:r>
          </w:p>
        </w:tc>
        <w:tc>
          <w:tcPr>
            <w:tcW w:w="818" w:type="dxa"/>
            <w:tcBorders>
              <w:top w:val="nil"/>
              <w:left w:val="nil"/>
              <w:bottom w:val="single" w:sz="4" w:space="0" w:color="auto"/>
              <w:right w:val="single" w:sz="4" w:space="0" w:color="auto"/>
            </w:tcBorders>
            <w:shd w:val="clear" w:color="auto" w:fill="auto"/>
            <w:vAlign w:val="center"/>
            <w:hideMark/>
          </w:tcPr>
          <w:p w14:paraId="129B412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96,6</w:t>
            </w:r>
          </w:p>
        </w:tc>
        <w:tc>
          <w:tcPr>
            <w:tcW w:w="931" w:type="dxa"/>
            <w:tcBorders>
              <w:top w:val="nil"/>
              <w:left w:val="nil"/>
              <w:bottom w:val="single" w:sz="4" w:space="0" w:color="auto"/>
              <w:right w:val="single" w:sz="4" w:space="0" w:color="auto"/>
            </w:tcBorders>
            <w:shd w:val="clear" w:color="auto" w:fill="auto"/>
            <w:vAlign w:val="center"/>
            <w:hideMark/>
          </w:tcPr>
          <w:p w14:paraId="691F49D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70607A5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95,0</w:t>
            </w:r>
          </w:p>
        </w:tc>
        <w:tc>
          <w:tcPr>
            <w:tcW w:w="1016" w:type="dxa"/>
            <w:tcBorders>
              <w:top w:val="nil"/>
              <w:left w:val="nil"/>
              <w:bottom w:val="single" w:sz="4" w:space="0" w:color="auto"/>
              <w:right w:val="single" w:sz="4" w:space="0" w:color="auto"/>
            </w:tcBorders>
            <w:shd w:val="clear" w:color="auto" w:fill="auto"/>
            <w:vAlign w:val="center"/>
            <w:hideMark/>
          </w:tcPr>
          <w:p w14:paraId="404184F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64,0</w:t>
            </w:r>
          </w:p>
        </w:tc>
        <w:tc>
          <w:tcPr>
            <w:tcW w:w="997" w:type="dxa"/>
            <w:tcBorders>
              <w:top w:val="nil"/>
              <w:left w:val="nil"/>
              <w:bottom w:val="single" w:sz="4" w:space="0" w:color="auto"/>
              <w:right w:val="single" w:sz="4" w:space="0" w:color="auto"/>
            </w:tcBorders>
            <w:shd w:val="clear" w:color="auto" w:fill="auto"/>
            <w:vAlign w:val="center"/>
            <w:hideMark/>
          </w:tcPr>
          <w:p w14:paraId="2C97B8A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85,7</w:t>
            </w:r>
          </w:p>
        </w:tc>
        <w:tc>
          <w:tcPr>
            <w:tcW w:w="1437" w:type="dxa"/>
            <w:tcBorders>
              <w:top w:val="nil"/>
              <w:left w:val="nil"/>
              <w:bottom w:val="single" w:sz="4" w:space="0" w:color="auto"/>
              <w:right w:val="single" w:sz="4" w:space="0" w:color="auto"/>
            </w:tcBorders>
            <w:shd w:val="clear" w:color="auto" w:fill="auto"/>
            <w:vAlign w:val="center"/>
            <w:hideMark/>
          </w:tcPr>
          <w:p w14:paraId="539390D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70,3</w:t>
            </w:r>
          </w:p>
        </w:tc>
        <w:tc>
          <w:tcPr>
            <w:tcW w:w="1262" w:type="dxa"/>
            <w:tcBorders>
              <w:top w:val="nil"/>
              <w:left w:val="nil"/>
              <w:bottom w:val="single" w:sz="4" w:space="0" w:color="auto"/>
              <w:right w:val="single" w:sz="4" w:space="0" w:color="auto"/>
            </w:tcBorders>
            <w:shd w:val="clear" w:color="auto" w:fill="auto"/>
            <w:vAlign w:val="center"/>
            <w:hideMark/>
          </w:tcPr>
          <w:p w14:paraId="5F29894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79,0</w:t>
            </w:r>
          </w:p>
        </w:tc>
        <w:tc>
          <w:tcPr>
            <w:tcW w:w="1085" w:type="dxa"/>
            <w:tcBorders>
              <w:top w:val="nil"/>
              <w:left w:val="nil"/>
              <w:bottom w:val="single" w:sz="4" w:space="0" w:color="auto"/>
              <w:right w:val="single" w:sz="4" w:space="0" w:color="auto"/>
            </w:tcBorders>
            <w:shd w:val="clear" w:color="auto" w:fill="auto"/>
            <w:vAlign w:val="center"/>
            <w:hideMark/>
          </w:tcPr>
          <w:p w14:paraId="578594C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78,9</w:t>
            </w:r>
          </w:p>
        </w:tc>
        <w:tc>
          <w:tcPr>
            <w:tcW w:w="916" w:type="dxa"/>
            <w:tcBorders>
              <w:top w:val="nil"/>
              <w:left w:val="nil"/>
              <w:bottom w:val="single" w:sz="4" w:space="0" w:color="auto"/>
              <w:right w:val="single" w:sz="4" w:space="0" w:color="auto"/>
            </w:tcBorders>
            <w:shd w:val="clear" w:color="auto" w:fill="auto"/>
            <w:vAlign w:val="center"/>
            <w:hideMark/>
          </w:tcPr>
          <w:p w14:paraId="3AA9AAE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84,7</w:t>
            </w:r>
          </w:p>
        </w:tc>
        <w:tc>
          <w:tcPr>
            <w:tcW w:w="871" w:type="dxa"/>
            <w:tcBorders>
              <w:top w:val="nil"/>
              <w:left w:val="nil"/>
              <w:bottom w:val="single" w:sz="4" w:space="0" w:color="auto"/>
              <w:right w:val="single" w:sz="4" w:space="0" w:color="auto"/>
            </w:tcBorders>
            <w:shd w:val="clear" w:color="auto" w:fill="auto"/>
            <w:vAlign w:val="center"/>
            <w:hideMark/>
          </w:tcPr>
          <w:p w14:paraId="1A0D34A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82,3</w:t>
            </w:r>
          </w:p>
        </w:tc>
      </w:tr>
      <w:tr w:rsidR="00457E80" w:rsidRPr="00036538" w14:paraId="17EAE83A"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8D29B3B"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21</w:t>
            </w:r>
          </w:p>
        </w:tc>
        <w:tc>
          <w:tcPr>
            <w:tcW w:w="908" w:type="dxa"/>
            <w:tcBorders>
              <w:top w:val="nil"/>
              <w:left w:val="nil"/>
              <w:bottom w:val="single" w:sz="4" w:space="0" w:color="auto"/>
              <w:right w:val="single" w:sz="4" w:space="0" w:color="auto"/>
            </w:tcBorders>
            <w:shd w:val="clear" w:color="auto" w:fill="auto"/>
            <w:vAlign w:val="bottom"/>
            <w:hideMark/>
          </w:tcPr>
          <w:p w14:paraId="429A19C0"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Мельбурн</w:t>
            </w:r>
          </w:p>
        </w:tc>
        <w:tc>
          <w:tcPr>
            <w:tcW w:w="1028" w:type="dxa"/>
            <w:tcBorders>
              <w:top w:val="nil"/>
              <w:left w:val="nil"/>
              <w:bottom w:val="single" w:sz="4" w:space="0" w:color="auto"/>
              <w:right w:val="single" w:sz="4" w:space="0" w:color="auto"/>
            </w:tcBorders>
            <w:shd w:val="clear" w:color="auto" w:fill="auto"/>
            <w:vAlign w:val="bottom"/>
            <w:hideMark/>
          </w:tcPr>
          <w:p w14:paraId="2CDAA33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Австралия</w:t>
            </w:r>
          </w:p>
        </w:tc>
        <w:tc>
          <w:tcPr>
            <w:tcW w:w="612" w:type="dxa"/>
            <w:tcBorders>
              <w:top w:val="nil"/>
              <w:left w:val="nil"/>
              <w:bottom w:val="single" w:sz="4" w:space="0" w:color="auto"/>
              <w:right w:val="single" w:sz="4" w:space="0" w:color="auto"/>
            </w:tcBorders>
            <w:shd w:val="clear" w:color="000000" w:fill="92D050"/>
            <w:vAlign w:val="center"/>
            <w:hideMark/>
          </w:tcPr>
          <w:p w14:paraId="5AB3F48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712</w:t>
            </w:r>
          </w:p>
        </w:tc>
        <w:tc>
          <w:tcPr>
            <w:tcW w:w="1145" w:type="dxa"/>
            <w:tcBorders>
              <w:top w:val="nil"/>
              <w:left w:val="nil"/>
              <w:bottom w:val="single" w:sz="4" w:space="0" w:color="auto"/>
              <w:right w:val="single" w:sz="4" w:space="0" w:color="auto"/>
            </w:tcBorders>
            <w:shd w:val="clear" w:color="auto" w:fill="auto"/>
            <w:vAlign w:val="center"/>
            <w:hideMark/>
          </w:tcPr>
          <w:p w14:paraId="44B8DBCC"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Australia</w:t>
            </w:r>
          </w:p>
        </w:tc>
        <w:tc>
          <w:tcPr>
            <w:tcW w:w="612" w:type="dxa"/>
            <w:tcBorders>
              <w:top w:val="nil"/>
              <w:left w:val="nil"/>
              <w:bottom w:val="single" w:sz="4" w:space="0" w:color="auto"/>
              <w:right w:val="single" w:sz="4" w:space="0" w:color="auto"/>
            </w:tcBorders>
            <w:shd w:val="clear" w:color="auto" w:fill="auto"/>
            <w:vAlign w:val="center"/>
            <w:hideMark/>
          </w:tcPr>
          <w:p w14:paraId="02D50B8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81,2</w:t>
            </w:r>
          </w:p>
        </w:tc>
        <w:tc>
          <w:tcPr>
            <w:tcW w:w="818" w:type="dxa"/>
            <w:tcBorders>
              <w:top w:val="nil"/>
              <w:left w:val="nil"/>
              <w:bottom w:val="single" w:sz="4" w:space="0" w:color="auto"/>
              <w:right w:val="single" w:sz="4" w:space="0" w:color="auto"/>
            </w:tcBorders>
            <w:shd w:val="clear" w:color="auto" w:fill="auto"/>
            <w:vAlign w:val="center"/>
            <w:hideMark/>
          </w:tcPr>
          <w:p w14:paraId="4227515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96,6</w:t>
            </w:r>
          </w:p>
        </w:tc>
        <w:tc>
          <w:tcPr>
            <w:tcW w:w="931" w:type="dxa"/>
            <w:tcBorders>
              <w:top w:val="nil"/>
              <w:left w:val="nil"/>
              <w:bottom w:val="single" w:sz="4" w:space="0" w:color="auto"/>
              <w:right w:val="single" w:sz="4" w:space="0" w:color="auto"/>
            </w:tcBorders>
            <w:shd w:val="clear" w:color="auto" w:fill="auto"/>
            <w:vAlign w:val="center"/>
            <w:hideMark/>
          </w:tcPr>
          <w:p w14:paraId="7969668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5B8E4E2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95,0</w:t>
            </w:r>
          </w:p>
        </w:tc>
        <w:tc>
          <w:tcPr>
            <w:tcW w:w="1016" w:type="dxa"/>
            <w:tcBorders>
              <w:top w:val="nil"/>
              <w:left w:val="nil"/>
              <w:bottom w:val="single" w:sz="4" w:space="0" w:color="auto"/>
              <w:right w:val="single" w:sz="4" w:space="0" w:color="auto"/>
            </w:tcBorders>
            <w:shd w:val="clear" w:color="auto" w:fill="auto"/>
            <w:vAlign w:val="center"/>
            <w:hideMark/>
          </w:tcPr>
          <w:p w14:paraId="7D5958E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64,0</w:t>
            </w:r>
          </w:p>
        </w:tc>
        <w:tc>
          <w:tcPr>
            <w:tcW w:w="997" w:type="dxa"/>
            <w:tcBorders>
              <w:top w:val="nil"/>
              <w:left w:val="nil"/>
              <w:bottom w:val="single" w:sz="4" w:space="0" w:color="auto"/>
              <w:right w:val="single" w:sz="4" w:space="0" w:color="auto"/>
            </w:tcBorders>
            <w:shd w:val="clear" w:color="auto" w:fill="auto"/>
            <w:vAlign w:val="center"/>
            <w:hideMark/>
          </w:tcPr>
          <w:p w14:paraId="67B57AB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85,7</w:t>
            </w:r>
          </w:p>
        </w:tc>
        <w:tc>
          <w:tcPr>
            <w:tcW w:w="1437" w:type="dxa"/>
            <w:tcBorders>
              <w:top w:val="nil"/>
              <w:left w:val="nil"/>
              <w:bottom w:val="single" w:sz="4" w:space="0" w:color="auto"/>
              <w:right w:val="single" w:sz="4" w:space="0" w:color="auto"/>
            </w:tcBorders>
            <w:shd w:val="clear" w:color="auto" w:fill="auto"/>
            <w:vAlign w:val="center"/>
            <w:hideMark/>
          </w:tcPr>
          <w:p w14:paraId="38320A8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70,3</w:t>
            </w:r>
          </w:p>
        </w:tc>
        <w:tc>
          <w:tcPr>
            <w:tcW w:w="1262" w:type="dxa"/>
            <w:tcBorders>
              <w:top w:val="nil"/>
              <w:left w:val="nil"/>
              <w:bottom w:val="single" w:sz="4" w:space="0" w:color="auto"/>
              <w:right w:val="single" w:sz="4" w:space="0" w:color="auto"/>
            </w:tcBorders>
            <w:shd w:val="clear" w:color="auto" w:fill="auto"/>
            <w:vAlign w:val="center"/>
            <w:hideMark/>
          </w:tcPr>
          <w:p w14:paraId="72CA0E5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79,0</w:t>
            </w:r>
          </w:p>
        </w:tc>
        <w:tc>
          <w:tcPr>
            <w:tcW w:w="1085" w:type="dxa"/>
            <w:tcBorders>
              <w:top w:val="nil"/>
              <w:left w:val="nil"/>
              <w:bottom w:val="single" w:sz="4" w:space="0" w:color="auto"/>
              <w:right w:val="single" w:sz="4" w:space="0" w:color="auto"/>
            </w:tcBorders>
            <w:shd w:val="clear" w:color="auto" w:fill="auto"/>
            <w:vAlign w:val="center"/>
            <w:hideMark/>
          </w:tcPr>
          <w:p w14:paraId="4C9610A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78,9</w:t>
            </w:r>
          </w:p>
        </w:tc>
        <w:tc>
          <w:tcPr>
            <w:tcW w:w="916" w:type="dxa"/>
            <w:tcBorders>
              <w:top w:val="nil"/>
              <w:left w:val="nil"/>
              <w:bottom w:val="single" w:sz="4" w:space="0" w:color="auto"/>
              <w:right w:val="single" w:sz="4" w:space="0" w:color="auto"/>
            </w:tcBorders>
            <w:shd w:val="clear" w:color="auto" w:fill="auto"/>
            <w:vAlign w:val="center"/>
            <w:hideMark/>
          </w:tcPr>
          <w:p w14:paraId="3408BA4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84,7</w:t>
            </w:r>
          </w:p>
        </w:tc>
        <w:tc>
          <w:tcPr>
            <w:tcW w:w="871" w:type="dxa"/>
            <w:tcBorders>
              <w:top w:val="nil"/>
              <w:left w:val="nil"/>
              <w:bottom w:val="single" w:sz="4" w:space="0" w:color="auto"/>
              <w:right w:val="single" w:sz="4" w:space="0" w:color="auto"/>
            </w:tcBorders>
            <w:shd w:val="clear" w:color="auto" w:fill="auto"/>
            <w:vAlign w:val="center"/>
            <w:hideMark/>
          </w:tcPr>
          <w:p w14:paraId="4DDFA5D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82,3</w:t>
            </w:r>
          </w:p>
        </w:tc>
      </w:tr>
      <w:tr w:rsidR="00457E80" w:rsidRPr="00036538" w14:paraId="7C95D2FA"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9DBC3DA"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22</w:t>
            </w:r>
          </w:p>
        </w:tc>
        <w:tc>
          <w:tcPr>
            <w:tcW w:w="908" w:type="dxa"/>
            <w:tcBorders>
              <w:top w:val="nil"/>
              <w:left w:val="nil"/>
              <w:bottom w:val="single" w:sz="4" w:space="0" w:color="auto"/>
              <w:right w:val="single" w:sz="4" w:space="0" w:color="auto"/>
            </w:tcBorders>
            <w:shd w:val="clear" w:color="auto" w:fill="auto"/>
            <w:vAlign w:val="bottom"/>
            <w:hideMark/>
          </w:tcPr>
          <w:p w14:paraId="6EF5404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Ванкувер</w:t>
            </w:r>
          </w:p>
        </w:tc>
        <w:tc>
          <w:tcPr>
            <w:tcW w:w="1028" w:type="dxa"/>
            <w:tcBorders>
              <w:top w:val="nil"/>
              <w:left w:val="nil"/>
              <w:bottom w:val="single" w:sz="4" w:space="0" w:color="auto"/>
              <w:right w:val="single" w:sz="4" w:space="0" w:color="auto"/>
            </w:tcBorders>
            <w:shd w:val="clear" w:color="auto" w:fill="auto"/>
            <w:vAlign w:val="bottom"/>
            <w:hideMark/>
          </w:tcPr>
          <w:p w14:paraId="51B106C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Канада</w:t>
            </w:r>
          </w:p>
        </w:tc>
        <w:tc>
          <w:tcPr>
            <w:tcW w:w="612" w:type="dxa"/>
            <w:tcBorders>
              <w:top w:val="nil"/>
              <w:left w:val="nil"/>
              <w:bottom w:val="single" w:sz="4" w:space="0" w:color="auto"/>
              <w:right w:val="single" w:sz="4" w:space="0" w:color="auto"/>
            </w:tcBorders>
            <w:shd w:val="clear" w:color="000000" w:fill="92D050"/>
            <w:vAlign w:val="center"/>
            <w:hideMark/>
          </w:tcPr>
          <w:p w14:paraId="0F5E696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711</w:t>
            </w:r>
          </w:p>
        </w:tc>
        <w:tc>
          <w:tcPr>
            <w:tcW w:w="1145" w:type="dxa"/>
            <w:tcBorders>
              <w:top w:val="nil"/>
              <w:left w:val="nil"/>
              <w:bottom w:val="single" w:sz="4" w:space="0" w:color="auto"/>
              <w:right w:val="single" w:sz="4" w:space="0" w:color="auto"/>
            </w:tcBorders>
            <w:shd w:val="clear" w:color="auto" w:fill="auto"/>
            <w:vAlign w:val="center"/>
            <w:hideMark/>
          </w:tcPr>
          <w:p w14:paraId="33FE24C1"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Canada</w:t>
            </w:r>
          </w:p>
        </w:tc>
        <w:tc>
          <w:tcPr>
            <w:tcW w:w="612" w:type="dxa"/>
            <w:tcBorders>
              <w:top w:val="nil"/>
              <w:left w:val="nil"/>
              <w:bottom w:val="single" w:sz="4" w:space="0" w:color="auto"/>
              <w:right w:val="single" w:sz="4" w:space="0" w:color="auto"/>
            </w:tcBorders>
            <w:shd w:val="clear" w:color="auto" w:fill="auto"/>
            <w:vAlign w:val="center"/>
            <w:hideMark/>
          </w:tcPr>
          <w:p w14:paraId="37D4CA8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79,6</w:t>
            </w:r>
          </w:p>
        </w:tc>
        <w:tc>
          <w:tcPr>
            <w:tcW w:w="818" w:type="dxa"/>
            <w:tcBorders>
              <w:top w:val="nil"/>
              <w:left w:val="nil"/>
              <w:bottom w:val="single" w:sz="4" w:space="0" w:color="auto"/>
              <w:right w:val="single" w:sz="4" w:space="0" w:color="auto"/>
            </w:tcBorders>
            <w:shd w:val="clear" w:color="auto" w:fill="auto"/>
            <w:vAlign w:val="center"/>
            <w:hideMark/>
          </w:tcPr>
          <w:p w14:paraId="796A11F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98,2</w:t>
            </w:r>
          </w:p>
        </w:tc>
        <w:tc>
          <w:tcPr>
            <w:tcW w:w="931" w:type="dxa"/>
            <w:tcBorders>
              <w:top w:val="nil"/>
              <w:left w:val="nil"/>
              <w:bottom w:val="single" w:sz="4" w:space="0" w:color="auto"/>
              <w:right w:val="single" w:sz="4" w:space="0" w:color="auto"/>
            </w:tcBorders>
            <w:shd w:val="clear" w:color="auto" w:fill="auto"/>
            <w:vAlign w:val="center"/>
            <w:hideMark/>
          </w:tcPr>
          <w:p w14:paraId="753F9BF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77,8</w:t>
            </w:r>
          </w:p>
        </w:tc>
        <w:tc>
          <w:tcPr>
            <w:tcW w:w="732" w:type="dxa"/>
            <w:tcBorders>
              <w:top w:val="nil"/>
              <w:left w:val="nil"/>
              <w:bottom w:val="single" w:sz="4" w:space="0" w:color="auto"/>
              <w:right w:val="single" w:sz="4" w:space="0" w:color="auto"/>
            </w:tcBorders>
            <w:shd w:val="clear" w:color="auto" w:fill="auto"/>
            <w:vAlign w:val="center"/>
            <w:hideMark/>
          </w:tcPr>
          <w:p w14:paraId="244F93A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85,0</w:t>
            </w:r>
          </w:p>
        </w:tc>
        <w:tc>
          <w:tcPr>
            <w:tcW w:w="1016" w:type="dxa"/>
            <w:tcBorders>
              <w:top w:val="nil"/>
              <w:left w:val="nil"/>
              <w:bottom w:val="single" w:sz="4" w:space="0" w:color="auto"/>
              <w:right w:val="single" w:sz="4" w:space="0" w:color="auto"/>
            </w:tcBorders>
            <w:shd w:val="clear" w:color="auto" w:fill="auto"/>
            <w:vAlign w:val="center"/>
            <w:hideMark/>
          </w:tcPr>
          <w:p w14:paraId="1BE0FCD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21505EE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88,1</w:t>
            </w:r>
          </w:p>
        </w:tc>
        <w:tc>
          <w:tcPr>
            <w:tcW w:w="1437" w:type="dxa"/>
            <w:tcBorders>
              <w:top w:val="nil"/>
              <w:left w:val="nil"/>
              <w:bottom w:val="single" w:sz="4" w:space="0" w:color="auto"/>
              <w:right w:val="single" w:sz="4" w:space="0" w:color="auto"/>
            </w:tcBorders>
            <w:shd w:val="clear" w:color="auto" w:fill="auto"/>
            <w:vAlign w:val="center"/>
            <w:hideMark/>
          </w:tcPr>
          <w:p w14:paraId="2356AB5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88,4</w:t>
            </w:r>
          </w:p>
        </w:tc>
        <w:tc>
          <w:tcPr>
            <w:tcW w:w="1262" w:type="dxa"/>
            <w:tcBorders>
              <w:top w:val="nil"/>
              <w:left w:val="nil"/>
              <w:bottom w:val="single" w:sz="4" w:space="0" w:color="auto"/>
              <w:right w:val="single" w:sz="4" w:space="0" w:color="auto"/>
            </w:tcBorders>
            <w:shd w:val="clear" w:color="auto" w:fill="auto"/>
            <w:vAlign w:val="center"/>
            <w:hideMark/>
          </w:tcPr>
          <w:p w14:paraId="4EF85BD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57,1</w:t>
            </w:r>
          </w:p>
        </w:tc>
        <w:tc>
          <w:tcPr>
            <w:tcW w:w="1085" w:type="dxa"/>
            <w:tcBorders>
              <w:top w:val="nil"/>
              <w:left w:val="nil"/>
              <w:bottom w:val="single" w:sz="4" w:space="0" w:color="auto"/>
              <w:right w:val="single" w:sz="4" w:space="0" w:color="auto"/>
            </w:tcBorders>
            <w:shd w:val="clear" w:color="auto" w:fill="auto"/>
            <w:vAlign w:val="center"/>
            <w:hideMark/>
          </w:tcPr>
          <w:p w14:paraId="28E7E6C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81,0</w:t>
            </w:r>
          </w:p>
        </w:tc>
        <w:tc>
          <w:tcPr>
            <w:tcW w:w="916" w:type="dxa"/>
            <w:tcBorders>
              <w:top w:val="nil"/>
              <w:left w:val="nil"/>
              <w:bottom w:val="single" w:sz="4" w:space="0" w:color="auto"/>
              <w:right w:val="single" w:sz="4" w:space="0" w:color="auto"/>
            </w:tcBorders>
            <w:shd w:val="clear" w:color="auto" w:fill="auto"/>
            <w:vAlign w:val="center"/>
            <w:hideMark/>
          </w:tcPr>
          <w:p w14:paraId="638E19F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73,0</w:t>
            </w:r>
          </w:p>
        </w:tc>
        <w:tc>
          <w:tcPr>
            <w:tcW w:w="871" w:type="dxa"/>
            <w:tcBorders>
              <w:top w:val="nil"/>
              <w:left w:val="nil"/>
              <w:bottom w:val="single" w:sz="4" w:space="0" w:color="auto"/>
              <w:right w:val="single" w:sz="4" w:space="0" w:color="auto"/>
            </w:tcBorders>
            <w:shd w:val="clear" w:color="auto" w:fill="auto"/>
            <w:vAlign w:val="center"/>
            <w:hideMark/>
          </w:tcPr>
          <w:p w14:paraId="5D8619B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63,8</w:t>
            </w:r>
          </w:p>
        </w:tc>
      </w:tr>
      <w:tr w:rsidR="00457E80" w:rsidRPr="00036538" w14:paraId="223D4845"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ACBBBEE"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23</w:t>
            </w:r>
          </w:p>
        </w:tc>
        <w:tc>
          <w:tcPr>
            <w:tcW w:w="908" w:type="dxa"/>
            <w:tcBorders>
              <w:top w:val="nil"/>
              <w:left w:val="nil"/>
              <w:bottom w:val="single" w:sz="4" w:space="0" w:color="auto"/>
              <w:right w:val="single" w:sz="4" w:space="0" w:color="auto"/>
            </w:tcBorders>
            <w:shd w:val="clear" w:color="auto" w:fill="auto"/>
            <w:vAlign w:val="bottom"/>
            <w:hideMark/>
          </w:tcPr>
          <w:p w14:paraId="14F55DB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Торонто</w:t>
            </w:r>
          </w:p>
        </w:tc>
        <w:tc>
          <w:tcPr>
            <w:tcW w:w="1028" w:type="dxa"/>
            <w:tcBorders>
              <w:top w:val="nil"/>
              <w:left w:val="nil"/>
              <w:bottom w:val="single" w:sz="4" w:space="0" w:color="auto"/>
              <w:right w:val="single" w:sz="4" w:space="0" w:color="auto"/>
            </w:tcBorders>
            <w:shd w:val="clear" w:color="auto" w:fill="auto"/>
            <w:vAlign w:val="bottom"/>
            <w:hideMark/>
          </w:tcPr>
          <w:p w14:paraId="241947E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Канада</w:t>
            </w:r>
          </w:p>
        </w:tc>
        <w:tc>
          <w:tcPr>
            <w:tcW w:w="612" w:type="dxa"/>
            <w:tcBorders>
              <w:top w:val="nil"/>
              <w:left w:val="nil"/>
              <w:bottom w:val="single" w:sz="4" w:space="0" w:color="auto"/>
              <w:right w:val="single" w:sz="4" w:space="0" w:color="auto"/>
            </w:tcBorders>
            <w:shd w:val="clear" w:color="000000" w:fill="92D050"/>
            <w:vAlign w:val="center"/>
            <w:hideMark/>
          </w:tcPr>
          <w:p w14:paraId="78E7CCD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710</w:t>
            </w:r>
          </w:p>
        </w:tc>
        <w:tc>
          <w:tcPr>
            <w:tcW w:w="1145" w:type="dxa"/>
            <w:tcBorders>
              <w:top w:val="nil"/>
              <w:left w:val="nil"/>
              <w:bottom w:val="single" w:sz="4" w:space="0" w:color="auto"/>
              <w:right w:val="single" w:sz="4" w:space="0" w:color="auto"/>
            </w:tcBorders>
            <w:shd w:val="clear" w:color="auto" w:fill="auto"/>
            <w:vAlign w:val="center"/>
            <w:hideMark/>
          </w:tcPr>
          <w:p w14:paraId="6FA969B4"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Canada</w:t>
            </w:r>
          </w:p>
        </w:tc>
        <w:tc>
          <w:tcPr>
            <w:tcW w:w="612" w:type="dxa"/>
            <w:tcBorders>
              <w:top w:val="nil"/>
              <w:left w:val="nil"/>
              <w:bottom w:val="single" w:sz="4" w:space="0" w:color="auto"/>
              <w:right w:val="single" w:sz="4" w:space="0" w:color="auto"/>
            </w:tcBorders>
            <w:shd w:val="clear" w:color="auto" w:fill="auto"/>
            <w:vAlign w:val="center"/>
            <w:hideMark/>
          </w:tcPr>
          <w:p w14:paraId="5149214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79,6</w:t>
            </w:r>
          </w:p>
        </w:tc>
        <w:tc>
          <w:tcPr>
            <w:tcW w:w="818" w:type="dxa"/>
            <w:tcBorders>
              <w:top w:val="nil"/>
              <w:left w:val="nil"/>
              <w:bottom w:val="single" w:sz="4" w:space="0" w:color="auto"/>
              <w:right w:val="single" w:sz="4" w:space="0" w:color="auto"/>
            </w:tcBorders>
            <w:shd w:val="clear" w:color="auto" w:fill="auto"/>
            <w:vAlign w:val="center"/>
            <w:hideMark/>
          </w:tcPr>
          <w:p w14:paraId="7D8EFA4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98,2</w:t>
            </w:r>
          </w:p>
        </w:tc>
        <w:tc>
          <w:tcPr>
            <w:tcW w:w="931" w:type="dxa"/>
            <w:tcBorders>
              <w:top w:val="nil"/>
              <w:left w:val="nil"/>
              <w:bottom w:val="single" w:sz="4" w:space="0" w:color="auto"/>
              <w:right w:val="single" w:sz="4" w:space="0" w:color="auto"/>
            </w:tcBorders>
            <w:shd w:val="clear" w:color="auto" w:fill="auto"/>
            <w:vAlign w:val="center"/>
            <w:hideMark/>
          </w:tcPr>
          <w:p w14:paraId="71258E2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77,8</w:t>
            </w:r>
          </w:p>
        </w:tc>
        <w:tc>
          <w:tcPr>
            <w:tcW w:w="732" w:type="dxa"/>
            <w:tcBorders>
              <w:top w:val="nil"/>
              <w:left w:val="nil"/>
              <w:bottom w:val="single" w:sz="4" w:space="0" w:color="auto"/>
              <w:right w:val="single" w:sz="4" w:space="0" w:color="auto"/>
            </w:tcBorders>
            <w:shd w:val="clear" w:color="auto" w:fill="auto"/>
            <w:vAlign w:val="center"/>
            <w:hideMark/>
          </w:tcPr>
          <w:p w14:paraId="48CB45E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85,0</w:t>
            </w:r>
          </w:p>
        </w:tc>
        <w:tc>
          <w:tcPr>
            <w:tcW w:w="1016" w:type="dxa"/>
            <w:tcBorders>
              <w:top w:val="nil"/>
              <w:left w:val="nil"/>
              <w:bottom w:val="single" w:sz="4" w:space="0" w:color="auto"/>
              <w:right w:val="single" w:sz="4" w:space="0" w:color="auto"/>
            </w:tcBorders>
            <w:shd w:val="clear" w:color="auto" w:fill="auto"/>
            <w:vAlign w:val="center"/>
            <w:hideMark/>
          </w:tcPr>
          <w:p w14:paraId="3945CA1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4566DB6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88,1</w:t>
            </w:r>
          </w:p>
        </w:tc>
        <w:tc>
          <w:tcPr>
            <w:tcW w:w="1437" w:type="dxa"/>
            <w:tcBorders>
              <w:top w:val="nil"/>
              <w:left w:val="nil"/>
              <w:bottom w:val="single" w:sz="4" w:space="0" w:color="auto"/>
              <w:right w:val="single" w:sz="4" w:space="0" w:color="auto"/>
            </w:tcBorders>
            <w:shd w:val="clear" w:color="auto" w:fill="auto"/>
            <w:vAlign w:val="center"/>
            <w:hideMark/>
          </w:tcPr>
          <w:p w14:paraId="15FAD7D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88,4</w:t>
            </w:r>
          </w:p>
        </w:tc>
        <w:tc>
          <w:tcPr>
            <w:tcW w:w="1262" w:type="dxa"/>
            <w:tcBorders>
              <w:top w:val="nil"/>
              <w:left w:val="nil"/>
              <w:bottom w:val="single" w:sz="4" w:space="0" w:color="auto"/>
              <w:right w:val="single" w:sz="4" w:space="0" w:color="auto"/>
            </w:tcBorders>
            <w:shd w:val="clear" w:color="auto" w:fill="auto"/>
            <w:vAlign w:val="center"/>
            <w:hideMark/>
          </w:tcPr>
          <w:p w14:paraId="5337A83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57,1</w:t>
            </w:r>
          </w:p>
        </w:tc>
        <w:tc>
          <w:tcPr>
            <w:tcW w:w="1085" w:type="dxa"/>
            <w:tcBorders>
              <w:top w:val="nil"/>
              <w:left w:val="nil"/>
              <w:bottom w:val="single" w:sz="4" w:space="0" w:color="auto"/>
              <w:right w:val="single" w:sz="4" w:space="0" w:color="auto"/>
            </w:tcBorders>
            <w:shd w:val="clear" w:color="auto" w:fill="auto"/>
            <w:vAlign w:val="center"/>
            <w:hideMark/>
          </w:tcPr>
          <w:p w14:paraId="193C9CD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81,0</w:t>
            </w:r>
          </w:p>
        </w:tc>
        <w:tc>
          <w:tcPr>
            <w:tcW w:w="916" w:type="dxa"/>
            <w:tcBorders>
              <w:top w:val="nil"/>
              <w:left w:val="nil"/>
              <w:bottom w:val="single" w:sz="4" w:space="0" w:color="auto"/>
              <w:right w:val="single" w:sz="4" w:space="0" w:color="auto"/>
            </w:tcBorders>
            <w:shd w:val="clear" w:color="auto" w:fill="auto"/>
            <w:vAlign w:val="center"/>
            <w:hideMark/>
          </w:tcPr>
          <w:p w14:paraId="4559EF0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73,0</w:t>
            </w:r>
          </w:p>
        </w:tc>
        <w:tc>
          <w:tcPr>
            <w:tcW w:w="871" w:type="dxa"/>
            <w:tcBorders>
              <w:top w:val="nil"/>
              <w:left w:val="nil"/>
              <w:bottom w:val="single" w:sz="4" w:space="0" w:color="auto"/>
              <w:right w:val="single" w:sz="4" w:space="0" w:color="auto"/>
            </w:tcBorders>
            <w:shd w:val="clear" w:color="auto" w:fill="auto"/>
            <w:vAlign w:val="center"/>
            <w:hideMark/>
          </w:tcPr>
          <w:p w14:paraId="263389E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63,8</w:t>
            </w:r>
          </w:p>
        </w:tc>
      </w:tr>
      <w:tr w:rsidR="00457E80" w:rsidRPr="00036538" w14:paraId="423FBD75"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40A3624"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24</w:t>
            </w:r>
          </w:p>
        </w:tc>
        <w:tc>
          <w:tcPr>
            <w:tcW w:w="908" w:type="dxa"/>
            <w:tcBorders>
              <w:top w:val="nil"/>
              <w:left w:val="nil"/>
              <w:bottom w:val="single" w:sz="4" w:space="0" w:color="auto"/>
              <w:right w:val="single" w:sz="4" w:space="0" w:color="auto"/>
            </w:tcBorders>
            <w:shd w:val="clear" w:color="auto" w:fill="auto"/>
            <w:vAlign w:val="bottom"/>
            <w:hideMark/>
          </w:tcPr>
          <w:p w14:paraId="36CBC9F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Вашингтон</w:t>
            </w:r>
          </w:p>
        </w:tc>
        <w:tc>
          <w:tcPr>
            <w:tcW w:w="1028" w:type="dxa"/>
            <w:tcBorders>
              <w:top w:val="nil"/>
              <w:left w:val="nil"/>
              <w:bottom w:val="single" w:sz="4" w:space="0" w:color="auto"/>
              <w:right w:val="single" w:sz="4" w:space="0" w:color="auto"/>
            </w:tcBorders>
            <w:shd w:val="clear" w:color="auto" w:fill="auto"/>
            <w:vAlign w:val="bottom"/>
            <w:hideMark/>
          </w:tcPr>
          <w:p w14:paraId="430FB5C3"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США</w:t>
            </w:r>
          </w:p>
        </w:tc>
        <w:tc>
          <w:tcPr>
            <w:tcW w:w="612" w:type="dxa"/>
            <w:tcBorders>
              <w:top w:val="nil"/>
              <w:left w:val="nil"/>
              <w:bottom w:val="single" w:sz="4" w:space="0" w:color="auto"/>
              <w:right w:val="single" w:sz="4" w:space="0" w:color="auto"/>
            </w:tcBorders>
            <w:shd w:val="clear" w:color="000000" w:fill="92D050"/>
            <w:vAlign w:val="center"/>
            <w:hideMark/>
          </w:tcPr>
          <w:p w14:paraId="4CBCDA0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709</w:t>
            </w:r>
          </w:p>
        </w:tc>
        <w:tc>
          <w:tcPr>
            <w:tcW w:w="1145" w:type="dxa"/>
            <w:tcBorders>
              <w:top w:val="nil"/>
              <w:left w:val="nil"/>
              <w:bottom w:val="single" w:sz="4" w:space="0" w:color="auto"/>
              <w:right w:val="single" w:sz="4" w:space="0" w:color="auto"/>
            </w:tcBorders>
            <w:shd w:val="clear" w:color="auto" w:fill="auto"/>
            <w:vAlign w:val="center"/>
            <w:hideMark/>
          </w:tcPr>
          <w:p w14:paraId="0405E0E5"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States</w:t>
            </w:r>
          </w:p>
        </w:tc>
        <w:tc>
          <w:tcPr>
            <w:tcW w:w="612" w:type="dxa"/>
            <w:tcBorders>
              <w:top w:val="nil"/>
              <w:left w:val="nil"/>
              <w:bottom w:val="single" w:sz="4" w:space="0" w:color="auto"/>
              <w:right w:val="single" w:sz="4" w:space="0" w:color="auto"/>
            </w:tcBorders>
            <w:shd w:val="clear" w:color="auto" w:fill="auto"/>
            <w:vAlign w:val="center"/>
            <w:hideMark/>
          </w:tcPr>
          <w:p w14:paraId="70915F3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84,0</w:t>
            </w:r>
          </w:p>
        </w:tc>
        <w:tc>
          <w:tcPr>
            <w:tcW w:w="818" w:type="dxa"/>
            <w:tcBorders>
              <w:top w:val="nil"/>
              <w:left w:val="nil"/>
              <w:bottom w:val="single" w:sz="4" w:space="0" w:color="auto"/>
              <w:right w:val="single" w:sz="4" w:space="0" w:color="auto"/>
            </w:tcBorders>
            <w:shd w:val="clear" w:color="auto" w:fill="auto"/>
            <w:vAlign w:val="center"/>
            <w:hideMark/>
          </w:tcPr>
          <w:p w14:paraId="13FDEF3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91,6</w:t>
            </w:r>
          </w:p>
        </w:tc>
        <w:tc>
          <w:tcPr>
            <w:tcW w:w="931" w:type="dxa"/>
            <w:tcBorders>
              <w:top w:val="nil"/>
              <w:left w:val="nil"/>
              <w:bottom w:val="single" w:sz="4" w:space="0" w:color="auto"/>
              <w:right w:val="single" w:sz="4" w:space="0" w:color="auto"/>
            </w:tcBorders>
            <w:shd w:val="clear" w:color="auto" w:fill="auto"/>
            <w:vAlign w:val="center"/>
            <w:hideMark/>
          </w:tcPr>
          <w:p w14:paraId="0FCFA43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76,9</w:t>
            </w:r>
          </w:p>
        </w:tc>
        <w:tc>
          <w:tcPr>
            <w:tcW w:w="732" w:type="dxa"/>
            <w:tcBorders>
              <w:top w:val="nil"/>
              <w:left w:val="nil"/>
              <w:bottom w:val="single" w:sz="4" w:space="0" w:color="auto"/>
              <w:right w:val="single" w:sz="4" w:space="0" w:color="auto"/>
            </w:tcBorders>
            <w:shd w:val="clear" w:color="auto" w:fill="auto"/>
            <w:vAlign w:val="center"/>
            <w:hideMark/>
          </w:tcPr>
          <w:p w14:paraId="2BDACC0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95,0</w:t>
            </w:r>
          </w:p>
        </w:tc>
        <w:tc>
          <w:tcPr>
            <w:tcW w:w="1016" w:type="dxa"/>
            <w:tcBorders>
              <w:top w:val="nil"/>
              <w:left w:val="nil"/>
              <w:bottom w:val="single" w:sz="4" w:space="0" w:color="auto"/>
              <w:right w:val="single" w:sz="4" w:space="0" w:color="auto"/>
            </w:tcBorders>
            <w:shd w:val="clear" w:color="auto" w:fill="auto"/>
            <w:vAlign w:val="center"/>
            <w:hideMark/>
          </w:tcPr>
          <w:p w14:paraId="03D14B4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71,6</w:t>
            </w:r>
          </w:p>
        </w:tc>
        <w:tc>
          <w:tcPr>
            <w:tcW w:w="997" w:type="dxa"/>
            <w:tcBorders>
              <w:top w:val="nil"/>
              <w:left w:val="nil"/>
              <w:bottom w:val="single" w:sz="4" w:space="0" w:color="auto"/>
              <w:right w:val="single" w:sz="4" w:space="0" w:color="auto"/>
            </w:tcBorders>
            <w:shd w:val="clear" w:color="auto" w:fill="auto"/>
            <w:vAlign w:val="center"/>
            <w:hideMark/>
          </w:tcPr>
          <w:p w14:paraId="0F40F75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86,8</w:t>
            </w:r>
          </w:p>
        </w:tc>
        <w:tc>
          <w:tcPr>
            <w:tcW w:w="1437" w:type="dxa"/>
            <w:tcBorders>
              <w:top w:val="nil"/>
              <w:left w:val="nil"/>
              <w:bottom w:val="single" w:sz="4" w:space="0" w:color="auto"/>
              <w:right w:val="single" w:sz="4" w:space="0" w:color="auto"/>
            </w:tcBorders>
            <w:shd w:val="clear" w:color="auto" w:fill="auto"/>
            <w:vAlign w:val="center"/>
            <w:hideMark/>
          </w:tcPr>
          <w:p w14:paraId="4A5DD90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92,0</w:t>
            </w:r>
          </w:p>
        </w:tc>
        <w:tc>
          <w:tcPr>
            <w:tcW w:w="1262" w:type="dxa"/>
            <w:tcBorders>
              <w:top w:val="nil"/>
              <w:left w:val="nil"/>
              <w:bottom w:val="single" w:sz="4" w:space="0" w:color="auto"/>
              <w:right w:val="single" w:sz="4" w:space="0" w:color="auto"/>
            </w:tcBorders>
            <w:shd w:val="clear" w:color="auto" w:fill="auto"/>
            <w:vAlign w:val="center"/>
            <w:hideMark/>
          </w:tcPr>
          <w:p w14:paraId="0D5C27F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73,4</w:t>
            </w:r>
          </w:p>
        </w:tc>
        <w:tc>
          <w:tcPr>
            <w:tcW w:w="1085" w:type="dxa"/>
            <w:tcBorders>
              <w:top w:val="nil"/>
              <w:left w:val="nil"/>
              <w:bottom w:val="single" w:sz="4" w:space="0" w:color="auto"/>
              <w:right w:val="single" w:sz="4" w:space="0" w:color="auto"/>
            </w:tcBorders>
            <w:shd w:val="clear" w:color="auto" w:fill="auto"/>
            <w:vAlign w:val="center"/>
            <w:hideMark/>
          </w:tcPr>
          <w:p w14:paraId="237594E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90,5</w:t>
            </w:r>
          </w:p>
        </w:tc>
        <w:tc>
          <w:tcPr>
            <w:tcW w:w="916" w:type="dxa"/>
            <w:tcBorders>
              <w:top w:val="nil"/>
              <w:left w:val="nil"/>
              <w:bottom w:val="single" w:sz="4" w:space="0" w:color="auto"/>
              <w:right w:val="single" w:sz="4" w:space="0" w:color="auto"/>
            </w:tcBorders>
            <w:shd w:val="clear" w:color="auto" w:fill="auto"/>
            <w:vAlign w:val="center"/>
            <w:hideMark/>
          </w:tcPr>
          <w:p w14:paraId="70DD626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80,0</w:t>
            </w:r>
          </w:p>
        </w:tc>
        <w:tc>
          <w:tcPr>
            <w:tcW w:w="871" w:type="dxa"/>
            <w:tcBorders>
              <w:top w:val="nil"/>
              <w:left w:val="nil"/>
              <w:bottom w:val="single" w:sz="4" w:space="0" w:color="auto"/>
              <w:right w:val="single" w:sz="4" w:space="0" w:color="auto"/>
            </w:tcBorders>
            <w:shd w:val="clear" w:color="auto" w:fill="auto"/>
            <w:vAlign w:val="center"/>
            <w:hideMark/>
          </w:tcPr>
          <w:p w14:paraId="78146A5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82,2</w:t>
            </w:r>
          </w:p>
        </w:tc>
      </w:tr>
      <w:tr w:rsidR="00457E80" w:rsidRPr="00036538" w14:paraId="7B47B64A"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253FA1D"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25</w:t>
            </w:r>
          </w:p>
        </w:tc>
        <w:tc>
          <w:tcPr>
            <w:tcW w:w="908" w:type="dxa"/>
            <w:tcBorders>
              <w:top w:val="nil"/>
              <w:left w:val="nil"/>
              <w:bottom w:val="single" w:sz="4" w:space="0" w:color="auto"/>
              <w:right w:val="single" w:sz="4" w:space="0" w:color="auto"/>
            </w:tcBorders>
            <w:shd w:val="clear" w:color="auto" w:fill="auto"/>
            <w:vAlign w:val="bottom"/>
            <w:hideMark/>
          </w:tcPr>
          <w:p w14:paraId="0AAEDE6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Бостон</w:t>
            </w:r>
          </w:p>
        </w:tc>
        <w:tc>
          <w:tcPr>
            <w:tcW w:w="1028" w:type="dxa"/>
            <w:tcBorders>
              <w:top w:val="nil"/>
              <w:left w:val="nil"/>
              <w:bottom w:val="single" w:sz="4" w:space="0" w:color="auto"/>
              <w:right w:val="single" w:sz="4" w:space="0" w:color="auto"/>
            </w:tcBorders>
            <w:shd w:val="clear" w:color="auto" w:fill="auto"/>
            <w:vAlign w:val="bottom"/>
            <w:hideMark/>
          </w:tcPr>
          <w:p w14:paraId="71964A1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США</w:t>
            </w:r>
          </w:p>
        </w:tc>
        <w:tc>
          <w:tcPr>
            <w:tcW w:w="612" w:type="dxa"/>
            <w:tcBorders>
              <w:top w:val="nil"/>
              <w:left w:val="nil"/>
              <w:bottom w:val="single" w:sz="4" w:space="0" w:color="auto"/>
              <w:right w:val="single" w:sz="4" w:space="0" w:color="auto"/>
            </w:tcBorders>
            <w:shd w:val="clear" w:color="000000" w:fill="92D050"/>
            <w:vAlign w:val="center"/>
            <w:hideMark/>
          </w:tcPr>
          <w:p w14:paraId="2DA625A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708</w:t>
            </w:r>
          </w:p>
        </w:tc>
        <w:tc>
          <w:tcPr>
            <w:tcW w:w="1145" w:type="dxa"/>
            <w:tcBorders>
              <w:top w:val="nil"/>
              <w:left w:val="nil"/>
              <w:bottom w:val="single" w:sz="4" w:space="0" w:color="auto"/>
              <w:right w:val="single" w:sz="4" w:space="0" w:color="auto"/>
            </w:tcBorders>
            <w:shd w:val="clear" w:color="auto" w:fill="auto"/>
            <w:vAlign w:val="center"/>
            <w:hideMark/>
          </w:tcPr>
          <w:p w14:paraId="5A007AD2"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States</w:t>
            </w:r>
          </w:p>
        </w:tc>
        <w:tc>
          <w:tcPr>
            <w:tcW w:w="612" w:type="dxa"/>
            <w:tcBorders>
              <w:top w:val="nil"/>
              <w:left w:val="nil"/>
              <w:bottom w:val="single" w:sz="4" w:space="0" w:color="auto"/>
              <w:right w:val="single" w:sz="4" w:space="0" w:color="auto"/>
            </w:tcBorders>
            <w:shd w:val="clear" w:color="auto" w:fill="auto"/>
            <w:vAlign w:val="center"/>
            <w:hideMark/>
          </w:tcPr>
          <w:p w14:paraId="5F74B8B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84,0</w:t>
            </w:r>
          </w:p>
        </w:tc>
        <w:tc>
          <w:tcPr>
            <w:tcW w:w="818" w:type="dxa"/>
            <w:tcBorders>
              <w:top w:val="nil"/>
              <w:left w:val="nil"/>
              <w:bottom w:val="single" w:sz="4" w:space="0" w:color="auto"/>
              <w:right w:val="single" w:sz="4" w:space="0" w:color="auto"/>
            </w:tcBorders>
            <w:shd w:val="clear" w:color="auto" w:fill="auto"/>
            <w:vAlign w:val="center"/>
            <w:hideMark/>
          </w:tcPr>
          <w:p w14:paraId="1BDFD41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91,6</w:t>
            </w:r>
          </w:p>
        </w:tc>
        <w:tc>
          <w:tcPr>
            <w:tcW w:w="931" w:type="dxa"/>
            <w:tcBorders>
              <w:top w:val="nil"/>
              <w:left w:val="nil"/>
              <w:bottom w:val="single" w:sz="4" w:space="0" w:color="auto"/>
              <w:right w:val="single" w:sz="4" w:space="0" w:color="auto"/>
            </w:tcBorders>
            <w:shd w:val="clear" w:color="auto" w:fill="auto"/>
            <w:vAlign w:val="center"/>
            <w:hideMark/>
          </w:tcPr>
          <w:p w14:paraId="74D887B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76,9</w:t>
            </w:r>
          </w:p>
        </w:tc>
        <w:tc>
          <w:tcPr>
            <w:tcW w:w="732" w:type="dxa"/>
            <w:tcBorders>
              <w:top w:val="nil"/>
              <w:left w:val="nil"/>
              <w:bottom w:val="single" w:sz="4" w:space="0" w:color="auto"/>
              <w:right w:val="single" w:sz="4" w:space="0" w:color="auto"/>
            </w:tcBorders>
            <w:shd w:val="clear" w:color="auto" w:fill="auto"/>
            <w:vAlign w:val="center"/>
            <w:hideMark/>
          </w:tcPr>
          <w:p w14:paraId="31DB600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95,0</w:t>
            </w:r>
          </w:p>
        </w:tc>
        <w:tc>
          <w:tcPr>
            <w:tcW w:w="1016" w:type="dxa"/>
            <w:tcBorders>
              <w:top w:val="nil"/>
              <w:left w:val="nil"/>
              <w:bottom w:val="single" w:sz="4" w:space="0" w:color="auto"/>
              <w:right w:val="single" w:sz="4" w:space="0" w:color="auto"/>
            </w:tcBorders>
            <w:shd w:val="clear" w:color="auto" w:fill="auto"/>
            <w:vAlign w:val="center"/>
            <w:hideMark/>
          </w:tcPr>
          <w:p w14:paraId="47FEEF3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71,6</w:t>
            </w:r>
          </w:p>
        </w:tc>
        <w:tc>
          <w:tcPr>
            <w:tcW w:w="997" w:type="dxa"/>
            <w:tcBorders>
              <w:top w:val="nil"/>
              <w:left w:val="nil"/>
              <w:bottom w:val="single" w:sz="4" w:space="0" w:color="auto"/>
              <w:right w:val="single" w:sz="4" w:space="0" w:color="auto"/>
            </w:tcBorders>
            <w:shd w:val="clear" w:color="auto" w:fill="auto"/>
            <w:vAlign w:val="center"/>
            <w:hideMark/>
          </w:tcPr>
          <w:p w14:paraId="1A2AE2B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86,8</w:t>
            </w:r>
          </w:p>
        </w:tc>
        <w:tc>
          <w:tcPr>
            <w:tcW w:w="1437" w:type="dxa"/>
            <w:tcBorders>
              <w:top w:val="nil"/>
              <w:left w:val="nil"/>
              <w:bottom w:val="single" w:sz="4" w:space="0" w:color="auto"/>
              <w:right w:val="single" w:sz="4" w:space="0" w:color="auto"/>
            </w:tcBorders>
            <w:shd w:val="clear" w:color="auto" w:fill="auto"/>
            <w:vAlign w:val="center"/>
            <w:hideMark/>
          </w:tcPr>
          <w:p w14:paraId="7A47B3D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92,0</w:t>
            </w:r>
          </w:p>
        </w:tc>
        <w:tc>
          <w:tcPr>
            <w:tcW w:w="1262" w:type="dxa"/>
            <w:tcBorders>
              <w:top w:val="nil"/>
              <w:left w:val="nil"/>
              <w:bottom w:val="single" w:sz="4" w:space="0" w:color="auto"/>
              <w:right w:val="single" w:sz="4" w:space="0" w:color="auto"/>
            </w:tcBorders>
            <w:shd w:val="clear" w:color="auto" w:fill="auto"/>
            <w:vAlign w:val="center"/>
            <w:hideMark/>
          </w:tcPr>
          <w:p w14:paraId="2BCAE52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73,4</w:t>
            </w:r>
          </w:p>
        </w:tc>
        <w:tc>
          <w:tcPr>
            <w:tcW w:w="1085" w:type="dxa"/>
            <w:tcBorders>
              <w:top w:val="nil"/>
              <w:left w:val="nil"/>
              <w:bottom w:val="single" w:sz="4" w:space="0" w:color="auto"/>
              <w:right w:val="single" w:sz="4" w:space="0" w:color="auto"/>
            </w:tcBorders>
            <w:shd w:val="clear" w:color="auto" w:fill="auto"/>
            <w:vAlign w:val="center"/>
            <w:hideMark/>
          </w:tcPr>
          <w:p w14:paraId="21C686F4"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90,5</w:t>
            </w:r>
          </w:p>
        </w:tc>
        <w:tc>
          <w:tcPr>
            <w:tcW w:w="916" w:type="dxa"/>
            <w:tcBorders>
              <w:top w:val="nil"/>
              <w:left w:val="nil"/>
              <w:bottom w:val="single" w:sz="4" w:space="0" w:color="auto"/>
              <w:right w:val="single" w:sz="4" w:space="0" w:color="auto"/>
            </w:tcBorders>
            <w:shd w:val="clear" w:color="auto" w:fill="auto"/>
            <w:vAlign w:val="center"/>
            <w:hideMark/>
          </w:tcPr>
          <w:p w14:paraId="5833FA6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80,0</w:t>
            </w:r>
          </w:p>
        </w:tc>
        <w:tc>
          <w:tcPr>
            <w:tcW w:w="871" w:type="dxa"/>
            <w:tcBorders>
              <w:top w:val="nil"/>
              <w:left w:val="nil"/>
              <w:bottom w:val="single" w:sz="4" w:space="0" w:color="auto"/>
              <w:right w:val="single" w:sz="4" w:space="0" w:color="auto"/>
            </w:tcBorders>
            <w:shd w:val="clear" w:color="auto" w:fill="auto"/>
            <w:vAlign w:val="center"/>
            <w:hideMark/>
          </w:tcPr>
          <w:p w14:paraId="5D1B4C3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82,2</w:t>
            </w:r>
          </w:p>
        </w:tc>
      </w:tr>
      <w:tr w:rsidR="00457E80" w:rsidRPr="00036538" w14:paraId="1B22D151"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9292CB2"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26</w:t>
            </w:r>
          </w:p>
        </w:tc>
        <w:tc>
          <w:tcPr>
            <w:tcW w:w="908" w:type="dxa"/>
            <w:tcBorders>
              <w:top w:val="nil"/>
              <w:left w:val="nil"/>
              <w:bottom w:val="single" w:sz="4" w:space="0" w:color="auto"/>
              <w:right w:val="single" w:sz="4" w:space="0" w:color="auto"/>
            </w:tcBorders>
            <w:shd w:val="clear" w:color="auto" w:fill="auto"/>
            <w:vAlign w:val="bottom"/>
            <w:hideMark/>
          </w:tcPr>
          <w:p w14:paraId="0BA46D3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Монреаль</w:t>
            </w:r>
          </w:p>
        </w:tc>
        <w:tc>
          <w:tcPr>
            <w:tcW w:w="1028" w:type="dxa"/>
            <w:tcBorders>
              <w:top w:val="nil"/>
              <w:left w:val="nil"/>
              <w:bottom w:val="single" w:sz="4" w:space="0" w:color="auto"/>
              <w:right w:val="single" w:sz="4" w:space="0" w:color="auto"/>
            </w:tcBorders>
            <w:shd w:val="clear" w:color="auto" w:fill="auto"/>
            <w:vAlign w:val="bottom"/>
            <w:hideMark/>
          </w:tcPr>
          <w:p w14:paraId="3DFF054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Канада</w:t>
            </w:r>
          </w:p>
        </w:tc>
        <w:tc>
          <w:tcPr>
            <w:tcW w:w="612" w:type="dxa"/>
            <w:tcBorders>
              <w:top w:val="nil"/>
              <w:left w:val="nil"/>
              <w:bottom w:val="single" w:sz="4" w:space="0" w:color="auto"/>
              <w:right w:val="single" w:sz="4" w:space="0" w:color="auto"/>
            </w:tcBorders>
            <w:shd w:val="clear" w:color="000000" w:fill="92D050"/>
            <w:vAlign w:val="center"/>
            <w:hideMark/>
          </w:tcPr>
          <w:p w14:paraId="7B79C83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704</w:t>
            </w:r>
          </w:p>
        </w:tc>
        <w:tc>
          <w:tcPr>
            <w:tcW w:w="1145" w:type="dxa"/>
            <w:tcBorders>
              <w:top w:val="nil"/>
              <w:left w:val="nil"/>
              <w:bottom w:val="single" w:sz="4" w:space="0" w:color="auto"/>
              <w:right w:val="single" w:sz="4" w:space="0" w:color="auto"/>
            </w:tcBorders>
            <w:shd w:val="clear" w:color="auto" w:fill="auto"/>
            <w:vAlign w:val="center"/>
            <w:hideMark/>
          </w:tcPr>
          <w:p w14:paraId="0A02968A"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Canada</w:t>
            </w:r>
          </w:p>
        </w:tc>
        <w:tc>
          <w:tcPr>
            <w:tcW w:w="612" w:type="dxa"/>
            <w:tcBorders>
              <w:top w:val="nil"/>
              <w:left w:val="nil"/>
              <w:bottom w:val="single" w:sz="4" w:space="0" w:color="auto"/>
              <w:right w:val="single" w:sz="4" w:space="0" w:color="auto"/>
            </w:tcBorders>
            <w:shd w:val="clear" w:color="auto" w:fill="auto"/>
            <w:vAlign w:val="center"/>
            <w:hideMark/>
          </w:tcPr>
          <w:p w14:paraId="2055D43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79,6</w:t>
            </w:r>
          </w:p>
        </w:tc>
        <w:tc>
          <w:tcPr>
            <w:tcW w:w="818" w:type="dxa"/>
            <w:tcBorders>
              <w:top w:val="nil"/>
              <w:left w:val="nil"/>
              <w:bottom w:val="single" w:sz="4" w:space="0" w:color="auto"/>
              <w:right w:val="single" w:sz="4" w:space="0" w:color="auto"/>
            </w:tcBorders>
            <w:shd w:val="clear" w:color="auto" w:fill="auto"/>
            <w:vAlign w:val="center"/>
            <w:hideMark/>
          </w:tcPr>
          <w:p w14:paraId="17BB490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98,2</w:t>
            </w:r>
          </w:p>
        </w:tc>
        <w:tc>
          <w:tcPr>
            <w:tcW w:w="931" w:type="dxa"/>
            <w:tcBorders>
              <w:top w:val="nil"/>
              <w:left w:val="nil"/>
              <w:bottom w:val="single" w:sz="4" w:space="0" w:color="auto"/>
              <w:right w:val="single" w:sz="4" w:space="0" w:color="auto"/>
            </w:tcBorders>
            <w:shd w:val="clear" w:color="auto" w:fill="auto"/>
            <w:vAlign w:val="center"/>
            <w:hideMark/>
          </w:tcPr>
          <w:p w14:paraId="06EC6AF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77,8</w:t>
            </w:r>
          </w:p>
        </w:tc>
        <w:tc>
          <w:tcPr>
            <w:tcW w:w="732" w:type="dxa"/>
            <w:tcBorders>
              <w:top w:val="nil"/>
              <w:left w:val="nil"/>
              <w:bottom w:val="single" w:sz="4" w:space="0" w:color="auto"/>
              <w:right w:val="single" w:sz="4" w:space="0" w:color="auto"/>
            </w:tcBorders>
            <w:shd w:val="clear" w:color="auto" w:fill="auto"/>
            <w:vAlign w:val="center"/>
            <w:hideMark/>
          </w:tcPr>
          <w:p w14:paraId="36D0DAD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85,0</w:t>
            </w:r>
          </w:p>
        </w:tc>
        <w:tc>
          <w:tcPr>
            <w:tcW w:w="1016" w:type="dxa"/>
            <w:tcBorders>
              <w:top w:val="nil"/>
              <w:left w:val="nil"/>
              <w:bottom w:val="single" w:sz="4" w:space="0" w:color="auto"/>
              <w:right w:val="single" w:sz="4" w:space="0" w:color="auto"/>
            </w:tcBorders>
            <w:shd w:val="clear" w:color="auto" w:fill="auto"/>
            <w:vAlign w:val="center"/>
            <w:hideMark/>
          </w:tcPr>
          <w:p w14:paraId="0567C0F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7862CEA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88,1</w:t>
            </w:r>
          </w:p>
        </w:tc>
        <w:tc>
          <w:tcPr>
            <w:tcW w:w="1437" w:type="dxa"/>
            <w:tcBorders>
              <w:top w:val="nil"/>
              <w:left w:val="nil"/>
              <w:bottom w:val="single" w:sz="4" w:space="0" w:color="auto"/>
              <w:right w:val="single" w:sz="4" w:space="0" w:color="auto"/>
            </w:tcBorders>
            <w:shd w:val="clear" w:color="auto" w:fill="auto"/>
            <w:vAlign w:val="center"/>
            <w:hideMark/>
          </w:tcPr>
          <w:p w14:paraId="019E870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88,4</w:t>
            </w:r>
          </w:p>
        </w:tc>
        <w:tc>
          <w:tcPr>
            <w:tcW w:w="1262" w:type="dxa"/>
            <w:tcBorders>
              <w:top w:val="nil"/>
              <w:left w:val="nil"/>
              <w:bottom w:val="single" w:sz="4" w:space="0" w:color="auto"/>
              <w:right w:val="single" w:sz="4" w:space="0" w:color="auto"/>
            </w:tcBorders>
            <w:shd w:val="clear" w:color="auto" w:fill="auto"/>
            <w:vAlign w:val="center"/>
            <w:hideMark/>
          </w:tcPr>
          <w:p w14:paraId="39ADFCF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57,1</w:t>
            </w:r>
          </w:p>
        </w:tc>
        <w:tc>
          <w:tcPr>
            <w:tcW w:w="1085" w:type="dxa"/>
            <w:tcBorders>
              <w:top w:val="nil"/>
              <w:left w:val="nil"/>
              <w:bottom w:val="single" w:sz="4" w:space="0" w:color="auto"/>
              <w:right w:val="single" w:sz="4" w:space="0" w:color="auto"/>
            </w:tcBorders>
            <w:shd w:val="clear" w:color="auto" w:fill="auto"/>
            <w:vAlign w:val="center"/>
            <w:hideMark/>
          </w:tcPr>
          <w:p w14:paraId="62CE742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81,0</w:t>
            </w:r>
          </w:p>
        </w:tc>
        <w:tc>
          <w:tcPr>
            <w:tcW w:w="916" w:type="dxa"/>
            <w:tcBorders>
              <w:top w:val="nil"/>
              <w:left w:val="nil"/>
              <w:bottom w:val="single" w:sz="4" w:space="0" w:color="auto"/>
              <w:right w:val="single" w:sz="4" w:space="0" w:color="auto"/>
            </w:tcBorders>
            <w:shd w:val="clear" w:color="auto" w:fill="auto"/>
            <w:vAlign w:val="center"/>
            <w:hideMark/>
          </w:tcPr>
          <w:p w14:paraId="254A30F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73,0</w:t>
            </w:r>
          </w:p>
        </w:tc>
        <w:tc>
          <w:tcPr>
            <w:tcW w:w="871" w:type="dxa"/>
            <w:tcBorders>
              <w:top w:val="nil"/>
              <w:left w:val="nil"/>
              <w:bottom w:val="single" w:sz="4" w:space="0" w:color="auto"/>
              <w:right w:val="single" w:sz="4" w:space="0" w:color="auto"/>
            </w:tcBorders>
            <w:shd w:val="clear" w:color="auto" w:fill="auto"/>
            <w:vAlign w:val="center"/>
            <w:hideMark/>
          </w:tcPr>
          <w:p w14:paraId="2A44594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63,8</w:t>
            </w:r>
          </w:p>
        </w:tc>
      </w:tr>
      <w:tr w:rsidR="00457E80" w:rsidRPr="00036538" w14:paraId="4BC95FAC"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1C4CAF2"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27</w:t>
            </w:r>
          </w:p>
        </w:tc>
        <w:tc>
          <w:tcPr>
            <w:tcW w:w="908" w:type="dxa"/>
            <w:tcBorders>
              <w:top w:val="nil"/>
              <w:left w:val="nil"/>
              <w:bottom w:val="single" w:sz="4" w:space="0" w:color="auto"/>
              <w:right w:val="single" w:sz="4" w:space="0" w:color="auto"/>
            </w:tcBorders>
            <w:shd w:val="clear" w:color="auto" w:fill="auto"/>
            <w:vAlign w:val="bottom"/>
            <w:hideMark/>
          </w:tcPr>
          <w:p w14:paraId="15AA7A70"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Анмстердам</w:t>
            </w:r>
          </w:p>
        </w:tc>
        <w:tc>
          <w:tcPr>
            <w:tcW w:w="1028" w:type="dxa"/>
            <w:tcBorders>
              <w:top w:val="nil"/>
              <w:left w:val="nil"/>
              <w:bottom w:val="single" w:sz="4" w:space="0" w:color="auto"/>
              <w:right w:val="single" w:sz="4" w:space="0" w:color="auto"/>
            </w:tcBorders>
            <w:shd w:val="clear" w:color="auto" w:fill="auto"/>
            <w:vAlign w:val="bottom"/>
            <w:hideMark/>
          </w:tcPr>
          <w:p w14:paraId="4827C9F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Нидерланды</w:t>
            </w:r>
          </w:p>
        </w:tc>
        <w:tc>
          <w:tcPr>
            <w:tcW w:w="612" w:type="dxa"/>
            <w:tcBorders>
              <w:top w:val="nil"/>
              <w:left w:val="nil"/>
              <w:bottom w:val="single" w:sz="4" w:space="0" w:color="auto"/>
              <w:right w:val="single" w:sz="4" w:space="0" w:color="auto"/>
            </w:tcBorders>
            <w:shd w:val="clear" w:color="000000" w:fill="92D050"/>
            <w:vAlign w:val="center"/>
            <w:hideMark/>
          </w:tcPr>
          <w:p w14:paraId="397BFA2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703</w:t>
            </w:r>
          </w:p>
        </w:tc>
        <w:tc>
          <w:tcPr>
            <w:tcW w:w="1145" w:type="dxa"/>
            <w:tcBorders>
              <w:top w:val="nil"/>
              <w:left w:val="nil"/>
              <w:bottom w:val="single" w:sz="4" w:space="0" w:color="auto"/>
              <w:right w:val="single" w:sz="4" w:space="0" w:color="auto"/>
            </w:tcBorders>
            <w:shd w:val="clear" w:color="auto" w:fill="auto"/>
            <w:vAlign w:val="center"/>
            <w:hideMark/>
          </w:tcPr>
          <w:p w14:paraId="643943F9"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Netherlands</w:t>
            </w:r>
          </w:p>
        </w:tc>
        <w:tc>
          <w:tcPr>
            <w:tcW w:w="612" w:type="dxa"/>
            <w:tcBorders>
              <w:top w:val="nil"/>
              <w:left w:val="nil"/>
              <w:bottom w:val="single" w:sz="4" w:space="0" w:color="auto"/>
              <w:right w:val="single" w:sz="4" w:space="0" w:color="auto"/>
            </w:tcBorders>
            <w:shd w:val="clear" w:color="auto" w:fill="auto"/>
            <w:vAlign w:val="center"/>
            <w:hideMark/>
          </w:tcPr>
          <w:p w14:paraId="03F1871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76,1</w:t>
            </w:r>
          </w:p>
        </w:tc>
        <w:tc>
          <w:tcPr>
            <w:tcW w:w="818" w:type="dxa"/>
            <w:tcBorders>
              <w:top w:val="nil"/>
              <w:left w:val="nil"/>
              <w:bottom w:val="single" w:sz="4" w:space="0" w:color="auto"/>
              <w:right w:val="single" w:sz="4" w:space="0" w:color="auto"/>
            </w:tcBorders>
            <w:shd w:val="clear" w:color="auto" w:fill="auto"/>
            <w:vAlign w:val="center"/>
            <w:hideMark/>
          </w:tcPr>
          <w:p w14:paraId="63D7685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94,3</w:t>
            </w:r>
          </w:p>
        </w:tc>
        <w:tc>
          <w:tcPr>
            <w:tcW w:w="931" w:type="dxa"/>
            <w:tcBorders>
              <w:top w:val="nil"/>
              <w:left w:val="nil"/>
              <w:bottom w:val="single" w:sz="4" w:space="0" w:color="auto"/>
              <w:right w:val="single" w:sz="4" w:space="0" w:color="auto"/>
            </w:tcBorders>
            <w:shd w:val="clear" w:color="auto" w:fill="auto"/>
            <w:vAlign w:val="center"/>
            <w:hideMark/>
          </w:tcPr>
          <w:p w14:paraId="59CA072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80,1</w:t>
            </w:r>
          </w:p>
        </w:tc>
        <w:tc>
          <w:tcPr>
            <w:tcW w:w="732" w:type="dxa"/>
            <w:tcBorders>
              <w:top w:val="nil"/>
              <w:left w:val="nil"/>
              <w:bottom w:val="single" w:sz="4" w:space="0" w:color="auto"/>
              <w:right w:val="single" w:sz="4" w:space="0" w:color="auto"/>
            </w:tcBorders>
            <w:shd w:val="clear" w:color="auto" w:fill="auto"/>
            <w:vAlign w:val="center"/>
            <w:hideMark/>
          </w:tcPr>
          <w:p w14:paraId="368041B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45,0</w:t>
            </w:r>
          </w:p>
        </w:tc>
        <w:tc>
          <w:tcPr>
            <w:tcW w:w="1016" w:type="dxa"/>
            <w:tcBorders>
              <w:top w:val="nil"/>
              <w:left w:val="nil"/>
              <w:bottom w:val="single" w:sz="4" w:space="0" w:color="auto"/>
              <w:right w:val="single" w:sz="4" w:space="0" w:color="auto"/>
            </w:tcBorders>
            <w:shd w:val="clear" w:color="auto" w:fill="auto"/>
            <w:vAlign w:val="center"/>
            <w:hideMark/>
          </w:tcPr>
          <w:p w14:paraId="7165392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58,0</w:t>
            </w:r>
          </w:p>
        </w:tc>
        <w:tc>
          <w:tcPr>
            <w:tcW w:w="997" w:type="dxa"/>
            <w:tcBorders>
              <w:top w:val="nil"/>
              <w:left w:val="nil"/>
              <w:bottom w:val="single" w:sz="4" w:space="0" w:color="auto"/>
              <w:right w:val="single" w:sz="4" w:space="0" w:color="auto"/>
            </w:tcBorders>
            <w:shd w:val="clear" w:color="auto" w:fill="auto"/>
            <w:vAlign w:val="center"/>
            <w:hideMark/>
          </w:tcPr>
          <w:p w14:paraId="534E982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87,4</w:t>
            </w:r>
          </w:p>
        </w:tc>
        <w:tc>
          <w:tcPr>
            <w:tcW w:w="1437" w:type="dxa"/>
            <w:tcBorders>
              <w:top w:val="nil"/>
              <w:left w:val="nil"/>
              <w:bottom w:val="single" w:sz="4" w:space="0" w:color="auto"/>
              <w:right w:val="single" w:sz="4" w:space="0" w:color="auto"/>
            </w:tcBorders>
            <w:shd w:val="clear" w:color="auto" w:fill="auto"/>
            <w:vAlign w:val="center"/>
            <w:hideMark/>
          </w:tcPr>
          <w:p w14:paraId="093034A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19601F9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59,9</w:t>
            </w:r>
          </w:p>
        </w:tc>
        <w:tc>
          <w:tcPr>
            <w:tcW w:w="1085" w:type="dxa"/>
            <w:tcBorders>
              <w:top w:val="nil"/>
              <w:left w:val="nil"/>
              <w:bottom w:val="single" w:sz="4" w:space="0" w:color="auto"/>
              <w:right w:val="single" w:sz="4" w:space="0" w:color="auto"/>
            </w:tcBorders>
            <w:shd w:val="clear" w:color="auto" w:fill="auto"/>
            <w:vAlign w:val="center"/>
            <w:hideMark/>
          </w:tcPr>
          <w:p w14:paraId="17A8BD8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84,4</w:t>
            </w:r>
          </w:p>
        </w:tc>
        <w:tc>
          <w:tcPr>
            <w:tcW w:w="916" w:type="dxa"/>
            <w:tcBorders>
              <w:top w:val="nil"/>
              <w:left w:val="nil"/>
              <w:bottom w:val="single" w:sz="4" w:space="0" w:color="auto"/>
              <w:right w:val="single" w:sz="4" w:space="0" w:color="auto"/>
            </w:tcBorders>
            <w:shd w:val="clear" w:color="auto" w:fill="auto"/>
            <w:vAlign w:val="center"/>
            <w:hideMark/>
          </w:tcPr>
          <w:p w14:paraId="3F7C679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69,4</w:t>
            </w:r>
          </w:p>
        </w:tc>
        <w:tc>
          <w:tcPr>
            <w:tcW w:w="871" w:type="dxa"/>
            <w:tcBorders>
              <w:top w:val="nil"/>
              <w:left w:val="nil"/>
              <w:bottom w:val="single" w:sz="4" w:space="0" w:color="auto"/>
              <w:right w:val="single" w:sz="4" w:space="0" w:color="auto"/>
            </w:tcBorders>
            <w:shd w:val="clear" w:color="auto" w:fill="auto"/>
            <w:vAlign w:val="center"/>
            <w:hideMark/>
          </w:tcPr>
          <w:p w14:paraId="229F13D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82,5</w:t>
            </w:r>
          </w:p>
        </w:tc>
      </w:tr>
      <w:tr w:rsidR="00457E80" w:rsidRPr="00036538" w14:paraId="1A1AAF5F"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7681C49"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28</w:t>
            </w:r>
          </w:p>
        </w:tc>
        <w:tc>
          <w:tcPr>
            <w:tcW w:w="908" w:type="dxa"/>
            <w:tcBorders>
              <w:top w:val="nil"/>
              <w:left w:val="nil"/>
              <w:bottom w:val="single" w:sz="4" w:space="0" w:color="auto"/>
              <w:right w:val="single" w:sz="4" w:space="0" w:color="auto"/>
            </w:tcBorders>
            <w:shd w:val="clear" w:color="auto" w:fill="auto"/>
            <w:vAlign w:val="bottom"/>
            <w:hideMark/>
          </w:tcPr>
          <w:p w14:paraId="4011C4F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Стокгольм</w:t>
            </w:r>
          </w:p>
        </w:tc>
        <w:tc>
          <w:tcPr>
            <w:tcW w:w="1028" w:type="dxa"/>
            <w:tcBorders>
              <w:top w:val="nil"/>
              <w:left w:val="nil"/>
              <w:bottom w:val="single" w:sz="4" w:space="0" w:color="auto"/>
              <w:right w:val="single" w:sz="4" w:space="0" w:color="auto"/>
            </w:tcBorders>
            <w:shd w:val="clear" w:color="auto" w:fill="auto"/>
            <w:vAlign w:val="bottom"/>
            <w:hideMark/>
          </w:tcPr>
          <w:p w14:paraId="04BEAE53"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Швеция</w:t>
            </w:r>
          </w:p>
        </w:tc>
        <w:tc>
          <w:tcPr>
            <w:tcW w:w="612" w:type="dxa"/>
            <w:tcBorders>
              <w:top w:val="nil"/>
              <w:left w:val="nil"/>
              <w:bottom w:val="single" w:sz="4" w:space="0" w:color="auto"/>
              <w:right w:val="single" w:sz="4" w:space="0" w:color="auto"/>
            </w:tcBorders>
            <w:shd w:val="clear" w:color="000000" w:fill="92D050"/>
            <w:vAlign w:val="center"/>
            <w:hideMark/>
          </w:tcPr>
          <w:p w14:paraId="2232512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702</w:t>
            </w:r>
          </w:p>
        </w:tc>
        <w:tc>
          <w:tcPr>
            <w:tcW w:w="1145" w:type="dxa"/>
            <w:tcBorders>
              <w:top w:val="nil"/>
              <w:left w:val="nil"/>
              <w:bottom w:val="single" w:sz="4" w:space="0" w:color="auto"/>
              <w:right w:val="single" w:sz="4" w:space="0" w:color="auto"/>
            </w:tcBorders>
            <w:shd w:val="clear" w:color="auto" w:fill="auto"/>
            <w:vAlign w:val="center"/>
            <w:hideMark/>
          </w:tcPr>
          <w:p w14:paraId="7F6075C5"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Sweden</w:t>
            </w:r>
          </w:p>
        </w:tc>
        <w:tc>
          <w:tcPr>
            <w:tcW w:w="612" w:type="dxa"/>
            <w:tcBorders>
              <w:top w:val="nil"/>
              <w:left w:val="nil"/>
              <w:bottom w:val="single" w:sz="4" w:space="0" w:color="auto"/>
              <w:right w:val="single" w:sz="4" w:space="0" w:color="auto"/>
            </w:tcBorders>
            <w:shd w:val="clear" w:color="auto" w:fill="auto"/>
            <w:vAlign w:val="center"/>
            <w:hideMark/>
          </w:tcPr>
          <w:p w14:paraId="32930BA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82,0</w:t>
            </w:r>
          </w:p>
        </w:tc>
        <w:tc>
          <w:tcPr>
            <w:tcW w:w="818" w:type="dxa"/>
            <w:tcBorders>
              <w:top w:val="nil"/>
              <w:left w:val="nil"/>
              <w:bottom w:val="single" w:sz="4" w:space="0" w:color="auto"/>
              <w:right w:val="single" w:sz="4" w:space="0" w:color="auto"/>
            </w:tcBorders>
            <w:shd w:val="clear" w:color="auto" w:fill="auto"/>
            <w:vAlign w:val="center"/>
            <w:hideMark/>
          </w:tcPr>
          <w:p w14:paraId="4E325CD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93,1</w:t>
            </w:r>
          </w:p>
        </w:tc>
        <w:tc>
          <w:tcPr>
            <w:tcW w:w="931" w:type="dxa"/>
            <w:tcBorders>
              <w:top w:val="nil"/>
              <w:left w:val="nil"/>
              <w:bottom w:val="single" w:sz="4" w:space="0" w:color="auto"/>
              <w:right w:val="single" w:sz="4" w:space="0" w:color="auto"/>
            </w:tcBorders>
            <w:shd w:val="clear" w:color="auto" w:fill="auto"/>
            <w:vAlign w:val="center"/>
            <w:hideMark/>
          </w:tcPr>
          <w:p w14:paraId="7D20317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90,1</w:t>
            </w:r>
          </w:p>
        </w:tc>
        <w:tc>
          <w:tcPr>
            <w:tcW w:w="732" w:type="dxa"/>
            <w:tcBorders>
              <w:top w:val="nil"/>
              <w:left w:val="nil"/>
              <w:bottom w:val="single" w:sz="4" w:space="0" w:color="auto"/>
              <w:right w:val="single" w:sz="4" w:space="0" w:color="auto"/>
            </w:tcBorders>
            <w:shd w:val="clear" w:color="auto" w:fill="auto"/>
            <w:vAlign w:val="center"/>
            <w:hideMark/>
          </w:tcPr>
          <w:p w14:paraId="5715A2A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60,0</w:t>
            </w:r>
          </w:p>
        </w:tc>
        <w:tc>
          <w:tcPr>
            <w:tcW w:w="1016" w:type="dxa"/>
            <w:tcBorders>
              <w:top w:val="nil"/>
              <w:left w:val="nil"/>
              <w:bottom w:val="single" w:sz="4" w:space="0" w:color="auto"/>
              <w:right w:val="single" w:sz="4" w:space="0" w:color="auto"/>
            </w:tcBorders>
            <w:shd w:val="clear" w:color="auto" w:fill="auto"/>
            <w:vAlign w:val="center"/>
            <w:hideMark/>
          </w:tcPr>
          <w:p w14:paraId="740CC79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2951C22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85,3</w:t>
            </w:r>
          </w:p>
        </w:tc>
        <w:tc>
          <w:tcPr>
            <w:tcW w:w="1437" w:type="dxa"/>
            <w:tcBorders>
              <w:top w:val="nil"/>
              <w:left w:val="nil"/>
              <w:bottom w:val="single" w:sz="4" w:space="0" w:color="auto"/>
              <w:right w:val="single" w:sz="4" w:space="0" w:color="auto"/>
            </w:tcBorders>
            <w:shd w:val="clear" w:color="auto" w:fill="auto"/>
            <w:vAlign w:val="center"/>
            <w:hideMark/>
          </w:tcPr>
          <w:p w14:paraId="4092F56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98,0</w:t>
            </w:r>
          </w:p>
        </w:tc>
        <w:tc>
          <w:tcPr>
            <w:tcW w:w="1262" w:type="dxa"/>
            <w:tcBorders>
              <w:top w:val="nil"/>
              <w:left w:val="nil"/>
              <w:bottom w:val="single" w:sz="4" w:space="0" w:color="auto"/>
              <w:right w:val="single" w:sz="4" w:space="0" w:color="auto"/>
            </w:tcBorders>
            <w:shd w:val="clear" w:color="auto" w:fill="auto"/>
            <w:vAlign w:val="center"/>
            <w:hideMark/>
          </w:tcPr>
          <w:p w14:paraId="60DDBEC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67,6</w:t>
            </w:r>
          </w:p>
        </w:tc>
        <w:tc>
          <w:tcPr>
            <w:tcW w:w="1085" w:type="dxa"/>
            <w:tcBorders>
              <w:top w:val="nil"/>
              <w:left w:val="nil"/>
              <w:bottom w:val="single" w:sz="4" w:space="0" w:color="auto"/>
              <w:right w:val="single" w:sz="4" w:space="0" w:color="auto"/>
            </w:tcBorders>
            <w:shd w:val="clear" w:color="auto" w:fill="auto"/>
            <w:vAlign w:val="center"/>
            <w:hideMark/>
          </w:tcPr>
          <w:p w14:paraId="35EC6E8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79,5</w:t>
            </w:r>
          </w:p>
        </w:tc>
        <w:tc>
          <w:tcPr>
            <w:tcW w:w="916" w:type="dxa"/>
            <w:tcBorders>
              <w:top w:val="nil"/>
              <w:left w:val="nil"/>
              <w:bottom w:val="single" w:sz="4" w:space="0" w:color="auto"/>
              <w:right w:val="single" w:sz="4" w:space="0" w:color="auto"/>
            </w:tcBorders>
            <w:shd w:val="clear" w:color="auto" w:fill="auto"/>
            <w:vAlign w:val="center"/>
            <w:hideMark/>
          </w:tcPr>
          <w:p w14:paraId="4A59C8A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78,0</w:t>
            </w:r>
          </w:p>
        </w:tc>
        <w:tc>
          <w:tcPr>
            <w:tcW w:w="871" w:type="dxa"/>
            <w:tcBorders>
              <w:top w:val="nil"/>
              <w:left w:val="nil"/>
              <w:bottom w:val="single" w:sz="4" w:space="0" w:color="auto"/>
              <w:right w:val="single" w:sz="4" w:space="0" w:color="auto"/>
            </w:tcBorders>
            <w:shd w:val="clear" w:color="auto" w:fill="auto"/>
            <w:vAlign w:val="center"/>
            <w:hideMark/>
          </w:tcPr>
          <w:p w14:paraId="71746A3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96,2</w:t>
            </w:r>
          </w:p>
        </w:tc>
      </w:tr>
      <w:tr w:rsidR="00457E80" w:rsidRPr="00036538" w14:paraId="406B1F6C"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CC693C6"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29</w:t>
            </w:r>
          </w:p>
        </w:tc>
        <w:tc>
          <w:tcPr>
            <w:tcW w:w="908" w:type="dxa"/>
            <w:tcBorders>
              <w:top w:val="nil"/>
              <w:left w:val="nil"/>
              <w:bottom w:val="single" w:sz="4" w:space="0" w:color="auto"/>
              <w:right w:val="single" w:sz="4" w:space="0" w:color="auto"/>
            </w:tcBorders>
            <w:shd w:val="clear" w:color="auto" w:fill="auto"/>
            <w:vAlign w:val="bottom"/>
            <w:hideMark/>
          </w:tcPr>
          <w:p w14:paraId="391FD89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Гамбург</w:t>
            </w:r>
          </w:p>
        </w:tc>
        <w:tc>
          <w:tcPr>
            <w:tcW w:w="1028" w:type="dxa"/>
            <w:tcBorders>
              <w:top w:val="nil"/>
              <w:left w:val="nil"/>
              <w:bottom w:val="single" w:sz="4" w:space="0" w:color="auto"/>
              <w:right w:val="single" w:sz="4" w:space="0" w:color="auto"/>
            </w:tcBorders>
            <w:shd w:val="clear" w:color="auto" w:fill="auto"/>
            <w:vAlign w:val="bottom"/>
            <w:hideMark/>
          </w:tcPr>
          <w:p w14:paraId="15C5D60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ФРГ</w:t>
            </w:r>
          </w:p>
        </w:tc>
        <w:tc>
          <w:tcPr>
            <w:tcW w:w="612" w:type="dxa"/>
            <w:tcBorders>
              <w:top w:val="nil"/>
              <w:left w:val="nil"/>
              <w:bottom w:val="single" w:sz="4" w:space="0" w:color="auto"/>
              <w:right w:val="single" w:sz="4" w:space="0" w:color="auto"/>
            </w:tcBorders>
            <w:shd w:val="clear" w:color="000000" w:fill="92D050"/>
            <w:vAlign w:val="center"/>
            <w:hideMark/>
          </w:tcPr>
          <w:p w14:paraId="61B09FF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699</w:t>
            </w:r>
          </w:p>
        </w:tc>
        <w:tc>
          <w:tcPr>
            <w:tcW w:w="1145" w:type="dxa"/>
            <w:tcBorders>
              <w:top w:val="nil"/>
              <w:left w:val="nil"/>
              <w:bottom w:val="single" w:sz="4" w:space="0" w:color="auto"/>
              <w:right w:val="single" w:sz="4" w:space="0" w:color="auto"/>
            </w:tcBorders>
            <w:shd w:val="clear" w:color="auto" w:fill="auto"/>
            <w:vAlign w:val="center"/>
            <w:hideMark/>
          </w:tcPr>
          <w:p w14:paraId="4FF57CE7"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Germany</w:t>
            </w:r>
          </w:p>
        </w:tc>
        <w:tc>
          <w:tcPr>
            <w:tcW w:w="612" w:type="dxa"/>
            <w:tcBorders>
              <w:top w:val="nil"/>
              <w:left w:val="nil"/>
              <w:bottom w:val="single" w:sz="4" w:space="0" w:color="auto"/>
              <w:right w:val="single" w:sz="4" w:space="0" w:color="auto"/>
            </w:tcBorders>
            <w:shd w:val="clear" w:color="auto" w:fill="auto"/>
            <w:vAlign w:val="center"/>
            <w:hideMark/>
          </w:tcPr>
          <w:p w14:paraId="17C5904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79,7</w:t>
            </w:r>
          </w:p>
        </w:tc>
        <w:tc>
          <w:tcPr>
            <w:tcW w:w="818" w:type="dxa"/>
            <w:tcBorders>
              <w:top w:val="nil"/>
              <w:left w:val="nil"/>
              <w:bottom w:val="single" w:sz="4" w:space="0" w:color="auto"/>
              <w:right w:val="single" w:sz="4" w:space="0" w:color="auto"/>
            </w:tcBorders>
            <w:shd w:val="clear" w:color="auto" w:fill="auto"/>
            <w:vAlign w:val="center"/>
            <w:hideMark/>
          </w:tcPr>
          <w:p w14:paraId="113C858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83,7</w:t>
            </w:r>
          </w:p>
        </w:tc>
        <w:tc>
          <w:tcPr>
            <w:tcW w:w="931" w:type="dxa"/>
            <w:tcBorders>
              <w:top w:val="nil"/>
              <w:left w:val="nil"/>
              <w:bottom w:val="single" w:sz="4" w:space="0" w:color="auto"/>
              <w:right w:val="single" w:sz="4" w:space="0" w:color="auto"/>
            </w:tcBorders>
            <w:shd w:val="clear" w:color="auto" w:fill="auto"/>
            <w:vAlign w:val="center"/>
            <w:hideMark/>
          </w:tcPr>
          <w:p w14:paraId="59DC4DE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66,6</w:t>
            </w:r>
          </w:p>
        </w:tc>
        <w:tc>
          <w:tcPr>
            <w:tcW w:w="732" w:type="dxa"/>
            <w:tcBorders>
              <w:top w:val="nil"/>
              <w:left w:val="nil"/>
              <w:bottom w:val="single" w:sz="4" w:space="0" w:color="auto"/>
              <w:right w:val="single" w:sz="4" w:space="0" w:color="auto"/>
            </w:tcBorders>
            <w:shd w:val="clear" w:color="auto" w:fill="auto"/>
            <w:vAlign w:val="center"/>
            <w:hideMark/>
          </w:tcPr>
          <w:p w14:paraId="73A6B04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5CC46CB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997" w:type="dxa"/>
            <w:tcBorders>
              <w:top w:val="nil"/>
              <w:left w:val="nil"/>
              <w:bottom w:val="single" w:sz="4" w:space="0" w:color="auto"/>
              <w:right w:val="single" w:sz="4" w:space="0" w:color="auto"/>
            </w:tcBorders>
            <w:shd w:val="clear" w:color="auto" w:fill="auto"/>
            <w:vAlign w:val="center"/>
            <w:hideMark/>
          </w:tcPr>
          <w:p w14:paraId="768B0D2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82,2</w:t>
            </w:r>
          </w:p>
        </w:tc>
        <w:tc>
          <w:tcPr>
            <w:tcW w:w="1437" w:type="dxa"/>
            <w:tcBorders>
              <w:top w:val="nil"/>
              <w:left w:val="nil"/>
              <w:bottom w:val="single" w:sz="4" w:space="0" w:color="auto"/>
              <w:right w:val="single" w:sz="4" w:space="0" w:color="auto"/>
            </w:tcBorders>
            <w:shd w:val="clear" w:color="auto" w:fill="auto"/>
            <w:vAlign w:val="center"/>
            <w:hideMark/>
          </w:tcPr>
          <w:p w14:paraId="4F839FB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91,8</w:t>
            </w:r>
          </w:p>
        </w:tc>
        <w:tc>
          <w:tcPr>
            <w:tcW w:w="1262" w:type="dxa"/>
            <w:tcBorders>
              <w:top w:val="nil"/>
              <w:left w:val="nil"/>
              <w:bottom w:val="single" w:sz="4" w:space="0" w:color="auto"/>
              <w:right w:val="single" w:sz="4" w:space="0" w:color="auto"/>
            </w:tcBorders>
            <w:shd w:val="clear" w:color="auto" w:fill="auto"/>
            <w:vAlign w:val="center"/>
            <w:hideMark/>
          </w:tcPr>
          <w:p w14:paraId="07937C6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74,1</w:t>
            </w:r>
          </w:p>
        </w:tc>
        <w:tc>
          <w:tcPr>
            <w:tcW w:w="1085" w:type="dxa"/>
            <w:tcBorders>
              <w:top w:val="nil"/>
              <w:left w:val="nil"/>
              <w:bottom w:val="single" w:sz="4" w:space="0" w:color="auto"/>
              <w:right w:val="single" w:sz="4" w:space="0" w:color="auto"/>
            </w:tcBorders>
            <w:shd w:val="clear" w:color="auto" w:fill="auto"/>
            <w:vAlign w:val="center"/>
            <w:hideMark/>
          </w:tcPr>
          <w:p w14:paraId="401899D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89,8</w:t>
            </w:r>
          </w:p>
        </w:tc>
        <w:tc>
          <w:tcPr>
            <w:tcW w:w="916" w:type="dxa"/>
            <w:tcBorders>
              <w:top w:val="nil"/>
              <w:left w:val="nil"/>
              <w:bottom w:val="single" w:sz="4" w:space="0" w:color="auto"/>
              <w:right w:val="single" w:sz="4" w:space="0" w:color="auto"/>
            </w:tcBorders>
            <w:shd w:val="clear" w:color="auto" w:fill="auto"/>
            <w:vAlign w:val="center"/>
            <w:hideMark/>
          </w:tcPr>
          <w:p w14:paraId="0AD1C05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78,2</w:t>
            </w:r>
          </w:p>
        </w:tc>
        <w:tc>
          <w:tcPr>
            <w:tcW w:w="871" w:type="dxa"/>
            <w:tcBorders>
              <w:top w:val="nil"/>
              <w:left w:val="nil"/>
              <w:bottom w:val="single" w:sz="4" w:space="0" w:color="auto"/>
              <w:right w:val="single" w:sz="4" w:space="0" w:color="auto"/>
            </w:tcBorders>
            <w:shd w:val="clear" w:color="auto" w:fill="auto"/>
            <w:vAlign w:val="center"/>
            <w:hideMark/>
          </w:tcPr>
          <w:p w14:paraId="2BCBB1A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98,8</w:t>
            </w:r>
          </w:p>
        </w:tc>
      </w:tr>
      <w:tr w:rsidR="00457E80" w:rsidRPr="00036538" w14:paraId="7A54557B"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8A13E36"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30</w:t>
            </w:r>
          </w:p>
        </w:tc>
        <w:tc>
          <w:tcPr>
            <w:tcW w:w="908" w:type="dxa"/>
            <w:tcBorders>
              <w:top w:val="nil"/>
              <w:left w:val="nil"/>
              <w:bottom w:val="single" w:sz="4" w:space="0" w:color="auto"/>
              <w:right w:val="single" w:sz="4" w:space="0" w:color="auto"/>
            </w:tcBorders>
            <w:shd w:val="clear" w:color="auto" w:fill="auto"/>
            <w:vAlign w:val="bottom"/>
            <w:hideMark/>
          </w:tcPr>
          <w:p w14:paraId="0CDC7E81"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Дублин</w:t>
            </w:r>
          </w:p>
        </w:tc>
        <w:tc>
          <w:tcPr>
            <w:tcW w:w="1028" w:type="dxa"/>
            <w:tcBorders>
              <w:top w:val="nil"/>
              <w:left w:val="nil"/>
              <w:bottom w:val="single" w:sz="4" w:space="0" w:color="auto"/>
              <w:right w:val="single" w:sz="4" w:space="0" w:color="auto"/>
            </w:tcBorders>
            <w:shd w:val="clear" w:color="auto" w:fill="auto"/>
            <w:vAlign w:val="bottom"/>
            <w:hideMark/>
          </w:tcPr>
          <w:p w14:paraId="01EDC90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Ирландия</w:t>
            </w:r>
          </w:p>
        </w:tc>
        <w:tc>
          <w:tcPr>
            <w:tcW w:w="612" w:type="dxa"/>
            <w:tcBorders>
              <w:top w:val="nil"/>
              <w:left w:val="nil"/>
              <w:bottom w:val="single" w:sz="4" w:space="0" w:color="auto"/>
              <w:right w:val="single" w:sz="4" w:space="0" w:color="auto"/>
            </w:tcBorders>
            <w:shd w:val="clear" w:color="000000" w:fill="92D050"/>
            <w:vAlign w:val="center"/>
            <w:hideMark/>
          </w:tcPr>
          <w:p w14:paraId="1A459A7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698</w:t>
            </w:r>
          </w:p>
        </w:tc>
        <w:tc>
          <w:tcPr>
            <w:tcW w:w="1145" w:type="dxa"/>
            <w:tcBorders>
              <w:top w:val="nil"/>
              <w:left w:val="nil"/>
              <w:bottom w:val="single" w:sz="4" w:space="0" w:color="auto"/>
              <w:right w:val="single" w:sz="4" w:space="0" w:color="auto"/>
            </w:tcBorders>
            <w:shd w:val="clear" w:color="auto" w:fill="auto"/>
            <w:vAlign w:val="center"/>
            <w:hideMark/>
          </w:tcPr>
          <w:p w14:paraId="7B436BF2"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Ireland</w:t>
            </w:r>
          </w:p>
        </w:tc>
        <w:tc>
          <w:tcPr>
            <w:tcW w:w="612" w:type="dxa"/>
            <w:tcBorders>
              <w:top w:val="nil"/>
              <w:left w:val="nil"/>
              <w:bottom w:val="single" w:sz="4" w:space="0" w:color="auto"/>
              <w:right w:val="single" w:sz="4" w:space="0" w:color="auto"/>
            </w:tcBorders>
            <w:shd w:val="clear" w:color="auto" w:fill="auto"/>
            <w:vAlign w:val="center"/>
            <w:hideMark/>
          </w:tcPr>
          <w:p w14:paraId="649113E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79,6</w:t>
            </w:r>
          </w:p>
        </w:tc>
        <w:tc>
          <w:tcPr>
            <w:tcW w:w="818" w:type="dxa"/>
            <w:tcBorders>
              <w:top w:val="nil"/>
              <w:left w:val="nil"/>
              <w:bottom w:val="single" w:sz="4" w:space="0" w:color="auto"/>
              <w:right w:val="single" w:sz="4" w:space="0" w:color="auto"/>
            </w:tcBorders>
            <w:shd w:val="clear" w:color="auto" w:fill="auto"/>
            <w:vAlign w:val="center"/>
            <w:hideMark/>
          </w:tcPr>
          <w:p w14:paraId="2CB581D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94,4</w:t>
            </w:r>
          </w:p>
        </w:tc>
        <w:tc>
          <w:tcPr>
            <w:tcW w:w="931" w:type="dxa"/>
            <w:tcBorders>
              <w:top w:val="nil"/>
              <w:left w:val="nil"/>
              <w:bottom w:val="single" w:sz="4" w:space="0" w:color="auto"/>
              <w:right w:val="single" w:sz="4" w:space="0" w:color="auto"/>
            </w:tcBorders>
            <w:shd w:val="clear" w:color="auto" w:fill="auto"/>
            <w:vAlign w:val="center"/>
            <w:hideMark/>
          </w:tcPr>
          <w:p w14:paraId="4A424DA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71,7</w:t>
            </w:r>
          </w:p>
        </w:tc>
        <w:tc>
          <w:tcPr>
            <w:tcW w:w="732" w:type="dxa"/>
            <w:tcBorders>
              <w:top w:val="nil"/>
              <w:left w:val="nil"/>
              <w:bottom w:val="single" w:sz="4" w:space="0" w:color="auto"/>
              <w:right w:val="single" w:sz="4" w:space="0" w:color="auto"/>
            </w:tcBorders>
            <w:shd w:val="clear" w:color="auto" w:fill="auto"/>
            <w:vAlign w:val="center"/>
            <w:hideMark/>
          </w:tcPr>
          <w:p w14:paraId="6CA8C20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2128444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80,0</w:t>
            </w:r>
          </w:p>
        </w:tc>
        <w:tc>
          <w:tcPr>
            <w:tcW w:w="997" w:type="dxa"/>
            <w:tcBorders>
              <w:top w:val="nil"/>
              <w:left w:val="nil"/>
              <w:bottom w:val="single" w:sz="4" w:space="0" w:color="auto"/>
              <w:right w:val="single" w:sz="4" w:space="0" w:color="auto"/>
            </w:tcBorders>
            <w:shd w:val="clear" w:color="auto" w:fill="auto"/>
            <w:vAlign w:val="center"/>
            <w:hideMark/>
          </w:tcPr>
          <w:p w14:paraId="20D071C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94,6</w:t>
            </w:r>
          </w:p>
        </w:tc>
        <w:tc>
          <w:tcPr>
            <w:tcW w:w="1437" w:type="dxa"/>
            <w:tcBorders>
              <w:top w:val="nil"/>
              <w:left w:val="nil"/>
              <w:bottom w:val="single" w:sz="4" w:space="0" w:color="auto"/>
              <w:right w:val="single" w:sz="4" w:space="0" w:color="auto"/>
            </w:tcBorders>
            <w:shd w:val="clear" w:color="auto" w:fill="auto"/>
            <w:vAlign w:val="center"/>
            <w:hideMark/>
          </w:tcPr>
          <w:p w14:paraId="77A976D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87,2</w:t>
            </w:r>
          </w:p>
        </w:tc>
        <w:tc>
          <w:tcPr>
            <w:tcW w:w="1262" w:type="dxa"/>
            <w:tcBorders>
              <w:top w:val="nil"/>
              <w:left w:val="nil"/>
              <w:bottom w:val="single" w:sz="4" w:space="0" w:color="auto"/>
              <w:right w:val="single" w:sz="4" w:space="0" w:color="auto"/>
            </w:tcBorders>
            <w:shd w:val="clear" w:color="auto" w:fill="auto"/>
            <w:vAlign w:val="center"/>
            <w:hideMark/>
          </w:tcPr>
          <w:p w14:paraId="3B40317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57,9</w:t>
            </w:r>
          </w:p>
        </w:tc>
        <w:tc>
          <w:tcPr>
            <w:tcW w:w="1085" w:type="dxa"/>
            <w:tcBorders>
              <w:top w:val="nil"/>
              <w:left w:val="nil"/>
              <w:bottom w:val="single" w:sz="4" w:space="0" w:color="auto"/>
              <w:right w:val="single" w:sz="4" w:space="0" w:color="auto"/>
            </w:tcBorders>
            <w:shd w:val="clear" w:color="auto" w:fill="auto"/>
            <w:vAlign w:val="center"/>
            <w:hideMark/>
          </w:tcPr>
          <w:p w14:paraId="28B6F16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79,2</w:t>
            </w:r>
          </w:p>
        </w:tc>
        <w:tc>
          <w:tcPr>
            <w:tcW w:w="916" w:type="dxa"/>
            <w:tcBorders>
              <w:top w:val="nil"/>
              <w:left w:val="nil"/>
              <w:bottom w:val="single" w:sz="4" w:space="0" w:color="auto"/>
              <w:right w:val="single" w:sz="4" w:space="0" w:color="auto"/>
            </w:tcBorders>
            <w:shd w:val="clear" w:color="auto" w:fill="auto"/>
            <w:vAlign w:val="center"/>
            <w:hideMark/>
          </w:tcPr>
          <w:p w14:paraId="0D5805B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76,6</w:t>
            </w:r>
          </w:p>
        </w:tc>
        <w:tc>
          <w:tcPr>
            <w:tcW w:w="871" w:type="dxa"/>
            <w:tcBorders>
              <w:top w:val="nil"/>
              <w:left w:val="nil"/>
              <w:bottom w:val="single" w:sz="4" w:space="0" w:color="auto"/>
              <w:right w:val="single" w:sz="4" w:space="0" w:color="auto"/>
            </w:tcBorders>
            <w:shd w:val="clear" w:color="auto" w:fill="auto"/>
            <w:vAlign w:val="center"/>
            <w:hideMark/>
          </w:tcPr>
          <w:p w14:paraId="04DF01C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84,2</w:t>
            </w:r>
          </w:p>
        </w:tc>
      </w:tr>
      <w:tr w:rsidR="00457E80" w:rsidRPr="00036538" w14:paraId="71035A09"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0604B3E"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31</w:t>
            </w:r>
          </w:p>
        </w:tc>
        <w:tc>
          <w:tcPr>
            <w:tcW w:w="908" w:type="dxa"/>
            <w:tcBorders>
              <w:top w:val="nil"/>
              <w:left w:val="nil"/>
              <w:bottom w:val="single" w:sz="4" w:space="0" w:color="auto"/>
              <w:right w:val="single" w:sz="4" w:space="0" w:color="auto"/>
            </w:tcBorders>
            <w:shd w:val="clear" w:color="auto" w:fill="auto"/>
            <w:vAlign w:val="bottom"/>
            <w:hideMark/>
          </w:tcPr>
          <w:p w14:paraId="5933513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Веллингтон</w:t>
            </w:r>
          </w:p>
        </w:tc>
        <w:tc>
          <w:tcPr>
            <w:tcW w:w="1028" w:type="dxa"/>
            <w:tcBorders>
              <w:top w:val="nil"/>
              <w:left w:val="nil"/>
              <w:bottom w:val="single" w:sz="4" w:space="0" w:color="auto"/>
              <w:right w:val="single" w:sz="4" w:space="0" w:color="auto"/>
            </w:tcBorders>
            <w:shd w:val="clear" w:color="auto" w:fill="auto"/>
            <w:vAlign w:val="bottom"/>
            <w:hideMark/>
          </w:tcPr>
          <w:p w14:paraId="20C017C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Новая Зеландия</w:t>
            </w:r>
          </w:p>
        </w:tc>
        <w:tc>
          <w:tcPr>
            <w:tcW w:w="612" w:type="dxa"/>
            <w:tcBorders>
              <w:top w:val="nil"/>
              <w:left w:val="nil"/>
              <w:bottom w:val="single" w:sz="4" w:space="0" w:color="auto"/>
              <w:right w:val="single" w:sz="4" w:space="0" w:color="auto"/>
            </w:tcBorders>
            <w:shd w:val="clear" w:color="000000" w:fill="92D050"/>
            <w:vAlign w:val="center"/>
            <w:hideMark/>
          </w:tcPr>
          <w:p w14:paraId="045C205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697</w:t>
            </w:r>
          </w:p>
        </w:tc>
        <w:tc>
          <w:tcPr>
            <w:tcW w:w="1145" w:type="dxa"/>
            <w:tcBorders>
              <w:top w:val="nil"/>
              <w:left w:val="nil"/>
              <w:bottom w:val="single" w:sz="4" w:space="0" w:color="auto"/>
              <w:right w:val="single" w:sz="4" w:space="0" w:color="auto"/>
            </w:tcBorders>
            <w:shd w:val="clear" w:color="auto" w:fill="auto"/>
            <w:vAlign w:val="center"/>
            <w:hideMark/>
          </w:tcPr>
          <w:p w14:paraId="5D520358"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New Zealand</w:t>
            </w:r>
          </w:p>
        </w:tc>
        <w:tc>
          <w:tcPr>
            <w:tcW w:w="612" w:type="dxa"/>
            <w:tcBorders>
              <w:top w:val="nil"/>
              <w:left w:val="nil"/>
              <w:bottom w:val="single" w:sz="4" w:space="0" w:color="auto"/>
              <w:right w:val="single" w:sz="4" w:space="0" w:color="auto"/>
            </w:tcBorders>
            <w:shd w:val="clear" w:color="auto" w:fill="auto"/>
            <w:vAlign w:val="center"/>
            <w:hideMark/>
          </w:tcPr>
          <w:p w14:paraId="2E57415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86,8</w:t>
            </w:r>
          </w:p>
        </w:tc>
        <w:tc>
          <w:tcPr>
            <w:tcW w:w="818" w:type="dxa"/>
            <w:tcBorders>
              <w:top w:val="nil"/>
              <w:left w:val="nil"/>
              <w:bottom w:val="single" w:sz="4" w:space="0" w:color="auto"/>
              <w:right w:val="single" w:sz="4" w:space="0" w:color="auto"/>
            </w:tcBorders>
            <w:shd w:val="clear" w:color="auto" w:fill="auto"/>
            <w:vAlign w:val="center"/>
            <w:hideMark/>
          </w:tcPr>
          <w:p w14:paraId="6471FEB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100,0</w:t>
            </w:r>
          </w:p>
        </w:tc>
        <w:tc>
          <w:tcPr>
            <w:tcW w:w="931" w:type="dxa"/>
            <w:tcBorders>
              <w:top w:val="nil"/>
              <w:left w:val="nil"/>
              <w:bottom w:val="single" w:sz="4" w:space="0" w:color="auto"/>
              <w:right w:val="single" w:sz="4" w:space="0" w:color="auto"/>
            </w:tcBorders>
            <w:shd w:val="clear" w:color="auto" w:fill="auto"/>
            <w:vAlign w:val="center"/>
            <w:hideMark/>
          </w:tcPr>
          <w:p w14:paraId="0446A6F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94,6</w:t>
            </w:r>
          </w:p>
        </w:tc>
        <w:tc>
          <w:tcPr>
            <w:tcW w:w="732" w:type="dxa"/>
            <w:tcBorders>
              <w:top w:val="nil"/>
              <w:left w:val="nil"/>
              <w:bottom w:val="single" w:sz="4" w:space="0" w:color="auto"/>
              <w:right w:val="single" w:sz="4" w:space="0" w:color="auto"/>
            </w:tcBorders>
            <w:shd w:val="clear" w:color="auto" w:fill="auto"/>
            <w:vAlign w:val="center"/>
            <w:hideMark/>
          </w:tcPr>
          <w:p w14:paraId="257F8FA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100,0</w:t>
            </w:r>
          </w:p>
        </w:tc>
        <w:tc>
          <w:tcPr>
            <w:tcW w:w="1016" w:type="dxa"/>
            <w:tcBorders>
              <w:top w:val="nil"/>
              <w:left w:val="nil"/>
              <w:bottom w:val="single" w:sz="4" w:space="0" w:color="auto"/>
              <w:right w:val="single" w:sz="4" w:space="0" w:color="auto"/>
            </w:tcBorders>
            <w:shd w:val="clear" w:color="auto" w:fill="auto"/>
            <w:vAlign w:val="center"/>
            <w:hideMark/>
          </w:tcPr>
          <w:p w14:paraId="29B67ED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86,0</w:t>
            </w:r>
          </w:p>
        </w:tc>
        <w:tc>
          <w:tcPr>
            <w:tcW w:w="997" w:type="dxa"/>
            <w:tcBorders>
              <w:top w:val="nil"/>
              <w:left w:val="nil"/>
              <w:bottom w:val="single" w:sz="4" w:space="0" w:color="auto"/>
              <w:right w:val="single" w:sz="4" w:space="0" w:color="auto"/>
            </w:tcBorders>
            <w:shd w:val="clear" w:color="auto" w:fill="auto"/>
            <w:vAlign w:val="center"/>
            <w:hideMark/>
          </w:tcPr>
          <w:p w14:paraId="592CC60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91,0</w:t>
            </w:r>
          </w:p>
        </w:tc>
        <w:tc>
          <w:tcPr>
            <w:tcW w:w="1437" w:type="dxa"/>
            <w:tcBorders>
              <w:top w:val="nil"/>
              <w:left w:val="nil"/>
              <w:bottom w:val="single" w:sz="4" w:space="0" w:color="auto"/>
              <w:right w:val="single" w:sz="4" w:space="0" w:color="auto"/>
            </w:tcBorders>
            <w:shd w:val="clear" w:color="auto" w:fill="auto"/>
            <w:vAlign w:val="center"/>
            <w:hideMark/>
          </w:tcPr>
          <w:p w14:paraId="25B62F7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84,6</w:t>
            </w:r>
          </w:p>
        </w:tc>
        <w:tc>
          <w:tcPr>
            <w:tcW w:w="1262" w:type="dxa"/>
            <w:tcBorders>
              <w:top w:val="nil"/>
              <w:left w:val="nil"/>
              <w:bottom w:val="single" w:sz="4" w:space="0" w:color="auto"/>
              <w:right w:val="single" w:sz="4" w:space="0" w:color="auto"/>
            </w:tcBorders>
            <w:shd w:val="clear" w:color="auto" w:fill="auto"/>
            <w:vAlign w:val="center"/>
            <w:hideMark/>
          </w:tcPr>
          <w:p w14:paraId="5948E80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71,5</w:t>
            </w:r>
          </w:p>
        </w:tc>
        <w:tc>
          <w:tcPr>
            <w:tcW w:w="1085" w:type="dxa"/>
            <w:tcBorders>
              <w:top w:val="nil"/>
              <w:left w:val="nil"/>
              <w:bottom w:val="single" w:sz="4" w:space="0" w:color="auto"/>
              <w:right w:val="single" w:sz="4" w:space="0" w:color="auto"/>
            </w:tcBorders>
            <w:shd w:val="clear" w:color="auto" w:fill="auto"/>
            <w:vAlign w:val="center"/>
            <w:hideMark/>
          </w:tcPr>
          <w:p w14:paraId="5CF9A2D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69,5</w:t>
            </w:r>
          </w:p>
        </w:tc>
        <w:tc>
          <w:tcPr>
            <w:tcW w:w="916" w:type="dxa"/>
            <w:tcBorders>
              <w:top w:val="nil"/>
              <w:left w:val="nil"/>
              <w:bottom w:val="single" w:sz="4" w:space="0" w:color="auto"/>
              <w:right w:val="single" w:sz="4" w:space="0" w:color="auto"/>
            </w:tcBorders>
            <w:shd w:val="clear" w:color="auto" w:fill="auto"/>
            <w:vAlign w:val="center"/>
            <w:hideMark/>
          </w:tcPr>
          <w:p w14:paraId="6FE9E81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86,5</w:t>
            </w:r>
          </w:p>
        </w:tc>
        <w:tc>
          <w:tcPr>
            <w:tcW w:w="871" w:type="dxa"/>
            <w:tcBorders>
              <w:top w:val="nil"/>
              <w:left w:val="nil"/>
              <w:bottom w:val="single" w:sz="4" w:space="0" w:color="auto"/>
              <w:right w:val="single" w:sz="4" w:space="0" w:color="auto"/>
            </w:tcBorders>
            <w:shd w:val="clear" w:color="auto" w:fill="auto"/>
            <w:vAlign w:val="center"/>
            <w:hideMark/>
          </w:tcPr>
          <w:p w14:paraId="7B79216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84,0</w:t>
            </w:r>
          </w:p>
        </w:tc>
      </w:tr>
      <w:tr w:rsidR="00457E80" w:rsidRPr="00036538" w14:paraId="0F2F459B"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8A20195"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32</w:t>
            </w:r>
          </w:p>
        </w:tc>
        <w:tc>
          <w:tcPr>
            <w:tcW w:w="908" w:type="dxa"/>
            <w:tcBorders>
              <w:top w:val="nil"/>
              <w:left w:val="nil"/>
              <w:bottom w:val="single" w:sz="4" w:space="0" w:color="auto"/>
              <w:right w:val="single" w:sz="4" w:space="0" w:color="auto"/>
            </w:tcBorders>
            <w:shd w:val="clear" w:color="auto" w:fill="auto"/>
            <w:vAlign w:val="bottom"/>
            <w:hideMark/>
          </w:tcPr>
          <w:p w14:paraId="6A2383C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Штутгарт</w:t>
            </w:r>
          </w:p>
        </w:tc>
        <w:tc>
          <w:tcPr>
            <w:tcW w:w="1028" w:type="dxa"/>
            <w:tcBorders>
              <w:top w:val="nil"/>
              <w:left w:val="nil"/>
              <w:bottom w:val="single" w:sz="4" w:space="0" w:color="auto"/>
              <w:right w:val="single" w:sz="4" w:space="0" w:color="auto"/>
            </w:tcBorders>
            <w:shd w:val="clear" w:color="auto" w:fill="auto"/>
            <w:vAlign w:val="bottom"/>
            <w:hideMark/>
          </w:tcPr>
          <w:p w14:paraId="6F832A2E"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ФРГ</w:t>
            </w:r>
          </w:p>
        </w:tc>
        <w:tc>
          <w:tcPr>
            <w:tcW w:w="612" w:type="dxa"/>
            <w:tcBorders>
              <w:top w:val="nil"/>
              <w:left w:val="nil"/>
              <w:bottom w:val="single" w:sz="4" w:space="0" w:color="auto"/>
              <w:right w:val="single" w:sz="4" w:space="0" w:color="auto"/>
            </w:tcBorders>
            <w:shd w:val="clear" w:color="000000" w:fill="92D050"/>
            <w:vAlign w:val="center"/>
            <w:hideMark/>
          </w:tcPr>
          <w:p w14:paraId="15F60C1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696</w:t>
            </w:r>
          </w:p>
        </w:tc>
        <w:tc>
          <w:tcPr>
            <w:tcW w:w="1145" w:type="dxa"/>
            <w:tcBorders>
              <w:top w:val="nil"/>
              <w:left w:val="nil"/>
              <w:bottom w:val="single" w:sz="4" w:space="0" w:color="auto"/>
              <w:right w:val="single" w:sz="4" w:space="0" w:color="auto"/>
            </w:tcBorders>
            <w:shd w:val="clear" w:color="auto" w:fill="auto"/>
            <w:vAlign w:val="center"/>
            <w:hideMark/>
          </w:tcPr>
          <w:p w14:paraId="1B3A9F0E"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Germany</w:t>
            </w:r>
          </w:p>
        </w:tc>
        <w:tc>
          <w:tcPr>
            <w:tcW w:w="612" w:type="dxa"/>
            <w:tcBorders>
              <w:top w:val="nil"/>
              <w:left w:val="nil"/>
              <w:bottom w:val="single" w:sz="4" w:space="0" w:color="auto"/>
              <w:right w:val="single" w:sz="4" w:space="0" w:color="auto"/>
            </w:tcBorders>
            <w:shd w:val="clear" w:color="auto" w:fill="auto"/>
            <w:vAlign w:val="center"/>
            <w:hideMark/>
          </w:tcPr>
          <w:p w14:paraId="32F4A79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79,7</w:t>
            </w:r>
          </w:p>
        </w:tc>
        <w:tc>
          <w:tcPr>
            <w:tcW w:w="818" w:type="dxa"/>
            <w:tcBorders>
              <w:top w:val="nil"/>
              <w:left w:val="nil"/>
              <w:bottom w:val="single" w:sz="4" w:space="0" w:color="auto"/>
              <w:right w:val="single" w:sz="4" w:space="0" w:color="auto"/>
            </w:tcBorders>
            <w:shd w:val="clear" w:color="auto" w:fill="auto"/>
            <w:vAlign w:val="center"/>
            <w:hideMark/>
          </w:tcPr>
          <w:p w14:paraId="6ECF0F7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83,7</w:t>
            </w:r>
          </w:p>
        </w:tc>
        <w:tc>
          <w:tcPr>
            <w:tcW w:w="931" w:type="dxa"/>
            <w:tcBorders>
              <w:top w:val="nil"/>
              <w:left w:val="nil"/>
              <w:bottom w:val="single" w:sz="4" w:space="0" w:color="auto"/>
              <w:right w:val="single" w:sz="4" w:space="0" w:color="auto"/>
            </w:tcBorders>
            <w:shd w:val="clear" w:color="auto" w:fill="auto"/>
            <w:vAlign w:val="center"/>
            <w:hideMark/>
          </w:tcPr>
          <w:p w14:paraId="18915BD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66,6</w:t>
            </w:r>
          </w:p>
        </w:tc>
        <w:tc>
          <w:tcPr>
            <w:tcW w:w="732" w:type="dxa"/>
            <w:tcBorders>
              <w:top w:val="nil"/>
              <w:left w:val="nil"/>
              <w:bottom w:val="single" w:sz="4" w:space="0" w:color="auto"/>
              <w:right w:val="single" w:sz="4" w:space="0" w:color="auto"/>
            </w:tcBorders>
            <w:shd w:val="clear" w:color="auto" w:fill="auto"/>
            <w:vAlign w:val="center"/>
            <w:hideMark/>
          </w:tcPr>
          <w:p w14:paraId="1B7D1AA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2974407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997" w:type="dxa"/>
            <w:tcBorders>
              <w:top w:val="nil"/>
              <w:left w:val="nil"/>
              <w:bottom w:val="single" w:sz="4" w:space="0" w:color="auto"/>
              <w:right w:val="single" w:sz="4" w:space="0" w:color="auto"/>
            </w:tcBorders>
            <w:shd w:val="clear" w:color="auto" w:fill="auto"/>
            <w:vAlign w:val="center"/>
            <w:hideMark/>
          </w:tcPr>
          <w:p w14:paraId="6BD9561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82,2</w:t>
            </w:r>
          </w:p>
        </w:tc>
        <w:tc>
          <w:tcPr>
            <w:tcW w:w="1437" w:type="dxa"/>
            <w:tcBorders>
              <w:top w:val="nil"/>
              <w:left w:val="nil"/>
              <w:bottom w:val="single" w:sz="4" w:space="0" w:color="auto"/>
              <w:right w:val="single" w:sz="4" w:space="0" w:color="auto"/>
            </w:tcBorders>
            <w:shd w:val="clear" w:color="auto" w:fill="auto"/>
            <w:vAlign w:val="center"/>
            <w:hideMark/>
          </w:tcPr>
          <w:p w14:paraId="0BC79F4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91,8</w:t>
            </w:r>
          </w:p>
        </w:tc>
        <w:tc>
          <w:tcPr>
            <w:tcW w:w="1262" w:type="dxa"/>
            <w:tcBorders>
              <w:top w:val="nil"/>
              <w:left w:val="nil"/>
              <w:bottom w:val="single" w:sz="4" w:space="0" w:color="auto"/>
              <w:right w:val="single" w:sz="4" w:space="0" w:color="auto"/>
            </w:tcBorders>
            <w:shd w:val="clear" w:color="auto" w:fill="auto"/>
            <w:vAlign w:val="center"/>
            <w:hideMark/>
          </w:tcPr>
          <w:p w14:paraId="0436E74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74,1</w:t>
            </w:r>
          </w:p>
        </w:tc>
        <w:tc>
          <w:tcPr>
            <w:tcW w:w="1085" w:type="dxa"/>
            <w:tcBorders>
              <w:top w:val="nil"/>
              <w:left w:val="nil"/>
              <w:bottom w:val="single" w:sz="4" w:space="0" w:color="auto"/>
              <w:right w:val="single" w:sz="4" w:space="0" w:color="auto"/>
            </w:tcBorders>
            <w:shd w:val="clear" w:color="auto" w:fill="auto"/>
            <w:vAlign w:val="center"/>
            <w:hideMark/>
          </w:tcPr>
          <w:p w14:paraId="495338E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89,8</w:t>
            </w:r>
          </w:p>
        </w:tc>
        <w:tc>
          <w:tcPr>
            <w:tcW w:w="916" w:type="dxa"/>
            <w:tcBorders>
              <w:top w:val="nil"/>
              <w:left w:val="nil"/>
              <w:bottom w:val="single" w:sz="4" w:space="0" w:color="auto"/>
              <w:right w:val="single" w:sz="4" w:space="0" w:color="auto"/>
            </w:tcBorders>
            <w:shd w:val="clear" w:color="auto" w:fill="auto"/>
            <w:vAlign w:val="center"/>
            <w:hideMark/>
          </w:tcPr>
          <w:p w14:paraId="18BAD2E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78,2</w:t>
            </w:r>
          </w:p>
        </w:tc>
        <w:tc>
          <w:tcPr>
            <w:tcW w:w="871" w:type="dxa"/>
            <w:tcBorders>
              <w:top w:val="nil"/>
              <w:left w:val="nil"/>
              <w:bottom w:val="single" w:sz="4" w:space="0" w:color="auto"/>
              <w:right w:val="single" w:sz="4" w:space="0" w:color="auto"/>
            </w:tcBorders>
            <w:shd w:val="clear" w:color="auto" w:fill="auto"/>
            <w:vAlign w:val="center"/>
            <w:hideMark/>
          </w:tcPr>
          <w:p w14:paraId="5239D1B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98,8</w:t>
            </w:r>
          </w:p>
        </w:tc>
      </w:tr>
      <w:tr w:rsidR="00457E80" w:rsidRPr="00036538" w14:paraId="3146A296"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38E02E8"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33</w:t>
            </w:r>
          </w:p>
        </w:tc>
        <w:tc>
          <w:tcPr>
            <w:tcW w:w="908" w:type="dxa"/>
            <w:tcBorders>
              <w:top w:val="nil"/>
              <w:left w:val="nil"/>
              <w:bottom w:val="single" w:sz="4" w:space="0" w:color="auto"/>
              <w:right w:val="single" w:sz="4" w:space="0" w:color="auto"/>
            </w:tcBorders>
            <w:shd w:val="clear" w:color="auto" w:fill="auto"/>
            <w:vAlign w:val="bottom"/>
            <w:hideMark/>
          </w:tcPr>
          <w:p w14:paraId="1A124F9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Сеул</w:t>
            </w:r>
          </w:p>
        </w:tc>
        <w:tc>
          <w:tcPr>
            <w:tcW w:w="1028" w:type="dxa"/>
            <w:tcBorders>
              <w:top w:val="nil"/>
              <w:left w:val="nil"/>
              <w:bottom w:val="single" w:sz="4" w:space="0" w:color="auto"/>
              <w:right w:val="single" w:sz="4" w:space="0" w:color="auto"/>
            </w:tcBorders>
            <w:shd w:val="clear" w:color="auto" w:fill="auto"/>
            <w:vAlign w:val="bottom"/>
            <w:hideMark/>
          </w:tcPr>
          <w:p w14:paraId="4B83BDA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Республика Корея</w:t>
            </w:r>
          </w:p>
        </w:tc>
        <w:tc>
          <w:tcPr>
            <w:tcW w:w="612" w:type="dxa"/>
            <w:tcBorders>
              <w:top w:val="nil"/>
              <w:left w:val="nil"/>
              <w:bottom w:val="single" w:sz="4" w:space="0" w:color="auto"/>
              <w:right w:val="single" w:sz="4" w:space="0" w:color="auto"/>
            </w:tcBorders>
            <w:shd w:val="clear" w:color="000000" w:fill="92D050"/>
            <w:vAlign w:val="center"/>
            <w:hideMark/>
          </w:tcPr>
          <w:p w14:paraId="181078A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694</w:t>
            </w:r>
          </w:p>
        </w:tc>
        <w:tc>
          <w:tcPr>
            <w:tcW w:w="1145" w:type="dxa"/>
            <w:tcBorders>
              <w:top w:val="nil"/>
              <w:left w:val="nil"/>
              <w:bottom w:val="single" w:sz="4" w:space="0" w:color="auto"/>
              <w:right w:val="single" w:sz="4" w:space="0" w:color="auto"/>
            </w:tcBorders>
            <w:shd w:val="clear" w:color="auto" w:fill="auto"/>
            <w:vAlign w:val="center"/>
            <w:hideMark/>
          </w:tcPr>
          <w:p w14:paraId="4AF27517"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Korea, Rep.</w:t>
            </w:r>
          </w:p>
        </w:tc>
        <w:tc>
          <w:tcPr>
            <w:tcW w:w="612" w:type="dxa"/>
            <w:tcBorders>
              <w:top w:val="nil"/>
              <w:left w:val="nil"/>
              <w:bottom w:val="single" w:sz="4" w:space="0" w:color="auto"/>
              <w:right w:val="single" w:sz="4" w:space="0" w:color="auto"/>
            </w:tcBorders>
            <w:shd w:val="clear" w:color="auto" w:fill="auto"/>
            <w:vAlign w:val="center"/>
            <w:hideMark/>
          </w:tcPr>
          <w:p w14:paraId="5282D0F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84,0</w:t>
            </w:r>
          </w:p>
        </w:tc>
        <w:tc>
          <w:tcPr>
            <w:tcW w:w="818" w:type="dxa"/>
            <w:tcBorders>
              <w:top w:val="nil"/>
              <w:left w:val="nil"/>
              <w:bottom w:val="single" w:sz="4" w:space="0" w:color="auto"/>
              <w:right w:val="single" w:sz="4" w:space="0" w:color="auto"/>
            </w:tcBorders>
            <w:shd w:val="clear" w:color="auto" w:fill="auto"/>
            <w:vAlign w:val="center"/>
            <w:hideMark/>
          </w:tcPr>
          <w:p w14:paraId="7F96825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93,4</w:t>
            </w:r>
          </w:p>
        </w:tc>
        <w:tc>
          <w:tcPr>
            <w:tcW w:w="931" w:type="dxa"/>
            <w:tcBorders>
              <w:top w:val="nil"/>
              <w:left w:val="nil"/>
              <w:bottom w:val="single" w:sz="4" w:space="0" w:color="auto"/>
              <w:right w:val="single" w:sz="4" w:space="0" w:color="auto"/>
            </w:tcBorders>
            <w:shd w:val="clear" w:color="auto" w:fill="auto"/>
            <w:vAlign w:val="center"/>
            <w:hideMark/>
          </w:tcPr>
          <w:p w14:paraId="4C1441A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76,3</w:t>
            </w:r>
          </w:p>
        </w:tc>
        <w:tc>
          <w:tcPr>
            <w:tcW w:w="732" w:type="dxa"/>
            <w:tcBorders>
              <w:top w:val="nil"/>
              <w:left w:val="nil"/>
              <w:bottom w:val="single" w:sz="4" w:space="0" w:color="auto"/>
              <w:right w:val="single" w:sz="4" w:space="0" w:color="auto"/>
            </w:tcBorders>
            <w:shd w:val="clear" w:color="auto" w:fill="auto"/>
            <w:vAlign w:val="center"/>
            <w:hideMark/>
          </w:tcPr>
          <w:p w14:paraId="4027F7C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65,0</w:t>
            </w:r>
          </w:p>
        </w:tc>
        <w:tc>
          <w:tcPr>
            <w:tcW w:w="1016" w:type="dxa"/>
            <w:tcBorders>
              <w:top w:val="nil"/>
              <w:left w:val="nil"/>
              <w:bottom w:val="single" w:sz="4" w:space="0" w:color="auto"/>
              <w:right w:val="single" w:sz="4" w:space="0" w:color="auto"/>
            </w:tcBorders>
            <w:shd w:val="clear" w:color="auto" w:fill="auto"/>
            <w:vAlign w:val="center"/>
            <w:hideMark/>
          </w:tcPr>
          <w:p w14:paraId="5859E2D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74,0</w:t>
            </w:r>
          </w:p>
        </w:tc>
        <w:tc>
          <w:tcPr>
            <w:tcW w:w="997" w:type="dxa"/>
            <w:tcBorders>
              <w:top w:val="nil"/>
              <w:left w:val="nil"/>
              <w:bottom w:val="single" w:sz="4" w:space="0" w:color="auto"/>
              <w:right w:val="single" w:sz="4" w:space="0" w:color="auto"/>
            </w:tcBorders>
            <w:shd w:val="clear" w:color="auto" w:fill="auto"/>
            <w:vAlign w:val="center"/>
            <w:hideMark/>
          </w:tcPr>
          <w:p w14:paraId="0B601F8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87,4</w:t>
            </w:r>
          </w:p>
        </w:tc>
        <w:tc>
          <w:tcPr>
            <w:tcW w:w="1437" w:type="dxa"/>
            <w:tcBorders>
              <w:top w:val="nil"/>
              <w:left w:val="nil"/>
              <w:bottom w:val="single" w:sz="4" w:space="0" w:color="auto"/>
              <w:right w:val="single" w:sz="4" w:space="0" w:color="auto"/>
            </w:tcBorders>
            <w:shd w:val="clear" w:color="auto" w:fill="auto"/>
            <w:vAlign w:val="center"/>
            <w:hideMark/>
          </w:tcPr>
          <w:p w14:paraId="01A58A0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92,5</w:t>
            </w:r>
          </w:p>
        </w:tc>
        <w:tc>
          <w:tcPr>
            <w:tcW w:w="1262" w:type="dxa"/>
            <w:tcBorders>
              <w:top w:val="nil"/>
              <w:left w:val="nil"/>
              <w:bottom w:val="single" w:sz="4" w:space="0" w:color="auto"/>
              <w:right w:val="single" w:sz="4" w:space="0" w:color="auto"/>
            </w:tcBorders>
            <w:shd w:val="clear" w:color="auto" w:fill="auto"/>
            <w:vAlign w:val="center"/>
            <w:hideMark/>
          </w:tcPr>
          <w:p w14:paraId="46AE0E0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84,1</w:t>
            </w:r>
          </w:p>
        </w:tc>
        <w:tc>
          <w:tcPr>
            <w:tcW w:w="1085" w:type="dxa"/>
            <w:tcBorders>
              <w:top w:val="nil"/>
              <w:left w:val="nil"/>
              <w:bottom w:val="single" w:sz="4" w:space="0" w:color="auto"/>
              <w:right w:val="single" w:sz="4" w:space="0" w:color="auto"/>
            </w:tcBorders>
            <w:shd w:val="clear" w:color="auto" w:fill="auto"/>
            <w:vAlign w:val="center"/>
            <w:hideMark/>
          </w:tcPr>
          <w:p w14:paraId="1E5D25A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82,9</w:t>
            </w:r>
          </w:p>
        </w:tc>
        <w:tc>
          <w:tcPr>
            <w:tcW w:w="916" w:type="dxa"/>
            <w:tcBorders>
              <w:top w:val="nil"/>
              <w:left w:val="nil"/>
              <w:bottom w:val="single" w:sz="4" w:space="0" w:color="auto"/>
              <w:right w:val="single" w:sz="4" w:space="0" w:color="auto"/>
            </w:tcBorders>
            <w:shd w:val="clear" w:color="auto" w:fill="auto"/>
            <w:vAlign w:val="center"/>
            <w:hideMark/>
          </w:tcPr>
          <w:p w14:paraId="767AF17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84,4</w:t>
            </w:r>
          </w:p>
        </w:tc>
        <w:tc>
          <w:tcPr>
            <w:tcW w:w="871" w:type="dxa"/>
            <w:tcBorders>
              <w:top w:val="nil"/>
              <w:left w:val="nil"/>
              <w:bottom w:val="single" w:sz="4" w:space="0" w:color="auto"/>
              <w:right w:val="single" w:sz="4" w:space="0" w:color="auto"/>
            </w:tcBorders>
            <w:shd w:val="clear" w:color="auto" w:fill="auto"/>
            <w:vAlign w:val="center"/>
            <w:hideMark/>
          </w:tcPr>
          <w:p w14:paraId="658EC5C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99,9</w:t>
            </w:r>
          </w:p>
        </w:tc>
      </w:tr>
      <w:tr w:rsidR="00457E80" w:rsidRPr="00036538" w14:paraId="4030DE2A"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DD823EA"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lastRenderedPageBreak/>
              <w:t>34</w:t>
            </w:r>
          </w:p>
        </w:tc>
        <w:tc>
          <w:tcPr>
            <w:tcW w:w="908" w:type="dxa"/>
            <w:tcBorders>
              <w:top w:val="nil"/>
              <w:left w:val="nil"/>
              <w:bottom w:val="single" w:sz="4" w:space="0" w:color="auto"/>
              <w:right w:val="single" w:sz="4" w:space="0" w:color="auto"/>
            </w:tcBorders>
            <w:shd w:val="clear" w:color="auto" w:fill="auto"/>
            <w:vAlign w:val="bottom"/>
            <w:hideMark/>
          </w:tcPr>
          <w:p w14:paraId="67E6B68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Брюссель</w:t>
            </w:r>
          </w:p>
        </w:tc>
        <w:tc>
          <w:tcPr>
            <w:tcW w:w="1028" w:type="dxa"/>
            <w:tcBorders>
              <w:top w:val="nil"/>
              <w:left w:val="nil"/>
              <w:bottom w:val="single" w:sz="4" w:space="0" w:color="auto"/>
              <w:right w:val="single" w:sz="4" w:space="0" w:color="auto"/>
            </w:tcBorders>
            <w:shd w:val="clear" w:color="auto" w:fill="auto"/>
            <w:vAlign w:val="bottom"/>
            <w:hideMark/>
          </w:tcPr>
          <w:p w14:paraId="18F52FE3"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Бельгия</w:t>
            </w:r>
          </w:p>
        </w:tc>
        <w:tc>
          <w:tcPr>
            <w:tcW w:w="612" w:type="dxa"/>
            <w:tcBorders>
              <w:top w:val="nil"/>
              <w:left w:val="nil"/>
              <w:bottom w:val="single" w:sz="4" w:space="0" w:color="auto"/>
              <w:right w:val="single" w:sz="4" w:space="0" w:color="auto"/>
            </w:tcBorders>
            <w:shd w:val="clear" w:color="000000" w:fill="92D050"/>
            <w:vAlign w:val="center"/>
            <w:hideMark/>
          </w:tcPr>
          <w:p w14:paraId="113ADEF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691</w:t>
            </w:r>
          </w:p>
        </w:tc>
        <w:tc>
          <w:tcPr>
            <w:tcW w:w="1145" w:type="dxa"/>
            <w:tcBorders>
              <w:top w:val="nil"/>
              <w:left w:val="nil"/>
              <w:bottom w:val="single" w:sz="4" w:space="0" w:color="auto"/>
              <w:right w:val="single" w:sz="4" w:space="0" w:color="auto"/>
            </w:tcBorders>
            <w:shd w:val="clear" w:color="auto" w:fill="auto"/>
            <w:vAlign w:val="center"/>
            <w:hideMark/>
          </w:tcPr>
          <w:p w14:paraId="1A87CEB2"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Belgium</w:t>
            </w:r>
          </w:p>
        </w:tc>
        <w:tc>
          <w:tcPr>
            <w:tcW w:w="612" w:type="dxa"/>
            <w:tcBorders>
              <w:top w:val="nil"/>
              <w:left w:val="nil"/>
              <w:bottom w:val="single" w:sz="4" w:space="0" w:color="auto"/>
              <w:right w:val="single" w:sz="4" w:space="0" w:color="auto"/>
            </w:tcBorders>
            <w:shd w:val="clear" w:color="auto" w:fill="auto"/>
            <w:vAlign w:val="center"/>
            <w:hideMark/>
          </w:tcPr>
          <w:p w14:paraId="671141E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818" w:type="dxa"/>
            <w:tcBorders>
              <w:top w:val="nil"/>
              <w:left w:val="nil"/>
              <w:bottom w:val="single" w:sz="4" w:space="0" w:color="auto"/>
              <w:right w:val="single" w:sz="4" w:space="0" w:color="auto"/>
            </w:tcBorders>
            <w:shd w:val="clear" w:color="auto" w:fill="auto"/>
            <w:vAlign w:val="center"/>
            <w:hideMark/>
          </w:tcPr>
          <w:p w14:paraId="1C1A207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92,3</w:t>
            </w:r>
          </w:p>
        </w:tc>
        <w:tc>
          <w:tcPr>
            <w:tcW w:w="931" w:type="dxa"/>
            <w:tcBorders>
              <w:top w:val="nil"/>
              <w:left w:val="nil"/>
              <w:bottom w:val="single" w:sz="4" w:space="0" w:color="auto"/>
              <w:right w:val="single" w:sz="4" w:space="0" w:color="auto"/>
            </w:tcBorders>
            <w:shd w:val="clear" w:color="auto" w:fill="auto"/>
            <w:vAlign w:val="center"/>
            <w:hideMark/>
          </w:tcPr>
          <w:p w14:paraId="315B93F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51,8</w:t>
            </w:r>
          </w:p>
        </w:tc>
        <w:tc>
          <w:tcPr>
            <w:tcW w:w="732" w:type="dxa"/>
            <w:tcBorders>
              <w:top w:val="nil"/>
              <w:left w:val="nil"/>
              <w:bottom w:val="single" w:sz="4" w:space="0" w:color="auto"/>
              <w:right w:val="single" w:sz="4" w:space="0" w:color="auto"/>
            </w:tcBorders>
            <w:shd w:val="clear" w:color="auto" w:fill="auto"/>
            <w:vAlign w:val="center"/>
            <w:hideMark/>
          </w:tcPr>
          <w:p w14:paraId="21489A2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65,0</w:t>
            </w:r>
          </w:p>
        </w:tc>
        <w:tc>
          <w:tcPr>
            <w:tcW w:w="1016" w:type="dxa"/>
            <w:tcBorders>
              <w:top w:val="nil"/>
              <w:left w:val="nil"/>
              <w:bottom w:val="single" w:sz="4" w:space="0" w:color="auto"/>
              <w:right w:val="single" w:sz="4" w:space="0" w:color="auto"/>
            </w:tcBorders>
            <w:shd w:val="clear" w:color="auto" w:fill="auto"/>
            <w:vAlign w:val="center"/>
            <w:hideMark/>
          </w:tcPr>
          <w:p w14:paraId="794E130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68,0</w:t>
            </w:r>
          </w:p>
        </w:tc>
        <w:tc>
          <w:tcPr>
            <w:tcW w:w="997" w:type="dxa"/>
            <w:tcBorders>
              <w:top w:val="nil"/>
              <w:left w:val="nil"/>
              <w:bottom w:val="single" w:sz="4" w:space="0" w:color="auto"/>
              <w:right w:val="single" w:sz="4" w:space="0" w:color="auto"/>
            </w:tcBorders>
            <w:shd w:val="clear" w:color="auto" w:fill="auto"/>
            <w:vAlign w:val="center"/>
            <w:hideMark/>
          </w:tcPr>
          <w:p w14:paraId="433C8CA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78,4</w:t>
            </w:r>
          </w:p>
        </w:tc>
        <w:tc>
          <w:tcPr>
            <w:tcW w:w="1437" w:type="dxa"/>
            <w:tcBorders>
              <w:top w:val="nil"/>
              <w:left w:val="nil"/>
              <w:bottom w:val="single" w:sz="4" w:space="0" w:color="auto"/>
              <w:right w:val="single" w:sz="4" w:space="0" w:color="auto"/>
            </w:tcBorders>
            <w:shd w:val="clear" w:color="auto" w:fill="auto"/>
            <w:vAlign w:val="center"/>
            <w:hideMark/>
          </w:tcPr>
          <w:p w14:paraId="04EC6A1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7CAEA72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64,3</w:t>
            </w:r>
          </w:p>
        </w:tc>
        <w:tc>
          <w:tcPr>
            <w:tcW w:w="1085" w:type="dxa"/>
            <w:tcBorders>
              <w:top w:val="nil"/>
              <w:left w:val="nil"/>
              <w:bottom w:val="single" w:sz="4" w:space="0" w:color="auto"/>
              <w:right w:val="single" w:sz="4" w:space="0" w:color="auto"/>
            </w:tcBorders>
            <w:shd w:val="clear" w:color="auto" w:fill="auto"/>
            <w:vAlign w:val="center"/>
            <w:hideMark/>
          </w:tcPr>
          <w:p w14:paraId="534F893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84,1</w:t>
            </w:r>
          </w:p>
        </w:tc>
        <w:tc>
          <w:tcPr>
            <w:tcW w:w="916" w:type="dxa"/>
            <w:tcBorders>
              <w:top w:val="nil"/>
              <w:left w:val="nil"/>
              <w:bottom w:val="single" w:sz="4" w:space="0" w:color="auto"/>
              <w:right w:val="single" w:sz="4" w:space="0" w:color="auto"/>
            </w:tcBorders>
            <w:shd w:val="clear" w:color="auto" w:fill="auto"/>
            <w:vAlign w:val="center"/>
            <w:hideMark/>
          </w:tcPr>
          <w:p w14:paraId="2D4FDB2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75,5</w:t>
            </w:r>
          </w:p>
        </w:tc>
        <w:tc>
          <w:tcPr>
            <w:tcW w:w="871" w:type="dxa"/>
            <w:tcBorders>
              <w:top w:val="nil"/>
              <w:left w:val="nil"/>
              <w:bottom w:val="single" w:sz="4" w:space="0" w:color="auto"/>
              <w:right w:val="single" w:sz="4" w:space="0" w:color="auto"/>
            </w:tcBorders>
            <w:shd w:val="clear" w:color="auto" w:fill="auto"/>
            <w:vAlign w:val="center"/>
            <w:hideMark/>
          </w:tcPr>
          <w:p w14:paraId="6B97F8C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70,6</w:t>
            </w:r>
          </w:p>
        </w:tc>
      </w:tr>
      <w:tr w:rsidR="00457E80" w:rsidRPr="00036538" w14:paraId="0EE8946C"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DC7B751"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35</w:t>
            </w:r>
          </w:p>
        </w:tc>
        <w:tc>
          <w:tcPr>
            <w:tcW w:w="908" w:type="dxa"/>
            <w:tcBorders>
              <w:top w:val="nil"/>
              <w:left w:val="nil"/>
              <w:bottom w:val="single" w:sz="4" w:space="0" w:color="auto"/>
              <w:right w:val="single" w:sz="4" w:space="0" w:color="auto"/>
            </w:tcBorders>
            <w:shd w:val="clear" w:color="auto" w:fill="auto"/>
            <w:vAlign w:val="bottom"/>
            <w:hideMark/>
          </w:tcPr>
          <w:p w14:paraId="61D071E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Коненгаген</w:t>
            </w:r>
          </w:p>
        </w:tc>
        <w:tc>
          <w:tcPr>
            <w:tcW w:w="1028" w:type="dxa"/>
            <w:tcBorders>
              <w:top w:val="nil"/>
              <w:left w:val="nil"/>
              <w:bottom w:val="single" w:sz="4" w:space="0" w:color="auto"/>
              <w:right w:val="single" w:sz="4" w:space="0" w:color="auto"/>
            </w:tcBorders>
            <w:shd w:val="clear" w:color="auto" w:fill="auto"/>
            <w:vAlign w:val="bottom"/>
            <w:hideMark/>
          </w:tcPr>
          <w:p w14:paraId="14AE455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Дания</w:t>
            </w:r>
          </w:p>
        </w:tc>
        <w:tc>
          <w:tcPr>
            <w:tcW w:w="612" w:type="dxa"/>
            <w:tcBorders>
              <w:top w:val="nil"/>
              <w:left w:val="nil"/>
              <w:bottom w:val="single" w:sz="4" w:space="0" w:color="auto"/>
              <w:right w:val="single" w:sz="4" w:space="0" w:color="auto"/>
            </w:tcBorders>
            <w:shd w:val="clear" w:color="000000" w:fill="92D050"/>
            <w:vAlign w:val="center"/>
            <w:hideMark/>
          </w:tcPr>
          <w:p w14:paraId="7CA8058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689</w:t>
            </w:r>
          </w:p>
        </w:tc>
        <w:tc>
          <w:tcPr>
            <w:tcW w:w="1145" w:type="dxa"/>
            <w:tcBorders>
              <w:top w:val="nil"/>
              <w:left w:val="nil"/>
              <w:bottom w:val="single" w:sz="4" w:space="0" w:color="auto"/>
              <w:right w:val="single" w:sz="4" w:space="0" w:color="auto"/>
            </w:tcBorders>
            <w:shd w:val="clear" w:color="auto" w:fill="auto"/>
            <w:vAlign w:val="center"/>
            <w:hideMark/>
          </w:tcPr>
          <w:p w14:paraId="54EA13B1"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Denmark</w:t>
            </w:r>
          </w:p>
        </w:tc>
        <w:tc>
          <w:tcPr>
            <w:tcW w:w="612" w:type="dxa"/>
            <w:tcBorders>
              <w:top w:val="nil"/>
              <w:left w:val="nil"/>
              <w:bottom w:val="single" w:sz="4" w:space="0" w:color="auto"/>
              <w:right w:val="single" w:sz="4" w:space="0" w:color="auto"/>
            </w:tcBorders>
            <w:shd w:val="clear" w:color="auto" w:fill="auto"/>
            <w:vAlign w:val="center"/>
            <w:hideMark/>
          </w:tcPr>
          <w:p w14:paraId="330257E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85,3</w:t>
            </w:r>
          </w:p>
        </w:tc>
        <w:tc>
          <w:tcPr>
            <w:tcW w:w="818" w:type="dxa"/>
            <w:tcBorders>
              <w:top w:val="nil"/>
              <w:left w:val="nil"/>
              <w:bottom w:val="single" w:sz="4" w:space="0" w:color="auto"/>
              <w:right w:val="single" w:sz="4" w:space="0" w:color="auto"/>
            </w:tcBorders>
            <w:shd w:val="clear" w:color="auto" w:fill="auto"/>
            <w:vAlign w:val="center"/>
            <w:hideMark/>
          </w:tcPr>
          <w:p w14:paraId="7BF3E4C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92,7</w:t>
            </w:r>
          </w:p>
        </w:tc>
        <w:tc>
          <w:tcPr>
            <w:tcW w:w="931" w:type="dxa"/>
            <w:tcBorders>
              <w:top w:val="nil"/>
              <w:left w:val="nil"/>
              <w:bottom w:val="single" w:sz="4" w:space="0" w:color="auto"/>
              <w:right w:val="single" w:sz="4" w:space="0" w:color="auto"/>
            </w:tcBorders>
            <w:shd w:val="clear" w:color="auto" w:fill="auto"/>
            <w:vAlign w:val="center"/>
            <w:hideMark/>
          </w:tcPr>
          <w:p w14:paraId="569CA3A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89,9</w:t>
            </w:r>
          </w:p>
        </w:tc>
        <w:tc>
          <w:tcPr>
            <w:tcW w:w="732" w:type="dxa"/>
            <w:tcBorders>
              <w:top w:val="nil"/>
              <w:left w:val="nil"/>
              <w:bottom w:val="single" w:sz="4" w:space="0" w:color="auto"/>
              <w:right w:val="single" w:sz="4" w:space="0" w:color="auto"/>
            </w:tcBorders>
            <w:shd w:val="clear" w:color="auto" w:fill="auto"/>
            <w:vAlign w:val="center"/>
            <w:hideMark/>
          </w:tcPr>
          <w:p w14:paraId="523EECC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530F319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08EF364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91,1</w:t>
            </w:r>
          </w:p>
        </w:tc>
        <w:tc>
          <w:tcPr>
            <w:tcW w:w="1437" w:type="dxa"/>
            <w:tcBorders>
              <w:top w:val="nil"/>
              <w:left w:val="nil"/>
              <w:bottom w:val="single" w:sz="4" w:space="0" w:color="auto"/>
              <w:right w:val="single" w:sz="4" w:space="0" w:color="auto"/>
            </w:tcBorders>
            <w:shd w:val="clear" w:color="auto" w:fill="auto"/>
            <w:vAlign w:val="center"/>
            <w:hideMark/>
          </w:tcPr>
          <w:p w14:paraId="5C01AD9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476C458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73,9</w:t>
            </w:r>
          </w:p>
        </w:tc>
        <w:tc>
          <w:tcPr>
            <w:tcW w:w="1085" w:type="dxa"/>
            <w:tcBorders>
              <w:top w:val="nil"/>
              <w:left w:val="nil"/>
              <w:bottom w:val="single" w:sz="4" w:space="0" w:color="auto"/>
              <w:right w:val="single" w:sz="4" w:space="0" w:color="auto"/>
            </w:tcBorders>
            <w:shd w:val="clear" w:color="auto" w:fill="auto"/>
            <w:vAlign w:val="center"/>
            <w:hideMark/>
          </w:tcPr>
          <w:p w14:paraId="1FB337B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85,1</w:t>
            </w:r>
          </w:p>
        </w:tc>
        <w:tc>
          <w:tcPr>
            <w:tcW w:w="916" w:type="dxa"/>
            <w:tcBorders>
              <w:top w:val="nil"/>
              <w:left w:val="nil"/>
              <w:bottom w:val="single" w:sz="4" w:space="0" w:color="auto"/>
              <w:right w:val="single" w:sz="4" w:space="0" w:color="auto"/>
            </w:tcBorders>
            <w:shd w:val="clear" w:color="auto" w:fill="auto"/>
            <w:vAlign w:val="center"/>
            <w:hideMark/>
          </w:tcPr>
          <w:p w14:paraId="396C1BE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87,9</w:t>
            </w:r>
          </w:p>
        </w:tc>
        <w:tc>
          <w:tcPr>
            <w:tcW w:w="871" w:type="dxa"/>
            <w:tcBorders>
              <w:top w:val="nil"/>
              <w:left w:val="nil"/>
              <w:bottom w:val="single" w:sz="4" w:space="0" w:color="auto"/>
              <w:right w:val="single" w:sz="4" w:space="0" w:color="auto"/>
            </w:tcBorders>
            <w:shd w:val="clear" w:color="auto" w:fill="auto"/>
            <w:vAlign w:val="center"/>
            <w:hideMark/>
          </w:tcPr>
          <w:p w14:paraId="037732E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90,2</w:t>
            </w:r>
          </w:p>
        </w:tc>
      </w:tr>
      <w:tr w:rsidR="00457E80" w:rsidRPr="00036538" w14:paraId="7A89C28C"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B92B82C"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36</w:t>
            </w:r>
          </w:p>
        </w:tc>
        <w:tc>
          <w:tcPr>
            <w:tcW w:w="908" w:type="dxa"/>
            <w:tcBorders>
              <w:top w:val="nil"/>
              <w:left w:val="nil"/>
              <w:bottom w:val="single" w:sz="4" w:space="0" w:color="auto"/>
              <w:right w:val="single" w:sz="4" w:space="0" w:color="auto"/>
            </w:tcBorders>
            <w:shd w:val="clear" w:color="auto" w:fill="auto"/>
            <w:vAlign w:val="bottom"/>
            <w:hideMark/>
          </w:tcPr>
          <w:p w14:paraId="16B027A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Тель-Авив</w:t>
            </w:r>
          </w:p>
        </w:tc>
        <w:tc>
          <w:tcPr>
            <w:tcW w:w="1028" w:type="dxa"/>
            <w:tcBorders>
              <w:top w:val="nil"/>
              <w:left w:val="nil"/>
              <w:bottom w:val="single" w:sz="4" w:space="0" w:color="auto"/>
              <w:right w:val="single" w:sz="4" w:space="0" w:color="auto"/>
            </w:tcBorders>
            <w:shd w:val="clear" w:color="auto" w:fill="auto"/>
            <w:vAlign w:val="bottom"/>
            <w:hideMark/>
          </w:tcPr>
          <w:p w14:paraId="7EEE304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Израиль</w:t>
            </w:r>
          </w:p>
        </w:tc>
        <w:tc>
          <w:tcPr>
            <w:tcW w:w="612" w:type="dxa"/>
            <w:tcBorders>
              <w:top w:val="nil"/>
              <w:left w:val="nil"/>
              <w:bottom w:val="single" w:sz="4" w:space="0" w:color="auto"/>
              <w:right w:val="single" w:sz="4" w:space="0" w:color="auto"/>
            </w:tcBorders>
            <w:shd w:val="clear" w:color="000000" w:fill="92D050"/>
            <w:vAlign w:val="center"/>
            <w:hideMark/>
          </w:tcPr>
          <w:p w14:paraId="12BFAC6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688</w:t>
            </w:r>
          </w:p>
        </w:tc>
        <w:tc>
          <w:tcPr>
            <w:tcW w:w="1145" w:type="dxa"/>
            <w:tcBorders>
              <w:top w:val="nil"/>
              <w:left w:val="nil"/>
              <w:bottom w:val="single" w:sz="4" w:space="0" w:color="auto"/>
              <w:right w:val="single" w:sz="4" w:space="0" w:color="auto"/>
            </w:tcBorders>
            <w:shd w:val="clear" w:color="auto" w:fill="auto"/>
            <w:vAlign w:val="center"/>
            <w:hideMark/>
          </w:tcPr>
          <w:p w14:paraId="5E45A855"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Israel</w:t>
            </w:r>
          </w:p>
        </w:tc>
        <w:tc>
          <w:tcPr>
            <w:tcW w:w="612" w:type="dxa"/>
            <w:tcBorders>
              <w:top w:val="nil"/>
              <w:left w:val="nil"/>
              <w:bottom w:val="single" w:sz="4" w:space="0" w:color="auto"/>
              <w:right w:val="single" w:sz="4" w:space="0" w:color="auto"/>
            </w:tcBorders>
            <w:shd w:val="clear" w:color="auto" w:fill="auto"/>
            <w:vAlign w:val="center"/>
            <w:hideMark/>
          </w:tcPr>
          <w:p w14:paraId="3157B89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76,7</w:t>
            </w:r>
          </w:p>
        </w:tc>
        <w:tc>
          <w:tcPr>
            <w:tcW w:w="818" w:type="dxa"/>
            <w:tcBorders>
              <w:top w:val="nil"/>
              <w:left w:val="nil"/>
              <w:bottom w:val="single" w:sz="4" w:space="0" w:color="auto"/>
              <w:right w:val="single" w:sz="4" w:space="0" w:color="auto"/>
            </w:tcBorders>
            <w:shd w:val="clear" w:color="auto" w:fill="auto"/>
            <w:vAlign w:val="center"/>
            <w:hideMark/>
          </w:tcPr>
          <w:p w14:paraId="0D507DE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94,1</w:t>
            </w:r>
          </w:p>
        </w:tc>
        <w:tc>
          <w:tcPr>
            <w:tcW w:w="931" w:type="dxa"/>
            <w:tcBorders>
              <w:top w:val="nil"/>
              <w:left w:val="nil"/>
              <w:bottom w:val="single" w:sz="4" w:space="0" w:color="auto"/>
              <w:right w:val="single" w:sz="4" w:space="0" w:color="auto"/>
            </w:tcBorders>
            <w:shd w:val="clear" w:color="auto" w:fill="auto"/>
            <w:vAlign w:val="center"/>
            <w:hideMark/>
          </w:tcPr>
          <w:p w14:paraId="63FAB79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67,1</w:t>
            </w:r>
          </w:p>
        </w:tc>
        <w:tc>
          <w:tcPr>
            <w:tcW w:w="732" w:type="dxa"/>
            <w:tcBorders>
              <w:top w:val="nil"/>
              <w:left w:val="nil"/>
              <w:bottom w:val="single" w:sz="4" w:space="0" w:color="auto"/>
              <w:right w:val="single" w:sz="4" w:space="0" w:color="auto"/>
            </w:tcBorders>
            <w:shd w:val="clear" w:color="auto" w:fill="auto"/>
            <w:vAlign w:val="center"/>
            <w:hideMark/>
          </w:tcPr>
          <w:p w14:paraId="24632B2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0B7B293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78,0</w:t>
            </w:r>
          </w:p>
        </w:tc>
        <w:tc>
          <w:tcPr>
            <w:tcW w:w="997" w:type="dxa"/>
            <w:tcBorders>
              <w:top w:val="nil"/>
              <w:left w:val="nil"/>
              <w:bottom w:val="single" w:sz="4" w:space="0" w:color="auto"/>
              <w:right w:val="single" w:sz="4" w:space="0" w:color="auto"/>
            </w:tcBorders>
            <w:shd w:val="clear" w:color="auto" w:fill="auto"/>
            <w:vAlign w:val="center"/>
            <w:hideMark/>
          </w:tcPr>
          <w:p w14:paraId="0EE9301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89,6</w:t>
            </w:r>
          </w:p>
        </w:tc>
        <w:tc>
          <w:tcPr>
            <w:tcW w:w="1437" w:type="dxa"/>
            <w:tcBorders>
              <w:top w:val="nil"/>
              <w:left w:val="nil"/>
              <w:bottom w:val="single" w:sz="4" w:space="0" w:color="auto"/>
              <w:right w:val="single" w:sz="4" w:space="0" w:color="auto"/>
            </w:tcBorders>
            <w:shd w:val="clear" w:color="auto" w:fill="auto"/>
            <w:vAlign w:val="center"/>
            <w:hideMark/>
          </w:tcPr>
          <w:p w14:paraId="22E5FD8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83,4</w:t>
            </w:r>
          </w:p>
        </w:tc>
        <w:tc>
          <w:tcPr>
            <w:tcW w:w="1262" w:type="dxa"/>
            <w:tcBorders>
              <w:top w:val="nil"/>
              <w:left w:val="nil"/>
              <w:bottom w:val="single" w:sz="4" w:space="0" w:color="auto"/>
              <w:right w:val="single" w:sz="4" w:space="0" w:color="auto"/>
            </w:tcBorders>
            <w:shd w:val="clear" w:color="auto" w:fill="auto"/>
            <w:vAlign w:val="center"/>
            <w:hideMark/>
          </w:tcPr>
          <w:p w14:paraId="6C3B04F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58,9</w:t>
            </w:r>
          </w:p>
        </w:tc>
        <w:tc>
          <w:tcPr>
            <w:tcW w:w="1085" w:type="dxa"/>
            <w:tcBorders>
              <w:top w:val="nil"/>
              <w:left w:val="nil"/>
              <w:bottom w:val="single" w:sz="4" w:space="0" w:color="auto"/>
              <w:right w:val="single" w:sz="4" w:space="0" w:color="auto"/>
            </w:tcBorders>
            <w:shd w:val="clear" w:color="auto" w:fill="auto"/>
            <w:vAlign w:val="center"/>
            <w:hideMark/>
          </w:tcPr>
          <w:p w14:paraId="2F3A866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72,7</w:t>
            </w:r>
          </w:p>
        </w:tc>
        <w:tc>
          <w:tcPr>
            <w:tcW w:w="916" w:type="dxa"/>
            <w:tcBorders>
              <w:top w:val="nil"/>
              <w:left w:val="nil"/>
              <w:bottom w:val="single" w:sz="4" w:space="0" w:color="auto"/>
              <w:right w:val="single" w:sz="4" w:space="0" w:color="auto"/>
            </w:tcBorders>
            <w:shd w:val="clear" w:color="auto" w:fill="auto"/>
            <w:vAlign w:val="center"/>
            <w:hideMark/>
          </w:tcPr>
          <w:p w14:paraId="7342A48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76,7</w:t>
            </w:r>
          </w:p>
        </w:tc>
        <w:tc>
          <w:tcPr>
            <w:tcW w:w="871" w:type="dxa"/>
            <w:tcBorders>
              <w:top w:val="nil"/>
              <w:left w:val="nil"/>
              <w:bottom w:val="single" w:sz="4" w:space="0" w:color="auto"/>
              <w:right w:val="single" w:sz="4" w:space="0" w:color="auto"/>
            </w:tcBorders>
            <w:shd w:val="clear" w:color="auto" w:fill="auto"/>
            <w:vAlign w:val="center"/>
            <w:hideMark/>
          </w:tcPr>
          <w:p w14:paraId="5EAEFF6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76,2</w:t>
            </w:r>
          </w:p>
        </w:tc>
      </w:tr>
      <w:tr w:rsidR="00457E80" w:rsidRPr="00036538" w14:paraId="6184E2D0"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1F97FC8"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37</w:t>
            </w:r>
          </w:p>
        </w:tc>
        <w:tc>
          <w:tcPr>
            <w:tcW w:w="908" w:type="dxa"/>
            <w:tcBorders>
              <w:top w:val="nil"/>
              <w:left w:val="nil"/>
              <w:bottom w:val="single" w:sz="4" w:space="0" w:color="auto"/>
              <w:right w:val="single" w:sz="4" w:space="0" w:color="auto"/>
            </w:tcBorders>
            <w:shd w:val="clear" w:color="auto" w:fill="auto"/>
            <w:vAlign w:val="bottom"/>
            <w:hideMark/>
          </w:tcPr>
          <w:p w14:paraId="2BA7C62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Мюнхен</w:t>
            </w:r>
          </w:p>
        </w:tc>
        <w:tc>
          <w:tcPr>
            <w:tcW w:w="1028" w:type="dxa"/>
            <w:tcBorders>
              <w:top w:val="nil"/>
              <w:left w:val="nil"/>
              <w:bottom w:val="single" w:sz="4" w:space="0" w:color="auto"/>
              <w:right w:val="single" w:sz="4" w:space="0" w:color="auto"/>
            </w:tcBorders>
            <w:shd w:val="clear" w:color="auto" w:fill="auto"/>
            <w:vAlign w:val="bottom"/>
            <w:hideMark/>
          </w:tcPr>
          <w:p w14:paraId="5E692C8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ФРГ</w:t>
            </w:r>
          </w:p>
        </w:tc>
        <w:tc>
          <w:tcPr>
            <w:tcW w:w="612" w:type="dxa"/>
            <w:tcBorders>
              <w:top w:val="nil"/>
              <w:left w:val="nil"/>
              <w:bottom w:val="single" w:sz="4" w:space="0" w:color="auto"/>
              <w:right w:val="single" w:sz="4" w:space="0" w:color="auto"/>
            </w:tcBorders>
            <w:shd w:val="clear" w:color="000000" w:fill="92D050"/>
            <w:vAlign w:val="center"/>
            <w:hideMark/>
          </w:tcPr>
          <w:p w14:paraId="03DEA5B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687</w:t>
            </w:r>
          </w:p>
        </w:tc>
        <w:tc>
          <w:tcPr>
            <w:tcW w:w="1145" w:type="dxa"/>
            <w:tcBorders>
              <w:top w:val="nil"/>
              <w:left w:val="nil"/>
              <w:bottom w:val="single" w:sz="4" w:space="0" w:color="auto"/>
              <w:right w:val="single" w:sz="4" w:space="0" w:color="auto"/>
            </w:tcBorders>
            <w:shd w:val="clear" w:color="auto" w:fill="auto"/>
            <w:vAlign w:val="center"/>
            <w:hideMark/>
          </w:tcPr>
          <w:p w14:paraId="0F873EEF"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Germany</w:t>
            </w:r>
          </w:p>
        </w:tc>
        <w:tc>
          <w:tcPr>
            <w:tcW w:w="612" w:type="dxa"/>
            <w:tcBorders>
              <w:top w:val="nil"/>
              <w:left w:val="nil"/>
              <w:bottom w:val="single" w:sz="4" w:space="0" w:color="auto"/>
              <w:right w:val="single" w:sz="4" w:space="0" w:color="auto"/>
            </w:tcBorders>
            <w:shd w:val="clear" w:color="auto" w:fill="auto"/>
            <w:vAlign w:val="center"/>
            <w:hideMark/>
          </w:tcPr>
          <w:p w14:paraId="5286232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79,7</w:t>
            </w:r>
          </w:p>
        </w:tc>
        <w:tc>
          <w:tcPr>
            <w:tcW w:w="818" w:type="dxa"/>
            <w:tcBorders>
              <w:top w:val="nil"/>
              <w:left w:val="nil"/>
              <w:bottom w:val="single" w:sz="4" w:space="0" w:color="auto"/>
              <w:right w:val="single" w:sz="4" w:space="0" w:color="auto"/>
            </w:tcBorders>
            <w:shd w:val="clear" w:color="auto" w:fill="auto"/>
            <w:vAlign w:val="center"/>
            <w:hideMark/>
          </w:tcPr>
          <w:p w14:paraId="7F0052B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83,7</w:t>
            </w:r>
          </w:p>
        </w:tc>
        <w:tc>
          <w:tcPr>
            <w:tcW w:w="931" w:type="dxa"/>
            <w:tcBorders>
              <w:top w:val="nil"/>
              <w:left w:val="nil"/>
              <w:bottom w:val="single" w:sz="4" w:space="0" w:color="auto"/>
              <w:right w:val="single" w:sz="4" w:space="0" w:color="auto"/>
            </w:tcBorders>
            <w:shd w:val="clear" w:color="auto" w:fill="auto"/>
            <w:vAlign w:val="center"/>
            <w:hideMark/>
          </w:tcPr>
          <w:p w14:paraId="4A71D00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66,6</w:t>
            </w:r>
          </w:p>
        </w:tc>
        <w:tc>
          <w:tcPr>
            <w:tcW w:w="732" w:type="dxa"/>
            <w:tcBorders>
              <w:top w:val="nil"/>
              <w:left w:val="nil"/>
              <w:bottom w:val="single" w:sz="4" w:space="0" w:color="auto"/>
              <w:right w:val="single" w:sz="4" w:space="0" w:color="auto"/>
            </w:tcBorders>
            <w:shd w:val="clear" w:color="auto" w:fill="auto"/>
            <w:vAlign w:val="center"/>
            <w:hideMark/>
          </w:tcPr>
          <w:p w14:paraId="0B469A8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2EA1E0F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997" w:type="dxa"/>
            <w:tcBorders>
              <w:top w:val="nil"/>
              <w:left w:val="nil"/>
              <w:bottom w:val="single" w:sz="4" w:space="0" w:color="auto"/>
              <w:right w:val="single" w:sz="4" w:space="0" w:color="auto"/>
            </w:tcBorders>
            <w:shd w:val="clear" w:color="auto" w:fill="auto"/>
            <w:vAlign w:val="center"/>
            <w:hideMark/>
          </w:tcPr>
          <w:p w14:paraId="133F391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82,2</w:t>
            </w:r>
          </w:p>
        </w:tc>
        <w:tc>
          <w:tcPr>
            <w:tcW w:w="1437" w:type="dxa"/>
            <w:tcBorders>
              <w:top w:val="nil"/>
              <w:left w:val="nil"/>
              <w:bottom w:val="single" w:sz="4" w:space="0" w:color="auto"/>
              <w:right w:val="single" w:sz="4" w:space="0" w:color="auto"/>
            </w:tcBorders>
            <w:shd w:val="clear" w:color="auto" w:fill="auto"/>
            <w:vAlign w:val="center"/>
            <w:hideMark/>
          </w:tcPr>
          <w:p w14:paraId="7B7F1D3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91,8</w:t>
            </w:r>
          </w:p>
        </w:tc>
        <w:tc>
          <w:tcPr>
            <w:tcW w:w="1262" w:type="dxa"/>
            <w:tcBorders>
              <w:top w:val="nil"/>
              <w:left w:val="nil"/>
              <w:bottom w:val="single" w:sz="4" w:space="0" w:color="auto"/>
              <w:right w:val="single" w:sz="4" w:space="0" w:color="auto"/>
            </w:tcBorders>
            <w:shd w:val="clear" w:color="auto" w:fill="auto"/>
            <w:vAlign w:val="center"/>
            <w:hideMark/>
          </w:tcPr>
          <w:p w14:paraId="5691E28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74,1</w:t>
            </w:r>
          </w:p>
        </w:tc>
        <w:tc>
          <w:tcPr>
            <w:tcW w:w="1085" w:type="dxa"/>
            <w:tcBorders>
              <w:top w:val="nil"/>
              <w:left w:val="nil"/>
              <w:bottom w:val="single" w:sz="4" w:space="0" w:color="auto"/>
              <w:right w:val="single" w:sz="4" w:space="0" w:color="auto"/>
            </w:tcBorders>
            <w:shd w:val="clear" w:color="auto" w:fill="auto"/>
            <w:vAlign w:val="center"/>
            <w:hideMark/>
          </w:tcPr>
          <w:p w14:paraId="35AD7EB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89,8</w:t>
            </w:r>
          </w:p>
        </w:tc>
        <w:tc>
          <w:tcPr>
            <w:tcW w:w="916" w:type="dxa"/>
            <w:tcBorders>
              <w:top w:val="nil"/>
              <w:left w:val="nil"/>
              <w:bottom w:val="single" w:sz="4" w:space="0" w:color="auto"/>
              <w:right w:val="single" w:sz="4" w:space="0" w:color="auto"/>
            </w:tcBorders>
            <w:shd w:val="clear" w:color="auto" w:fill="auto"/>
            <w:vAlign w:val="center"/>
            <w:hideMark/>
          </w:tcPr>
          <w:p w14:paraId="5BE2E22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78,2</w:t>
            </w:r>
          </w:p>
        </w:tc>
        <w:tc>
          <w:tcPr>
            <w:tcW w:w="871" w:type="dxa"/>
            <w:tcBorders>
              <w:top w:val="nil"/>
              <w:left w:val="nil"/>
              <w:bottom w:val="single" w:sz="4" w:space="0" w:color="auto"/>
              <w:right w:val="single" w:sz="4" w:space="0" w:color="auto"/>
            </w:tcBorders>
            <w:shd w:val="clear" w:color="auto" w:fill="auto"/>
            <w:vAlign w:val="center"/>
            <w:hideMark/>
          </w:tcPr>
          <w:p w14:paraId="2A0A204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98,8</w:t>
            </w:r>
          </w:p>
        </w:tc>
      </w:tr>
      <w:tr w:rsidR="00457E80" w:rsidRPr="00036538" w14:paraId="1012DE28"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1FE270B"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38</w:t>
            </w:r>
          </w:p>
        </w:tc>
        <w:tc>
          <w:tcPr>
            <w:tcW w:w="908" w:type="dxa"/>
            <w:tcBorders>
              <w:top w:val="nil"/>
              <w:left w:val="nil"/>
              <w:bottom w:val="single" w:sz="4" w:space="0" w:color="auto"/>
              <w:right w:val="single" w:sz="4" w:space="0" w:color="auto"/>
            </w:tcBorders>
            <w:shd w:val="clear" w:color="auto" w:fill="auto"/>
            <w:vAlign w:val="bottom"/>
            <w:hideMark/>
          </w:tcPr>
          <w:p w14:paraId="4E2CB6E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Вена</w:t>
            </w:r>
          </w:p>
        </w:tc>
        <w:tc>
          <w:tcPr>
            <w:tcW w:w="1028" w:type="dxa"/>
            <w:tcBorders>
              <w:top w:val="nil"/>
              <w:left w:val="nil"/>
              <w:bottom w:val="single" w:sz="4" w:space="0" w:color="auto"/>
              <w:right w:val="single" w:sz="4" w:space="0" w:color="auto"/>
            </w:tcBorders>
            <w:shd w:val="clear" w:color="auto" w:fill="auto"/>
            <w:vAlign w:val="bottom"/>
            <w:hideMark/>
          </w:tcPr>
          <w:p w14:paraId="2471709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Австрия</w:t>
            </w:r>
          </w:p>
        </w:tc>
        <w:tc>
          <w:tcPr>
            <w:tcW w:w="612" w:type="dxa"/>
            <w:tcBorders>
              <w:top w:val="nil"/>
              <w:left w:val="nil"/>
              <w:bottom w:val="single" w:sz="4" w:space="0" w:color="auto"/>
              <w:right w:val="single" w:sz="4" w:space="0" w:color="auto"/>
            </w:tcBorders>
            <w:shd w:val="clear" w:color="000000" w:fill="92D050"/>
            <w:vAlign w:val="center"/>
            <w:hideMark/>
          </w:tcPr>
          <w:p w14:paraId="2EF9454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685</w:t>
            </w:r>
          </w:p>
        </w:tc>
        <w:tc>
          <w:tcPr>
            <w:tcW w:w="1145" w:type="dxa"/>
            <w:tcBorders>
              <w:top w:val="nil"/>
              <w:left w:val="nil"/>
              <w:bottom w:val="single" w:sz="4" w:space="0" w:color="auto"/>
              <w:right w:val="single" w:sz="4" w:space="0" w:color="auto"/>
            </w:tcBorders>
            <w:shd w:val="clear" w:color="auto" w:fill="auto"/>
            <w:vAlign w:val="center"/>
            <w:hideMark/>
          </w:tcPr>
          <w:p w14:paraId="2BE4326D"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Australia</w:t>
            </w:r>
          </w:p>
        </w:tc>
        <w:tc>
          <w:tcPr>
            <w:tcW w:w="612" w:type="dxa"/>
            <w:tcBorders>
              <w:top w:val="nil"/>
              <w:left w:val="nil"/>
              <w:bottom w:val="single" w:sz="4" w:space="0" w:color="auto"/>
              <w:right w:val="single" w:sz="4" w:space="0" w:color="auto"/>
            </w:tcBorders>
            <w:shd w:val="clear" w:color="auto" w:fill="auto"/>
            <w:vAlign w:val="center"/>
            <w:hideMark/>
          </w:tcPr>
          <w:p w14:paraId="6C6F53D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81,2</w:t>
            </w:r>
          </w:p>
        </w:tc>
        <w:tc>
          <w:tcPr>
            <w:tcW w:w="818" w:type="dxa"/>
            <w:tcBorders>
              <w:top w:val="nil"/>
              <w:left w:val="nil"/>
              <w:bottom w:val="single" w:sz="4" w:space="0" w:color="auto"/>
              <w:right w:val="single" w:sz="4" w:space="0" w:color="auto"/>
            </w:tcBorders>
            <w:shd w:val="clear" w:color="auto" w:fill="auto"/>
            <w:vAlign w:val="center"/>
            <w:hideMark/>
          </w:tcPr>
          <w:p w14:paraId="05EF591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96,6</w:t>
            </w:r>
          </w:p>
        </w:tc>
        <w:tc>
          <w:tcPr>
            <w:tcW w:w="931" w:type="dxa"/>
            <w:tcBorders>
              <w:top w:val="nil"/>
              <w:left w:val="nil"/>
              <w:bottom w:val="single" w:sz="4" w:space="0" w:color="auto"/>
              <w:right w:val="single" w:sz="4" w:space="0" w:color="auto"/>
            </w:tcBorders>
            <w:shd w:val="clear" w:color="auto" w:fill="auto"/>
            <w:vAlign w:val="center"/>
            <w:hideMark/>
          </w:tcPr>
          <w:p w14:paraId="4A38701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7230DB7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95,0</w:t>
            </w:r>
          </w:p>
        </w:tc>
        <w:tc>
          <w:tcPr>
            <w:tcW w:w="1016" w:type="dxa"/>
            <w:tcBorders>
              <w:top w:val="nil"/>
              <w:left w:val="nil"/>
              <w:bottom w:val="single" w:sz="4" w:space="0" w:color="auto"/>
              <w:right w:val="single" w:sz="4" w:space="0" w:color="auto"/>
            </w:tcBorders>
            <w:shd w:val="clear" w:color="auto" w:fill="auto"/>
            <w:vAlign w:val="center"/>
            <w:hideMark/>
          </w:tcPr>
          <w:p w14:paraId="575FB45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64,0</w:t>
            </w:r>
          </w:p>
        </w:tc>
        <w:tc>
          <w:tcPr>
            <w:tcW w:w="997" w:type="dxa"/>
            <w:tcBorders>
              <w:top w:val="nil"/>
              <w:left w:val="nil"/>
              <w:bottom w:val="single" w:sz="4" w:space="0" w:color="auto"/>
              <w:right w:val="single" w:sz="4" w:space="0" w:color="auto"/>
            </w:tcBorders>
            <w:shd w:val="clear" w:color="auto" w:fill="auto"/>
            <w:vAlign w:val="center"/>
            <w:hideMark/>
          </w:tcPr>
          <w:p w14:paraId="0D96B7F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85,7</w:t>
            </w:r>
          </w:p>
        </w:tc>
        <w:tc>
          <w:tcPr>
            <w:tcW w:w="1437" w:type="dxa"/>
            <w:tcBorders>
              <w:top w:val="nil"/>
              <w:left w:val="nil"/>
              <w:bottom w:val="single" w:sz="4" w:space="0" w:color="auto"/>
              <w:right w:val="single" w:sz="4" w:space="0" w:color="auto"/>
            </w:tcBorders>
            <w:shd w:val="clear" w:color="auto" w:fill="auto"/>
            <w:vAlign w:val="center"/>
            <w:hideMark/>
          </w:tcPr>
          <w:p w14:paraId="6A1D2FD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70,3</w:t>
            </w:r>
          </w:p>
        </w:tc>
        <w:tc>
          <w:tcPr>
            <w:tcW w:w="1262" w:type="dxa"/>
            <w:tcBorders>
              <w:top w:val="nil"/>
              <w:left w:val="nil"/>
              <w:bottom w:val="single" w:sz="4" w:space="0" w:color="auto"/>
              <w:right w:val="single" w:sz="4" w:space="0" w:color="auto"/>
            </w:tcBorders>
            <w:shd w:val="clear" w:color="auto" w:fill="auto"/>
            <w:vAlign w:val="center"/>
            <w:hideMark/>
          </w:tcPr>
          <w:p w14:paraId="7CC1172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79,0</w:t>
            </w:r>
          </w:p>
        </w:tc>
        <w:tc>
          <w:tcPr>
            <w:tcW w:w="1085" w:type="dxa"/>
            <w:tcBorders>
              <w:top w:val="nil"/>
              <w:left w:val="nil"/>
              <w:bottom w:val="single" w:sz="4" w:space="0" w:color="auto"/>
              <w:right w:val="single" w:sz="4" w:space="0" w:color="auto"/>
            </w:tcBorders>
            <w:shd w:val="clear" w:color="auto" w:fill="auto"/>
            <w:vAlign w:val="center"/>
            <w:hideMark/>
          </w:tcPr>
          <w:p w14:paraId="16A2416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78,9</w:t>
            </w:r>
          </w:p>
        </w:tc>
        <w:tc>
          <w:tcPr>
            <w:tcW w:w="916" w:type="dxa"/>
            <w:tcBorders>
              <w:top w:val="nil"/>
              <w:left w:val="nil"/>
              <w:bottom w:val="single" w:sz="4" w:space="0" w:color="auto"/>
              <w:right w:val="single" w:sz="4" w:space="0" w:color="auto"/>
            </w:tcBorders>
            <w:shd w:val="clear" w:color="auto" w:fill="auto"/>
            <w:vAlign w:val="center"/>
            <w:hideMark/>
          </w:tcPr>
          <w:p w14:paraId="69B31D2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84,7</w:t>
            </w:r>
          </w:p>
        </w:tc>
        <w:tc>
          <w:tcPr>
            <w:tcW w:w="871" w:type="dxa"/>
            <w:tcBorders>
              <w:top w:val="nil"/>
              <w:left w:val="nil"/>
              <w:bottom w:val="single" w:sz="4" w:space="0" w:color="auto"/>
              <w:right w:val="single" w:sz="4" w:space="0" w:color="auto"/>
            </w:tcBorders>
            <w:shd w:val="clear" w:color="auto" w:fill="auto"/>
            <w:vAlign w:val="center"/>
            <w:hideMark/>
          </w:tcPr>
          <w:p w14:paraId="17721EC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82,3</w:t>
            </w:r>
          </w:p>
        </w:tc>
      </w:tr>
      <w:tr w:rsidR="00457E80" w:rsidRPr="00036538" w14:paraId="0E366607"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EE16AAA"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39</w:t>
            </w:r>
          </w:p>
        </w:tc>
        <w:tc>
          <w:tcPr>
            <w:tcW w:w="908" w:type="dxa"/>
            <w:tcBorders>
              <w:top w:val="nil"/>
              <w:left w:val="nil"/>
              <w:bottom w:val="single" w:sz="4" w:space="0" w:color="auto"/>
              <w:right w:val="single" w:sz="4" w:space="0" w:color="auto"/>
            </w:tcBorders>
            <w:shd w:val="clear" w:color="auto" w:fill="auto"/>
            <w:vAlign w:val="bottom"/>
            <w:hideMark/>
          </w:tcPr>
          <w:p w14:paraId="68C5D63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Абу-Даби</w:t>
            </w:r>
          </w:p>
        </w:tc>
        <w:tc>
          <w:tcPr>
            <w:tcW w:w="1028" w:type="dxa"/>
            <w:tcBorders>
              <w:top w:val="nil"/>
              <w:left w:val="nil"/>
              <w:bottom w:val="single" w:sz="4" w:space="0" w:color="auto"/>
              <w:right w:val="single" w:sz="4" w:space="0" w:color="auto"/>
            </w:tcBorders>
            <w:shd w:val="clear" w:color="auto" w:fill="auto"/>
            <w:vAlign w:val="bottom"/>
            <w:hideMark/>
          </w:tcPr>
          <w:p w14:paraId="08B71F3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ОАЭ</w:t>
            </w:r>
          </w:p>
        </w:tc>
        <w:tc>
          <w:tcPr>
            <w:tcW w:w="612" w:type="dxa"/>
            <w:tcBorders>
              <w:top w:val="nil"/>
              <w:left w:val="nil"/>
              <w:bottom w:val="single" w:sz="4" w:space="0" w:color="auto"/>
              <w:right w:val="single" w:sz="4" w:space="0" w:color="auto"/>
            </w:tcBorders>
            <w:shd w:val="clear" w:color="000000" w:fill="92D050"/>
            <w:vAlign w:val="center"/>
            <w:hideMark/>
          </w:tcPr>
          <w:p w14:paraId="7435862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682</w:t>
            </w:r>
          </w:p>
        </w:tc>
        <w:tc>
          <w:tcPr>
            <w:tcW w:w="1145" w:type="dxa"/>
            <w:tcBorders>
              <w:top w:val="nil"/>
              <w:left w:val="nil"/>
              <w:bottom w:val="single" w:sz="4" w:space="0" w:color="auto"/>
              <w:right w:val="single" w:sz="4" w:space="0" w:color="auto"/>
            </w:tcBorders>
            <w:shd w:val="clear" w:color="auto" w:fill="auto"/>
            <w:vAlign w:val="center"/>
            <w:hideMark/>
          </w:tcPr>
          <w:p w14:paraId="44677136"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Arab Emirates</w:t>
            </w:r>
          </w:p>
        </w:tc>
        <w:tc>
          <w:tcPr>
            <w:tcW w:w="612" w:type="dxa"/>
            <w:tcBorders>
              <w:top w:val="nil"/>
              <w:left w:val="nil"/>
              <w:bottom w:val="single" w:sz="4" w:space="0" w:color="auto"/>
              <w:right w:val="single" w:sz="4" w:space="0" w:color="auto"/>
            </w:tcBorders>
            <w:shd w:val="clear" w:color="auto" w:fill="auto"/>
            <w:vAlign w:val="center"/>
            <w:hideMark/>
          </w:tcPr>
          <w:p w14:paraId="4F6EFA8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80,8</w:t>
            </w:r>
          </w:p>
        </w:tc>
        <w:tc>
          <w:tcPr>
            <w:tcW w:w="818" w:type="dxa"/>
            <w:tcBorders>
              <w:top w:val="nil"/>
              <w:left w:val="nil"/>
              <w:bottom w:val="single" w:sz="4" w:space="0" w:color="auto"/>
              <w:right w:val="single" w:sz="4" w:space="0" w:color="auto"/>
            </w:tcBorders>
            <w:shd w:val="clear" w:color="auto" w:fill="auto"/>
            <w:vAlign w:val="center"/>
            <w:hideMark/>
          </w:tcPr>
          <w:p w14:paraId="6F8F26E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94,8</w:t>
            </w:r>
          </w:p>
        </w:tc>
        <w:tc>
          <w:tcPr>
            <w:tcW w:w="931" w:type="dxa"/>
            <w:tcBorders>
              <w:top w:val="nil"/>
              <w:left w:val="nil"/>
              <w:bottom w:val="single" w:sz="4" w:space="0" w:color="auto"/>
              <w:right w:val="single" w:sz="4" w:space="0" w:color="auto"/>
            </w:tcBorders>
            <w:shd w:val="clear" w:color="auto" w:fill="auto"/>
            <w:vAlign w:val="center"/>
            <w:hideMark/>
          </w:tcPr>
          <w:p w14:paraId="61D4356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90,1</w:t>
            </w:r>
          </w:p>
        </w:tc>
        <w:tc>
          <w:tcPr>
            <w:tcW w:w="732" w:type="dxa"/>
            <w:tcBorders>
              <w:top w:val="nil"/>
              <w:left w:val="nil"/>
              <w:bottom w:val="single" w:sz="4" w:space="0" w:color="auto"/>
              <w:right w:val="single" w:sz="4" w:space="0" w:color="auto"/>
            </w:tcBorders>
            <w:shd w:val="clear" w:color="auto" w:fill="auto"/>
            <w:vAlign w:val="center"/>
            <w:hideMark/>
          </w:tcPr>
          <w:p w14:paraId="2512516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4ACA3FE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80,0</w:t>
            </w:r>
          </w:p>
        </w:tc>
        <w:tc>
          <w:tcPr>
            <w:tcW w:w="997" w:type="dxa"/>
            <w:tcBorders>
              <w:top w:val="nil"/>
              <w:left w:val="nil"/>
              <w:bottom w:val="single" w:sz="4" w:space="0" w:color="auto"/>
              <w:right w:val="single" w:sz="4" w:space="0" w:color="auto"/>
            </w:tcBorders>
            <w:shd w:val="clear" w:color="auto" w:fill="auto"/>
            <w:vAlign w:val="center"/>
            <w:hideMark/>
          </w:tcPr>
          <w:p w14:paraId="4C02461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83,7</w:t>
            </w:r>
          </w:p>
        </w:tc>
        <w:tc>
          <w:tcPr>
            <w:tcW w:w="1437" w:type="dxa"/>
            <w:tcBorders>
              <w:top w:val="nil"/>
              <w:left w:val="nil"/>
              <w:bottom w:val="single" w:sz="4" w:space="0" w:color="auto"/>
              <w:right w:val="single" w:sz="4" w:space="0" w:color="auto"/>
            </w:tcBorders>
            <w:shd w:val="clear" w:color="auto" w:fill="auto"/>
            <w:vAlign w:val="center"/>
            <w:hideMark/>
          </w:tcPr>
          <w:p w14:paraId="0E4739D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74,1</w:t>
            </w:r>
          </w:p>
        </w:tc>
        <w:tc>
          <w:tcPr>
            <w:tcW w:w="1262" w:type="dxa"/>
            <w:tcBorders>
              <w:top w:val="nil"/>
              <w:left w:val="nil"/>
              <w:bottom w:val="single" w:sz="4" w:space="0" w:color="auto"/>
              <w:right w:val="single" w:sz="4" w:space="0" w:color="auto"/>
            </w:tcBorders>
            <w:shd w:val="clear" w:color="auto" w:fill="auto"/>
            <w:vAlign w:val="center"/>
            <w:hideMark/>
          </w:tcPr>
          <w:p w14:paraId="5D82DF5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75,9</w:t>
            </w:r>
          </w:p>
        </w:tc>
        <w:tc>
          <w:tcPr>
            <w:tcW w:w="1085" w:type="dxa"/>
            <w:tcBorders>
              <w:top w:val="nil"/>
              <w:left w:val="nil"/>
              <w:bottom w:val="single" w:sz="4" w:space="0" w:color="auto"/>
              <w:right w:val="single" w:sz="4" w:space="0" w:color="auto"/>
            </w:tcBorders>
            <w:shd w:val="clear" w:color="auto" w:fill="auto"/>
            <w:vAlign w:val="center"/>
            <w:hideMark/>
          </w:tcPr>
          <w:p w14:paraId="00C0196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49,3</w:t>
            </w:r>
          </w:p>
        </w:tc>
        <w:tc>
          <w:tcPr>
            <w:tcW w:w="916" w:type="dxa"/>
            <w:tcBorders>
              <w:top w:val="nil"/>
              <w:left w:val="nil"/>
              <w:bottom w:val="single" w:sz="4" w:space="0" w:color="auto"/>
              <w:right w:val="single" w:sz="4" w:space="0" w:color="auto"/>
            </w:tcBorders>
            <w:shd w:val="clear" w:color="auto" w:fill="auto"/>
            <w:vAlign w:val="center"/>
            <w:hideMark/>
          </w:tcPr>
          <w:p w14:paraId="649C433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89,8</w:t>
            </w:r>
          </w:p>
        </w:tc>
        <w:tc>
          <w:tcPr>
            <w:tcW w:w="871" w:type="dxa"/>
            <w:tcBorders>
              <w:top w:val="nil"/>
              <w:left w:val="nil"/>
              <w:bottom w:val="single" w:sz="4" w:space="0" w:color="auto"/>
              <w:right w:val="single" w:sz="4" w:space="0" w:color="auto"/>
            </w:tcBorders>
            <w:shd w:val="clear" w:color="auto" w:fill="auto"/>
            <w:vAlign w:val="center"/>
            <w:hideMark/>
          </w:tcPr>
          <w:p w14:paraId="59CC506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100,0</w:t>
            </w:r>
          </w:p>
        </w:tc>
      </w:tr>
      <w:tr w:rsidR="00457E80" w:rsidRPr="00036538" w14:paraId="75FE7ECA"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7F4DAC1"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40</w:t>
            </w:r>
          </w:p>
        </w:tc>
        <w:tc>
          <w:tcPr>
            <w:tcW w:w="908" w:type="dxa"/>
            <w:tcBorders>
              <w:top w:val="nil"/>
              <w:left w:val="nil"/>
              <w:bottom w:val="single" w:sz="4" w:space="0" w:color="auto"/>
              <w:right w:val="single" w:sz="4" w:space="0" w:color="auto"/>
            </w:tcBorders>
            <w:shd w:val="clear" w:color="auto" w:fill="auto"/>
            <w:vAlign w:val="bottom"/>
            <w:hideMark/>
          </w:tcPr>
          <w:p w14:paraId="67791180"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Калгари</w:t>
            </w:r>
          </w:p>
        </w:tc>
        <w:tc>
          <w:tcPr>
            <w:tcW w:w="1028" w:type="dxa"/>
            <w:tcBorders>
              <w:top w:val="nil"/>
              <w:left w:val="nil"/>
              <w:bottom w:val="single" w:sz="4" w:space="0" w:color="auto"/>
              <w:right w:val="single" w:sz="4" w:space="0" w:color="auto"/>
            </w:tcBorders>
            <w:shd w:val="clear" w:color="auto" w:fill="auto"/>
            <w:vAlign w:val="bottom"/>
            <w:hideMark/>
          </w:tcPr>
          <w:p w14:paraId="2AA1513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Канада</w:t>
            </w:r>
          </w:p>
        </w:tc>
        <w:tc>
          <w:tcPr>
            <w:tcW w:w="612" w:type="dxa"/>
            <w:tcBorders>
              <w:top w:val="nil"/>
              <w:left w:val="nil"/>
              <w:bottom w:val="single" w:sz="4" w:space="0" w:color="auto"/>
              <w:right w:val="single" w:sz="4" w:space="0" w:color="auto"/>
            </w:tcBorders>
            <w:shd w:val="clear" w:color="000000" w:fill="92D050"/>
            <w:vAlign w:val="center"/>
            <w:hideMark/>
          </w:tcPr>
          <w:p w14:paraId="09B56C2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681</w:t>
            </w:r>
          </w:p>
        </w:tc>
        <w:tc>
          <w:tcPr>
            <w:tcW w:w="1145" w:type="dxa"/>
            <w:tcBorders>
              <w:top w:val="nil"/>
              <w:left w:val="nil"/>
              <w:bottom w:val="single" w:sz="4" w:space="0" w:color="auto"/>
              <w:right w:val="single" w:sz="4" w:space="0" w:color="auto"/>
            </w:tcBorders>
            <w:shd w:val="clear" w:color="auto" w:fill="auto"/>
            <w:vAlign w:val="center"/>
            <w:hideMark/>
          </w:tcPr>
          <w:p w14:paraId="10038883"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Canada</w:t>
            </w:r>
          </w:p>
        </w:tc>
        <w:tc>
          <w:tcPr>
            <w:tcW w:w="612" w:type="dxa"/>
            <w:tcBorders>
              <w:top w:val="nil"/>
              <w:left w:val="nil"/>
              <w:bottom w:val="single" w:sz="4" w:space="0" w:color="auto"/>
              <w:right w:val="single" w:sz="4" w:space="0" w:color="auto"/>
            </w:tcBorders>
            <w:shd w:val="clear" w:color="auto" w:fill="auto"/>
            <w:vAlign w:val="center"/>
            <w:hideMark/>
          </w:tcPr>
          <w:p w14:paraId="7298C9B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79,6</w:t>
            </w:r>
          </w:p>
        </w:tc>
        <w:tc>
          <w:tcPr>
            <w:tcW w:w="818" w:type="dxa"/>
            <w:tcBorders>
              <w:top w:val="nil"/>
              <w:left w:val="nil"/>
              <w:bottom w:val="single" w:sz="4" w:space="0" w:color="auto"/>
              <w:right w:val="single" w:sz="4" w:space="0" w:color="auto"/>
            </w:tcBorders>
            <w:shd w:val="clear" w:color="auto" w:fill="auto"/>
            <w:vAlign w:val="center"/>
            <w:hideMark/>
          </w:tcPr>
          <w:p w14:paraId="6A7FD0F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98,2</w:t>
            </w:r>
          </w:p>
        </w:tc>
        <w:tc>
          <w:tcPr>
            <w:tcW w:w="931" w:type="dxa"/>
            <w:tcBorders>
              <w:top w:val="nil"/>
              <w:left w:val="nil"/>
              <w:bottom w:val="single" w:sz="4" w:space="0" w:color="auto"/>
              <w:right w:val="single" w:sz="4" w:space="0" w:color="auto"/>
            </w:tcBorders>
            <w:shd w:val="clear" w:color="auto" w:fill="auto"/>
            <w:vAlign w:val="center"/>
            <w:hideMark/>
          </w:tcPr>
          <w:p w14:paraId="448173D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77,8</w:t>
            </w:r>
          </w:p>
        </w:tc>
        <w:tc>
          <w:tcPr>
            <w:tcW w:w="732" w:type="dxa"/>
            <w:tcBorders>
              <w:top w:val="nil"/>
              <w:left w:val="nil"/>
              <w:bottom w:val="single" w:sz="4" w:space="0" w:color="auto"/>
              <w:right w:val="single" w:sz="4" w:space="0" w:color="auto"/>
            </w:tcBorders>
            <w:shd w:val="clear" w:color="auto" w:fill="auto"/>
            <w:vAlign w:val="center"/>
            <w:hideMark/>
          </w:tcPr>
          <w:p w14:paraId="3545071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85,0</w:t>
            </w:r>
          </w:p>
        </w:tc>
        <w:tc>
          <w:tcPr>
            <w:tcW w:w="1016" w:type="dxa"/>
            <w:tcBorders>
              <w:top w:val="nil"/>
              <w:left w:val="nil"/>
              <w:bottom w:val="single" w:sz="4" w:space="0" w:color="auto"/>
              <w:right w:val="single" w:sz="4" w:space="0" w:color="auto"/>
            </w:tcBorders>
            <w:shd w:val="clear" w:color="auto" w:fill="auto"/>
            <w:vAlign w:val="center"/>
            <w:hideMark/>
          </w:tcPr>
          <w:p w14:paraId="342D17D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40F7F52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88,1</w:t>
            </w:r>
          </w:p>
        </w:tc>
        <w:tc>
          <w:tcPr>
            <w:tcW w:w="1437" w:type="dxa"/>
            <w:tcBorders>
              <w:top w:val="nil"/>
              <w:left w:val="nil"/>
              <w:bottom w:val="single" w:sz="4" w:space="0" w:color="auto"/>
              <w:right w:val="single" w:sz="4" w:space="0" w:color="auto"/>
            </w:tcBorders>
            <w:shd w:val="clear" w:color="auto" w:fill="auto"/>
            <w:vAlign w:val="center"/>
            <w:hideMark/>
          </w:tcPr>
          <w:p w14:paraId="0384006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88,4</w:t>
            </w:r>
          </w:p>
        </w:tc>
        <w:tc>
          <w:tcPr>
            <w:tcW w:w="1262" w:type="dxa"/>
            <w:tcBorders>
              <w:top w:val="nil"/>
              <w:left w:val="nil"/>
              <w:bottom w:val="single" w:sz="4" w:space="0" w:color="auto"/>
              <w:right w:val="single" w:sz="4" w:space="0" w:color="auto"/>
            </w:tcBorders>
            <w:shd w:val="clear" w:color="auto" w:fill="auto"/>
            <w:vAlign w:val="center"/>
            <w:hideMark/>
          </w:tcPr>
          <w:p w14:paraId="7A0F59B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57,1</w:t>
            </w:r>
          </w:p>
        </w:tc>
        <w:tc>
          <w:tcPr>
            <w:tcW w:w="1085" w:type="dxa"/>
            <w:tcBorders>
              <w:top w:val="nil"/>
              <w:left w:val="nil"/>
              <w:bottom w:val="single" w:sz="4" w:space="0" w:color="auto"/>
              <w:right w:val="single" w:sz="4" w:space="0" w:color="auto"/>
            </w:tcBorders>
            <w:shd w:val="clear" w:color="auto" w:fill="auto"/>
            <w:vAlign w:val="center"/>
            <w:hideMark/>
          </w:tcPr>
          <w:p w14:paraId="39F1781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81,0</w:t>
            </w:r>
          </w:p>
        </w:tc>
        <w:tc>
          <w:tcPr>
            <w:tcW w:w="916" w:type="dxa"/>
            <w:tcBorders>
              <w:top w:val="nil"/>
              <w:left w:val="nil"/>
              <w:bottom w:val="single" w:sz="4" w:space="0" w:color="auto"/>
              <w:right w:val="single" w:sz="4" w:space="0" w:color="auto"/>
            </w:tcBorders>
            <w:shd w:val="clear" w:color="auto" w:fill="auto"/>
            <w:vAlign w:val="center"/>
            <w:hideMark/>
          </w:tcPr>
          <w:p w14:paraId="7F99675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73,0</w:t>
            </w:r>
          </w:p>
        </w:tc>
        <w:tc>
          <w:tcPr>
            <w:tcW w:w="871" w:type="dxa"/>
            <w:tcBorders>
              <w:top w:val="nil"/>
              <w:left w:val="nil"/>
              <w:bottom w:val="single" w:sz="4" w:space="0" w:color="auto"/>
              <w:right w:val="single" w:sz="4" w:space="0" w:color="auto"/>
            </w:tcBorders>
            <w:shd w:val="clear" w:color="auto" w:fill="auto"/>
            <w:vAlign w:val="center"/>
            <w:hideMark/>
          </w:tcPr>
          <w:p w14:paraId="3B1D8184"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63,8</w:t>
            </w:r>
          </w:p>
        </w:tc>
      </w:tr>
      <w:tr w:rsidR="00457E80" w:rsidRPr="00036538" w14:paraId="373CF12B"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F53036B"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41</w:t>
            </w:r>
          </w:p>
        </w:tc>
        <w:tc>
          <w:tcPr>
            <w:tcW w:w="908" w:type="dxa"/>
            <w:tcBorders>
              <w:top w:val="nil"/>
              <w:left w:val="nil"/>
              <w:bottom w:val="single" w:sz="4" w:space="0" w:color="auto"/>
              <w:right w:val="single" w:sz="4" w:space="0" w:color="auto"/>
            </w:tcBorders>
            <w:shd w:val="clear" w:color="auto" w:fill="auto"/>
            <w:vAlign w:val="bottom"/>
            <w:hideMark/>
          </w:tcPr>
          <w:p w14:paraId="6EB6F96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Касабланка</w:t>
            </w:r>
          </w:p>
        </w:tc>
        <w:tc>
          <w:tcPr>
            <w:tcW w:w="1028" w:type="dxa"/>
            <w:tcBorders>
              <w:top w:val="nil"/>
              <w:left w:val="nil"/>
              <w:bottom w:val="single" w:sz="4" w:space="0" w:color="auto"/>
              <w:right w:val="single" w:sz="4" w:space="0" w:color="auto"/>
            </w:tcBorders>
            <w:shd w:val="clear" w:color="auto" w:fill="auto"/>
            <w:vAlign w:val="bottom"/>
            <w:hideMark/>
          </w:tcPr>
          <w:p w14:paraId="7C8B0D4E"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Марокко</w:t>
            </w:r>
          </w:p>
        </w:tc>
        <w:tc>
          <w:tcPr>
            <w:tcW w:w="612" w:type="dxa"/>
            <w:tcBorders>
              <w:top w:val="nil"/>
              <w:left w:val="nil"/>
              <w:bottom w:val="single" w:sz="4" w:space="0" w:color="auto"/>
              <w:right w:val="single" w:sz="4" w:space="0" w:color="auto"/>
            </w:tcBorders>
            <w:shd w:val="clear" w:color="000000" w:fill="92D050"/>
            <w:vAlign w:val="center"/>
            <w:hideMark/>
          </w:tcPr>
          <w:p w14:paraId="7D8A535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680</w:t>
            </w:r>
          </w:p>
        </w:tc>
        <w:tc>
          <w:tcPr>
            <w:tcW w:w="1145" w:type="dxa"/>
            <w:tcBorders>
              <w:top w:val="nil"/>
              <w:left w:val="nil"/>
              <w:bottom w:val="single" w:sz="4" w:space="0" w:color="auto"/>
              <w:right w:val="single" w:sz="4" w:space="0" w:color="auto"/>
            </w:tcBorders>
            <w:shd w:val="clear" w:color="auto" w:fill="auto"/>
            <w:vAlign w:val="center"/>
            <w:hideMark/>
          </w:tcPr>
          <w:p w14:paraId="3EACCB29"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Morocco</w:t>
            </w:r>
          </w:p>
        </w:tc>
        <w:tc>
          <w:tcPr>
            <w:tcW w:w="612" w:type="dxa"/>
            <w:tcBorders>
              <w:top w:val="nil"/>
              <w:left w:val="nil"/>
              <w:bottom w:val="single" w:sz="4" w:space="0" w:color="auto"/>
              <w:right w:val="single" w:sz="4" w:space="0" w:color="auto"/>
            </w:tcBorders>
            <w:shd w:val="clear" w:color="auto" w:fill="auto"/>
            <w:vAlign w:val="center"/>
            <w:hideMark/>
          </w:tcPr>
          <w:p w14:paraId="05FABC8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73,4</w:t>
            </w:r>
          </w:p>
        </w:tc>
        <w:tc>
          <w:tcPr>
            <w:tcW w:w="818" w:type="dxa"/>
            <w:tcBorders>
              <w:top w:val="nil"/>
              <w:left w:val="nil"/>
              <w:bottom w:val="single" w:sz="4" w:space="0" w:color="auto"/>
              <w:right w:val="single" w:sz="4" w:space="0" w:color="auto"/>
            </w:tcBorders>
            <w:shd w:val="clear" w:color="auto" w:fill="auto"/>
            <w:vAlign w:val="center"/>
            <w:hideMark/>
          </w:tcPr>
          <w:p w14:paraId="7F1FA90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93,0</w:t>
            </w:r>
          </w:p>
        </w:tc>
        <w:tc>
          <w:tcPr>
            <w:tcW w:w="931" w:type="dxa"/>
            <w:tcBorders>
              <w:top w:val="nil"/>
              <w:left w:val="nil"/>
              <w:bottom w:val="single" w:sz="4" w:space="0" w:color="auto"/>
              <w:right w:val="single" w:sz="4" w:space="0" w:color="auto"/>
            </w:tcBorders>
            <w:shd w:val="clear" w:color="auto" w:fill="auto"/>
            <w:vAlign w:val="center"/>
            <w:hideMark/>
          </w:tcPr>
          <w:p w14:paraId="7CA4B33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65,8</w:t>
            </w:r>
          </w:p>
        </w:tc>
        <w:tc>
          <w:tcPr>
            <w:tcW w:w="732" w:type="dxa"/>
            <w:tcBorders>
              <w:top w:val="nil"/>
              <w:left w:val="nil"/>
              <w:bottom w:val="single" w:sz="4" w:space="0" w:color="auto"/>
              <w:right w:val="single" w:sz="4" w:space="0" w:color="auto"/>
            </w:tcBorders>
            <w:shd w:val="clear" w:color="auto" w:fill="auto"/>
            <w:vAlign w:val="center"/>
            <w:hideMark/>
          </w:tcPr>
          <w:p w14:paraId="557CCD1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45,0</w:t>
            </w:r>
          </w:p>
        </w:tc>
        <w:tc>
          <w:tcPr>
            <w:tcW w:w="1016" w:type="dxa"/>
            <w:tcBorders>
              <w:top w:val="nil"/>
              <w:left w:val="nil"/>
              <w:bottom w:val="single" w:sz="4" w:space="0" w:color="auto"/>
              <w:right w:val="single" w:sz="4" w:space="0" w:color="auto"/>
            </w:tcBorders>
            <w:shd w:val="clear" w:color="auto" w:fill="auto"/>
            <w:vAlign w:val="center"/>
            <w:hideMark/>
          </w:tcPr>
          <w:p w14:paraId="2FD5433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70,0</w:t>
            </w:r>
          </w:p>
        </w:tc>
        <w:tc>
          <w:tcPr>
            <w:tcW w:w="997" w:type="dxa"/>
            <w:tcBorders>
              <w:top w:val="nil"/>
              <w:left w:val="nil"/>
              <w:bottom w:val="single" w:sz="4" w:space="0" w:color="auto"/>
              <w:right w:val="single" w:sz="4" w:space="0" w:color="auto"/>
            </w:tcBorders>
            <w:shd w:val="clear" w:color="auto" w:fill="auto"/>
            <w:vAlign w:val="center"/>
            <w:hideMark/>
          </w:tcPr>
          <w:p w14:paraId="2380C75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87,2</w:t>
            </w:r>
          </w:p>
        </w:tc>
        <w:tc>
          <w:tcPr>
            <w:tcW w:w="1437" w:type="dxa"/>
            <w:tcBorders>
              <w:top w:val="nil"/>
              <w:left w:val="nil"/>
              <w:bottom w:val="single" w:sz="4" w:space="0" w:color="auto"/>
              <w:right w:val="single" w:sz="4" w:space="0" w:color="auto"/>
            </w:tcBorders>
            <w:shd w:val="clear" w:color="auto" w:fill="auto"/>
            <w:vAlign w:val="center"/>
            <w:hideMark/>
          </w:tcPr>
          <w:p w14:paraId="1E6B073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85,6</w:t>
            </w:r>
          </w:p>
        </w:tc>
        <w:tc>
          <w:tcPr>
            <w:tcW w:w="1262" w:type="dxa"/>
            <w:tcBorders>
              <w:top w:val="nil"/>
              <w:left w:val="nil"/>
              <w:bottom w:val="single" w:sz="4" w:space="0" w:color="auto"/>
              <w:right w:val="single" w:sz="4" w:space="0" w:color="auto"/>
            </w:tcBorders>
            <w:shd w:val="clear" w:color="auto" w:fill="auto"/>
            <w:vAlign w:val="center"/>
            <w:hideMark/>
          </w:tcPr>
          <w:p w14:paraId="0B011AA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63,7</w:t>
            </w:r>
          </w:p>
        </w:tc>
        <w:tc>
          <w:tcPr>
            <w:tcW w:w="1085" w:type="dxa"/>
            <w:tcBorders>
              <w:top w:val="nil"/>
              <w:left w:val="nil"/>
              <w:bottom w:val="single" w:sz="4" w:space="0" w:color="auto"/>
              <w:right w:val="single" w:sz="4" w:space="0" w:color="auto"/>
            </w:tcBorders>
            <w:shd w:val="clear" w:color="auto" w:fill="auto"/>
            <w:vAlign w:val="center"/>
            <w:hideMark/>
          </w:tcPr>
          <w:p w14:paraId="4467752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52,9</w:t>
            </w:r>
          </w:p>
        </w:tc>
        <w:tc>
          <w:tcPr>
            <w:tcW w:w="916" w:type="dxa"/>
            <w:tcBorders>
              <w:top w:val="nil"/>
              <w:left w:val="nil"/>
              <w:bottom w:val="single" w:sz="4" w:space="0" w:color="auto"/>
              <w:right w:val="single" w:sz="4" w:space="0" w:color="auto"/>
            </w:tcBorders>
            <w:shd w:val="clear" w:color="auto" w:fill="auto"/>
            <w:vAlign w:val="center"/>
            <w:hideMark/>
          </w:tcPr>
          <w:p w14:paraId="5006D4E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83,2</w:t>
            </w:r>
          </w:p>
        </w:tc>
        <w:tc>
          <w:tcPr>
            <w:tcW w:w="871" w:type="dxa"/>
            <w:tcBorders>
              <w:top w:val="nil"/>
              <w:left w:val="nil"/>
              <w:bottom w:val="single" w:sz="4" w:space="0" w:color="auto"/>
              <w:right w:val="single" w:sz="4" w:space="0" w:color="auto"/>
            </w:tcBorders>
            <w:shd w:val="clear" w:color="auto" w:fill="auto"/>
            <w:vAlign w:val="center"/>
            <w:hideMark/>
          </w:tcPr>
          <w:p w14:paraId="31236DE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87,3</w:t>
            </w:r>
          </w:p>
        </w:tc>
      </w:tr>
      <w:tr w:rsidR="00457E80" w:rsidRPr="00036538" w14:paraId="1281F0D7"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7FCD0D1"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42</w:t>
            </w:r>
          </w:p>
        </w:tc>
        <w:tc>
          <w:tcPr>
            <w:tcW w:w="908" w:type="dxa"/>
            <w:tcBorders>
              <w:top w:val="nil"/>
              <w:left w:val="nil"/>
              <w:bottom w:val="single" w:sz="4" w:space="0" w:color="auto"/>
              <w:right w:val="single" w:sz="4" w:space="0" w:color="auto"/>
            </w:tcBorders>
            <w:shd w:val="clear" w:color="auto" w:fill="auto"/>
            <w:vAlign w:val="bottom"/>
            <w:hideMark/>
          </w:tcPr>
          <w:p w14:paraId="78E3C5B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Милан</w:t>
            </w:r>
          </w:p>
        </w:tc>
        <w:tc>
          <w:tcPr>
            <w:tcW w:w="1028" w:type="dxa"/>
            <w:tcBorders>
              <w:top w:val="nil"/>
              <w:left w:val="nil"/>
              <w:bottom w:val="single" w:sz="4" w:space="0" w:color="auto"/>
              <w:right w:val="single" w:sz="4" w:space="0" w:color="auto"/>
            </w:tcBorders>
            <w:shd w:val="clear" w:color="auto" w:fill="auto"/>
            <w:vAlign w:val="bottom"/>
            <w:hideMark/>
          </w:tcPr>
          <w:p w14:paraId="55256EA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Италия</w:t>
            </w:r>
          </w:p>
        </w:tc>
        <w:tc>
          <w:tcPr>
            <w:tcW w:w="612" w:type="dxa"/>
            <w:tcBorders>
              <w:top w:val="nil"/>
              <w:left w:val="nil"/>
              <w:bottom w:val="single" w:sz="4" w:space="0" w:color="auto"/>
              <w:right w:val="single" w:sz="4" w:space="0" w:color="auto"/>
            </w:tcBorders>
            <w:shd w:val="clear" w:color="000000" w:fill="92D050"/>
            <w:vAlign w:val="center"/>
            <w:hideMark/>
          </w:tcPr>
          <w:p w14:paraId="1813B14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679</w:t>
            </w:r>
          </w:p>
        </w:tc>
        <w:tc>
          <w:tcPr>
            <w:tcW w:w="1145" w:type="dxa"/>
            <w:tcBorders>
              <w:top w:val="nil"/>
              <w:left w:val="nil"/>
              <w:bottom w:val="single" w:sz="4" w:space="0" w:color="auto"/>
              <w:right w:val="single" w:sz="4" w:space="0" w:color="auto"/>
            </w:tcBorders>
            <w:shd w:val="clear" w:color="auto" w:fill="auto"/>
            <w:vAlign w:val="center"/>
            <w:hideMark/>
          </w:tcPr>
          <w:p w14:paraId="46859144"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Italy</w:t>
            </w:r>
          </w:p>
        </w:tc>
        <w:tc>
          <w:tcPr>
            <w:tcW w:w="612" w:type="dxa"/>
            <w:tcBorders>
              <w:top w:val="nil"/>
              <w:left w:val="nil"/>
              <w:bottom w:val="single" w:sz="4" w:space="0" w:color="auto"/>
              <w:right w:val="single" w:sz="4" w:space="0" w:color="auto"/>
            </w:tcBorders>
            <w:shd w:val="clear" w:color="auto" w:fill="auto"/>
            <w:vAlign w:val="center"/>
            <w:hideMark/>
          </w:tcPr>
          <w:p w14:paraId="0D22C3A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72,9</w:t>
            </w:r>
          </w:p>
        </w:tc>
        <w:tc>
          <w:tcPr>
            <w:tcW w:w="818" w:type="dxa"/>
            <w:tcBorders>
              <w:top w:val="nil"/>
              <w:left w:val="nil"/>
              <w:bottom w:val="single" w:sz="4" w:space="0" w:color="auto"/>
              <w:right w:val="single" w:sz="4" w:space="0" w:color="auto"/>
            </w:tcBorders>
            <w:shd w:val="clear" w:color="auto" w:fill="auto"/>
            <w:vAlign w:val="center"/>
            <w:hideMark/>
          </w:tcPr>
          <w:p w14:paraId="09B9CC3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86,8</w:t>
            </w:r>
          </w:p>
        </w:tc>
        <w:tc>
          <w:tcPr>
            <w:tcW w:w="931" w:type="dxa"/>
            <w:tcBorders>
              <w:top w:val="nil"/>
              <w:left w:val="nil"/>
              <w:bottom w:val="single" w:sz="4" w:space="0" w:color="auto"/>
              <w:right w:val="single" w:sz="4" w:space="0" w:color="auto"/>
            </w:tcBorders>
            <w:shd w:val="clear" w:color="auto" w:fill="auto"/>
            <w:vAlign w:val="center"/>
            <w:hideMark/>
          </w:tcPr>
          <w:p w14:paraId="37DC4A4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81,7</w:t>
            </w:r>
          </w:p>
        </w:tc>
        <w:tc>
          <w:tcPr>
            <w:tcW w:w="732" w:type="dxa"/>
            <w:tcBorders>
              <w:top w:val="nil"/>
              <w:left w:val="nil"/>
              <w:bottom w:val="single" w:sz="4" w:space="0" w:color="auto"/>
              <w:right w:val="single" w:sz="4" w:space="0" w:color="auto"/>
            </w:tcBorders>
            <w:shd w:val="clear" w:color="auto" w:fill="auto"/>
            <w:vAlign w:val="center"/>
            <w:hideMark/>
          </w:tcPr>
          <w:p w14:paraId="191B2A2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45,0</w:t>
            </w:r>
          </w:p>
        </w:tc>
        <w:tc>
          <w:tcPr>
            <w:tcW w:w="1016" w:type="dxa"/>
            <w:tcBorders>
              <w:top w:val="nil"/>
              <w:left w:val="nil"/>
              <w:bottom w:val="single" w:sz="4" w:space="0" w:color="auto"/>
              <w:right w:val="single" w:sz="4" w:space="0" w:color="auto"/>
            </w:tcBorders>
            <w:shd w:val="clear" w:color="auto" w:fill="auto"/>
            <w:vAlign w:val="center"/>
            <w:hideMark/>
          </w:tcPr>
          <w:p w14:paraId="422D5DF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66,0</w:t>
            </w:r>
          </w:p>
        </w:tc>
        <w:tc>
          <w:tcPr>
            <w:tcW w:w="997" w:type="dxa"/>
            <w:tcBorders>
              <w:top w:val="nil"/>
              <w:left w:val="nil"/>
              <w:bottom w:val="single" w:sz="4" w:space="0" w:color="auto"/>
              <w:right w:val="single" w:sz="4" w:space="0" w:color="auto"/>
            </w:tcBorders>
            <w:shd w:val="clear" w:color="auto" w:fill="auto"/>
            <w:vAlign w:val="center"/>
            <w:hideMark/>
          </w:tcPr>
          <w:p w14:paraId="617A4B8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64,0</w:t>
            </w:r>
          </w:p>
        </w:tc>
        <w:tc>
          <w:tcPr>
            <w:tcW w:w="1437" w:type="dxa"/>
            <w:tcBorders>
              <w:top w:val="nil"/>
              <w:left w:val="nil"/>
              <w:bottom w:val="single" w:sz="4" w:space="0" w:color="auto"/>
              <w:right w:val="single" w:sz="4" w:space="0" w:color="auto"/>
            </w:tcBorders>
            <w:shd w:val="clear" w:color="auto" w:fill="auto"/>
            <w:vAlign w:val="center"/>
            <w:hideMark/>
          </w:tcPr>
          <w:p w14:paraId="2BB07DD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2CD88E5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53,1</w:t>
            </w:r>
          </w:p>
        </w:tc>
        <w:tc>
          <w:tcPr>
            <w:tcW w:w="1085" w:type="dxa"/>
            <w:tcBorders>
              <w:top w:val="nil"/>
              <w:left w:val="nil"/>
              <w:bottom w:val="single" w:sz="4" w:space="0" w:color="auto"/>
              <w:right w:val="single" w:sz="4" w:space="0" w:color="auto"/>
            </w:tcBorders>
            <w:shd w:val="clear" w:color="auto" w:fill="auto"/>
            <w:vAlign w:val="center"/>
            <w:hideMark/>
          </w:tcPr>
          <w:p w14:paraId="0AD9E61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77,5</w:t>
            </w:r>
          </w:p>
        </w:tc>
        <w:tc>
          <w:tcPr>
            <w:tcW w:w="916" w:type="dxa"/>
            <w:tcBorders>
              <w:top w:val="nil"/>
              <w:left w:val="nil"/>
              <w:bottom w:val="single" w:sz="4" w:space="0" w:color="auto"/>
              <w:right w:val="single" w:sz="4" w:space="0" w:color="auto"/>
            </w:tcBorders>
            <w:shd w:val="clear" w:color="auto" w:fill="auto"/>
            <w:vAlign w:val="center"/>
            <w:hideMark/>
          </w:tcPr>
          <w:p w14:paraId="645CE09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68,3</w:t>
            </w:r>
          </w:p>
        </w:tc>
        <w:tc>
          <w:tcPr>
            <w:tcW w:w="871" w:type="dxa"/>
            <w:tcBorders>
              <w:top w:val="nil"/>
              <w:left w:val="nil"/>
              <w:bottom w:val="single" w:sz="4" w:space="0" w:color="auto"/>
              <w:right w:val="single" w:sz="4" w:space="0" w:color="auto"/>
            </w:tcBorders>
            <w:shd w:val="clear" w:color="auto" w:fill="auto"/>
            <w:vAlign w:val="center"/>
            <w:hideMark/>
          </w:tcPr>
          <w:p w14:paraId="5A1FD6D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86,1</w:t>
            </w:r>
          </w:p>
        </w:tc>
      </w:tr>
      <w:tr w:rsidR="00457E80" w:rsidRPr="00036538" w14:paraId="19B7DAA6"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E012FD0"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43</w:t>
            </w:r>
          </w:p>
        </w:tc>
        <w:tc>
          <w:tcPr>
            <w:tcW w:w="908" w:type="dxa"/>
            <w:tcBorders>
              <w:top w:val="nil"/>
              <w:left w:val="nil"/>
              <w:bottom w:val="single" w:sz="4" w:space="0" w:color="auto"/>
              <w:right w:val="single" w:sz="4" w:space="0" w:color="auto"/>
            </w:tcBorders>
            <w:shd w:val="clear" w:color="auto" w:fill="auto"/>
            <w:vAlign w:val="bottom"/>
            <w:hideMark/>
          </w:tcPr>
          <w:p w14:paraId="2E9411E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Мадрид</w:t>
            </w:r>
          </w:p>
        </w:tc>
        <w:tc>
          <w:tcPr>
            <w:tcW w:w="1028" w:type="dxa"/>
            <w:tcBorders>
              <w:top w:val="nil"/>
              <w:left w:val="nil"/>
              <w:bottom w:val="single" w:sz="4" w:space="0" w:color="auto"/>
              <w:right w:val="single" w:sz="4" w:space="0" w:color="auto"/>
            </w:tcBorders>
            <w:shd w:val="clear" w:color="auto" w:fill="auto"/>
            <w:vAlign w:val="bottom"/>
            <w:hideMark/>
          </w:tcPr>
          <w:p w14:paraId="017EE45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Испания</w:t>
            </w:r>
          </w:p>
        </w:tc>
        <w:tc>
          <w:tcPr>
            <w:tcW w:w="612" w:type="dxa"/>
            <w:tcBorders>
              <w:top w:val="nil"/>
              <w:left w:val="nil"/>
              <w:bottom w:val="single" w:sz="4" w:space="0" w:color="auto"/>
              <w:right w:val="single" w:sz="4" w:space="0" w:color="auto"/>
            </w:tcBorders>
            <w:shd w:val="clear" w:color="000000" w:fill="92D050"/>
            <w:vAlign w:val="center"/>
            <w:hideMark/>
          </w:tcPr>
          <w:p w14:paraId="7C0AC44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678</w:t>
            </w:r>
          </w:p>
        </w:tc>
        <w:tc>
          <w:tcPr>
            <w:tcW w:w="1145" w:type="dxa"/>
            <w:tcBorders>
              <w:top w:val="nil"/>
              <w:left w:val="nil"/>
              <w:bottom w:val="single" w:sz="4" w:space="0" w:color="auto"/>
              <w:right w:val="single" w:sz="4" w:space="0" w:color="auto"/>
            </w:tcBorders>
            <w:shd w:val="clear" w:color="auto" w:fill="auto"/>
            <w:vAlign w:val="center"/>
            <w:hideMark/>
          </w:tcPr>
          <w:p w14:paraId="4417EBF9"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Spain</w:t>
            </w:r>
          </w:p>
        </w:tc>
        <w:tc>
          <w:tcPr>
            <w:tcW w:w="612" w:type="dxa"/>
            <w:tcBorders>
              <w:top w:val="nil"/>
              <w:left w:val="nil"/>
              <w:bottom w:val="single" w:sz="4" w:space="0" w:color="auto"/>
              <w:right w:val="single" w:sz="4" w:space="0" w:color="auto"/>
            </w:tcBorders>
            <w:shd w:val="clear" w:color="auto" w:fill="auto"/>
            <w:vAlign w:val="center"/>
            <w:hideMark/>
          </w:tcPr>
          <w:p w14:paraId="64C4864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77,9</w:t>
            </w:r>
          </w:p>
        </w:tc>
        <w:tc>
          <w:tcPr>
            <w:tcW w:w="818" w:type="dxa"/>
            <w:tcBorders>
              <w:top w:val="nil"/>
              <w:left w:val="nil"/>
              <w:bottom w:val="single" w:sz="4" w:space="0" w:color="auto"/>
              <w:right w:val="single" w:sz="4" w:space="0" w:color="auto"/>
            </w:tcBorders>
            <w:shd w:val="clear" w:color="auto" w:fill="auto"/>
            <w:vAlign w:val="center"/>
            <w:hideMark/>
          </w:tcPr>
          <w:p w14:paraId="6260FF7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86,9</w:t>
            </w:r>
          </w:p>
        </w:tc>
        <w:tc>
          <w:tcPr>
            <w:tcW w:w="931" w:type="dxa"/>
            <w:tcBorders>
              <w:top w:val="nil"/>
              <w:left w:val="nil"/>
              <w:bottom w:val="single" w:sz="4" w:space="0" w:color="auto"/>
              <w:right w:val="single" w:sz="4" w:space="0" w:color="auto"/>
            </w:tcBorders>
            <w:shd w:val="clear" w:color="auto" w:fill="auto"/>
            <w:vAlign w:val="center"/>
            <w:hideMark/>
          </w:tcPr>
          <w:p w14:paraId="3E34E9E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71,7</w:t>
            </w:r>
          </w:p>
        </w:tc>
        <w:tc>
          <w:tcPr>
            <w:tcW w:w="732" w:type="dxa"/>
            <w:tcBorders>
              <w:top w:val="nil"/>
              <w:left w:val="nil"/>
              <w:bottom w:val="single" w:sz="4" w:space="0" w:color="auto"/>
              <w:right w:val="single" w:sz="4" w:space="0" w:color="auto"/>
            </w:tcBorders>
            <w:shd w:val="clear" w:color="auto" w:fill="auto"/>
            <w:vAlign w:val="center"/>
            <w:hideMark/>
          </w:tcPr>
          <w:p w14:paraId="0EFEC1F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60,0</w:t>
            </w:r>
          </w:p>
        </w:tc>
        <w:tc>
          <w:tcPr>
            <w:tcW w:w="1016" w:type="dxa"/>
            <w:tcBorders>
              <w:top w:val="nil"/>
              <w:left w:val="nil"/>
              <w:bottom w:val="single" w:sz="4" w:space="0" w:color="auto"/>
              <w:right w:val="single" w:sz="4" w:space="0" w:color="auto"/>
            </w:tcBorders>
            <w:shd w:val="clear" w:color="auto" w:fill="auto"/>
            <w:vAlign w:val="center"/>
            <w:hideMark/>
          </w:tcPr>
          <w:p w14:paraId="5E6452F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49D06C1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84,7</w:t>
            </w:r>
          </w:p>
        </w:tc>
        <w:tc>
          <w:tcPr>
            <w:tcW w:w="1437" w:type="dxa"/>
            <w:tcBorders>
              <w:top w:val="nil"/>
              <w:left w:val="nil"/>
              <w:bottom w:val="single" w:sz="4" w:space="0" w:color="auto"/>
              <w:right w:val="single" w:sz="4" w:space="0" w:color="auto"/>
            </w:tcBorders>
            <w:shd w:val="clear" w:color="auto" w:fill="auto"/>
            <w:vAlign w:val="center"/>
            <w:hideMark/>
          </w:tcPr>
          <w:p w14:paraId="5BD02A7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5BFADFB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70,9</w:t>
            </w:r>
          </w:p>
        </w:tc>
        <w:tc>
          <w:tcPr>
            <w:tcW w:w="1085" w:type="dxa"/>
            <w:tcBorders>
              <w:top w:val="nil"/>
              <w:left w:val="nil"/>
              <w:bottom w:val="single" w:sz="4" w:space="0" w:color="auto"/>
              <w:right w:val="single" w:sz="4" w:space="0" w:color="auto"/>
            </w:tcBorders>
            <w:shd w:val="clear" w:color="auto" w:fill="auto"/>
            <w:vAlign w:val="center"/>
            <w:hideMark/>
          </w:tcPr>
          <w:p w14:paraId="4265554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79,2</w:t>
            </w:r>
          </w:p>
        </w:tc>
        <w:tc>
          <w:tcPr>
            <w:tcW w:w="916" w:type="dxa"/>
            <w:tcBorders>
              <w:top w:val="nil"/>
              <w:left w:val="nil"/>
              <w:bottom w:val="single" w:sz="4" w:space="0" w:color="auto"/>
              <w:right w:val="single" w:sz="4" w:space="0" w:color="auto"/>
            </w:tcBorders>
            <w:shd w:val="clear" w:color="auto" w:fill="auto"/>
            <w:vAlign w:val="center"/>
            <w:hideMark/>
          </w:tcPr>
          <w:p w14:paraId="44868BC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70,8</w:t>
            </w:r>
          </w:p>
        </w:tc>
        <w:tc>
          <w:tcPr>
            <w:tcW w:w="871" w:type="dxa"/>
            <w:tcBorders>
              <w:top w:val="nil"/>
              <w:left w:val="nil"/>
              <w:bottom w:val="single" w:sz="4" w:space="0" w:color="auto"/>
              <w:right w:val="single" w:sz="4" w:space="0" w:color="auto"/>
            </w:tcBorders>
            <w:shd w:val="clear" w:color="auto" w:fill="auto"/>
            <w:vAlign w:val="center"/>
            <w:hideMark/>
          </w:tcPr>
          <w:p w14:paraId="78ACD6C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83,0</w:t>
            </w:r>
          </w:p>
        </w:tc>
      </w:tr>
      <w:tr w:rsidR="00457E80" w:rsidRPr="00036538" w14:paraId="4F31DD46" w14:textId="77777777" w:rsidTr="00576F59">
        <w:trPr>
          <w:trHeight w:val="6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D4BC3AF"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44</w:t>
            </w:r>
          </w:p>
        </w:tc>
        <w:tc>
          <w:tcPr>
            <w:tcW w:w="908" w:type="dxa"/>
            <w:tcBorders>
              <w:top w:val="nil"/>
              <w:left w:val="nil"/>
              <w:bottom w:val="single" w:sz="4" w:space="0" w:color="auto"/>
              <w:right w:val="single" w:sz="4" w:space="0" w:color="auto"/>
            </w:tcBorders>
            <w:shd w:val="clear" w:color="auto" w:fill="auto"/>
            <w:vAlign w:val="bottom"/>
            <w:hideMark/>
          </w:tcPr>
          <w:p w14:paraId="1E9EDEF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Куала-Лумпур</w:t>
            </w:r>
          </w:p>
        </w:tc>
        <w:tc>
          <w:tcPr>
            <w:tcW w:w="1028" w:type="dxa"/>
            <w:tcBorders>
              <w:top w:val="nil"/>
              <w:left w:val="nil"/>
              <w:bottom w:val="single" w:sz="4" w:space="0" w:color="auto"/>
              <w:right w:val="single" w:sz="4" w:space="0" w:color="auto"/>
            </w:tcBorders>
            <w:shd w:val="clear" w:color="auto" w:fill="auto"/>
            <w:vAlign w:val="bottom"/>
            <w:hideMark/>
          </w:tcPr>
          <w:p w14:paraId="4FDBE9F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Малайзия</w:t>
            </w:r>
          </w:p>
        </w:tc>
        <w:tc>
          <w:tcPr>
            <w:tcW w:w="612" w:type="dxa"/>
            <w:tcBorders>
              <w:top w:val="nil"/>
              <w:left w:val="nil"/>
              <w:bottom w:val="single" w:sz="4" w:space="0" w:color="auto"/>
              <w:right w:val="single" w:sz="4" w:space="0" w:color="auto"/>
            </w:tcBorders>
            <w:shd w:val="clear" w:color="000000" w:fill="92D050"/>
            <w:vAlign w:val="center"/>
            <w:hideMark/>
          </w:tcPr>
          <w:p w14:paraId="42AB92D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677</w:t>
            </w:r>
          </w:p>
        </w:tc>
        <w:tc>
          <w:tcPr>
            <w:tcW w:w="1145" w:type="dxa"/>
            <w:tcBorders>
              <w:top w:val="nil"/>
              <w:left w:val="nil"/>
              <w:bottom w:val="single" w:sz="4" w:space="0" w:color="auto"/>
              <w:right w:val="single" w:sz="4" w:space="0" w:color="auto"/>
            </w:tcBorders>
            <w:shd w:val="clear" w:color="auto" w:fill="auto"/>
            <w:vAlign w:val="center"/>
            <w:hideMark/>
          </w:tcPr>
          <w:p w14:paraId="4B2CB0A6"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Malaysia</w:t>
            </w:r>
          </w:p>
        </w:tc>
        <w:tc>
          <w:tcPr>
            <w:tcW w:w="612" w:type="dxa"/>
            <w:tcBorders>
              <w:top w:val="nil"/>
              <w:left w:val="nil"/>
              <w:bottom w:val="single" w:sz="4" w:space="0" w:color="auto"/>
              <w:right w:val="single" w:sz="4" w:space="0" w:color="auto"/>
            </w:tcBorders>
            <w:shd w:val="clear" w:color="auto" w:fill="auto"/>
            <w:vAlign w:val="center"/>
            <w:hideMark/>
          </w:tcPr>
          <w:p w14:paraId="0C819DC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81,5</w:t>
            </w:r>
          </w:p>
        </w:tc>
        <w:tc>
          <w:tcPr>
            <w:tcW w:w="818" w:type="dxa"/>
            <w:tcBorders>
              <w:top w:val="nil"/>
              <w:left w:val="nil"/>
              <w:bottom w:val="single" w:sz="4" w:space="0" w:color="auto"/>
              <w:right w:val="single" w:sz="4" w:space="0" w:color="auto"/>
            </w:tcBorders>
            <w:shd w:val="clear" w:color="auto" w:fill="auto"/>
            <w:vAlign w:val="center"/>
            <w:hideMark/>
          </w:tcPr>
          <w:p w14:paraId="638ED47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83,3</w:t>
            </w:r>
          </w:p>
        </w:tc>
        <w:tc>
          <w:tcPr>
            <w:tcW w:w="931" w:type="dxa"/>
            <w:tcBorders>
              <w:top w:val="nil"/>
              <w:left w:val="nil"/>
              <w:bottom w:val="single" w:sz="4" w:space="0" w:color="auto"/>
              <w:right w:val="single" w:sz="4" w:space="0" w:color="auto"/>
            </w:tcBorders>
            <w:shd w:val="clear" w:color="auto" w:fill="auto"/>
            <w:vAlign w:val="center"/>
            <w:hideMark/>
          </w:tcPr>
          <w:p w14:paraId="797934F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79,5</w:t>
            </w:r>
          </w:p>
        </w:tc>
        <w:tc>
          <w:tcPr>
            <w:tcW w:w="732" w:type="dxa"/>
            <w:tcBorders>
              <w:top w:val="nil"/>
              <w:left w:val="nil"/>
              <w:bottom w:val="single" w:sz="4" w:space="0" w:color="auto"/>
              <w:right w:val="single" w:sz="4" w:space="0" w:color="auto"/>
            </w:tcBorders>
            <w:shd w:val="clear" w:color="auto" w:fill="auto"/>
            <w:vAlign w:val="center"/>
            <w:hideMark/>
          </w:tcPr>
          <w:p w14:paraId="39F1C4D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0B1A4A1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88,0</w:t>
            </w:r>
          </w:p>
        </w:tc>
        <w:tc>
          <w:tcPr>
            <w:tcW w:w="997" w:type="dxa"/>
            <w:tcBorders>
              <w:top w:val="nil"/>
              <w:left w:val="nil"/>
              <w:bottom w:val="single" w:sz="4" w:space="0" w:color="auto"/>
              <w:right w:val="single" w:sz="4" w:space="0" w:color="auto"/>
            </w:tcBorders>
            <w:shd w:val="clear" w:color="auto" w:fill="auto"/>
            <w:vAlign w:val="center"/>
            <w:hideMark/>
          </w:tcPr>
          <w:p w14:paraId="0A99659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76,0</w:t>
            </w:r>
          </w:p>
        </w:tc>
        <w:tc>
          <w:tcPr>
            <w:tcW w:w="1437" w:type="dxa"/>
            <w:tcBorders>
              <w:top w:val="nil"/>
              <w:left w:val="nil"/>
              <w:bottom w:val="single" w:sz="4" w:space="0" w:color="auto"/>
              <w:right w:val="single" w:sz="4" w:space="0" w:color="auto"/>
            </w:tcBorders>
            <w:shd w:val="clear" w:color="auto" w:fill="auto"/>
            <w:vAlign w:val="center"/>
            <w:hideMark/>
          </w:tcPr>
          <w:p w14:paraId="39DA464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88,5</w:t>
            </w:r>
          </w:p>
        </w:tc>
        <w:tc>
          <w:tcPr>
            <w:tcW w:w="1262" w:type="dxa"/>
            <w:tcBorders>
              <w:top w:val="nil"/>
              <w:left w:val="nil"/>
              <w:bottom w:val="single" w:sz="4" w:space="0" w:color="auto"/>
              <w:right w:val="single" w:sz="4" w:space="0" w:color="auto"/>
            </w:tcBorders>
            <w:shd w:val="clear" w:color="auto" w:fill="auto"/>
            <w:vAlign w:val="center"/>
            <w:hideMark/>
          </w:tcPr>
          <w:p w14:paraId="05C6695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68,2</w:t>
            </w:r>
          </w:p>
        </w:tc>
        <w:tc>
          <w:tcPr>
            <w:tcW w:w="1085" w:type="dxa"/>
            <w:tcBorders>
              <w:top w:val="nil"/>
              <w:left w:val="nil"/>
              <w:bottom w:val="single" w:sz="4" w:space="0" w:color="auto"/>
              <w:right w:val="single" w:sz="4" w:space="0" w:color="auto"/>
            </w:tcBorders>
            <w:shd w:val="clear" w:color="auto" w:fill="auto"/>
            <w:vAlign w:val="center"/>
            <w:hideMark/>
          </w:tcPr>
          <w:p w14:paraId="27C3B86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67,0</w:t>
            </w:r>
          </w:p>
        </w:tc>
        <w:tc>
          <w:tcPr>
            <w:tcW w:w="916" w:type="dxa"/>
            <w:tcBorders>
              <w:top w:val="nil"/>
              <w:left w:val="nil"/>
              <w:bottom w:val="single" w:sz="4" w:space="0" w:color="auto"/>
              <w:right w:val="single" w:sz="4" w:space="0" w:color="auto"/>
            </w:tcBorders>
            <w:shd w:val="clear" w:color="auto" w:fill="auto"/>
            <w:vAlign w:val="center"/>
            <w:hideMark/>
          </w:tcPr>
          <w:p w14:paraId="1A86D93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89,9</w:t>
            </w:r>
          </w:p>
        </w:tc>
        <w:tc>
          <w:tcPr>
            <w:tcW w:w="871" w:type="dxa"/>
            <w:tcBorders>
              <w:top w:val="nil"/>
              <w:left w:val="nil"/>
              <w:bottom w:val="single" w:sz="4" w:space="0" w:color="auto"/>
              <w:right w:val="single" w:sz="4" w:space="0" w:color="auto"/>
            </w:tcBorders>
            <w:shd w:val="clear" w:color="auto" w:fill="auto"/>
            <w:vAlign w:val="center"/>
            <w:hideMark/>
          </w:tcPr>
          <w:p w14:paraId="4247952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99,3</w:t>
            </w:r>
          </w:p>
        </w:tc>
      </w:tr>
      <w:tr w:rsidR="00457E80" w:rsidRPr="00036538" w14:paraId="23E75204"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70293AE"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45</w:t>
            </w:r>
          </w:p>
        </w:tc>
        <w:tc>
          <w:tcPr>
            <w:tcW w:w="908" w:type="dxa"/>
            <w:tcBorders>
              <w:top w:val="nil"/>
              <w:left w:val="nil"/>
              <w:bottom w:val="single" w:sz="4" w:space="0" w:color="auto"/>
              <w:right w:val="single" w:sz="4" w:space="0" w:color="auto"/>
            </w:tcBorders>
            <w:shd w:val="clear" w:color="auto" w:fill="auto"/>
            <w:vAlign w:val="bottom"/>
            <w:hideMark/>
          </w:tcPr>
          <w:p w14:paraId="48E85E7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Мумбай</w:t>
            </w:r>
          </w:p>
        </w:tc>
        <w:tc>
          <w:tcPr>
            <w:tcW w:w="1028" w:type="dxa"/>
            <w:tcBorders>
              <w:top w:val="nil"/>
              <w:left w:val="nil"/>
              <w:bottom w:val="single" w:sz="4" w:space="0" w:color="auto"/>
              <w:right w:val="single" w:sz="4" w:space="0" w:color="auto"/>
            </w:tcBorders>
            <w:shd w:val="clear" w:color="auto" w:fill="auto"/>
            <w:vAlign w:val="bottom"/>
            <w:hideMark/>
          </w:tcPr>
          <w:p w14:paraId="157CD66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Индия</w:t>
            </w:r>
          </w:p>
        </w:tc>
        <w:tc>
          <w:tcPr>
            <w:tcW w:w="612" w:type="dxa"/>
            <w:tcBorders>
              <w:top w:val="nil"/>
              <w:left w:val="nil"/>
              <w:bottom w:val="single" w:sz="4" w:space="0" w:color="auto"/>
              <w:right w:val="single" w:sz="4" w:space="0" w:color="auto"/>
            </w:tcBorders>
            <w:shd w:val="clear" w:color="000000" w:fill="92D050"/>
            <w:vAlign w:val="center"/>
            <w:hideMark/>
          </w:tcPr>
          <w:p w14:paraId="713AA2E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672</w:t>
            </w:r>
          </w:p>
        </w:tc>
        <w:tc>
          <w:tcPr>
            <w:tcW w:w="1145" w:type="dxa"/>
            <w:tcBorders>
              <w:top w:val="nil"/>
              <w:left w:val="nil"/>
              <w:bottom w:val="single" w:sz="4" w:space="0" w:color="auto"/>
              <w:right w:val="single" w:sz="4" w:space="0" w:color="auto"/>
            </w:tcBorders>
            <w:shd w:val="clear" w:color="auto" w:fill="auto"/>
            <w:vAlign w:val="center"/>
            <w:hideMark/>
          </w:tcPr>
          <w:p w14:paraId="71879409"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India Mumbai</w:t>
            </w:r>
          </w:p>
        </w:tc>
        <w:tc>
          <w:tcPr>
            <w:tcW w:w="612" w:type="dxa"/>
            <w:tcBorders>
              <w:top w:val="nil"/>
              <w:left w:val="nil"/>
              <w:bottom w:val="single" w:sz="4" w:space="0" w:color="auto"/>
              <w:right w:val="single" w:sz="4" w:space="0" w:color="auto"/>
            </w:tcBorders>
            <w:shd w:val="clear" w:color="auto" w:fill="auto"/>
            <w:vAlign w:val="center"/>
            <w:hideMark/>
          </w:tcPr>
          <w:p w14:paraId="794718A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70,1</w:t>
            </w:r>
          </w:p>
        </w:tc>
        <w:tc>
          <w:tcPr>
            <w:tcW w:w="818" w:type="dxa"/>
            <w:tcBorders>
              <w:top w:val="nil"/>
              <w:left w:val="nil"/>
              <w:bottom w:val="single" w:sz="4" w:space="0" w:color="auto"/>
              <w:right w:val="single" w:sz="4" w:space="0" w:color="auto"/>
            </w:tcBorders>
            <w:shd w:val="clear" w:color="auto" w:fill="auto"/>
            <w:vAlign w:val="center"/>
            <w:hideMark/>
          </w:tcPr>
          <w:p w14:paraId="378A84F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81,2</w:t>
            </w:r>
          </w:p>
        </w:tc>
        <w:tc>
          <w:tcPr>
            <w:tcW w:w="931" w:type="dxa"/>
            <w:tcBorders>
              <w:top w:val="nil"/>
              <w:left w:val="nil"/>
              <w:bottom w:val="single" w:sz="4" w:space="0" w:color="auto"/>
              <w:right w:val="single" w:sz="4" w:space="0" w:color="auto"/>
            </w:tcBorders>
            <w:shd w:val="clear" w:color="auto" w:fill="auto"/>
            <w:vAlign w:val="center"/>
            <w:hideMark/>
          </w:tcPr>
          <w:p w14:paraId="581C6CD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49,6</w:t>
            </w:r>
          </w:p>
        </w:tc>
        <w:tc>
          <w:tcPr>
            <w:tcW w:w="732" w:type="dxa"/>
            <w:tcBorders>
              <w:top w:val="nil"/>
              <w:left w:val="nil"/>
              <w:bottom w:val="single" w:sz="4" w:space="0" w:color="auto"/>
              <w:right w:val="single" w:sz="4" w:space="0" w:color="auto"/>
            </w:tcBorders>
            <w:shd w:val="clear" w:color="auto" w:fill="auto"/>
            <w:vAlign w:val="center"/>
            <w:hideMark/>
          </w:tcPr>
          <w:p w14:paraId="558793B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80,0</w:t>
            </w:r>
          </w:p>
        </w:tc>
        <w:tc>
          <w:tcPr>
            <w:tcW w:w="1016" w:type="dxa"/>
            <w:tcBorders>
              <w:top w:val="nil"/>
              <w:left w:val="nil"/>
              <w:bottom w:val="single" w:sz="4" w:space="0" w:color="auto"/>
              <w:right w:val="single" w:sz="4" w:space="0" w:color="auto"/>
            </w:tcBorders>
            <w:shd w:val="clear" w:color="auto" w:fill="auto"/>
            <w:vAlign w:val="center"/>
            <w:hideMark/>
          </w:tcPr>
          <w:p w14:paraId="4D3BEFF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80,0</w:t>
            </w:r>
          </w:p>
        </w:tc>
        <w:tc>
          <w:tcPr>
            <w:tcW w:w="997" w:type="dxa"/>
            <w:tcBorders>
              <w:top w:val="nil"/>
              <w:left w:val="nil"/>
              <w:bottom w:val="single" w:sz="4" w:space="0" w:color="auto"/>
              <w:right w:val="single" w:sz="4" w:space="0" w:color="auto"/>
            </w:tcBorders>
            <w:shd w:val="clear" w:color="auto" w:fill="auto"/>
            <w:vAlign w:val="center"/>
            <w:hideMark/>
          </w:tcPr>
          <w:p w14:paraId="0F71879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67,1</w:t>
            </w:r>
          </w:p>
        </w:tc>
        <w:tc>
          <w:tcPr>
            <w:tcW w:w="1437" w:type="dxa"/>
            <w:tcBorders>
              <w:top w:val="nil"/>
              <w:left w:val="nil"/>
              <w:bottom w:val="single" w:sz="4" w:space="0" w:color="auto"/>
              <w:right w:val="single" w:sz="4" w:space="0" w:color="auto"/>
            </w:tcBorders>
            <w:shd w:val="clear" w:color="auto" w:fill="auto"/>
            <w:vAlign w:val="center"/>
            <w:hideMark/>
          </w:tcPr>
          <w:p w14:paraId="116B497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82,2</w:t>
            </w:r>
          </w:p>
        </w:tc>
        <w:tc>
          <w:tcPr>
            <w:tcW w:w="1262" w:type="dxa"/>
            <w:tcBorders>
              <w:top w:val="nil"/>
              <w:left w:val="nil"/>
              <w:bottom w:val="single" w:sz="4" w:space="0" w:color="auto"/>
              <w:right w:val="single" w:sz="4" w:space="0" w:color="auto"/>
            </w:tcBorders>
            <w:shd w:val="clear" w:color="auto" w:fill="auto"/>
            <w:vAlign w:val="center"/>
            <w:hideMark/>
          </w:tcPr>
          <w:p w14:paraId="5BEDB75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41,2</w:t>
            </w:r>
          </w:p>
        </w:tc>
        <w:tc>
          <w:tcPr>
            <w:tcW w:w="1085" w:type="dxa"/>
            <w:tcBorders>
              <w:top w:val="nil"/>
              <w:left w:val="nil"/>
              <w:bottom w:val="single" w:sz="4" w:space="0" w:color="auto"/>
              <w:right w:val="single" w:sz="4" w:space="0" w:color="auto"/>
            </w:tcBorders>
            <w:shd w:val="clear" w:color="auto" w:fill="auto"/>
            <w:vAlign w:val="center"/>
            <w:hideMark/>
          </w:tcPr>
          <w:p w14:paraId="499E5F8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62,0</w:t>
            </w:r>
          </w:p>
        </w:tc>
        <w:tc>
          <w:tcPr>
            <w:tcW w:w="916" w:type="dxa"/>
            <w:tcBorders>
              <w:top w:val="nil"/>
              <w:left w:val="nil"/>
              <w:bottom w:val="single" w:sz="4" w:space="0" w:color="auto"/>
              <w:right w:val="single" w:sz="4" w:space="0" w:color="auto"/>
            </w:tcBorders>
            <w:shd w:val="clear" w:color="auto" w:fill="auto"/>
            <w:vAlign w:val="center"/>
            <w:hideMark/>
          </w:tcPr>
          <w:p w14:paraId="5BC4050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72,4</w:t>
            </w:r>
          </w:p>
        </w:tc>
        <w:tc>
          <w:tcPr>
            <w:tcW w:w="871" w:type="dxa"/>
            <w:tcBorders>
              <w:top w:val="nil"/>
              <w:left w:val="nil"/>
              <w:bottom w:val="single" w:sz="4" w:space="0" w:color="auto"/>
              <w:right w:val="single" w:sz="4" w:space="0" w:color="auto"/>
            </w:tcBorders>
            <w:shd w:val="clear" w:color="auto" w:fill="auto"/>
            <w:vAlign w:val="center"/>
            <w:hideMark/>
          </w:tcPr>
          <w:p w14:paraId="0A02AE5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85,7</w:t>
            </w:r>
          </w:p>
        </w:tc>
      </w:tr>
      <w:tr w:rsidR="00457E80" w:rsidRPr="00036538" w14:paraId="2FF0F727"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C423A71"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46</w:t>
            </w:r>
          </w:p>
        </w:tc>
        <w:tc>
          <w:tcPr>
            <w:tcW w:w="908" w:type="dxa"/>
            <w:tcBorders>
              <w:top w:val="nil"/>
              <w:left w:val="nil"/>
              <w:bottom w:val="single" w:sz="4" w:space="0" w:color="auto"/>
              <w:right w:val="single" w:sz="4" w:space="0" w:color="auto"/>
            </w:tcBorders>
            <w:shd w:val="clear" w:color="auto" w:fill="auto"/>
            <w:vAlign w:val="bottom"/>
            <w:hideMark/>
          </w:tcPr>
          <w:p w14:paraId="13C8FCD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Прага</w:t>
            </w:r>
          </w:p>
        </w:tc>
        <w:tc>
          <w:tcPr>
            <w:tcW w:w="1028" w:type="dxa"/>
            <w:tcBorders>
              <w:top w:val="nil"/>
              <w:left w:val="nil"/>
              <w:bottom w:val="single" w:sz="4" w:space="0" w:color="auto"/>
              <w:right w:val="single" w:sz="4" w:space="0" w:color="auto"/>
            </w:tcBorders>
            <w:shd w:val="clear" w:color="auto" w:fill="auto"/>
            <w:vAlign w:val="bottom"/>
            <w:hideMark/>
          </w:tcPr>
          <w:p w14:paraId="209853E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Чехия</w:t>
            </w:r>
          </w:p>
        </w:tc>
        <w:tc>
          <w:tcPr>
            <w:tcW w:w="612" w:type="dxa"/>
            <w:tcBorders>
              <w:top w:val="nil"/>
              <w:left w:val="nil"/>
              <w:bottom w:val="single" w:sz="4" w:space="0" w:color="auto"/>
              <w:right w:val="single" w:sz="4" w:space="0" w:color="auto"/>
            </w:tcBorders>
            <w:shd w:val="clear" w:color="000000" w:fill="92D050"/>
            <w:vAlign w:val="center"/>
            <w:hideMark/>
          </w:tcPr>
          <w:p w14:paraId="0ED81E5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671</w:t>
            </w:r>
          </w:p>
        </w:tc>
        <w:tc>
          <w:tcPr>
            <w:tcW w:w="1145" w:type="dxa"/>
            <w:tcBorders>
              <w:top w:val="nil"/>
              <w:left w:val="nil"/>
              <w:bottom w:val="single" w:sz="4" w:space="0" w:color="auto"/>
              <w:right w:val="single" w:sz="4" w:space="0" w:color="auto"/>
            </w:tcBorders>
            <w:shd w:val="clear" w:color="auto" w:fill="auto"/>
            <w:vAlign w:val="center"/>
            <w:hideMark/>
          </w:tcPr>
          <w:p w14:paraId="14118DE9"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Czech Republic</w:t>
            </w:r>
          </w:p>
        </w:tc>
        <w:tc>
          <w:tcPr>
            <w:tcW w:w="612" w:type="dxa"/>
            <w:tcBorders>
              <w:top w:val="nil"/>
              <w:left w:val="nil"/>
              <w:bottom w:val="single" w:sz="4" w:space="0" w:color="auto"/>
              <w:right w:val="single" w:sz="4" w:space="0" w:color="auto"/>
            </w:tcBorders>
            <w:shd w:val="clear" w:color="auto" w:fill="auto"/>
            <w:vAlign w:val="center"/>
            <w:hideMark/>
          </w:tcPr>
          <w:p w14:paraId="007DD8F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76,3</w:t>
            </w:r>
          </w:p>
        </w:tc>
        <w:tc>
          <w:tcPr>
            <w:tcW w:w="818" w:type="dxa"/>
            <w:tcBorders>
              <w:top w:val="nil"/>
              <w:left w:val="nil"/>
              <w:bottom w:val="single" w:sz="4" w:space="0" w:color="auto"/>
              <w:right w:val="single" w:sz="4" w:space="0" w:color="auto"/>
            </w:tcBorders>
            <w:shd w:val="clear" w:color="auto" w:fill="auto"/>
            <w:vAlign w:val="center"/>
            <w:hideMark/>
          </w:tcPr>
          <w:p w14:paraId="76FA6EB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82,1</w:t>
            </w:r>
          </w:p>
        </w:tc>
        <w:tc>
          <w:tcPr>
            <w:tcW w:w="931" w:type="dxa"/>
            <w:tcBorders>
              <w:top w:val="nil"/>
              <w:left w:val="nil"/>
              <w:bottom w:val="single" w:sz="4" w:space="0" w:color="auto"/>
              <w:right w:val="single" w:sz="4" w:space="0" w:color="auto"/>
            </w:tcBorders>
            <w:shd w:val="clear" w:color="auto" w:fill="auto"/>
            <w:vAlign w:val="center"/>
            <w:hideMark/>
          </w:tcPr>
          <w:p w14:paraId="0075AE7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79,7</w:t>
            </w:r>
          </w:p>
        </w:tc>
        <w:tc>
          <w:tcPr>
            <w:tcW w:w="732" w:type="dxa"/>
            <w:tcBorders>
              <w:top w:val="nil"/>
              <w:left w:val="nil"/>
              <w:bottom w:val="single" w:sz="4" w:space="0" w:color="auto"/>
              <w:right w:val="single" w:sz="4" w:space="0" w:color="auto"/>
            </w:tcBorders>
            <w:shd w:val="clear" w:color="auto" w:fill="auto"/>
            <w:vAlign w:val="center"/>
            <w:hideMark/>
          </w:tcPr>
          <w:p w14:paraId="3DB387D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2B6E1C5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997" w:type="dxa"/>
            <w:tcBorders>
              <w:top w:val="nil"/>
              <w:left w:val="nil"/>
              <w:bottom w:val="single" w:sz="4" w:space="0" w:color="auto"/>
              <w:right w:val="single" w:sz="4" w:space="0" w:color="auto"/>
            </w:tcBorders>
            <w:shd w:val="clear" w:color="auto" w:fill="auto"/>
            <w:vAlign w:val="center"/>
            <w:hideMark/>
          </w:tcPr>
          <w:p w14:paraId="3A4127F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81,4</w:t>
            </w:r>
          </w:p>
        </w:tc>
        <w:tc>
          <w:tcPr>
            <w:tcW w:w="1437" w:type="dxa"/>
            <w:tcBorders>
              <w:top w:val="nil"/>
              <w:left w:val="nil"/>
              <w:bottom w:val="single" w:sz="4" w:space="0" w:color="auto"/>
              <w:right w:val="single" w:sz="4" w:space="0" w:color="auto"/>
            </w:tcBorders>
            <w:shd w:val="clear" w:color="auto" w:fill="auto"/>
            <w:vAlign w:val="center"/>
            <w:hideMark/>
          </w:tcPr>
          <w:p w14:paraId="70A8099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79841F1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56,4</w:t>
            </w:r>
          </w:p>
        </w:tc>
        <w:tc>
          <w:tcPr>
            <w:tcW w:w="1085" w:type="dxa"/>
            <w:tcBorders>
              <w:top w:val="nil"/>
              <w:left w:val="nil"/>
              <w:bottom w:val="single" w:sz="4" w:space="0" w:color="auto"/>
              <w:right w:val="single" w:sz="4" w:space="0" w:color="auto"/>
            </w:tcBorders>
            <w:shd w:val="clear" w:color="auto" w:fill="auto"/>
            <w:vAlign w:val="center"/>
            <w:hideMark/>
          </w:tcPr>
          <w:p w14:paraId="5CAAD67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80,1</w:t>
            </w:r>
          </w:p>
        </w:tc>
        <w:tc>
          <w:tcPr>
            <w:tcW w:w="916" w:type="dxa"/>
            <w:tcBorders>
              <w:top w:val="nil"/>
              <w:left w:val="nil"/>
              <w:bottom w:val="single" w:sz="4" w:space="0" w:color="auto"/>
              <w:right w:val="single" w:sz="4" w:space="0" w:color="auto"/>
            </w:tcBorders>
            <w:shd w:val="clear" w:color="auto" w:fill="auto"/>
            <w:vAlign w:val="center"/>
            <w:hideMark/>
          </w:tcPr>
          <w:p w14:paraId="20F30E0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56,2</w:t>
            </w:r>
          </w:p>
        </w:tc>
        <w:tc>
          <w:tcPr>
            <w:tcW w:w="871" w:type="dxa"/>
            <w:tcBorders>
              <w:top w:val="nil"/>
              <w:left w:val="nil"/>
              <w:bottom w:val="single" w:sz="4" w:space="0" w:color="auto"/>
              <w:right w:val="single" w:sz="4" w:space="0" w:color="auto"/>
            </w:tcBorders>
            <w:shd w:val="clear" w:color="auto" w:fill="auto"/>
            <w:vAlign w:val="center"/>
            <w:hideMark/>
          </w:tcPr>
          <w:p w14:paraId="276D876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95,6</w:t>
            </w:r>
          </w:p>
        </w:tc>
      </w:tr>
      <w:tr w:rsidR="00457E80" w:rsidRPr="00036538" w14:paraId="5C9B2CF7" w14:textId="77777777" w:rsidTr="00576F59">
        <w:trPr>
          <w:trHeight w:val="6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A46607E"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47</w:t>
            </w:r>
          </w:p>
        </w:tc>
        <w:tc>
          <w:tcPr>
            <w:tcW w:w="908" w:type="dxa"/>
            <w:tcBorders>
              <w:top w:val="nil"/>
              <w:left w:val="nil"/>
              <w:bottom w:val="single" w:sz="4" w:space="0" w:color="auto"/>
              <w:right w:val="single" w:sz="4" w:space="0" w:color="auto"/>
            </w:tcBorders>
            <w:shd w:val="clear" w:color="auto" w:fill="auto"/>
            <w:vAlign w:val="bottom"/>
            <w:hideMark/>
          </w:tcPr>
          <w:p w14:paraId="08F0AD00"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Каймановы острова</w:t>
            </w:r>
          </w:p>
        </w:tc>
        <w:tc>
          <w:tcPr>
            <w:tcW w:w="1028" w:type="dxa"/>
            <w:tcBorders>
              <w:top w:val="nil"/>
              <w:left w:val="nil"/>
              <w:bottom w:val="single" w:sz="4" w:space="0" w:color="auto"/>
              <w:right w:val="single" w:sz="4" w:space="0" w:color="auto"/>
            </w:tcBorders>
            <w:shd w:val="clear" w:color="auto" w:fill="auto"/>
            <w:vAlign w:val="bottom"/>
            <w:hideMark/>
          </w:tcPr>
          <w:p w14:paraId="142989B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Великобритания</w:t>
            </w:r>
          </w:p>
        </w:tc>
        <w:tc>
          <w:tcPr>
            <w:tcW w:w="612" w:type="dxa"/>
            <w:tcBorders>
              <w:top w:val="nil"/>
              <w:left w:val="nil"/>
              <w:bottom w:val="single" w:sz="4" w:space="0" w:color="auto"/>
              <w:right w:val="single" w:sz="4" w:space="0" w:color="auto"/>
            </w:tcBorders>
            <w:shd w:val="clear" w:color="000000" w:fill="92D050"/>
            <w:vAlign w:val="center"/>
            <w:hideMark/>
          </w:tcPr>
          <w:p w14:paraId="18949AC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670</w:t>
            </w:r>
          </w:p>
        </w:tc>
        <w:tc>
          <w:tcPr>
            <w:tcW w:w="1145" w:type="dxa"/>
            <w:tcBorders>
              <w:top w:val="nil"/>
              <w:left w:val="nil"/>
              <w:bottom w:val="single" w:sz="4" w:space="0" w:color="auto"/>
              <w:right w:val="single" w:sz="4" w:space="0" w:color="auto"/>
            </w:tcBorders>
            <w:shd w:val="clear" w:color="auto" w:fill="auto"/>
            <w:vAlign w:val="center"/>
            <w:hideMark/>
          </w:tcPr>
          <w:p w14:paraId="18029CB6"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Kingdom</w:t>
            </w:r>
          </w:p>
        </w:tc>
        <w:tc>
          <w:tcPr>
            <w:tcW w:w="612" w:type="dxa"/>
            <w:tcBorders>
              <w:top w:val="nil"/>
              <w:left w:val="nil"/>
              <w:bottom w:val="single" w:sz="4" w:space="0" w:color="auto"/>
              <w:right w:val="single" w:sz="4" w:space="0" w:color="auto"/>
            </w:tcBorders>
            <w:shd w:val="clear" w:color="auto" w:fill="auto"/>
            <w:vAlign w:val="center"/>
            <w:hideMark/>
          </w:tcPr>
          <w:p w14:paraId="3742B27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83,5</w:t>
            </w:r>
          </w:p>
        </w:tc>
        <w:tc>
          <w:tcPr>
            <w:tcW w:w="818" w:type="dxa"/>
            <w:tcBorders>
              <w:top w:val="nil"/>
              <w:left w:val="nil"/>
              <w:bottom w:val="single" w:sz="4" w:space="0" w:color="auto"/>
              <w:right w:val="single" w:sz="4" w:space="0" w:color="auto"/>
            </w:tcBorders>
            <w:shd w:val="clear" w:color="auto" w:fill="auto"/>
            <w:vAlign w:val="center"/>
            <w:hideMark/>
          </w:tcPr>
          <w:p w14:paraId="14C5F3A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94,6</w:t>
            </w:r>
          </w:p>
        </w:tc>
        <w:tc>
          <w:tcPr>
            <w:tcW w:w="931" w:type="dxa"/>
            <w:tcBorders>
              <w:top w:val="nil"/>
              <w:left w:val="nil"/>
              <w:bottom w:val="single" w:sz="4" w:space="0" w:color="auto"/>
              <w:right w:val="single" w:sz="4" w:space="0" w:color="auto"/>
            </w:tcBorders>
            <w:shd w:val="clear" w:color="auto" w:fill="auto"/>
            <w:vAlign w:val="center"/>
            <w:hideMark/>
          </w:tcPr>
          <w:p w14:paraId="0920EE6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4F671A7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416E5B4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41AFD6A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86,2</w:t>
            </w:r>
          </w:p>
        </w:tc>
        <w:tc>
          <w:tcPr>
            <w:tcW w:w="1437" w:type="dxa"/>
            <w:tcBorders>
              <w:top w:val="nil"/>
              <w:left w:val="nil"/>
              <w:bottom w:val="single" w:sz="4" w:space="0" w:color="auto"/>
              <w:right w:val="single" w:sz="4" w:space="0" w:color="auto"/>
            </w:tcBorders>
            <w:shd w:val="clear" w:color="auto" w:fill="auto"/>
            <w:vAlign w:val="center"/>
            <w:hideMark/>
          </w:tcPr>
          <w:p w14:paraId="11C9CEA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93,8</w:t>
            </w:r>
          </w:p>
        </w:tc>
        <w:tc>
          <w:tcPr>
            <w:tcW w:w="1262" w:type="dxa"/>
            <w:tcBorders>
              <w:top w:val="nil"/>
              <w:left w:val="nil"/>
              <w:bottom w:val="single" w:sz="4" w:space="0" w:color="auto"/>
              <w:right w:val="single" w:sz="4" w:space="0" w:color="auto"/>
            </w:tcBorders>
            <w:shd w:val="clear" w:color="auto" w:fill="auto"/>
            <w:vAlign w:val="center"/>
            <w:hideMark/>
          </w:tcPr>
          <w:p w14:paraId="0609D9A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68,7</w:t>
            </w:r>
          </w:p>
        </w:tc>
        <w:tc>
          <w:tcPr>
            <w:tcW w:w="1085" w:type="dxa"/>
            <w:tcBorders>
              <w:top w:val="nil"/>
              <w:left w:val="nil"/>
              <w:bottom w:val="single" w:sz="4" w:space="0" w:color="auto"/>
              <w:right w:val="single" w:sz="4" w:space="0" w:color="auto"/>
            </w:tcBorders>
            <w:shd w:val="clear" w:color="auto" w:fill="auto"/>
            <w:vAlign w:val="center"/>
            <w:hideMark/>
          </w:tcPr>
          <w:p w14:paraId="42EF8E3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916" w:type="dxa"/>
            <w:tcBorders>
              <w:top w:val="nil"/>
              <w:left w:val="nil"/>
              <w:bottom w:val="single" w:sz="4" w:space="0" w:color="auto"/>
              <w:right w:val="single" w:sz="4" w:space="0" w:color="auto"/>
            </w:tcBorders>
            <w:shd w:val="clear" w:color="auto" w:fill="auto"/>
            <w:vAlign w:val="center"/>
            <w:hideMark/>
          </w:tcPr>
          <w:p w14:paraId="7B30D1A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871" w:type="dxa"/>
            <w:tcBorders>
              <w:top w:val="nil"/>
              <w:left w:val="nil"/>
              <w:bottom w:val="single" w:sz="4" w:space="0" w:color="auto"/>
              <w:right w:val="single" w:sz="4" w:space="0" w:color="auto"/>
            </w:tcBorders>
            <w:shd w:val="clear" w:color="auto" w:fill="auto"/>
            <w:vAlign w:val="center"/>
            <w:hideMark/>
          </w:tcPr>
          <w:p w14:paraId="1AE84B3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96,9</w:t>
            </w:r>
          </w:p>
        </w:tc>
      </w:tr>
      <w:tr w:rsidR="00457E80" w:rsidRPr="00036538" w14:paraId="11B8D82C"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818D659"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48</w:t>
            </w:r>
          </w:p>
        </w:tc>
        <w:tc>
          <w:tcPr>
            <w:tcW w:w="908" w:type="dxa"/>
            <w:tcBorders>
              <w:top w:val="nil"/>
              <w:left w:val="nil"/>
              <w:bottom w:val="single" w:sz="4" w:space="0" w:color="auto"/>
              <w:right w:val="single" w:sz="4" w:space="0" w:color="auto"/>
            </w:tcBorders>
            <w:shd w:val="clear" w:color="auto" w:fill="auto"/>
            <w:vAlign w:val="bottom"/>
            <w:hideMark/>
          </w:tcPr>
          <w:p w14:paraId="7BE3ED4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Доха</w:t>
            </w:r>
          </w:p>
        </w:tc>
        <w:tc>
          <w:tcPr>
            <w:tcW w:w="1028" w:type="dxa"/>
            <w:tcBorders>
              <w:top w:val="nil"/>
              <w:left w:val="nil"/>
              <w:bottom w:val="single" w:sz="4" w:space="0" w:color="auto"/>
              <w:right w:val="single" w:sz="4" w:space="0" w:color="auto"/>
            </w:tcBorders>
            <w:shd w:val="clear" w:color="auto" w:fill="auto"/>
            <w:vAlign w:val="bottom"/>
            <w:hideMark/>
          </w:tcPr>
          <w:p w14:paraId="7212613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Катар</w:t>
            </w:r>
          </w:p>
        </w:tc>
        <w:tc>
          <w:tcPr>
            <w:tcW w:w="612" w:type="dxa"/>
            <w:tcBorders>
              <w:top w:val="nil"/>
              <w:left w:val="nil"/>
              <w:bottom w:val="single" w:sz="4" w:space="0" w:color="auto"/>
              <w:right w:val="single" w:sz="4" w:space="0" w:color="auto"/>
            </w:tcBorders>
            <w:shd w:val="clear" w:color="000000" w:fill="92D050"/>
            <w:vAlign w:val="center"/>
            <w:hideMark/>
          </w:tcPr>
          <w:p w14:paraId="462812E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669</w:t>
            </w:r>
          </w:p>
        </w:tc>
        <w:tc>
          <w:tcPr>
            <w:tcW w:w="1145" w:type="dxa"/>
            <w:tcBorders>
              <w:top w:val="nil"/>
              <w:left w:val="nil"/>
              <w:bottom w:val="single" w:sz="4" w:space="0" w:color="auto"/>
              <w:right w:val="single" w:sz="4" w:space="0" w:color="auto"/>
            </w:tcBorders>
            <w:shd w:val="clear" w:color="auto" w:fill="auto"/>
            <w:vAlign w:val="center"/>
            <w:hideMark/>
          </w:tcPr>
          <w:p w14:paraId="0A693FD9"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Qatar</w:t>
            </w:r>
          </w:p>
        </w:tc>
        <w:tc>
          <w:tcPr>
            <w:tcW w:w="612" w:type="dxa"/>
            <w:tcBorders>
              <w:top w:val="nil"/>
              <w:left w:val="nil"/>
              <w:bottom w:val="single" w:sz="4" w:space="0" w:color="auto"/>
              <w:right w:val="single" w:sz="4" w:space="0" w:color="auto"/>
            </w:tcBorders>
            <w:shd w:val="clear" w:color="auto" w:fill="auto"/>
            <w:vAlign w:val="center"/>
            <w:hideMark/>
          </w:tcPr>
          <w:p w14:paraId="02C30FD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68,7</w:t>
            </w:r>
          </w:p>
        </w:tc>
        <w:tc>
          <w:tcPr>
            <w:tcW w:w="818" w:type="dxa"/>
            <w:tcBorders>
              <w:top w:val="nil"/>
              <w:left w:val="nil"/>
              <w:bottom w:val="single" w:sz="4" w:space="0" w:color="auto"/>
              <w:right w:val="single" w:sz="4" w:space="0" w:color="auto"/>
            </w:tcBorders>
            <w:shd w:val="clear" w:color="auto" w:fill="auto"/>
            <w:vAlign w:val="center"/>
            <w:hideMark/>
          </w:tcPr>
          <w:p w14:paraId="1043AB2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86,1</w:t>
            </w:r>
          </w:p>
        </w:tc>
        <w:tc>
          <w:tcPr>
            <w:tcW w:w="931" w:type="dxa"/>
            <w:tcBorders>
              <w:top w:val="nil"/>
              <w:left w:val="nil"/>
              <w:bottom w:val="single" w:sz="4" w:space="0" w:color="auto"/>
              <w:right w:val="single" w:sz="4" w:space="0" w:color="auto"/>
            </w:tcBorders>
            <w:shd w:val="clear" w:color="auto" w:fill="auto"/>
            <w:vAlign w:val="center"/>
            <w:hideMark/>
          </w:tcPr>
          <w:p w14:paraId="0F0A07A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96,2</w:t>
            </w:r>
          </w:p>
        </w:tc>
        <w:tc>
          <w:tcPr>
            <w:tcW w:w="732" w:type="dxa"/>
            <w:tcBorders>
              <w:top w:val="nil"/>
              <w:left w:val="nil"/>
              <w:bottom w:val="single" w:sz="4" w:space="0" w:color="auto"/>
              <w:right w:val="single" w:sz="4" w:space="0" w:color="auto"/>
            </w:tcBorders>
            <w:shd w:val="clear" w:color="auto" w:fill="auto"/>
            <w:vAlign w:val="center"/>
            <w:hideMark/>
          </w:tcPr>
          <w:p w14:paraId="0ED3A42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45,0</w:t>
            </w:r>
          </w:p>
        </w:tc>
        <w:tc>
          <w:tcPr>
            <w:tcW w:w="1016" w:type="dxa"/>
            <w:tcBorders>
              <w:top w:val="nil"/>
              <w:left w:val="nil"/>
              <w:bottom w:val="single" w:sz="4" w:space="0" w:color="auto"/>
              <w:right w:val="single" w:sz="4" w:space="0" w:color="auto"/>
            </w:tcBorders>
            <w:shd w:val="clear" w:color="auto" w:fill="auto"/>
            <w:vAlign w:val="center"/>
            <w:hideMark/>
          </w:tcPr>
          <w:p w14:paraId="684C240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28,0</w:t>
            </w:r>
          </w:p>
        </w:tc>
        <w:tc>
          <w:tcPr>
            <w:tcW w:w="997" w:type="dxa"/>
            <w:tcBorders>
              <w:top w:val="nil"/>
              <w:left w:val="nil"/>
              <w:bottom w:val="single" w:sz="4" w:space="0" w:color="auto"/>
              <w:right w:val="single" w:sz="4" w:space="0" w:color="auto"/>
            </w:tcBorders>
            <w:shd w:val="clear" w:color="auto" w:fill="auto"/>
            <w:vAlign w:val="center"/>
            <w:hideMark/>
          </w:tcPr>
          <w:p w14:paraId="4C0F40E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99,4</w:t>
            </w:r>
          </w:p>
        </w:tc>
        <w:tc>
          <w:tcPr>
            <w:tcW w:w="1437" w:type="dxa"/>
            <w:tcBorders>
              <w:top w:val="nil"/>
              <w:left w:val="nil"/>
              <w:bottom w:val="single" w:sz="4" w:space="0" w:color="auto"/>
              <w:right w:val="single" w:sz="4" w:space="0" w:color="auto"/>
            </w:tcBorders>
            <w:shd w:val="clear" w:color="auto" w:fill="auto"/>
            <w:vAlign w:val="center"/>
            <w:hideMark/>
          </w:tcPr>
          <w:p w14:paraId="0039399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71,5</w:t>
            </w:r>
          </w:p>
        </w:tc>
        <w:tc>
          <w:tcPr>
            <w:tcW w:w="1262" w:type="dxa"/>
            <w:tcBorders>
              <w:top w:val="nil"/>
              <w:left w:val="nil"/>
              <w:bottom w:val="single" w:sz="4" w:space="0" w:color="auto"/>
              <w:right w:val="single" w:sz="4" w:space="0" w:color="auto"/>
            </w:tcBorders>
            <w:shd w:val="clear" w:color="auto" w:fill="auto"/>
            <w:vAlign w:val="center"/>
            <w:hideMark/>
          </w:tcPr>
          <w:p w14:paraId="2E62B8E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54,6</w:t>
            </w:r>
          </w:p>
        </w:tc>
        <w:tc>
          <w:tcPr>
            <w:tcW w:w="1085" w:type="dxa"/>
            <w:tcBorders>
              <w:top w:val="nil"/>
              <w:left w:val="nil"/>
              <w:bottom w:val="single" w:sz="4" w:space="0" w:color="auto"/>
              <w:right w:val="single" w:sz="4" w:space="0" w:color="auto"/>
            </w:tcBorders>
            <w:shd w:val="clear" w:color="auto" w:fill="auto"/>
            <w:vAlign w:val="center"/>
            <w:hideMark/>
          </w:tcPr>
          <w:p w14:paraId="1C5D7E5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38,0</w:t>
            </w:r>
          </w:p>
        </w:tc>
        <w:tc>
          <w:tcPr>
            <w:tcW w:w="916" w:type="dxa"/>
            <w:tcBorders>
              <w:top w:val="nil"/>
              <w:left w:val="nil"/>
              <w:bottom w:val="single" w:sz="4" w:space="0" w:color="auto"/>
              <w:right w:val="single" w:sz="4" w:space="0" w:color="auto"/>
            </w:tcBorders>
            <w:shd w:val="clear" w:color="auto" w:fill="auto"/>
            <w:vAlign w:val="center"/>
            <w:hideMark/>
          </w:tcPr>
          <w:p w14:paraId="49C3DB5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84,2</w:t>
            </w:r>
          </w:p>
        </w:tc>
        <w:tc>
          <w:tcPr>
            <w:tcW w:w="871" w:type="dxa"/>
            <w:tcBorders>
              <w:top w:val="nil"/>
              <w:left w:val="nil"/>
              <w:bottom w:val="single" w:sz="4" w:space="0" w:color="auto"/>
              <w:right w:val="single" w:sz="4" w:space="0" w:color="auto"/>
            </w:tcBorders>
            <w:shd w:val="clear" w:color="auto" w:fill="auto"/>
            <w:vAlign w:val="center"/>
            <w:hideMark/>
          </w:tcPr>
          <w:p w14:paraId="79C18FD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83,6</w:t>
            </w:r>
          </w:p>
        </w:tc>
      </w:tr>
      <w:tr w:rsidR="00457E80" w:rsidRPr="00036538" w14:paraId="4BBE7A1C"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B49BD2A"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49</w:t>
            </w:r>
          </w:p>
        </w:tc>
        <w:tc>
          <w:tcPr>
            <w:tcW w:w="908" w:type="dxa"/>
            <w:tcBorders>
              <w:top w:val="nil"/>
              <w:left w:val="nil"/>
              <w:bottom w:val="single" w:sz="4" w:space="0" w:color="auto"/>
              <w:right w:val="single" w:sz="4" w:space="0" w:color="auto"/>
            </w:tcBorders>
            <w:shd w:val="clear" w:color="auto" w:fill="auto"/>
            <w:vAlign w:val="bottom"/>
            <w:hideMark/>
          </w:tcPr>
          <w:p w14:paraId="56EAE26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Джерси</w:t>
            </w:r>
          </w:p>
        </w:tc>
        <w:tc>
          <w:tcPr>
            <w:tcW w:w="1028" w:type="dxa"/>
            <w:tcBorders>
              <w:top w:val="nil"/>
              <w:left w:val="nil"/>
              <w:bottom w:val="single" w:sz="4" w:space="0" w:color="auto"/>
              <w:right w:val="single" w:sz="4" w:space="0" w:color="auto"/>
            </w:tcBorders>
            <w:shd w:val="clear" w:color="auto" w:fill="auto"/>
            <w:vAlign w:val="bottom"/>
            <w:hideMark/>
          </w:tcPr>
          <w:p w14:paraId="0BFC63D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Великобритания</w:t>
            </w:r>
          </w:p>
        </w:tc>
        <w:tc>
          <w:tcPr>
            <w:tcW w:w="612" w:type="dxa"/>
            <w:tcBorders>
              <w:top w:val="nil"/>
              <w:left w:val="nil"/>
              <w:bottom w:val="single" w:sz="4" w:space="0" w:color="auto"/>
              <w:right w:val="single" w:sz="4" w:space="0" w:color="auto"/>
            </w:tcBorders>
            <w:shd w:val="clear" w:color="000000" w:fill="92D050"/>
            <w:vAlign w:val="center"/>
            <w:hideMark/>
          </w:tcPr>
          <w:p w14:paraId="6C8FAB9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666</w:t>
            </w:r>
          </w:p>
        </w:tc>
        <w:tc>
          <w:tcPr>
            <w:tcW w:w="1145" w:type="dxa"/>
            <w:tcBorders>
              <w:top w:val="nil"/>
              <w:left w:val="nil"/>
              <w:bottom w:val="single" w:sz="4" w:space="0" w:color="auto"/>
              <w:right w:val="single" w:sz="4" w:space="0" w:color="auto"/>
            </w:tcBorders>
            <w:shd w:val="clear" w:color="auto" w:fill="auto"/>
            <w:vAlign w:val="center"/>
            <w:hideMark/>
          </w:tcPr>
          <w:p w14:paraId="5EB784D1"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Kingdom</w:t>
            </w:r>
          </w:p>
        </w:tc>
        <w:tc>
          <w:tcPr>
            <w:tcW w:w="612" w:type="dxa"/>
            <w:tcBorders>
              <w:top w:val="nil"/>
              <w:left w:val="nil"/>
              <w:bottom w:val="single" w:sz="4" w:space="0" w:color="auto"/>
              <w:right w:val="single" w:sz="4" w:space="0" w:color="auto"/>
            </w:tcBorders>
            <w:shd w:val="clear" w:color="auto" w:fill="auto"/>
            <w:vAlign w:val="center"/>
            <w:hideMark/>
          </w:tcPr>
          <w:p w14:paraId="416F3D9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83,5</w:t>
            </w:r>
          </w:p>
        </w:tc>
        <w:tc>
          <w:tcPr>
            <w:tcW w:w="818" w:type="dxa"/>
            <w:tcBorders>
              <w:top w:val="nil"/>
              <w:left w:val="nil"/>
              <w:bottom w:val="single" w:sz="4" w:space="0" w:color="auto"/>
              <w:right w:val="single" w:sz="4" w:space="0" w:color="auto"/>
            </w:tcBorders>
            <w:shd w:val="clear" w:color="auto" w:fill="auto"/>
            <w:vAlign w:val="center"/>
            <w:hideMark/>
          </w:tcPr>
          <w:p w14:paraId="639A806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94,6</w:t>
            </w:r>
          </w:p>
        </w:tc>
        <w:tc>
          <w:tcPr>
            <w:tcW w:w="931" w:type="dxa"/>
            <w:tcBorders>
              <w:top w:val="nil"/>
              <w:left w:val="nil"/>
              <w:bottom w:val="single" w:sz="4" w:space="0" w:color="auto"/>
              <w:right w:val="single" w:sz="4" w:space="0" w:color="auto"/>
            </w:tcBorders>
            <w:shd w:val="clear" w:color="auto" w:fill="auto"/>
            <w:vAlign w:val="center"/>
            <w:hideMark/>
          </w:tcPr>
          <w:p w14:paraId="393CD24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6D5AAB2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4A63EE9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76C4524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86,2</w:t>
            </w:r>
          </w:p>
        </w:tc>
        <w:tc>
          <w:tcPr>
            <w:tcW w:w="1437" w:type="dxa"/>
            <w:tcBorders>
              <w:top w:val="nil"/>
              <w:left w:val="nil"/>
              <w:bottom w:val="single" w:sz="4" w:space="0" w:color="auto"/>
              <w:right w:val="single" w:sz="4" w:space="0" w:color="auto"/>
            </w:tcBorders>
            <w:shd w:val="clear" w:color="auto" w:fill="auto"/>
            <w:vAlign w:val="center"/>
            <w:hideMark/>
          </w:tcPr>
          <w:p w14:paraId="6495FFB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93,8</w:t>
            </w:r>
          </w:p>
        </w:tc>
        <w:tc>
          <w:tcPr>
            <w:tcW w:w="1262" w:type="dxa"/>
            <w:tcBorders>
              <w:top w:val="nil"/>
              <w:left w:val="nil"/>
              <w:bottom w:val="single" w:sz="4" w:space="0" w:color="auto"/>
              <w:right w:val="single" w:sz="4" w:space="0" w:color="auto"/>
            </w:tcBorders>
            <w:shd w:val="clear" w:color="auto" w:fill="auto"/>
            <w:vAlign w:val="center"/>
            <w:hideMark/>
          </w:tcPr>
          <w:p w14:paraId="698085C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68,7</w:t>
            </w:r>
          </w:p>
        </w:tc>
        <w:tc>
          <w:tcPr>
            <w:tcW w:w="1085" w:type="dxa"/>
            <w:tcBorders>
              <w:top w:val="nil"/>
              <w:left w:val="nil"/>
              <w:bottom w:val="single" w:sz="4" w:space="0" w:color="auto"/>
              <w:right w:val="single" w:sz="4" w:space="0" w:color="auto"/>
            </w:tcBorders>
            <w:shd w:val="clear" w:color="auto" w:fill="auto"/>
            <w:vAlign w:val="center"/>
            <w:hideMark/>
          </w:tcPr>
          <w:p w14:paraId="0298B26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916" w:type="dxa"/>
            <w:tcBorders>
              <w:top w:val="nil"/>
              <w:left w:val="nil"/>
              <w:bottom w:val="single" w:sz="4" w:space="0" w:color="auto"/>
              <w:right w:val="single" w:sz="4" w:space="0" w:color="auto"/>
            </w:tcBorders>
            <w:shd w:val="clear" w:color="auto" w:fill="auto"/>
            <w:vAlign w:val="center"/>
            <w:hideMark/>
          </w:tcPr>
          <w:p w14:paraId="3701F3F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871" w:type="dxa"/>
            <w:tcBorders>
              <w:top w:val="nil"/>
              <w:left w:val="nil"/>
              <w:bottom w:val="single" w:sz="4" w:space="0" w:color="auto"/>
              <w:right w:val="single" w:sz="4" w:space="0" w:color="auto"/>
            </w:tcBorders>
            <w:shd w:val="clear" w:color="auto" w:fill="auto"/>
            <w:vAlign w:val="center"/>
            <w:hideMark/>
          </w:tcPr>
          <w:p w14:paraId="60F90194"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96,9</w:t>
            </w:r>
          </w:p>
        </w:tc>
      </w:tr>
      <w:tr w:rsidR="00457E80" w:rsidRPr="00036538" w14:paraId="1A753E88"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55F5ADD"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50</w:t>
            </w:r>
          </w:p>
        </w:tc>
        <w:tc>
          <w:tcPr>
            <w:tcW w:w="908" w:type="dxa"/>
            <w:tcBorders>
              <w:top w:val="nil"/>
              <w:left w:val="nil"/>
              <w:bottom w:val="single" w:sz="4" w:space="0" w:color="auto"/>
              <w:right w:val="single" w:sz="4" w:space="0" w:color="auto"/>
            </w:tcBorders>
            <w:shd w:val="clear" w:color="auto" w:fill="auto"/>
            <w:vAlign w:val="bottom"/>
            <w:hideMark/>
          </w:tcPr>
          <w:p w14:paraId="162DB03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Варшава</w:t>
            </w:r>
          </w:p>
        </w:tc>
        <w:tc>
          <w:tcPr>
            <w:tcW w:w="1028" w:type="dxa"/>
            <w:tcBorders>
              <w:top w:val="nil"/>
              <w:left w:val="nil"/>
              <w:bottom w:val="single" w:sz="4" w:space="0" w:color="auto"/>
              <w:right w:val="single" w:sz="4" w:space="0" w:color="auto"/>
            </w:tcBorders>
            <w:shd w:val="clear" w:color="auto" w:fill="auto"/>
            <w:vAlign w:val="bottom"/>
            <w:hideMark/>
          </w:tcPr>
          <w:p w14:paraId="71CD34D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Польша</w:t>
            </w:r>
          </w:p>
        </w:tc>
        <w:tc>
          <w:tcPr>
            <w:tcW w:w="612" w:type="dxa"/>
            <w:tcBorders>
              <w:top w:val="nil"/>
              <w:left w:val="nil"/>
              <w:bottom w:val="single" w:sz="4" w:space="0" w:color="auto"/>
              <w:right w:val="single" w:sz="4" w:space="0" w:color="auto"/>
            </w:tcBorders>
            <w:shd w:val="clear" w:color="000000" w:fill="92D050"/>
            <w:vAlign w:val="center"/>
            <w:hideMark/>
          </w:tcPr>
          <w:p w14:paraId="6870412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665</w:t>
            </w:r>
          </w:p>
        </w:tc>
        <w:tc>
          <w:tcPr>
            <w:tcW w:w="1145" w:type="dxa"/>
            <w:tcBorders>
              <w:top w:val="nil"/>
              <w:left w:val="nil"/>
              <w:bottom w:val="single" w:sz="4" w:space="0" w:color="auto"/>
              <w:right w:val="single" w:sz="4" w:space="0" w:color="auto"/>
            </w:tcBorders>
            <w:shd w:val="clear" w:color="auto" w:fill="auto"/>
            <w:vAlign w:val="center"/>
            <w:hideMark/>
          </w:tcPr>
          <w:p w14:paraId="357FEECD"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Poland</w:t>
            </w:r>
          </w:p>
        </w:tc>
        <w:tc>
          <w:tcPr>
            <w:tcW w:w="612" w:type="dxa"/>
            <w:tcBorders>
              <w:top w:val="nil"/>
              <w:left w:val="nil"/>
              <w:bottom w:val="single" w:sz="4" w:space="0" w:color="auto"/>
              <w:right w:val="single" w:sz="4" w:space="0" w:color="auto"/>
            </w:tcBorders>
            <w:shd w:val="clear" w:color="auto" w:fill="auto"/>
            <w:vAlign w:val="center"/>
            <w:hideMark/>
          </w:tcPr>
          <w:p w14:paraId="07F8F77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76,4</w:t>
            </w:r>
          </w:p>
        </w:tc>
        <w:tc>
          <w:tcPr>
            <w:tcW w:w="818" w:type="dxa"/>
            <w:tcBorders>
              <w:top w:val="nil"/>
              <w:left w:val="nil"/>
              <w:bottom w:val="single" w:sz="4" w:space="0" w:color="auto"/>
              <w:right w:val="single" w:sz="4" w:space="0" w:color="auto"/>
            </w:tcBorders>
            <w:shd w:val="clear" w:color="auto" w:fill="auto"/>
            <w:vAlign w:val="center"/>
            <w:hideMark/>
          </w:tcPr>
          <w:p w14:paraId="7539F3D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82,9</w:t>
            </w:r>
          </w:p>
        </w:tc>
        <w:tc>
          <w:tcPr>
            <w:tcW w:w="931" w:type="dxa"/>
            <w:tcBorders>
              <w:top w:val="nil"/>
              <w:left w:val="nil"/>
              <w:bottom w:val="single" w:sz="4" w:space="0" w:color="auto"/>
              <w:right w:val="single" w:sz="4" w:space="0" w:color="auto"/>
            </w:tcBorders>
            <w:shd w:val="clear" w:color="auto" w:fill="auto"/>
            <w:vAlign w:val="center"/>
            <w:hideMark/>
          </w:tcPr>
          <w:p w14:paraId="4B4C124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63,9</w:t>
            </w:r>
          </w:p>
        </w:tc>
        <w:tc>
          <w:tcPr>
            <w:tcW w:w="732" w:type="dxa"/>
            <w:tcBorders>
              <w:top w:val="nil"/>
              <w:left w:val="nil"/>
              <w:bottom w:val="single" w:sz="4" w:space="0" w:color="auto"/>
              <w:right w:val="single" w:sz="4" w:space="0" w:color="auto"/>
            </w:tcBorders>
            <w:shd w:val="clear" w:color="auto" w:fill="auto"/>
            <w:vAlign w:val="center"/>
            <w:hideMark/>
          </w:tcPr>
          <w:p w14:paraId="4066678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339EFDF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66,0</w:t>
            </w:r>
          </w:p>
        </w:tc>
        <w:tc>
          <w:tcPr>
            <w:tcW w:w="997" w:type="dxa"/>
            <w:tcBorders>
              <w:top w:val="nil"/>
              <w:left w:val="nil"/>
              <w:bottom w:val="single" w:sz="4" w:space="0" w:color="auto"/>
              <w:right w:val="single" w:sz="4" w:space="0" w:color="auto"/>
            </w:tcBorders>
            <w:shd w:val="clear" w:color="auto" w:fill="auto"/>
            <w:vAlign w:val="center"/>
            <w:hideMark/>
          </w:tcPr>
          <w:p w14:paraId="7582991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76,4</w:t>
            </w:r>
          </w:p>
        </w:tc>
        <w:tc>
          <w:tcPr>
            <w:tcW w:w="1437" w:type="dxa"/>
            <w:tcBorders>
              <w:top w:val="nil"/>
              <w:left w:val="nil"/>
              <w:bottom w:val="single" w:sz="4" w:space="0" w:color="auto"/>
              <w:right w:val="single" w:sz="4" w:space="0" w:color="auto"/>
            </w:tcBorders>
            <w:shd w:val="clear" w:color="auto" w:fill="auto"/>
            <w:vAlign w:val="center"/>
            <w:hideMark/>
          </w:tcPr>
          <w:p w14:paraId="2E38F54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5A27904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64,4</w:t>
            </w:r>
          </w:p>
        </w:tc>
        <w:tc>
          <w:tcPr>
            <w:tcW w:w="1085" w:type="dxa"/>
            <w:tcBorders>
              <w:top w:val="nil"/>
              <w:left w:val="nil"/>
              <w:bottom w:val="single" w:sz="4" w:space="0" w:color="auto"/>
              <w:right w:val="single" w:sz="4" w:space="0" w:color="auto"/>
            </w:tcBorders>
            <w:shd w:val="clear" w:color="auto" w:fill="auto"/>
            <w:vAlign w:val="center"/>
            <w:hideMark/>
          </w:tcPr>
          <w:p w14:paraId="3AD6863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76,5</w:t>
            </w:r>
          </w:p>
        </w:tc>
        <w:tc>
          <w:tcPr>
            <w:tcW w:w="916" w:type="dxa"/>
            <w:tcBorders>
              <w:top w:val="nil"/>
              <w:left w:val="nil"/>
              <w:bottom w:val="single" w:sz="4" w:space="0" w:color="auto"/>
              <w:right w:val="single" w:sz="4" w:space="0" w:color="auto"/>
            </w:tcBorders>
            <w:shd w:val="clear" w:color="auto" w:fill="auto"/>
            <w:vAlign w:val="center"/>
            <w:hideMark/>
          </w:tcPr>
          <w:p w14:paraId="52E82CC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76,4</w:t>
            </w:r>
          </w:p>
        </w:tc>
        <w:tc>
          <w:tcPr>
            <w:tcW w:w="871" w:type="dxa"/>
            <w:tcBorders>
              <w:top w:val="nil"/>
              <w:left w:val="nil"/>
              <w:bottom w:val="single" w:sz="4" w:space="0" w:color="auto"/>
              <w:right w:val="single" w:sz="4" w:space="0" w:color="auto"/>
            </w:tcBorders>
            <w:shd w:val="clear" w:color="auto" w:fill="auto"/>
            <w:vAlign w:val="center"/>
            <w:hideMark/>
          </w:tcPr>
          <w:p w14:paraId="300A694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82,3</w:t>
            </w:r>
          </w:p>
        </w:tc>
      </w:tr>
      <w:tr w:rsidR="00457E80" w:rsidRPr="00036538" w14:paraId="1DAA7588"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EEC9F4E"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51</w:t>
            </w:r>
          </w:p>
        </w:tc>
        <w:tc>
          <w:tcPr>
            <w:tcW w:w="908" w:type="dxa"/>
            <w:tcBorders>
              <w:top w:val="nil"/>
              <w:left w:val="nil"/>
              <w:bottom w:val="single" w:sz="4" w:space="0" w:color="auto"/>
              <w:right w:val="single" w:sz="4" w:space="0" w:color="auto"/>
            </w:tcBorders>
            <w:shd w:val="clear" w:color="auto" w:fill="auto"/>
            <w:vAlign w:val="bottom"/>
            <w:hideMark/>
          </w:tcPr>
          <w:p w14:paraId="76A83A2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Пусан</w:t>
            </w:r>
          </w:p>
        </w:tc>
        <w:tc>
          <w:tcPr>
            <w:tcW w:w="1028" w:type="dxa"/>
            <w:tcBorders>
              <w:top w:val="nil"/>
              <w:left w:val="nil"/>
              <w:bottom w:val="single" w:sz="4" w:space="0" w:color="auto"/>
              <w:right w:val="single" w:sz="4" w:space="0" w:color="auto"/>
            </w:tcBorders>
            <w:shd w:val="clear" w:color="auto" w:fill="auto"/>
            <w:vAlign w:val="bottom"/>
            <w:hideMark/>
          </w:tcPr>
          <w:p w14:paraId="2ECB69D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Республика Корея</w:t>
            </w:r>
          </w:p>
        </w:tc>
        <w:tc>
          <w:tcPr>
            <w:tcW w:w="612" w:type="dxa"/>
            <w:tcBorders>
              <w:top w:val="nil"/>
              <w:left w:val="nil"/>
              <w:bottom w:val="single" w:sz="4" w:space="0" w:color="auto"/>
              <w:right w:val="single" w:sz="4" w:space="0" w:color="auto"/>
            </w:tcBorders>
            <w:shd w:val="clear" w:color="000000" w:fill="92D050"/>
            <w:vAlign w:val="center"/>
            <w:hideMark/>
          </w:tcPr>
          <w:p w14:paraId="4CA94DF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664</w:t>
            </w:r>
          </w:p>
        </w:tc>
        <w:tc>
          <w:tcPr>
            <w:tcW w:w="1145" w:type="dxa"/>
            <w:tcBorders>
              <w:top w:val="nil"/>
              <w:left w:val="nil"/>
              <w:bottom w:val="single" w:sz="4" w:space="0" w:color="auto"/>
              <w:right w:val="single" w:sz="4" w:space="0" w:color="auto"/>
            </w:tcBorders>
            <w:shd w:val="clear" w:color="auto" w:fill="auto"/>
            <w:vAlign w:val="center"/>
            <w:hideMark/>
          </w:tcPr>
          <w:p w14:paraId="162151FB"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Korea, Rep.</w:t>
            </w:r>
          </w:p>
        </w:tc>
        <w:tc>
          <w:tcPr>
            <w:tcW w:w="612" w:type="dxa"/>
            <w:tcBorders>
              <w:top w:val="nil"/>
              <w:left w:val="nil"/>
              <w:bottom w:val="single" w:sz="4" w:space="0" w:color="auto"/>
              <w:right w:val="single" w:sz="4" w:space="0" w:color="auto"/>
            </w:tcBorders>
            <w:shd w:val="clear" w:color="auto" w:fill="auto"/>
            <w:vAlign w:val="center"/>
            <w:hideMark/>
          </w:tcPr>
          <w:p w14:paraId="1752BBB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84,0</w:t>
            </w:r>
          </w:p>
        </w:tc>
        <w:tc>
          <w:tcPr>
            <w:tcW w:w="818" w:type="dxa"/>
            <w:tcBorders>
              <w:top w:val="nil"/>
              <w:left w:val="nil"/>
              <w:bottom w:val="single" w:sz="4" w:space="0" w:color="auto"/>
              <w:right w:val="single" w:sz="4" w:space="0" w:color="auto"/>
            </w:tcBorders>
            <w:shd w:val="clear" w:color="auto" w:fill="auto"/>
            <w:vAlign w:val="center"/>
            <w:hideMark/>
          </w:tcPr>
          <w:p w14:paraId="5BF8116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93,4</w:t>
            </w:r>
          </w:p>
        </w:tc>
        <w:tc>
          <w:tcPr>
            <w:tcW w:w="931" w:type="dxa"/>
            <w:tcBorders>
              <w:top w:val="nil"/>
              <w:left w:val="nil"/>
              <w:bottom w:val="single" w:sz="4" w:space="0" w:color="auto"/>
              <w:right w:val="single" w:sz="4" w:space="0" w:color="auto"/>
            </w:tcBorders>
            <w:shd w:val="clear" w:color="auto" w:fill="auto"/>
            <w:vAlign w:val="center"/>
            <w:hideMark/>
          </w:tcPr>
          <w:p w14:paraId="56C17A6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76,3</w:t>
            </w:r>
          </w:p>
        </w:tc>
        <w:tc>
          <w:tcPr>
            <w:tcW w:w="732" w:type="dxa"/>
            <w:tcBorders>
              <w:top w:val="nil"/>
              <w:left w:val="nil"/>
              <w:bottom w:val="single" w:sz="4" w:space="0" w:color="auto"/>
              <w:right w:val="single" w:sz="4" w:space="0" w:color="auto"/>
            </w:tcBorders>
            <w:shd w:val="clear" w:color="auto" w:fill="auto"/>
            <w:vAlign w:val="center"/>
            <w:hideMark/>
          </w:tcPr>
          <w:p w14:paraId="5781D2A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65,0</w:t>
            </w:r>
          </w:p>
        </w:tc>
        <w:tc>
          <w:tcPr>
            <w:tcW w:w="1016" w:type="dxa"/>
            <w:tcBorders>
              <w:top w:val="nil"/>
              <w:left w:val="nil"/>
              <w:bottom w:val="single" w:sz="4" w:space="0" w:color="auto"/>
              <w:right w:val="single" w:sz="4" w:space="0" w:color="auto"/>
            </w:tcBorders>
            <w:shd w:val="clear" w:color="auto" w:fill="auto"/>
            <w:vAlign w:val="center"/>
            <w:hideMark/>
          </w:tcPr>
          <w:p w14:paraId="2A7A451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74,0</w:t>
            </w:r>
          </w:p>
        </w:tc>
        <w:tc>
          <w:tcPr>
            <w:tcW w:w="997" w:type="dxa"/>
            <w:tcBorders>
              <w:top w:val="nil"/>
              <w:left w:val="nil"/>
              <w:bottom w:val="single" w:sz="4" w:space="0" w:color="auto"/>
              <w:right w:val="single" w:sz="4" w:space="0" w:color="auto"/>
            </w:tcBorders>
            <w:shd w:val="clear" w:color="auto" w:fill="auto"/>
            <w:vAlign w:val="center"/>
            <w:hideMark/>
          </w:tcPr>
          <w:p w14:paraId="2FB8DAE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87,4</w:t>
            </w:r>
          </w:p>
        </w:tc>
        <w:tc>
          <w:tcPr>
            <w:tcW w:w="1437" w:type="dxa"/>
            <w:tcBorders>
              <w:top w:val="nil"/>
              <w:left w:val="nil"/>
              <w:bottom w:val="single" w:sz="4" w:space="0" w:color="auto"/>
              <w:right w:val="single" w:sz="4" w:space="0" w:color="auto"/>
            </w:tcBorders>
            <w:shd w:val="clear" w:color="auto" w:fill="auto"/>
            <w:vAlign w:val="center"/>
            <w:hideMark/>
          </w:tcPr>
          <w:p w14:paraId="61B259B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92,5</w:t>
            </w:r>
          </w:p>
        </w:tc>
        <w:tc>
          <w:tcPr>
            <w:tcW w:w="1262" w:type="dxa"/>
            <w:tcBorders>
              <w:top w:val="nil"/>
              <w:left w:val="nil"/>
              <w:bottom w:val="single" w:sz="4" w:space="0" w:color="auto"/>
              <w:right w:val="single" w:sz="4" w:space="0" w:color="auto"/>
            </w:tcBorders>
            <w:shd w:val="clear" w:color="auto" w:fill="auto"/>
            <w:vAlign w:val="center"/>
            <w:hideMark/>
          </w:tcPr>
          <w:p w14:paraId="1229534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84,1</w:t>
            </w:r>
          </w:p>
        </w:tc>
        <w:tc>
          <w:tcPr>
            <w:tcW w:w="1085" w:type="dxa"/>
            <w:tcBorders>
              <w:top w:val="nil"/>
              <w:left w:val="nil"/>
              <w:bottom w:val="single" w:sz="4" w:space="0" w:color="auto"/>
              <w:right w:val="single" w:sz="4" w:space="0" w:color="auto"/>
            </w:tcBorders>
            <w:shd w:val="clear" w:color="auto" w:fill="auto"/>
            <w:vAlign w:val="center"/>
            <w:hideMark/>
          </w:tcPr>
          <w:p w14:paraId="566C4CF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82,9</w:t>
            </w:r>
          </w:p>
        </w:tc>
        <w:tc>
          <w:tcPr>
            <w:tcW w:w="916" w:type="dxa"/>
            <w:tcBorders>
              <w:top w:val="nil"/>
              <w:left w:val="nil"/>
              <w:bottom w:val="single" w:sz="4" w:space="0" w:color="auto"/>
              <w:right w:val="single" w:sz="4" w:space="0" w:color="auto"/>
            </w:tcBorders>
            <w:shd w:val="clear" w:color="auto" w:fill="auto"/>
            <w:vAlign w:val="center"/>
            <w:hideMark/>
          </w:tcPr>
          <w:p w14:paraId="13D183D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84,4</w:t>
            </w:r>
          </w:p>
        </w:tc>
        <w:tc>
          <w:tcPr>
            <w:tcW w:w="871" w:type="dxa"/>
            <w:tcBorders>
              <w:top w:val="nil"/>
              <w:left w:val="nil"/>
              <w:bottom w:val="single" w:sz="4" w:space="0" w:color="auto"/>
              <w:right w:val="single" w:sz="4" w:space="0" w:color="auto"/>
            </w:tcBorders>
            <w:shd w:val="clear" w:color="auto" w:fill="auto"/>
            <w:vAlign w:val="center"/>
            <w:hideMark/>
          </w:tcPr>
          <w:p w14:paraId="67BB75F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99,9</w:t>
            </w:r>
          </w:p>
        </w:tc>
      </w:tr>
      <w:tr w:rsidR="00457E80" w:rsidRPr="00036538" w14:paraId="5EE48727"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F6B973B"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52</w:t>
            </w:r>
          </w:p>
        </w:tc>
        <w:tc>
          <w:tcPr>
            <w:tcW w:w="908" w:type="dxa"/>
            <w:tcBorders>
              <w:top w:val="nil"/>
              <w:left w:val="nil"/>
              <w:bottom w:val="single" w:sz="4" w:space="0" w:color="auto"/>
              <w:right w:val="single" w:sz="4" w:space="0" w:color="auto"/>
            </w:tcBorders>
            <w:shd w:val="clear" w:color="auto" w:fill="auto"/>
            <w:vAlign w:val="bottom"/>
            <w:hideMark/>
          </w:tcPr>
          <w:p w14:paraId="4D958E7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Таллинн</w:t>
            </w:r>
          </w:p>
        </w:tc>
        <w:tc>
          <w:tcPr>
            <w:tcW w:w="1028" w:type="dxa"/>
            <w:tcBorders>
              <w:top w:val="nil"/>
              <w:left w:val="nil"/>
              <w:bottom w:val="single" w:sz="4" w:space="0" w:color="auto"/>
              <w:right w:val="single" w:sz="4" w:space="0" w:color="auto"/>
            </w:tcBorders>
            <w:shd w:val="clear" w:color="auto" w:fill="auto"/>
            <w:vAlign w:val="bottom"/>
            <w:hideMark/>
          </w:tcPr>
          <w:p w14:paraId="7D86875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Эстония</w:t>
            </w:r>
          </w:p>
        </w:tc>
        <w:tc>
          <w:tcPr>
            <w:tcW w:w="612" w:type="dxa"/>
            <w:tcBorders>
              <w:top w:val="nil"/>
              <w:left w:val="nil"/>
              <w:bottom w:val="single" w:sz="4" w:space="0" w:color="auto"/>
              <w:right w:val="single" w:sz="4" w:space="0" w:color="auto"/>
            </w:tcBorders>
            <w:shd w:val="clear" w:color="000000" w:fill="92D050"/>
            <w:vAlign w:val="center"/>
            <w:hideMark/>
          </w:tcPr>
          <w:p w14:paraId="2D035CA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663</w:t>
            </w:r>
          </w:p>
        </w:tc>
        <w:tc>
          <w:tcPr>
            <w:tcW w:w="1145" w:type="dxa"/>
            <w:tcBorders>
              <w:top w:val="nil"/>
              <w:left w:val="nil"/>
              <w:bottom w:val="single" w:sz="4" w:space="0" w:color="auto"/>
              <w:right w:val="single" w:sz="4" w:space="0" w:color="auto"/>
            </w:tcBorders>
            <w:shd w:val="clear" w:color="auto" w:fill="auto"/>
            <w:vAlign w:val="center"/>
            <w:hideMark/>
          </w:tcPr>
          <w:p w14:paraId="7506BEFF"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Estonia</w:t>
            </w:r>
          </w:p>
        </w:tc>
        <w:tc>
          <w:tcPr>
            <w:tcW w:w="612" w:type="dxa"/>
            <w:tcBorders>
              <w:top w:val="nil"/>
              <w:left w:val="nil"/>
              <w:bottom w:val="single" w:sz="4" w:space="0" w:color="auto"/>
              <w:right w:val="single" w:sz="4" w:space="0" w:color="auto"/>
            </w:tcBorders>
            <w:shd w:val="clear" w:color="auto" w:fill="auto"/>
            <w:vAlign w:val="center"/>
            <w:hideMark/>
          </w:tcPr>
          <w:p w14:paraId="1EDA234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80,6</w:t>
            </w:r>
          </w:p>
        </w:tc>
        <w:tc>
          <w:tcPr>
            <w:tcW w:w="818" w:type="dxa"/>
            <w:tcBorders>
              <w:top w:val="nil"/>
              <w:left w:val="nil"/>
              <w:bottom w:val="single" w:sz="4" w:space="0" w:color="auto"/>
              <w:right w:val="single" w:sz="4" w:space="0" w:color="auto"/>
            </w:tcBorders>
            <w:shd w:val="clear" w:color="auto" w:fill="auto"/>
            <w:vAlign w:val="center"/>
            <w:hideMark/>
          </w:tcPr>
          <w:p w14:paraId="3188A20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95,4</w:t>
            </w:r>
          </w:p>
        </w:tc>
        <w:tc>
          <w:tcPr>
            <w:tcW w:w="931" w:type="dxa"/>
            <w:tcBorders>
              <w:top w:val="nil"/>
              <w:left w:val="nil"/>
              <w:bottom w:val="single" w:sz="4" w:space="0" w:color="auto"/>
              <w:right w:val="single" w:sz="4" w:space="0" w:color="auto"/>
            </w:tcBorders>
            <w:shd w:val="clear" w:color="auto" w:fill="auto"/>
            <w:vAlign w:val="center"/>
            <w:hideMark/>
          </w:tcPr>
          <w:p w14:paraId="61BCBFB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91,0</w:t>
            </w:r>
          </w:p>
        </w:tc>
        <w:tc>
          <w:tcPr>
            <w:tcW w:w="732" w:type="dxa"/>
            <w:tcBorders>
              <w:top w:val="nil"/>
              <w:left w:val="nil"/>
              <w:bottom w:val="single" w:sz="4" w:space="0" w:color="auto"/>
              <w:right w:val="single" w:sz="4" w:space="0" w:color="auto"/>
            </w:tcBorders>
            <w:shd w:val="clear" w:color="auto" w:fill="auto"/>
            <w:vAlign w:val="center"/>
            <w:hideMark/>
          </w:tcPr>
          <w:p w14:paraId="2113627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7FB43AC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58,0</w:t>
            </w:r>
          </w:p>
        </w:tc>
        <w:tc>
          <w:tcPr>
            <w:tcW w:w="997" w:type="dxa"/>
            <w:tcBorders>
              <w:top w:val="nil"/>
              <w:left w:val="nil"/>
              <w:bottom w:val="single" w:sz="4" w:space="0" w:color="auto"/>
              <w:right w:val="single" w:sz="4" w:space="0" w:color="auto"/>
            </w:tcBorders>
            <w:shd w:val="clear" w:color="auto" w:fill="auto"/>
            <w:vAlign w:val="center"/>
            <w:hideMark/>
          </w:tcPr>
          <w:p w14:paraId="4040BBB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89,9</w:t>
            </w:r>
          </w:p>
        </w:tc>
        <w:tc>
          <w:tcPr>
            <w:tcW w:w="1437" w:type="dxa"/>
            <w:tcBorders>
              <w:top w:val="nil"/>
              <w:left w:val="nil"/>
              <w:bottom w:val="single" w:sz="4" w:space="0" w:color="auto"/>
              <w:right w:val="single" w:sz="4" w:space="0" w:color="auto"/>
            </w:tcBorders>
            <w:shd w:val="clear" w:color="auto" w:fill="auto"/>
            <w:vAlign w:val="center"/>
            <w:hideMark/>
          </w:tcPr>
          <w:p w14:paraId="0E6D3A7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99,9</w:t>
            </w:r>
          </w:p>
        </w:tc>
        <w:tc>
          <w:tcPr>
            <w:tcW w:w="1262" w:type="dxa"/>
            <w:tcBorders>
              <w:top w:val="nil"/>
              <w:left w:val="nil"/>
              <w:bottom w:val="single" w:sz="4" w:space="0" w:color="auto"/>
              <w:right w:val="single" w:sz="4" w:space="0" w:color="auto"/>
            </w:tcBorders>
            <w:shd w:val="clear" w:color="auto" w:fill="auto"/>
            <w:vAlign w:val="center"/>
            <w:hideMark/>
          </w:tcPr>
          <w:p w14:paraId="0F688D7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76,1</w:t>
            </w:r>
          </w:p>
        </w:tc>
        <w:tc>
          <w:tcPr>
            <w:tcW w:w="1085" w:type="dxa"/>
            <w:tcBorders>
              <w:top w:val="nil"/>
              <w:left w:val="nil"/>
              <w:bottom w:val="single" w:sz="4" w:space="0" w:color="auto"/>
              <w:right w:val="single" w:sz="4" w:space="0" w:color="auto"/>
            </w:tcBorders>
            <w:shd w:val="clear" w:color="auto" w:fill="auto"/>
            <w:vAlign w:val="center"/>
            <w:hideMark/>
          </w:tcPr>
          <w:p w14:paraId="39071A5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60,1</w:t>
            </w:r>
          </w:p>
        </w:tc>
        <w:tc>
          <w:tcPr>
            <w:tcW w:w="916" w:type="dxa"/>
            <w:tcBorders>
              <w:top w:val="nil"/>
              <w:left w:val="nil"/>
              <w:bottom w:val="single" w:sz="4" w:space="0" w:color="auto"/>
              <w:right w:val="single" w:sz="4" w:space="0" w:color="auto"/>
            </w:tcBorders>
            <w:shd w:val="clear" w:color="auto" w:fill="auto"/>
            <w:vAlign w:val="center"/>
            <w:hideMark/>
          </w:tcPr>
          <w:p w14:paraId="60896F5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82,6</w:t>
            </w:r>
          </w:p>
        </w:tc>
        <w:tc>
          <w:tcPr>
            <w:tcW w:w="871" w:type="dxa"/>
            <w:tcBorders>
              <w:top w:val="nil"/>
              <w:left w:val="nil"/>
              <w:bottom w:val="single" w:sz="4" w:space="0" w:color="auto"/>
              <w:right w:val="single" w:sz="4" w:space="0" w:color="auto"/>
            </w:tcBorders>
            <w:shd w:val="clear" w:color="auto" w:fill="auto"/>
            <w:vAlign w:val="center"/>
            <w:hideMark/>
          </w:tcPr>
          <w:p w14:paraId="1381354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83,3</w:t>
            </w:r>
          </w:p>
        </w:tc>
      </w:tr>
      <w:tr w:rsidR="00457E80" w:rsidRPr="00036538" w14:paraId="0788ADFF"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021D823"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53</w:t>
            </w:r>
          </w:p>
        </w:tc>
        <w:tc>
          <w:tcPr>
            <w:tcW w:w="908" w:type="dxa"/>
            <w:tcBorders>
              <w:top w:val="nil"/>
              <w:left w:val="nil"/>
              <w:bottom w:val="single" w:sz="4" w:space="0" w:color="auto"/>
              <w:right w:val="single" w:sz="4" w:space="0" w:color="auto"/>
            </w:tcBorders>
            <w:shd w:val="clear" w:color="auto" w:fill="auto"/>
            <w:vAlign w:val="bottom"/>
            <w:hideMark/>
          </w:tcPr>
          <w:p w14:paraId="2D6D589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Рим</w:t>
            </w:r>
          </w:p>
        </w:tc>
        <w:tc>
          <w:tcPr>
            <w:tcW w:w="1028" w:type="dxa"/>
            <w:tcBorders>
              <w:top w:val="nil"/>
              <w:left w:val="nil"/>
              <w:bottom w:val="single" w:sz="4" w:space="0" w:color="auto"/>
              <w:right w:val="single" w:sz="4" w:space="0" w:color="auto"/>
            </w:tcBorders>
            <w:shd w:val="clear" w:color="auto" w:fill="auto"/>
            <w:vAlign w:val="bottom"/>
            <w:hideMark/>
          </w:tcPr>
          <w:p w14:paraId="56EC29D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Италия</w:t>
            </w:r>
          </w:p>
        </w:tc>
        <w:tc>
          <w:tcPr>
            <w:tcW w:w="612" w:type="dxa"/>
            <w:tcBorders>
              <w:top w:val="nil"/>
              <w:left w:val="nil"/>
              <w:bottom w:val="single" w:sz="4" w:space="0" w:color="auto"/>
              <w:right w:val="single" w:sz="4" w:space="0" w:color="auto"/>
            </w:tcBorders>
            <w:shd w:val="clear" w:color="000000" w:fill="92D050"/>
            <w:vAlign w:val="center"/>
            <w:hideMark/>
          </w:tcPr>
          <w:p w14:paraId="3D0EF46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662</w:t>
            </w:r>
          </w:p>
        </w:tc>
        <w:tc>
          <w:tcPr>
            <w:tcW w:w="1145" w:type="dxa"/>
            <w:tcBorders>
              <w:top w:val="nil"/>
              <w:left w:val="nil"/>
              <w:bottom w:val="single" w:sz="4" w:space="0" w:color="auto"/>
              <w:right w:val="single" w:sz="4" w:space="0" w:color="auto"/>
            </w:tcBorders>
            <w:shd w:val="clear" w:color="auto" w:fill="auto"/>
            <w:vAlign w:val="center"/>
            <w:hideMark/>
          </w:tcPr>
          <w:p w14:paraId="01C3DE15"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Italy</w:t>
            </w:r>
          </w:p>
        </w:tc>
        <w:tc>
          <w:tcPr>
            <w:tcW w:w="612" w:type="dxa"/>
            <w:tcBorders>
              <w:top w:val="nil"/>
              <w:left w:val="nil"/>
              <w:bottom w:val="single" w:sz="4" w:space="0" w:color="auto"/>
              <w:right w:val="single" w:sz="4" w:space="0" w:color="auto"/>
            </w:tcBorders>
            <w:shd w:val="clear" w:color="auto" w:fill="auto"/>
            <w:vAlign w:val="center"/>
            <w:hideMark/>
          </w:tcPr>
          <w:p w14:paraId="522B6EF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72,9</w:t>
            </w:r>
          </w:p>
        </w:tc>
        <w:tc>
          <w:tcPr>
            <w:tcW w:w="818" w:type="dxa"/>
            <w:tcBorders>
              <w:top w:val="nil"/>
              <w:left w:val="nil"/>
              <w:bottom w:val="single" w:sz="4" w:space="0" w:color="auto"/>
              <w:right w:val="single" w:sz="4" w:space="0" w:color="auto"/>
            </w:tcBorders>
            <w:shd w:val="clear" w:color="auto" w:fill="auto"/>
            <w:vAlign w:val="center"/>
            <w:hideMark/>
          </w:tcPr>
          <w:p w14:paraId="674DFC4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86,8</w:t>
            </w:r>
          </w:p>
        </w:tc>
        <w:tc>
          <w:tcPr>
            <w:tcW w:w="931" w:type="dxa"/>
            <w:tcBorders>
              <w:top w:val="nil"/>
              <w:left w:val="nil"/>
              <w:bottom w:val="single" w:sz="4" w:space="0" w:color="auto"/>
              <w:right w:val="single" w:sz="4" w:space="0" w:color="auto"/>
            </w:tcBorders>
            <w:shd w:val="clear" w:color="auto" w:fill="auto"/>
            <w:vAlign w:val="center"/>
            <w:hideMark/>
          </w:tcPr>
          <w:p w14:paraId="35D4709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81,7</w:t>
            </w:r>
          </w:p>
        </w:tc>
        <w:tc>
          <w:tcPr>
            <w:tcW w:w="732" w:type="dxa"/>
            <w:tcBorders>
              <w:top w:val="nil"/>
              <w:left w:val="nil"/>
              <w:bottom w:val="single" w:sz="4" w:space="0" w:color="auto"/>
              <w:right w:val="single" w:sz="4" w:space="0" w:color="auto"/>
            </w:tcBorders>
            <w:shd w:val="clear" w:color="auto" w:fill="auto"/>
            <w:vAlign w:val="center"/>
            <w:hideMark/>
          </w:tcPr>
          <w:p w14:paraId="31EFEBD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45,0</w:t>
            </w:r>
          </w:p>
        </w:tc>
        <w:tc>
          <w:tcPr>
            <w:tcW w:w="1016" w:type="dxa"/>
            <w:tcBorders>
              <w:top w:val="nil"/>
              <w:left w:val="nil"/>
              <w:bottom w:val="single" w:sz="4" w:space="0" w:color="auto"/>
              <w:right w:val="single" w:sz="4" w:space="0" w:color="auto"/>
            </w:tcBorders>
            <w:shd w:val="clear" w:color="auto" w:fill="auto"/>
            <w:vAlign w:val="center"/>
            <w:hideMark/>
          </w:tcPr>
          <w:p w14:paraId="5C370CD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66,0</w:t>
            </w:r>
          </w:p>
        </w:tc>
        <w:tc>
          <w:tcPr>
            <w:tcW w:w="997" w:type="dxa"/>
            <w:tcBorders>
              <w:top w:val="nil"/>
              <w:left w:val="nil"/>
              <w:bottom w:val="single" w:sz="4" w:space="0" w:color="auto"/>
              <w:right w:val="single" w:sz="4" w:space="0" w:color="auto"/>
            </w:tcBorders>
            <w:shd w:val="clear" w:color="auto" w:fill="auto"/>
            <w:vAlign w:val="center"/>
            <w:hideMark/>
          </w:tcPr>
          <w:p w14:paraId="46F4725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64,0</w:t>
            </w:r>
          </w:p>
        </w:tc>
        <w:tc>
          <w:tcPr>
            <w:tcW w:w="1437" w:type="dxa"/>
            <w:tcBorders>
              <w:top w:val="nil"/>
              <w:left w:val="nil"/>
              <w:bottom w:val="single" w:sz="4" w:space="0" w:color="auto"/>
              <w:right w:val="single" w:sz="4" w:space="0" w:color="auto"/>
            </w:tcBorders>
            <w:shd w:val="clear" w:color="auto" w:fill="auto"/>
            <w:vAlign w:val="center"/>
            <w:hideMark/>
          </w:tcPr>
          <w:p w14:paraId="2AD446F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2CB2F16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53,1</w:t>
            </w:r>
          </w:p>
        </w:tc>
        <w:tc>
          <w:tcPr>
            <w:tcW w:w="1085" w:type="dxa"/>
            <w:tcBorders>
              <w:top w:val="nil"/>
              <w:left w:val="nil"/>
              <w:bottom w:val="single" w:sz="4" w:space="0" w:color="auto"/>
              <w:right w:val="single" w:sz="4" w:space="0" w:color="auto"/>
            </w:tcBorders>
            <w:shd w:val="clear" w:color="auto" w:fill="auto"/>
            <w:vAlign w:val="center"/>
            <w:hideMark/>
          </w:tcPr>
          <w:p w14:paraId="67E4ED4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77,5</w:t>
            </w:r>
          </w:p>
        </w:tc>
        <w:tc>
          <w:tcPr>
            <w:tcW w:w="916" w:type="dxa"/>
            <w:tcBorders>
              <w:top w:val="nil"/>
              <w:left w:val="nil"/>
              <w:bottom w:val="single" w:sz="4" w:space="0" w:color="auto"/>
              <w:right w:val="single" w:sz="4" w:space="0" w:color="auto"/>
            </w:tcBorders>
            <w:shd w:val="clear" w:color="auto" w:fill="auto"/>
            <w:vAlign w:val="center"/>
            <w:hideMark/>
          </w:tcPr>
          <w:p w14:paraId="5470120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68,3</w:t>
            </w:r>
          </w:p>
        </w:tc>
        <w:tc>
          <w:tcPr>
            <w:tcW w:w="871" w:type="dxa"/>
            <w:tcBorders>
              <w:top w:val="nil"/>
              <w:left w:val="nil"/>
              <w:bottom w:val="single" w:sz="4" w:space="0" w:color="auto"/>
              <w:right w:val="single" w:sz="4" w:space="0" w:color="auto"/>
            </w:tcBorders>
            <w:shd w:val="clear" w:color="auto" w:fill="auto"/>
            <w:vAlign w:val="center"/>
            <w:hideMark/>
          </w:tcPr>
          <w:p w14:paraId="6A70E18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86,1</w:t>
            </w:r>
          </w:p>
        </w:tc>
      </w:tr>
      <w:tr w:rsidR="00457E80" w:rsidRPr="00036538" w14:paraId="39322922"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187BAB9"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54</w:t>
            </w:r>
          </w:p>
        </w:tc>
        <w:tc>
          <w:tcPr>
            <w:tcW w:w="908" w:type="dxa"/>
            <w:tcBorders>
              <w:top w:val="nil"/>
              <w:left w:val="nil"/>
              <w:bottom w:val="single" w:sz="4" w:space="0" w:color="auto"/>
              <w:right w:val="single" w:sz="4" w:space="0" w:color="auto"/>
            </w:tcBorders>
            <w:shd w:val="clear" w:color="auto" w:fill="auto"/>
            <w:vAlign w:val="bottom"/>
            <w:hideMark/>
          </w:tcPr>
          <w:p w14:paraId="6F130FB0"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Лихтенштейн</w:t>
            </w:r>
          </w:p>
        </w:tc>
        <w:tc>
          <w:tcPr>
            <w:tcW w:w="1028" w:type="dxa"/>
            <w:tcBorders>
              <w:top w:val="nil"/>
              <w:left w:val="nil"/>
              <w:bottom w:val="single" w:sz="4" w:space="0" w:color="auto"/>
              <w:right w:val="single" w:sz="4" w:space="0" w:color="auto"/>
            </w:tcBorders>
            <w:shd w:val="clear" w:color="auto" w:fill="auto"/>
            <w:vAlign w:val="bottom"/>
            <w:hideMark/>
          </w:tcPr>
          <w:p w14:paraId="494DD3E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Лихтенштейн</w:t>
            </w:r>
          </w:p>
        </w:tc>
        <w:tc>
          <w:tcPr>
            <w:tcW w:w="612" w:type="dxa"/>
            <w:tcBorders>
              <w:top w:val="nil"/>
              <w:left w:val="nil"/>
              <w:bottom w:val="single" w:sz="4" w:space="0" w:color="auto"/>
              <w:right w:val="single" w:sz="4" w:space="0" w:color="auto"/>
            </w:tcBorders>
            <w:shd w:val="clear" w:color="000000" w:fill="92D050"/>
            <w:vAlign w:val="center"/>
            <w:hideMark/>
          </w:tcPr>
          <w:p w14:paraId="49C69C8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661</w:t>
            </w:r>
          </w:p>
        </w:tc>
        <w:tc>
          <w:tcPr>
            <w:tcW w:w="1145" w:type="dxa"/>
            <w:tcBorders>
              <w:top w:val="nil"/>
              <w:left w:val="nil"/>
              <w:bottom w:val="single" w:sz="4" w:space="0" w:color="auto"/>
              <w:right w:val="single" w:sz="4" w:space="0" w:color="auto"/>
            </w:tcBorders>
            <w:shd w:val="clear" w:color="auto" w:fill="auto"/>
            <w:vAlign w:val="center"/>
            <w:hideMark/>
          </w:tcPr>
          <w:p w14:paraId="636FEAEA"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Liechtenstein</w:t>
            </w:r>
          </w:p>
        </w:tc>
        <w:tc>
          <w:tcPr>
            <w:tcW w:w="612" w:type="dxa"/>
            <w:tcBorders>
              <w:top w:val="nil"/>
              <w:left w:val="nil"/>
              <w:bottom w:val="single" w:sz="4" w:space="0" w:color="auto"/>
              <w:right w:val="single" w:sz="4" w:space="0" w:color="auto"/>
            </w:tcBorders>
            <w:shd w:val="clear" w:color="auto" w:fill="auto"/>
            <w:vAlign w:val="center"/>
            <w:hideMark/>
          </w:tcPr>
          <w:p w14:paraId="5794073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64,8</w:t>
            </w:r>
          </w:p>
        </w:tc>
        <w:tc>
          <w:tcPr>
            <w:tcW w:w="818" w:type="dxa"/>
            <w:tcBorders>
              <w:top w:val="nil"/>
              <w:left w:val="nil"/>
              <w:bottom w:val="single" w:sz="4" w:space="0" w:color="auto"/>
              <w:right w:val="single" w:sz="4" w:space="0" w:color="auto"/>
            </w:tcBorders>
            <w:shd w:val="clear" w:color="auto" w:fill="auto"/>
            <w:vAlign w:val="center"/>
            <w:hideMark/>
          </w:tcPr>
          <w:p w14:paraId="64E5E4F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73,0</w:t>
            </w:r>
          </w:p>
        </w:tc>
        <w:tc>
          <w:tcPr>
            <w:tcW w:w="931" w:type="dxa"/>
            <w:tcBorders>
              <w:top w:val="nil"/>
              <w:left w:val="nil"/>
              <w:bottom w:val="single" w:sz="4" w:space="0" w:color="auto"/>
              <w:right w:val="single" w:sz="4" w:space="0" w:color="auto"/>
            </w:tcBorders>
            <w:shd w:val="clear" w:color="auto" w:fill="auto"/>
            <w:vAlign w:val="center"/>
            <w:hideMark/>
          </w:tcPr>
          <w:p w14:paraId="628E51C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74,6</w:t>
            </w:r>
          </w:p>
        </w:tc>
        <w:tc>
          <w:tcPr>
            <w:tcW w:w="732" w:type="dxa"/>
            <w:tcBorders>
              <w:top w:val="nil"/>
              <w:left w:val="nil"/>
              <w:bottom w:val="single" w:sz="4" w:space="0" w:color="auto"/>
              <w:right w:val="single" w:sz="4" w:space="0" w:color="auto"/>
            </w:tcBorders>
            <w:shd w:val="clear" w:color="auto" w:fill="auto"/>
            <w:vAlign w:val="center"/>
            <w:hideMark/>
          </w:tcPr>
          <w:p w14:paraId="08E3AB3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15,0</w:t>
            </w:r>
          </w:p>
        </w:tc>
        <w:tc>
          <w:tcPr>
            <w:tcW w:w="1016" w:type="dxa"/>
            <w:tcBorders>
              <w:top w:val="nil"/>
              <w:left w:val="nil"/>
              <w:bottom w:val="single" w:sz="4" w:space="0" w:color="auto"/>
              <w:right w:val="single" w:sz="4" w:space="0" w:color="auto"/>
            </w:tcBorders>
            <w:shd w:val="clear" w:color="auto" w:fill="auto"/>
            <w:vAlign w:val="center"/>
            <w:hideMark/>
          </w:tcPr>
          <w:p w14:paraId="212C1CB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30,0</w:t>
            </w:r>
          </w:p>
        </w:tc>
        <w:tc>
          <w:tcPr>
            <w:tcW w:w="997" w:type="dxa"/>
            <w:tcBorders>
              <w:top w:val="nil"/>
              <w:left w:val="nil"/>
              <w:bottom w:val="single" w:sz="4" w:space="0" w:color="auto"/>
              <w:right w:val="single" w:sz="4" w:space="0" w:color="auto"/>
            </w:tcBorders>
            <w:shd w:val="clear" w:color="auto" w:fill="auto"/>
            <w:vAlign w:val="center"/>
            <w:hideMark/>
          </w:tcPr>
          <w:p w14:paraId="345794F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79,0</w:t>
            </w:r>
          </w:p>
        </w:tc>
        <w:tc>
          <w:tcPr>
            <w:tcW w:w="1437" w:type="dxa"/>
            <w:tcBorders>
              <w:top w:val="nil"/>
              <w:left w:val="nil"/>
              <w:bottom w:val="single" w:sz="4" w:space="0" w:color="auto"/>
              <w:right w:val="single" w:sz="4" w:space="0" w:color="auto"/>
            </w:tcBorders>
            <w:shd w:val="clear" w:color="auto" w:fill="auto"/>
            <w:vAlign w:val="center"/>
            <w:hideMark/>
          </w:tcPr>
          <w:p w14:paraId="1EFAAFC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96,1</w:t>
            </w:r>
          </w:p>
        </w:tc>
        <w:tc>
          <w:tcPr>
            <w:tcW w:w="1262" w:type="dxa"/>
            <w:tcBorders>
              <w:top w:val="nil"/>
              <w:left w:val="nil"/>
              <w:bottom w:val="single" w:sz="4" w:space="0" w:color="auto"/>
              <w:right w:val="single" w:sz="4" w:space="0" w:color="auto"/>
            </w:tcBorders>
            <w:shd w:val="clear" w:color="auto" w:fill="auto"/>
            <w:vAlign w:val="center"/>
            <w:hideMark/>
          </w:tcPr>
          <w:p w14:paraId="1237572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59,8</w:t>
            </w:r>
          </w:p>
        </w:tc>
        <w:tc>
          <w:tcPr>
            <w:tcW w:w="1085" w:type="dxa"/>
            <w:tcBorders>
              <w:top w:val="nil"/>
              <w:left w:val="nil"/>
              <w:bottom w:val="single" w:sz="4" w:space="0" w:color="auto"/>
              <w:right w:val="single" w:sz="4" w:space="0" w:color="auto"/>
            </w:tcBorders>
            <w:shd w:val="clear" w:color="auto" w:fill="auto"/>
            <w:vAlign w:val="center"/>
            <w:hideMark/>
          </w:tcPr>
          <w:p w14:paraId="7016C9B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41,3</w:t>
            </w:r>
          </w:p>
        </w:tc>
        <w:tc>
          <w:tcPr>
            <w:tcW w:w="916" w:type="dxa"/>
            <w:tcBorders>
              <w:top w:val="nil"/>
              <w:left w:val="nil"/>
              <w:bottom w:val="single" w:sz="4" w:space="0" w:color="auto"/>
              <w:right w:val="single" w:sz="4" w:space="0" w:color="auto"/>
            </w:tcBorders>
            <w:shd w:val="clear" w:color="auto" w:fill="auto"/>
            <w:vAlign w:val="center"/>
            <w:hideMark/>
          </w:tcPr>
          <w:p w14:paraId="3545F9F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83,5</w:t>
            </w:r>
          </w:p>
        </w:tc>
        <w:tc>
          <w:tcPr>
            <w:tcW w:w="871" w:type="dxa"/>
            <w:tcBorders>
              <w:top w:val="nil"/>
              <w:left w:val="nil"/>
              <w:bottom w:val="single" w:sz="4" w:space="0" w:color="auto"/>
              <w:right w:val="single" w:sz="4" w:space="0" w:color="auto"/>
            </w:tcBorders>
            <w:shd w:val="clear" w:color="auto" w:fill="auto"/>
            <w:vAlign w:val="center"/>
            <w:hideMark/>
          </w:tcPr>
          <w:p w14:paraId="5893CD2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96,3</w:t>
            </w:r>
          </w:p>
        </w:tc>
      </w:tr>
      <w:tr w:rsidR="00457E80" w:rsidRPr="00036538" w14:paraId="004155CA"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460E0A1"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55</w:t>
            </w:r>
          </w:p>
        </w:tc>
        <w:tc>
          <w:tcPr>
            <w:tcW w:w="908" w:type="dxa"/>
            <w:tcBorders>
              <w:top w:val="nil"/>
              <w:left w:val="nil"/>
              <w:bottom w:val="single" w:sz="4" w:space="0" w:color="auto"/>
              <w:right w:val="single" w:sz="4" w:space="0" w:color="auto"/>
            </w:tcBorders>
            <w:shd w:val="clear" w:color="auto" w:fill="auto"/>
            <w:vAlign w:val="bottom"/>
            <w:hideMark/>
          </w:tcPr>
          <w:p w14:paraId="2396742E"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Алмааты</w:t>
            </w:r>
          </w:p>
        </w:tc>
        <w:tc>
          <w:tcPr>
            <w:tcW w:w="1028" w:type="dxa"/>
            <w:tcBorders>
              <w:top w:val="nil"/>
              <w:left w:val="nil"/>
              <w:bottom w:val="single" w:sz="4" w:space="0" w:color="auto"/>
              <w:right w:val="single" w:sz="4" w:space="0" w:color="auto"/>
            </w:tcBorders>
            <w:shd w:val="clear" w:color="auto" w:fill="auto"/>
            <w:vAlign w:val="bottom"/>
            <w:hideMark/>
          </w:tcPr>
          <w:p w14:paraId="5DF3CD9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Казахстан</w:t>
            </w:r>
          </w:p>
        </w:tc>
        <w:tc>
          <w:tcPr>
            <w:tcW w:w="612" w:type="dxa"/>
            <w:tcBorders>
              <w:top w:val="nil"/>
              <w:left w:val="nil"/>
              <w:bottom w:val="single" w:sz="4" w:space="0" w:color="auto"/>
              <w:right w:val="single" w:sz="4" w:space="0" w:color="auto"/>
            </w:tcBorders>
            <w:shd w:val="clear" w:color="000000" w:fill="92D050"/>
            <w:vAlign w:val="center"/>
            <w:hideMark/>
          </w:tcPr>
          <w:p w14:paraId="6D22311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660</w:t>
            </w:r>
          </w:p>
        </w:tc>
        <w:tc>
          <w:tcPr>
            <w:tcW w:w="1145" w:type="dxa"/>
            <w:tcBorders>
              <w:top w:val="nil"/>
              <w:left w:val="nil"/>
              <w:bottom w:val="single" w:sz="4" w:space="0" w:color="auto"/>
              <w:right w:val="single" w:sz="4" w:space="0" w:color="auto"/>
            </w:tcBorders>
            <w:shd w:val="clear" w:color="auto" w:fill="auto"/>
            <w:vAlign w:val="center"/>
            <w:hideMark/>
          </w:tcPr>
          <w:p w14:paraId="53C2B532"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Kazakhstan</w:t>
            </w:r>
          </w:p>
        </w:tc>
        <w:tc>
          <w:tcPr>
            <w:tcW w:w="612" w:type="dxa"/>
            <w:tcBorders>
              <w:top w:val="nil"/>
              <w:left w:val="nil"/>
              <w:bottom w:val="single" w:sz="4" w:space="0" w:color="auto"/>
              <w:right w:val="single" w:sz="4" w:space="0" w:color="auto"/>
            </w:tcBorders>
            <w:shd w:val="clear" w:color="auto" w:fill="auto"/>
            <w:vAlign w:val="center"/>
            <w:hideMark/>
          </w:tcPr>
          <w:p w14:paraId="6FAE17A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79,6</w:t>
            </w:r>
          </w:p>
        </w:tc>
        <w:tc>
          <w:tcPr>
            <w:tcW w:w="818" w:type="dxa"/>
            <w:tcBorders>
              <w:top w:val="nil"/>
              <w:left w:val="nil"/>
              <w:bottom w:val="single" w:sz="4" w:space="0" w:color="auto"/>
              <w:right w:val="single" w:sz="4" w:space="0" w:color="auto"/>
            </w:tcBorders>
            <w:shd w:val="clear" w:color="auto" w:fill="auto"/>
            <w:vAlign w:val="center"/>
            <w:hideMark/>
          </w:tcPr>
          <w:p w14:paraId="04CE4F5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94,4</w:t>
            </w:r>
          </w:p>
        </w:tc>
        <w:tc>
          <w:tcPr>
            <w:tcW w:w="931" w:type="dxa"/>
            <w:tcBorders>
              <w:top w:val="nil"/>
              <w:left w:val="nil"/>
              <w:bottom w:val="single" w:sz="4" w:space="0" w:color="auto"/>
              <w:right w:val="single" w:sz="4" w:space="0" w:color="auto"/>
            </w:tcBorders>
            <w:shd w:val="clear" w:color="auto" w:fill="auto"/>
            <w:vAlign w:val="center"/>
            <w:hideMark/>
          </w:tcPr>
          <w:p w14:paraId="79C779A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82,4</w:t>
            </w:r>
          </w:p>
        </w:tc>
        <w:tc>
          <w:tcPr>
            <w:tcW w:w="732" w:type="dxa"/>
            <w:tcBorders>
              <w:top w:val="nil"/>
              <w:left w:val="nil"/>
              <w:bottom w:val="single" w:sz="4" w:space="0" w:color="auto"/>
              <w:right w:val="single" w:sz="4" w:space="0" w:color="auto"/>
            </w:tcBorders>
            <w:shd w:val="clear" w:color="auto" w:fill="auto"/>
            <w:vAlign w:val="center"/>
            <w:hideMark/>
          </w:tcPr>
          <w:p w14:paraId="7491DCF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80,0</w:t>
            </w:r>
          </w:p>
        </w:tc>
        <w:tc>
          <w:tcPr>
            <w:tcW w:w="1016" w:type="dxa"/>
            <w:tcBorders>
              <w:top w:val="nil"/>
              <w:left w:val="nil"/>
              <w:bottom w:val="single" w:sz="4" w:space="0" w:color="auto"/>
              <w:right w:val="single" w:sz="4" w:space="0" w:color="auto"/>
            </w:tcBorders>
            <w:shd w:val="clear" w:color="auto" w:fill="auto"/>
            <w:vAlign w:val="center"/>
            <w:hideMark/>
          </w:tcPr>
          <w:p w14:paraId="1AD6FB0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4468E26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78,2</w:t>
            </w:r>
          </w:p>
        </w:tc>
        <w:tc>
          <w:tcPr>
            <w:tcW w:w="1437" w:type="dxa"/>
            <w:tcBorders>
              <w:top w:val="nil"/>
              <w:left w:val="nil"/>
              <w:bottom w:val="single" w:sz="4" w:space="0" w:color="auto"/>
              <w:right w:val="single" w:sz="4" w:space="0" w:color="auto"/>
            </w:tcBorders>
            <w:shd w:val="clear" w:color="auto" w:fill="auto"/>
            <w:vAlign w:val="center"/>
            <w:hideMark/>
          </w:tcPr>
          <w:p w14:paraId="06C37A3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70,4</w:t>
            </w:r>
          </w:p>
        </w:tc>
        <w:tc>
          <w:tcPr>
            <w:tcW w:w="1262" w:type="dxa"/>
            <w:tcBorders>
              <w:top w:val="nil"/>
              <w:left w:val="nil"/>
              <w:bottom w:val="single" w:sz="4" w:space="0" w:color="auto"/>
              <w:right w:val="single" w:sz="4" w:space="0" w:color="auto"/>
            </w:tcBorders>
            <w:shd w:val="clear" w:color="auto" w:fill="auto"/>
            <w:vAlign w:val="center"/>
            <w:hideMark/>
          </w:tcPr>
          <w:p w14:paraId="14346B2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81,3</w:t>
            </w:r>
          </w:p>
        </w:tc>
        <w:tc>
          <w:tcPr>
            <w:tcW w:w="1085" w:type="dxa"/>
            <w:tcBorders>
              <w:top w:val="nil"/>
              <w:left w:val="nil"/>
              <w:bottom w:val="single" w:sz="4" w:space="0" w:color="auto"/>
              <w:right w:val="single" w:sz="4" w:space="0" w:color="auto"/>
            </w:tcBorders>
            <w:shd w:val="clear" w:color="auto" w:fill="auto"/>
            <w:vAlign w:val="center"/>
            <w:hideMark/>
          </w:tcPr>
          <w:p w14:paraId="3A002CA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66,7</w:t>
            </w:r>
          </w:p>
        </w:tc>
        <w:tc>
          <w:tcPr>
            <w:tcW w:w="916" w:type="dxa"/>
            <w:tcBorders>
              <w:top w:val="nil"/>
              <w:left w:val="nil"/>
              <w:bottom w:val="single" w:sz="4" w:space="0" w:color="auto"/>
              <w:right w:val="single" w:sz="4" w:space="0" w:color="auto"/>
            </w:tcBorders>
            <w:shd w:val="clear" w:color="auto" w:fill="auto"/>
            <w:vAlign w:val="center"/>
            <w:hideMark/>
          </w:tcPr>
          <w:p w14:paraId="33BD1EC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76,5</w:t>
            </w:r>
          </w:p>
        </w:tc>
        <w:tc>
          <w:tcPr>
            <w:tcW w:w="871" w:type="dxa"/>
            <w:tcBorders>
              <w:top w:val="nil"/>
              <w:left w:val="nil"/>
              <w:bottom w:val="single" w:sz="4" w:space="0" w:color="auto"/>
              <w:right w:val="single" w:sz="4" w:space="0" w:color="auto"/>
            </w:tcBorders>
            <w:shd w:val="clear" w:color="auto" w:fill="auto"/>
            <w:vAlign w:val="center"/>
            <w:hideMark/>
          </w:tcPr>
          <w:p w14:paraId="7953005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81,6</w:t>
            </w:r>
          </w:p>
        </w:tc>
      </w:tr>
      <w:tr w:rsidR="00457E80" w:rsidRPr="00036538" w14:paraId="4AE3B897" w14:textId="77777777" w:rsidTr="00576F59">
        <w:trPr>
          <w:trHeight w:val="6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584D8CF"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lastRenderedPageBreak/>
              <w:t>56</w:t>
            </w:r>
          </w:p>
        </w:tc>
        <w:tc>
          <w:tcPr>
            <w:tcW w:w="908" w:type="dxa"/>
            <w:tcBorders>
              <w:top w:val="nil"/>
              <w:left w:val="nil"/>
              <w:bottom w:val="single" w:sz="4" w:space="0" w:color="auto"/>
              <w:right w:val="single" w:sz="4" w:space="0" w:color="auto"/>
            </w:tcBorders>
            <w:shd w:val="clear" w:color="auto" w:fill="auto"/>
            <w:vAlign w:val="bottom"/>
            <w:hideMark/>
          </w:tcPr>
          <w:p w14:paraId="347E606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Бахрейн</w:t>
            </w:r>
          </w:p>
        </w:tc>
        <w:tc>
          <w:tcPr>
            <w:tcW w:w="1028" w:type="dxa"/>
            <w:tcBorders>
              <w:top w:val="nil"/>
              <w:left w:val="nil"/>
              <w:bottom w:val="single" w:sz="4" w:space="0" w:color="auto"/>
              <w:right w:val="single" w:sz="4" w:space="0" w:color="auto"/>
            </w:tcBorders>
            <w:shd w:val="clear" w:color="auto" w:fill="auto"/>
            <w:vAlign w:val="bottom"/>
            <w:hideMark/>
          </w:tcPr>
          <w:p w14:paraId="6F454A8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Королевство Бахрейн</w:t>
            </w:r>
          </w:p>
        </w:tc>
        <w:tc>
          <w:tcPr>
            <w:tcW w:w="612" w:type="dxa"/>
            <w:tcBorders>
              <w:top w:val="nil"/>
              <w:left w:val="nil"/>
              <w:bottom w:val="single" w:sz="4" w:space="0" w:color="auto"/>
              <w:right w:val="single" w:sz="4" w:space="0" w:color="auto"/>
            </w:tcBorders>
            <w:shd w:val="clear" w:color="000000" w:fill="92D050"/>
            <w:vAlign w:val="center"/>
            <w:hideMark/>
          </w:tcPr>
          <w:p w14:paraId="5048E13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659</w:t>
            </w:r>
          </w:p>
        </w:tc>
        <w:tc>
          <w:tcPr>
            <w:tcW w:w="1145" w:type="dxa"/>
            <w:tcBorders>
              <w:top w:val="nil"/>
              <w:left w:val="nil"/>
              <w:bottom w:val="single" w:sz="4" w:space="0" w:color="auto"/>
              <w:right w:val="single" w:sz="4" w:space="0" w:color="auto"/>
            </w:tcBorders>
            <w:shd w:val="clear" w:color="auto" w:fill="auto"/>
            <w:vAlign w:val="center"/>
            <w:hideMark/>
          </w:tcPr>
          <w:p w14:paraId="16F5534D"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Bahrain</w:t>
            </w:r>
          </w:p>
        </w:tc>
        <w:tc>
          <w:tcPr>
            <w:tcW w:w="612" w:type="dxa"/>
            <w:tcBorders>
              <w:top w:val="nil"/>
              <w:left w:val="nil"/>
              <w:bottom w:val="single" w:sz="4" w:space="0" w:color="auto"/>
              <w:right w:val="single" w:sz="4" w:space="0" w:color="auto"/>
            </w:tcBorders>
            <w:shd w:val="clear" w:color="auto" w:fill="auto"/>
            <w:vAlign w:val="center"/>
            <w:hideMark/>
          </w:tcPr>
          <w:p w14:paraId="5C8973A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76,0</w:t>
            </w:r>
          </w:p>
        </w:tc>
        <w:tc>
          <w:tcPr>
            <w:tcW w:w="818" w:type="dxa"/>
            <w:tcBorders>
              <w:top w:val="nil"/>
              <w:left w:val="nil"/>
              <w:bottom w:val="single" w:sz="4" w:space="0" w:color="auto"/>
              <w:right w:val="single" w:sz="4" w:space="0" w:color="auto"/>
            </w:tcBorders>
            <w:shd w:val="clear" w:color="auto" w:fill="auto"/>
            <w:vAlign w:val="center"/>
            <w:hideMark/>
          </w:tcPr>
          <w:p w14:paraId="2026E73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89,6</w:t>
            </w:r>
          </w:p>
        </w:tc>
        <w:tc>
          <w:tcPr>
            <w:tcW w:w="931" w:type="dxa"/>
            <w:tcBorders>
              <w:top w:val="nil"/>
              <w:left w:val="nil"/>
              <w:bottom w:val="single" w:sz="4" w:space="0" w:color="auto"/>
              <w:right w:val="single" w:sz="4" w:space="0" w:color="auto"/>
            </w:tcBorders>
            <w:shd w:val="clear" w:color="auto" w:fill="auto"/>
            <w:vAlign w:val="center"/>
            <w:hideMark/>
          </w:tcPr>
          <w:p w14:paraId="0F8049F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86,2</w:t>
            </w:r>
          </w:p>
        </w:tc>
        <w:tc>
          <w:tcPr>
            <w:tcW w:w="732" w:type="dxa"/>
            <w:tcBorders>
              <w:top w:val="nil"/>
              <w:left w:val="nil"/>
              <w:bottom w:val="single" w:sz="4" w:space="0" w:color="auto"/>
              <w:right w:val="single" w:sz="4" w:space="0" w:color="auto"/>
            </w:tcBorders>
            <w:shd w:val="clear" w:color="auto" w:fill="auto"/>
            <w:vAlign w:val="center"/>
            <w:hideMark/>
          </w:tcPr>
          <w:p w14:paraId="47A2A30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45545D7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66,0</w:t>
            </w:r>
          </w:p>
        </w:tc>
        <w:tc>
          <w:tcPr>
            <w:tcW w:w="997" w:type="dxa"/>
            <w:tcBorders>
              <w:top w:val="nil"/>
              <w:left w:val="nil"/>
              <w:bottom w:val="single" w:sz="4" w:space="0" w:color="auto"/>
              <w:right w:val="single" w:sz="4" w:space="0" w:color="auto"/>
            </w:tcBorders>
            <w:shd w:val="clear" w:color="auto" w:fill="auto"/>
            <w:vAlign w:val="center"/>
            <w:hideMark/>
          </w:tcPr>
          <w:p w14:paraId="5093757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437" w:type="dxa"/>
            <w:tcBorders>
              <w:top w:val="nil"/>
              <w:left w:val="nil"/>
              <w:bottom w:val="single" w:sz="4" w:space="0" w:color="auto"/>
              <w:right w:val="single" w:sz="4" w:space="0" w:color="auto"/>
            </w:tcBorders>
            <w:shd w:val="clear" w:color="auto" w:fill="auto"/>
            <w:vAlign w:val="center"/>
            <w:hideMark/>
          </w:tcPr>
          <w:p w14:paraId="440EA6D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78,7</w:t>
            </w:r>
          </w:p>
        </w:tc>
        <w:tc>
          <w:tcPr>
            <w:tcW w:w="1262" w:type="dxa"/>
            <w:tcBorders>
              <w:top w:val="nil"/>
              <w:left w:val="nil"/>
              <w:bottom w:val="single" w:sz="4" w:space="0" w:color="auto"/>
              <w:right w:val="single" w:sz="4" w:space="0" w:color="auto"/>
            </w:tcBorders>
            <w:shd w:val="clear" w:color="auto" w:fill="auto"/>
            <w:vAlign w:val="center"/>
            <w:hideMark/>
          </w:tcPr>
          <w:p w14:paraId="0123073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63,8</w:t>
            </w:r>
          </w:p>
        </w:tc>
        <w:tc>
          <w:tcPr>
            <w:tcW w:w="1085" w:type="dxa"/>
            <w:tcBorders>
              <w:top w:val="nil"/>
              <w:left w:val="nil"/>
              <w:bottom w:val="single" w:sz="4" w:space="0" w:color="auto"/>
              <w:right w:val="single" w:sz="4" w:space="0" w:color="auto"/>
            </w:tcBorders>
            <w:shd w:val="clear" w:color="auto" w:fill="auto"/>
            <w:vAlign w:val="center"/>
            <w:hideMark/>
          </w:tcPr>
          <w:p w14:paraId="37D931B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58,2</w:t>
            </w:r>
          </w:p>
        </w:tc>
        <w:tc>
          <w:tcPr>
            <w:tcW w:w="916" w:type="dxa"/>
            <w:tcBorders>
              <w:top w:val="nil"/>
              <w:left w:val="nil"/>
              <w:bottom w:val="single" w:sz="4" w:space="0" w:color="auto"/>
              <w:right w:val="single" w:sz="4" w:space="0" w:color="auto"/>
            </w:tcBorders>
            <w:shd w:val="clear" w:color="auto" w:fill="auto"/>
            <w:vAlign w:val="center"/>
            <w:hideMark/>
          </w:tcPr>
          <w:p w14:paraId="2254CD5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83,1</w:t>
            </w:r>
          </w:p>
        </w:tc>
        <w:tc>
          <w:tcPr>
            <w:tcW w:w="871" w:type="dxa"/>
            <w:tcBorders>
              <w:top w:val="nil"/>
              <w:left w:val="nil"/>
              <w:bottom w:val="single" w:sz="4" w:space="0" w:color="auto"/>
              <w:right w:val="single" w:sz="4" w:space="0" w:color="auto"/>
            </w:tcBorders>
            <w:shd w:val="clear" w:color="auto" w:fill="auto"/>
            <w:vAlign w:val="center"/>
            <w:hideMark/>
          </w:tcPr>
          <w:p w14:paraId="2A5646B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79,7</w:t>
            </w:r>
          </w:p>
        </w:tc>
      </w:tr>
      <w:tr w:rsidR="00457E80" w:rsidRPr="00036538" w14:paraId="6B894E3B"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D2D5817"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57</w:t>
            </w:r>
          </w:p>
        </w:tc>
        <w:tc>
          <w:tcPr>
            <w:tcW w:w="908" w:type="dxa"/>
            <w:tcBorders>
              <w:top w:val="nil"/>
              <w:left w:val="nil"/>
              <w:bottom w:val="single" w:sz="4" w:space="0" w:color="auto"/>
              <w:right w:val="single" w:sz="4" w:space="0" w:color="auto"/>
            </w:tcBorders>
            <w:shd w:val="clear" w:color="auto" w:fill="auto"/>
            <w:vAlign w:val="bottom"/>
            <w:hideMark/>
          </w:tcPr>
          <w:p w14:paraId="6F993F0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Баку</w:t>
            </w:r>
          </w:p>
        </w:tc>
        <w:tc>
          <w:tcPr>
            <w:tcW w:w="1028" w:type="dxa"/>
            <w:tcBorders>
              <w:top w:val="nil"/>
              <w:left w:val="nil"/>
              <w:bottom w:val="single" w:sz="4" w:space="0" w:color="auto"/>
              <w:right w:val="single" w:sz="4" w:space="0" w:color="auto"/>
            </w:tcBorders>
            <w:shd w:val="clear" w:color="auto" w:fill="auto"/>
            <w:vAlign w:val="bottom"/>
            <w:hideMark/>
          </w:tcPr>
          <w:p w14:paraId="6513ACC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Азербайджан</w:t>
            </w:r>
          </w:p>
        </w:tc>
        <w:tc>
          <w:tcPr>
            <w:tcW w:w="612" w:type="dxa"/>
            <w:tcBorders>
              <w:top w:val="nil"/>
              <w:left w:val="nil"/>
              <w:bottom w:val="single" w:sz="4" w:space="0" w:color="auto"/>
              <w:right w:val="single" w:sz="4" w:space="0" w:color="auto"/>
            </w:tcBorders>
            <w:shd w:val="clear" w:color="000000" w:fill="92D050"/>
            <w:vAlign w:val="center"/>
            <w:hideMark/>
          </w:tcPr>
          <w:p w14:paraId="3ED777C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658</w:t>
            </w:r>
          </w:p>
        </w:tc>
        <w:tc>
          <w:tcPr>
            <w:tcW w:w="1145" w:type="dxa"/>
            <w:tcBorders>
              <w:top w:val="nil"/>
              <w:left w:val="nil"/>
              <w:bottom w:val="single" w:sz="4" w:space="0" w:color="auto"/>
              <w:right w:val="single" w:sz="4" w:space="0" w:color="auto"/>
            </w:tcBorders>
            <w:shd w:val="clear" w:color="auto" w:fill="auto"/>
            <w:vAlign w:val="center"/>
            <w:hideMark/>
          </w:tcPr>
          <w:p w14:paraId="6B19E274"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Azerbaijan</w:t>
            </w:r>
          </w:p>
        </w:tc>
        <w:tc>
          <w:tcPr>
            <w:tcW w:w="612" w:type="dxa"/>
            <w:tcBorders>
              <w:top w:val="nil"/>
              <w:left w:val="nil"/>
              <w:bottom w:val="single" w:sz="4" w:space="0" w:color="auto"/>
              <w:right w:val="single" w:sz="4" w:space="0" w:color="auto"/>
            </w:tcBorders>
            <w:shd w:val="clear" w:color="auto" w:fill="auto"/>
            <w:vAlign w:val="center"/>
            <w:hideMark/>
          </w:tcPr>
          <w:p w14:paraId="5B1176F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78,5</w:t>
            </w:r>
          </w:p>
        </w:tc>
        <w:tc>
          <w:tcPr>
            <w:tcW w:w="818" w:type="dxa"/>
            <w:tcBorders>
              <w:top w:val="nil"/>
              <w:left w:val="nil"/>
              <w:bottom w:val="single" w:sz="4" w:space="0" w:color="auto"/>
              <w:right w:val="single" w:sz="4" w:space="0" w:color="auto"/>
            </w:tcBorders>
            <w:shd w:val="clear" w:color="auto" w:fill="auto"/>
            <w:vAlign w:val="center"/>
            <w:hideMark/>
          </w:tcPr>
          <w:p w14:paraId="480D170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96,2</w:t>
            </w:r>
          </w:p>
        </w:tc>
        <w:tc>
          <w:tcPr>
            <w:tcW w:w="931" w:type="dxa"/>
            <w:tcBorders>
              <w:top w:val="nil"/>
              <w:left w:val="nil"/>
              <w:bottom w:val="single" w:sz="4" w:space="0" w:color="auto"/>
              <w:right w:val="single" w:sz="4" w:space="0" w:color="auto"/>
            </w:tcBorders>
            <w:shd w:val="clear" w:color="auto" w:fill="auto"/>
            <w:vAlign w:val="center"/>
            <w:hideMark/>
          </w:tcPr>
          <w:p w14:paraId="39393DB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75,4</w:t>
            </w:r>
          </w:p>
        </w:tc>
        <w:tc>
          <w:tcPr>
            <w:tcW w:w="732" w:type="dxa"/>
            <w:tcBorders>
              <w:top w:val="nil"/>
              <w:left w:val="nil"/>
              <w:bottom w:val="single" w:sz="4" w:space="0" w:color="auto"/>
              <w:right w:val="single" w:sz="4" w:space="0" w:color="auto"/>
            </w:tcBorders>
            <w:shd w:val="clear" w:color="auto" w:fill="auto"/>
            <w:vAlign w:val="center"/>
            <w:hideMark/>
          </w:tcPr>
          <w:p w14:paraId="6401449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100,0</w:t>
            </w:r>
          </w:p>
        </w:tc>
        <w:tc>
          <w:tcPr>
            <w:tcW w:w="1016" w:type="dxa"/>
            <w:tcBorders>
              <w:top w:val="nil"/>
              <w:left w:val="nil"/>
              <w:bottom w:val="single" w:sz="4" w:space="0" w:color="auto"/>
              <w:right w:val="single" w:sz="4" w:space="0" w:color="auto"/>
            </w:tcBorders>
            <w:shd w:val="clear" w:color="auto" w:fill="auto"/>
            <w:vAlign w:val="center"/>
            <w:hideMark/>
          </w:tcPr>
          <w:p w14:paraId="1FB1F82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50,0</w:t>
            </w:r>
          </w:p>
        </w:tc>
        <w:tc>
          <w:tcPr>
            <w:tcW w:w="997" w:type="dxa"/>
            <w:tcBorders>
              <w:top w:val="nil"/>
              <w:left w:val="nil"/>
              <w:bottom w:val="single" w:sz="4" w:space="0" w:color="auto"/>
              <w:right w:val="single" w:sz="4" w:space="0" w:color="auto"/>
            </w:tcBorders>
            <w:shd w:val="clear" w:color="auto" w:fill="auto"/>
            <w:vAlign w:val="center"/>
            <w:hideMark/>
          </w:tcPr>
          <w:p w14:paraId="098AB89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1437" w:type="dxa"/>
            <w:tcBorders>
              <w:top w:val="nil"/>
              <w:left w:val="nil"/>
              <w:bottom w:val="single" w:sz="4" w:space="0" w:color="auto"/>
              <w:right w:val="single" w:sz="4" w:space="0" w:color="auto"/>
            </w:tcBorders>
            <w:shd w:val="clear" w:color="auto" w:fill="auto"/>
            <w:vAlign w:val="center"/>
            <w:hideMark/>
          </w:tcPr>
          <w:p w14:paraId="29D7E4A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81,7</w:t>
            </w:r>
          </w:p>
        </w:tc>
        <w:tc>
          <w:tcPr>
            <w:tcW w:w="1262" w:type="dxa"/>
            <w:tcBorders>
              <w:top w:val="nil"/>
              <w:left w:val="nil"/>
              <w:bottom w:val="single" w:sz="4" w:space="0" w:color="auto"/>
              <w:right w:val="single" w:sz="4" w:space="0" w:color="auto"/>
            </w:tcBorders>
            <w:shd w:val="clear" w:color="auto" w:fill="auto"/>
            <w:vAlign w:val="center"/>
            <w:hideMark/>
          </w:tcPr>
          <w:p w14:paraId="5A6AA65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74,9</w:t>
            </w:r>
          </w:p>
        </w:tc>
        <w:tc>
          <w:tcPr>
            <w:tcW w:w="1085" w:type="dxa"/>
            <w:tcBorders>
              <w:top w:val="nil"/>
              <w:left w:val="nil"/>
              <w:bottom w:val="single" w:sz="4" w:space="0" w:color="auto"/>
              <w:right w:val="single" w:sz="4" w:space="0" w:color="auto"/>
            </w:tcBorders>
            <w:shd w:val="clear" w:color="auto" w:fill="auto"/>
            <w:vAlign w:val="center"/>
            <w:hideMark/>
          </w:tcPr>
          <w:p w14:paraId="487B433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63,5</w:t>
            </w:r>
          </w:p>
        </w:tc>
        <w:tc>
          <w:tcPr>
            <w:tcW w:w="916" w:type="dxa"/>
            <w:tcBorders>
              <w:top w:val="nil"/>
              <w:left w:val="nil"/>
              <w:bottom w:val="single" w:sz="4" w:space="0" w:color="auto"/>
              <w:right w:val="single" w:sz="4" w:space="0" w:color="auto"/>
            </w:tcBorders>
            <w:shd w:val="clear" w:color="auto" w:fill="auto"/>
            <w:vAlign w:val="center"/>
            <w:hideMark/>
          </w:tcPr>
          <w:p w14:paraId="3BCFAF3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73,4</w:t>
            </w:r>
          </w:p>
        </w:tc>
        <w:tc>
          <w:tcPr>
            <w:tcW w:w="871" w:type="dxa"/>
            <w:tcBorders>
              <w:top w:val="nil"/>
              <w:left w:val="nil"/>
              <w:bottom w:val="single" w:sz="4" w:space="0" w:color="auto"/>
              <w:right w:val="single" w:sz="4" w:space="0" w:color="auto"/>
            </w:tcBorders>
            <w:shd w:val="clear" w:color="auto" w:fill="auto"/>
            <w:vAlign w:val="center"/>
            <w:hideMark/>
          </w:tcPr>
          <w:p w14:paraId="298196F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86,0</w:t>
            </w:r>
          </w:p>
        </w:tc>
      </w:tr>
      <w:tr w:rsidR="00457E80" w:rsidRPr="00036538" w14:paraId="77ECACF6"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D8B18BC"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58</w:t>
            </w:r>
          </w:p>
        </w:tc>
        <w:tc>
          <w:tcPr>
            <w:tcW w:w="908" w:type="dxa"/>
            <w:tcBorders>
              <w:top w:val="nil"/>
              <w:left w:val="nil"/>
              <w:bottom w:val="single" w:sz="4" w:space="0" w:color="auto"/>
              <w:right w:val="single" w:sz="4" w:space="0" w:color="auto"/>
            </w:tcBorders>
            <w:shd w:val="clear" w:color="auto" w:fill="auto"/>
            <w:vAlign w:val="bottom"/>
            <w:hideMark/>
          </w:tcPr>
          <w:p w14:paraId="2C409BF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Бангкок</w:t>
            </w:r>
          </w:p>
        </w:tc>
        <w:tc>
          <w:tcPr>
            <w:tcW w:w="1028" w:type="dxa"/>
            <w:tcBorders>
              <w:top w:val="nil"/>
              <w:left w:val="nil"/>
              <w:bottom w:val="single" w:sz="4" w:space="0" w:color="auto"/>
              <w:right w:val="single" w:sz="4" w:space="0" w:color="auto"/>
            </w:tcBorders>
            <w:shd w:val="clear" w:color="auto" w:fill="auto"/>
            <w:vAlign w:val="bottom"/>
            <w:hideMark/>
          </w:tcPr>
          <w:p w14:paraId="45AC515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Таиланд</w:t>
            </w:r>
          </w:p>
        </w:tc>
        <w:tc>
          <w:tcPr>
            <w:tcW w:w="612" w:type="dxa"/>
            <w:tcBorders>
              <w:top w:val="nil"/>
              <w:left w:val="nil"/>
              <w:bottom w:val="single" w:sz="4" w:space="0" w:color="auto"/>
              <w:right w:val="single" w:sz="4" w:space="0" w:color="auto"/>
            </w:tcBorders>
            <w:shd w:val="clear" w:color="000000" w:fill="92D050"/>
            <w:vAlign w:val="center"/>
            <w:hideMark/>
          </w:tcPr>
          <w:p w14:paraId="7EBA0F3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657</w:t>
            </w:r>
          </w:p>
        </w:tc>
        <w:tc>
          <w:tcPr>
            <w:tcW w:w="1145" w:type="dxa"/>
            <w:tcBorders>
              <w:top w:val="nil"/>
              <w:left w:val="nil"/>
              <w:bottom w:val="single" w:sz="4" w:space="0" w:color="auto"/>
              <w:right w:val="single" w:sz="4" w:space="0" w:color="auto"/>
            </w:tcBorders>
            <w:shd w:val="clear" w:color="auto" w:fill="auto"/>
            <w:vAlign w:val="center"/>
            <w:hideMark/>
          </w:tcPr>
          <w:p w14:paraId="42E66DD3"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Thailand</w:t>
            </w:r>
          </w:p>
        </w:tc>
        <w:tc>
          <w:tcPr>
            <w:tcW w:w="612" w:type="dxa"/>
            <w:tcBorders>
              <w:top w:val="nil"/>
              <w:left w:val="nil"/>
              <w:bottom w:val="single" w:sz="4" w:space="0" w:color="auto"/>
              <w:right w:val="single" w:sz="4" w:space="0" w:color="auto"/>
            </w:tcBorders>
            <w:shd w:val="clear" w:color="auto" w:fill="auto"/>
            <w:vAlign w:val="center"/>
            <w:hideMark/>
          </w:tcPr>
          <w:p w14:paraId="1D0FFE0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80,1</w:t>
            </w:r>
          </w:p>
        </w:tc>
        <w:tc>
          <w:tcPr>
            <w:tcW w:w="818" w:type="dxa"/>
            <w:tcBorders>
              <w:top w:val="nil"/>
              <w:left w:val="nil"/>
              <w:bottom w:val="single" w:sz="4" w:space="0" w:color="auto"/>
              <w:right w:val="single" w:sz="4" w:space="0" w:color="auto"/>
            </w:tcBorders>
            <w:shd w:val="clear" w:color="auto" w:fill="auto"/>
            <w:vAlign w:val="center"/>
            <w:hideMark/>
          </w:tcPr>
          <w:p w14:paraId="0990821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92,4</w:t>
            </w:r>
          </w:p>
        </w:tc>
        <w:tc>
          <w:tcPr>
            <w:tcW w:w="931" w:type="dxa"/>
            <w:tcBorders>
              <w:top w:val="nil"/>
              <w:left w:val="nil"/>
              <w:bottom w:val="single" w:sz="4" w:space="0" w:color="auto"/>
              <w:right w:val="single" w:sz="4" w:space="0" w:color="auto"/>
            </w:tcBorders>
            <w:shd w:val="clear" w:color="auto" w:fill="auto"/>
            <w:vAlign w:val="center"/>
            <w:hideMark/>
          </w:tcPr>
          <w:p w14:paraId="07DAC33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69,5</w:t>
            </w:r>
          </w:p>
        </w:tc>
        <w:tc>
          <w:tcPr>
            <w:tcW w:w="732" w:type="dxa"/>
            <w:tcBorders>
              <w:top w:val="nil"/>
              <w:left w:val="nil"/>
              <w:bottom w:val="single" w:sz="4" w:space="0" w:color="auto"/>
              <w:right w:val="single" w:sz="4" w:space="0" w:color="auto"/>
            </w:tcBorders>
            <w:shd w:val="clear" w:color="auto" w:fill="auto"/>
            <w:vAlign w:val="center"/>
            <w:hideMark/>
          </w:tcPr>
          <w:p w14:paraId="6E808E5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54E18CA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86,0</w:t>
            </w:r>
          </w:p>
        </w:tc>
        <w:tc>
          <w:tcPr>
            <w:tcW w:w="997" w:type="dxa"/>
            <w:tcBorders>
              <w:top w:val="nil"/>
              <w:left w:val="nil"/>
              <w:bottom w:val="single" w:sz="4" w:space="0" w:color="auto"/>
              <w:right w:val="single" w:sz="4" w:space="0" w:color="auto"/>
            </w:tcBorders>
            <w:shd w:val="clear" w:color="auto" w:fill="auto"/>
            <w:vAlign w:val="center"/>
            <w:hideMark/>
          </w:tcPr>
          <w:p w14:paraId="6BDCBB0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77,7</w:t>
            </w:r>
          </w:p>
        </w:tc>
        <w:tc>
          <w:tcPr>
            <w:tcW w:w="1437" w:type="dxa"/>
            <w:tcBorders>
              <w:top w:val="nil"/>
              <w:left w:val="nil"/>
              <w:bottom w:val="single" w:sz="4" w:space="0" w:color="auto"/>
              <w:right w:val="single" w:sz="4" w:space="0" w:color="auto"/>
            </w:tcBorders>
            <w:shd w:val="clear" w:color="auto" w:fill="auto"/>
            <w:vAlign w:val="center"/>
            <w:hideMark/>
          </w:tcPr>
          <w:p w14:paraId="0E00D54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84,6</w:t>
            </w:r>
          </w:p>
        </w:tc>
        <w:tc>
          <w:tcPr>
            <w:tcW w:w="1262" w:type="dxa"/>
            <w:tcBorders>
              <w:top w:val="nil"/>
              <w:left w:val="nil"/>
              <w:bottom w:val="single" w:sz="4" w:space="0" w:color="auto"/>
              <w:right w:val="single" w:sz="4" w:space="0" w:color="auto"/>
            </w:tcBorders>
            <w:shd w:val="clear" w:color="auto" w:fill="auto"/>
            <w:vAlign w:val="center"/>
            <w:hideMark/>
          </w:tcPr>
          <w:p w14:paraId="510248C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67,9</w:t>
            </w:r>
          </w:p>
        </w:tc>
        <w:tc>
          <w:tcPr>
            <w:tcW w:w="1085" w:type="dxa"/>
            <w:tcBorders>
              <w:top w:val="nil"/>
              <w:left w:val="nil"/>
              <w:bottom w:val="single" w:sz="4" w:space="0" w:color="auto"/>
              <w:right w:val="single" w:sz="4" w:space="0" w:color="auto"/>
            </w:tcBorders>
            <w:shd w:val="clear" w:color="auto" w:fill="auto"/>
            <w:vAlign w:val="center"/>
            <w:hideMark/>
          </w:tcPr>
          <w:p w14:paraId="5FAEC12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76,8</w:t>
            </w:r>
          </w:p>
        </w:tc>
        <w:tc>
          <w:tcPr>
            <w:tcW w:w="916" w:type="dxa"/>
            <w:tcBorders>
              <w:top w:val="nil"/>
              <w:left w:val="nil"/>
              <w:bottom w:val="single" w:sz="4" w:space="0" w:color="auto"/>
              <w:right w:val="single" w:sz="4" w:space="0" w:color="auto"/>
            </w:tcBorders>
            <w:shd w:val="clear" w:color="auto" w:fill="auto"/>
            <w:vAlign w:val="center"/>
            <w:hideMark/>
          </w:tcPr>
          <w:p w14:paraId="4E35AEB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77,3</w:t>
            </w:r>
          </w:p>
        </w:tc>
        <w:tc>
          <w:tcPr>
            <w:tcW w:w="871" w:type="dxa"/>
            <w:tcBorders>
              <w:top w:val="nil"/>
              <w:left w:val="nil"/>
              <w:bottom w:val="single" w:sz="4" w:space="0" w:color="auto"/>
              <w:right w:val="single" w:sz="4" w:space="0" w:color="auto"/>
            </w:tcBorders>
            <w:shd w:val="clear" w:color="auto" w:fill="auto"/>
            <w:vAlign w:val="center"/>
            <w:hideMark/>
          </w:tcPr>
          <w:p w14:paraId="7C7D8F3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98,7</w:t>
            </w:r>
          </w:p>
        </w:tc>
      </w:tr>
      <w:tr w:rsidR="00457E80" w:rsidRPr="00036538" w14:paraId="65E3CB5E"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DB4542D"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59</w:t>
            </w:r>
          </w:p>
        </w:tc>
        <w:tc>
          <w:tcPr>
            <w:tcW w:w="908" w:type="dxa"/>
            <w:tcBorders>
              <w:top w:val="nil"/>
              <w:left w:val="nil"/>
              <w:bottom w:val="single" w:sz="4" w:space="0" w:color="auto"/>
              <w:right w:val="single" w:sz="4" w:space="0" w:color="auto"/>
            </w:tcBorders>
            <w:shd w:val="clear" w:color="auto" w:fill="auto"/>
            <w:vAlign w:val="bottom"/>
            <w:hideMark/>
          </w:tcPr>
          <w:p w14:paraId="1A0E111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Осака</w:t>
            </w:r>
          </w:p>
        </w:tc>
        <w:tc>
          <w:tcPr>
            <w:tcW w:w="1028" w:type="dxa"/>
            <w:tcBorders>
              <w:top w:val="nil"/>
              <w:left w:val="nil"/>
              <w:bottom w:val="single" w:sz="4" w:space="0" w:color="auto"/>
              <w:right w:val="single" w:sz="4" w:space="0" w:color="auto"/>
            </w:tcBorders>
            <w:shd w:val="clear" w:color="auto" w:fill="auto"/>
            <w:vAlign w:val="bottom"/>
            <w:hideMark/>
          </w:tcPr>
          <w:p w14:paraId="28B2C240"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Япония</w:t>
            </w:r>
          </w:p>
        </w:tc>
        <w:tc>
          <w:tcPr>
            <w:tcW w:w="612" w:type="dxa"/>
            <w:tcBorders>
              <w:top w:val="nil"/>
              <w:left w:val="nil"/>
              <w:bottom w:val="single" w:sz="4" w:space="0" w:color="auto"/>
              <w:right w:val="single" w:sz="4" w:space="0" w:color="auto"/>
            </w:tcBorders>
            <w:shd w:val="clear" w:color="000000" w:fill="92D050"/>
            <w:vAlign w:val="center"/>
            <w:hideMark/>
          </w:tcPr>
          <w:p w14:paraId="6CD2E6B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656</w:t>
            </w:r>
          </w:p>
        </w:tc>
        <w:tc>
          <w:tcPr>
            <w:tcW w:w="1145" w:type="dxa"/>
            <w:tcBorders>
              <w:top w:val="nil"/>
              <w:left w:val="nil"/>
              <w:bottom w:val="single" w:sz="4" w:space="0" w:color="auto"/>
              <w:right w:val="single" w:sz="4" w:space="0" w:color="auto"/>
            </w:tcBorders>
            <w:shd w:val="clear" w:color="auto" w:fill="auto"/>
            <w:vAlign w:val="center"/>
            <w:hideMark/>
          </w:tcPr>
          <w:p w14:paraId="71EAEA87"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Japan Osaka</w:t>
            </w:r>
          </w:p>
        </w:tc>
        <w:tc>
          <w:tcPr>
            <w:tcW w:w="612" w:type="dxa"/>
            <w:tcBorders>
              <w:top w:val="nil"/>
              <w:left w:val="nil"/>
              <w:bottom w:val="single" w:sz="4" w:space="0" w:color="auto"/>
              <w:right w:val="single" w:sz="4" w:space="0" w:color="auto"/>
            </w:tcBorders>
            <w:shd w:val="clear" w:color="auto" w:fill="auto"/>
            <w:vAlign w:val="center"/>
            <w:hideMark/>
          </w:tcPr>
          <w:p w14:paraId="5C341F4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78,4</w:t>
            </w:r>
          </w:p>
        </w:tc>
        <w:tc>
          <w:tcPr>
            <w:tcW w:w="818" w:type="dxa"/>
            <w:tcBorders>
              <w:top w:val="nil"/>
              <w:left w:val="nil"/>
              <w:bottom w:val="single" w:sz="4" w:space="0" w:color="auto"/>
              <w:right w:val="single" w:sz="4" w:space="0" w:color="auto"/>
            </w:tcBorders>
            <w:shd w:val="clear" w:color="auto" w:fill="auto"/>
            <w:vAlign w:val="center"/>
            <w:hideMark/>
          </w:tcPr>
          <w:p w14:paraId="56A09F5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86,3</w:t>
            </w:r>
          </w:p>
        </w:tc>
        <w:tc>
          <w:tcPr>
            <w:tcW w:w="931" w:type="dxa"/>
            <w:tcBorders>
              <w:top w:val="nil"/>
              <w:left w:val="nil"/>
              <w:bottom w:val="single" w:sz="4" w:space="0" w:color="auto"/>
              <w:right w:val="single" w:sz="4" w:space="0" w:color="auto"/>
            </w:tcBorders>
            <w:shd w:val="clear" w:color="auto" w:fill="auto"/>
            <w:vAlign w:val="center"/>
            <w:hideMark/>
          </w:tcPr>
          <w:p w14:paraId="6B0E91F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75,6</w:t>
            </w:r>
          </w:p>
        </w:tc>
        <w:tc>
          <w:tcPr>
            <w:tcW w:w="732" w:type="dxa"/>
            <w:tcBorders>
              <w:top w:val="nil"/>
              <w:left w:val="nil"/>
              <w:bottom w:val="single" w:sz="4" w:space="0" w:color="auto"/>
              <w:right w:val="single" w:sz="4" w:space="0" w:color="auto"/>
            </w:tcBorders>
            <w:shd w:val="clear" w:color="auto" w:fill="auto"/>
            <w:vAlign w:val="center"/>
            <w:hideMark/>
          </w:tcPr>
          <w:p w14:paraId="2901BE9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42FA74D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64,0</w:t>
            </w:r>
          </w:p>
        </w:tc>
        <w:tc>
          <w:tcPr>
            <w:tcW w:w="997" w:type="dxa"/>
            <w:tcBorders>
              <w:top w:val="nil"/>
              <w:left w:val="nil"/>
              <w:bottom w:val="single" w:sz="4" w:space="0" w:color="auto"/>
              <w:right w:val="single" w:sz="4" w:space="0" w:color="auto"/>
            </w:tcBorders>
            <w:shd w:val="clear" w:color="auto" w:fill="auto"/>
            <w:vAlign w:val="center"/>
            <w:hideMark/>
          </w:tcPr>
          <w:p w14:paraId="1D6018F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81,6</w:t>
            </w:r>
          </w:p>
        </w:tc>
        <w:tc>
          <w:tcPr>
            <w:tcW w:w="1437" w:type="dxa"/>
            <w:tcBorders>
              <w:top w:val="nil"/>
              <w:left w:val="nil"/>
              <w:bottom w:val="single" w:sz="4" w:space="0" w:color="auto"/>
              <w:right w:val="single" w:sz="4" w:space="0" w:color="auto"/>
            </w:tcBorders>
            <w:shd w:val="clear" w:color="auto" w:fill="auto"/>
            <w:vAlign w:val="center"/>
            <w:hideMark/>
          </w:tcPr>
          <w:p w14:paraId="0AABA26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85,3</w:t>
            </w:r>
          </w:p>
        </w:tc>
        <w:tc>
          <w:tcPr>
            <w:tcW w:w="1262" w:type="dxa"/>
            <w:tcBorders>
              <w:top w:val="nil"/>
              <w:left w:val="nil"/>
              <w:bottom w:val="single" w:sz="4" w:space="0" w:color="auto"/>
              <w:right w:val="single" w:sz="4" w:space="0" w:color="auto"/>
            </w:tcBorders>
            <w:shd w:val="clear" w:color="auto" w:fill="auto"/>
            <w:vAlign w:val="center"/>
            <w:hideMark/>
          </w:tcPr>
          <w:p w14:paraId="758283B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65,3</w:t>
            </w:r>
          </w:p>
        </w:tc>
        <w:tc>
          <w:tcPr>
            <w:tcW w:w="1085" w:type="dxa"/>
            <w:tcBorders>
              <w:top w:val="nil"/>
              <w:left w:val="nil"/>
              <w:bottom w:val="single" w:sz="4" w:space="0" w:color="auto"/>
              <w:right w:val="single" w:sz="4" w:space="0" w:color="auto"/>
            </w:tcBorders>
            <w:shd w:val="clear" w:color="auto" w:fill="auto"/>
            <w:vAlign w:val="center"/>
            <w:hideMark/>
          </w:tcPr>
          <w:p w14:paraId="2B02E63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90,6</w:t>
            </w:r>
          </w:p>
        </w:tc>
        <w:tc>
          <w:tcPr>
            <w:tcW w:w="916" w:type="dxa"/>
            <w:tcBorders>
              <w:top w:val="nil"/>
              <w:left w:val="nil"/>
              <w:bottom w:val="single" w:sz="4" w:space="0" w:color="auto"/>
              <w:right w:val="single" w:sz="4" w:space="0" w:color="auto"/>
            </w:tcBorders>
            <w:shd w:val="clear" w:color="auto" w:fill="auto"/>
            <w:vAlign w:val="center"/>
            <w:hideMark/>
          </w:tcPr>
          <w:p w14:paraId="29464F0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83,0</w:t>
            </w:r>
          </w:p>
        </w:tc>
        <w:tc>
          <w:tcPr>
            <w:tcW w:w="871" w:type="dxa"/>
            <w:tcBorders>
              <w:top w:val="nil"/>
              <w:left w:val="nil"/>
              <w:bottom w:val="single" w:sz="4" w:space="0" w:color="auto"/>
              <w:right w:val="single" w:sz="4" w:space="0" w:color="auto"/>
            </w:tcBorders>
            <w:shd w:val="clear" w:color="auto" w:fill="auto"/>
            <w:vAlign w:val="center"/>
            <w:hideMark/>
          </w:tcPr>
          <w:p w14:paraId="095390B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97,8</w:t>
            </w:r>
          </w:p>
        </w:tc>
      </w:tr>
      <w:tr w:rsidR="00457E80" w:rsidRPr="00036538" w14:paraId="4A71A57E" w14:textId="77777777" w:rsidTr="00576F59">
        <w:trPr>
          <w:trHeight w:val="9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EFDBDE5"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60</w:t>
            </w:r>
          </w:p>
        </w:tc>
        <w:tc>
          <w:tcPr>
            <w:tcW w:w="908" w:type="dxa"/>
            <w:tcBorders>
              <w:top w:val="nil"/>
              <w:left w:val="nil"/>
              <w:bottom w:val="single" w:sz="4" w:space="0" w:color="auto"/>
              <w:right w:val="single" w:sz="4" w:space="0" w:color="auto"/>
            </w:tcBorders>
            <w:shd w:val="clear" w:color="auto" w:fill="auto"/>
            <w:vAlign w:val="bottom"/>
            <w:hideMark/>
          </w:tcPr>
          <w:p w14:paraId="176AF7D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Британские Виргинские острова</w:t>
            </w:r>
          </w:p>
        </w:tc>
        <w:tc>
          <w:tcPr>
            <w:tcW w:w="1028" w:type="dxa"/>
            <w:tcBorders>
              <w:top w:val="nil"/>
              <w:left w:val="nil"/>
              <w:bottom w:val="single" w:sz="4" w:space="0" w:color="auto"/>
              <w:right w:val="single" w:sz="4" w:space="0" w:color="auto"/>
            </w:tcBorders>
            <w:shd w:val="clear" w:color="auto" w:fill="auto"/>
            <w:vAlign w:val="bottom"/>
            <w:hideMark/>
          </w:tcPr>
          <w:p w14:paraId="7DB30AD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Великобритания</w:t>
            </w:r>
          </w:p>
        </w:tc>
        <w:tc>
          <w:tcPr>
            <w:tcW w:w="612" w:type="dxa"/>
            <w:tcBorders>
              <w:top w:val="nil"/>
              <w:left w:val="nil"/>
              <w:bottom w:val="single" w:sz="4" w:space="0" w:color="auto"/>
              <w:right w:val="single" w:sz="4" w:space="0" w:color="auto"/>
            </w:tcBorders>
            <w:shd w:val="clear" w:color="000000" w:fill="92D050"/>
            <w:vAlign w:val="center"/>
            <w:hideMark/>
          </w:tcPr>
          <w:p w14:paraId="58B386C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655</w:t>
            </w:r>
          </w:p>
        </w:tc>
        <w:tc>
          <w:tcPr>
            <w:tcW w:w="1145" w:type="dxa"/>
            <w:tcBorders>
              <w:top w:val="nil"/>
              <w:left w:val="nil"/>
              <w:bottom w:val="single" w:sz="4" w:space="0" w:color="auto"/>
              <w:right w:val="single" w:sz="4" w:space="0" w:color="auto"/>
            </w:tcBorders>
            <w:shd w:val="clear" w:color="auto" w:fill="auto"/>
            <w:vAlign w:val="center"/>
            <w:hideMark/>
          </w:tcPr>
          <w:p w14:paraId="7A45CA91"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Kingdom</w:t>
            </w:r>
          </w:p>
        </w:tc>
        <w:tc>
          <w:tcPr>
            <w:tcW w:w="612" w:type="dxa"/>
            <w:tcBorders>
              <w:top w:val="nil"/>
              <w:left w:val="nil"/>
              <w:bottom w:val="single" w:sz="4" w:space="0" w:color="auto"/>
              <w:right w:val="single" w:sz="4" w:space="0" w:color="auto"/>
            </w:tcBorders>
            <w:shd w:val="clear" w:color="auto" w:fill="auto"/>
            <w:vAlign w:val="center"/>
            <w:hideMark/>
          </w:tcPr>
          <w:p w14:paraId="627913C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83,5</w:t>
            </w:r>
          </w:p>
        </w:tc>
        <w:tc>
          <w:tcPr>
            <w:tcW w:w="818" w:type="dxa"/>
            <w:tcBorders>
              <w:top w:val="nil"/>
              <w:left w:val="nil"/>
              <w:bottom w:val="single" w:sz="4" w:space="0" w:color="auto"/>
              <w:right w:val="single" w:sz="4" w:space="0" w:color="auto"/>
            </w:tcBorders>
            <w:shd w:val="clear" w:color="auto" w:fill="auto"/>
            <w:vAlign w:val="center"/>
            <w:hideMark/>
          </w:tcPr>
          <w:p w14:paraId="59F9E53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94,6</w:t>
            </w:r>
          </w:p>
        </w:tc>
        <w:tc>
          <w:tcPr>
            <w:tcW w:w="931" w:type="dxa"/>
            <w:tcBorders>
              <w:top w:val="nil"/>
              <w:left w:val="nil"/>
              <w:bottom w:val="single" w:sz="4" w:space="0" w:color="auto"/>
              <w:right w:val="single" w:sz="4" w:space="0" w:color="auto"/>
            </w:tcBorders>
            <w:shd w:val="clear" w:color="auto" w:fill="auto"/>
            <w:vAlign w:val="center"/>
            <w:hideMark/>
          </w:tcPr>
          <w:p w14:paraId="62DB098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08087F3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49063E2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0F8AFC5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86,2</w:t>
            </w:r>
          </w:p>
        </w:tc>
        <w:tc>
          <w:tcPr>
            <w:tcW w:w="1437" w:type="dxa"/>
            <w:tcBorders>
              <w:top w:val="nil"/>
              <w:left w:val="nil"/>
              <w:bottom w:val="single" w:sz="4" w:space="0" w:color="auto"/>
              <w:right w:val="single" w:sz="4" w:space="0" w:color="auto"/>
            </w:tcBorders>
            <w:shd w:val="clear" w:color="auto" w:fill="auto"/>
            <w:vAlign w:val="center"/>
            <w:hideMark/>
          </w:tcPr>
          <w:p w14:paraId="62005D5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93,8</w:t>
            </w:r>
          </w:p>
        </w:tc>
        <w:tc>
          <w:tcPr>
            <w:tcW w:w="1262" w:type="dxa"/>
            <w:tcBorders>
              <w:top w:val="nil"/>
              <w:left w:val="nil"/>
              <w:bottom w:val="single" w:sz="4" w:space="0" w:color="auto"/>
              <w:right w:val="single" w:sz="4" w:space="0" w:color="auto"/>
            </w:tcBorders>
            <w:shd w:val="clear" w:color="auto" w:fill="auto"/>
            <w:vAlign w:val="center"/>
            <w:hideMark/>
          </w:tcPr>
          <w:p w14:paraId="4309BF7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68,7</w:t>
            </w:r>
          </w:p>
        </w:tc>
        <w:tc>
          <w:tcPr>
            <w:tcW w:w="1085" w:type="dxa"/>
            <w:tcBorders>
              <w:top w:val="nil"/>
              <w:left w:val="nil"/>
              <w:bottom w:val="single" w:sz="4" w:space="0" w:color="auto"/>
              <w:right w:val="single" w:sz="4" w:space="0" w:color="auto"/>
            </w:tcBorders>
            <w:shd w:val="clear" w:color="auto" w:fill="auto"/>
            <w:vAlign w:val="center"/>
            <w:hideMark/>
          </w:tcPr>
          <w:p w14:paraId="6803823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916" w:type="dxa"/>
            <w:tcBorders>
              <w:top w:val="nil"/>
              <w:left w:val="nil"/>
              <w:bottom w:val="single" w:sz="4" w:space="0" w:color="auto"/>
              <w:right w:val="single" w:sz="4" w:space="0" w:color="auto"/>
            </w:tcBorders>
            <w:shd w:val="clear" w:color="auto" w:fill="auto"/>
            <w:vAlign w:val="center"/>
            <w:hideMark/>
          </w:tcPr>
          <w:p w14:paraId="69A82C9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871" w:type="dxa"/>
            <w:tcBorders>
              <w:top w:val="nil"/>
              <w:left w:val="nil"/>
              <w:bottom w:val="single" w:sz="4" w:space="0" w:color="auto"/>
              <w:right w:val="single" w:sz="4" w:space="0" w:color="auto"/>
            </w:tcBorders>
            <w:shd w:val="clear" w:color="auto" w:fill="auto"/>
            <w:vAlign w:val="center"/>
            <w:hideMark/>
          </w:tcPr>
          <w:p w14:paraId="73C43D54"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96,9</w:t>
            </w:r>
          </w:p>
        </w:tc>
      </w:tr>
      <w:tr w:rsidR="00457E80" w:rsidRPr="00036538" w14:paraId="12436C16"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4E6B4DC"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61</w:t>
            </w:r>
          </w:p>
        </w:tc>
        <w:tc>
          <w:tcPr>
            <w:tcW w:w="908" w:type="dxa"/>
            <w:tcBorders>
              <w:top w:val="nil"/>
              <w:left w:val="nil"/>
              <w:bottom w:val="single" w:sz="4" w:space="0" w:color="auto"/>
              <w:right w:val="single" w:sz="4" w:space="0" w:color="auto"/>
            </w:tcBorders>
            <w:shd w:val="clear" w:color="auto" w:fill="auto"/>
            <w:vAlign w:val="bottom"/>
            <w:hideMark/>
          </w:tcPr>
          <w:p w14:paraId="21B5067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Осло</w:t>
            </w:r>
          </w:p>
        </w:tc>
        <w:tc>
          <w:tcPr>
            <w:tcW w:w="1028" w:type="dxa"/>
            <w:tcBorders>
              <w:top w:val="nil"/>
              <w:left w:val="nil"/>
              <w:bottom w:val="single" w:sz="4" w:space="0" w:color="auto"/>
              <w:right w:val="single" w:sz="4" w:space="0" w:color="auto"/>
            </w:tcBorders>
            <w:shd w:val="clear" w:color="auto" w:fill="auto"/>
            <w:vAlign w:val="bottom"/>
            <w:hideMark/>
          </w:tcPr>
          <w:p w14:paraId="38C67D1E"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Норвегия</w:t>
            </w:r>
          </w:p>
        </w:tc>
        <w:tc>
          <w:tcPr>
            <w:tcW w:w="612" w:type="dxa"/>
            <w:tcBorders>
              <w:top w:val="nil"/>
              <w:left w:val="nil"/>
              <w:bottom w:val="single" w:sz="4" w:space="0" w:color="auto"/>
              <w:right w:val="single" w:sz="4" w:space="0" w:color="auto"/>
            </w:tcBorders>
            <w:shd w:val="clear" w:color="000000" w:fill="92D050"/>
            <w:vAlign w:val="center"/>
            <w:hideMark/>
          </w:tcPr>
          <w:p w14:paraId="31BAB8F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654</w:t>
            </w:r>
          </w:p>
        </w:tc>
        <w:tc>
          <w:tcPr>
            <w:tcW w:w="1145" w:type="dxa"/>
            <w:tcBorders>
              <w:top w:val="nil"/>
              <w:left w:val="nil"/>
              <w:bottom w:val="single" w:sz="4" w:space="0" w:color="auto"/>
              <w:right w:val="single" w:sz="4" w:space="0" w:color="auto"/>
            </w:tcBorders>
            <w:shd w:val="clear" w:color="auto" w:fill="auto"/>
            <w:vAlign w:val="center"/>
            <w:hideMark/>
          </w:tcPr>
          <w:p w14:paraId="6356F076"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Norway</w:t>
            </w:r>
          </w:p>
        </w:tc>
        <w:tc>
          <w:tcPr>
            <w:tcW w:w="612" w:type="dxa"/>
            <w:tcBorders>
              <w:top w:val="nil"/>
              <w:left w:val="nil"/>
              <w:bottom w:val="single" w:sz="4" w:space="0" w:color="auto"/>
              <w:right w:val="single" w:sz="4" w:space="0" w:color="auto"/>
            </w:tcBorders>
            <w:shd w:val="clear" w:color="auto" w:fill="auto"/>
            <w:vAlign w:val="center"/>
            <w:hideMark/>
          </w:tcPr>
          <w:p w14:paraId="1953CE1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82,6</w:t>
            </w:r>
          </w:p>
        </w:tc>
        <w:tc>
          <w:tcPr>
            <w:tcW w:w="818" w:type="dxa"/>
            <w:tcBorders>
              <w:top w:val="nil"/>
              <w:left w:val="nil"/>
              <w:bottom w:val="single" w:sz="4" w:space="0" w:color="auto"/>
              <w:right w:val="single" w:sz="4" w:space="0" w:color="auto"/>
            </w:tcBorders>
            <w:shd w:val="clear" w:color="auto" w:fill="auto"/>
            <w:vAlign w:val="center"/>
            <w:hideMark/>
          </w:tcPr>
          <w:p w14:paraId="3F15049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94,3</w:t>
            </w:r>
          </w:p>
        </w:tc>
        <w:tc>
          <w:tcPr>
            <w:tcW w:w="931" w:type="dxa"/>
            <w:tcBorders>
              <w:top w:val="nil"/>
              <w:left w:val="nil"/>
              <w:bottom w:val="single" w:sz="4" w:space="0" w:color="auto"/>
              <w:right w:val="single" w:sz="4" w:space="0" w:color="auto"/>
            </w:tcBorders>
            <w:shd w:val="clear" w:color="auto" w:fill="auto"/>
            <w:vAlign w:val="center"/>
            <w:hideMark/>
          </w:tcPr>
          <w:p w14:paraId="245D16D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87,3</w:t>
            </w:r>
          </w:p>
        </w:tc>
        <w:tc>
          <w:tcPr>
            <w:tcW w:w="732" w:type="dxa"/>
            <w:tcBorders>
              <w:top w:val="nil"/>
              <w:left w:val="nil"/>
              <w:bottom w:val="single" w:sz="4" w:space="0" w:color="auto"/>
              <w:right w:val="single" w:sz="4" w:space="0" w:color="auto"/>
            </w:tcBorders>
            <w:shd w:val="clear" w:color="auto" w:fill="auto"/>
            <w:vAlign w:val="center"/>
            <w:hideMark/>
          </w:tcPr>
          <w:p w14:paraId="224188E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472EB1A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76,0</w:t>
            </w:r>
          </w:p>
        </w:tc>
        <w:tc>
          <w:tcPr>
            <w:tcW w:w="997" w:type="dxa"/>
            <w:tcBorders>
              <w:top w:val="nil"/>
              <w:left w:val="nil"/>
              <w:bottom w:val="single" w:sz="4" w:space="0" w:color="auto"/>
              <w:right w:val="single" w:sz="4" w:space="0" w:color="auto"/>
            </w:tcBorders>
            <w:shd w:val="clear" w:color="auto" w:fill="auto"/>
            <w:vAlign w:val="center"/>
            <w:hideMark/>
          </w:tcPr>
          <w:p w14:paraId="65615CE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85,1</w:t>
            </w:r>
          </w:p>
        </w:tc>
        <w:tc>
          <w:tcPr>
            <w:tcW w:w="1437" w:type="dxa"/>
            <w:tcBorders>
              <w:top w:val="nil"/>
              <w:left w:val="nil"/>
              <w:bottom w:val="single" w:sz="4" w:space="0" w:color="auto"/>
              <w:right w:val="single" w:sz="4" w:space="0" w:color="auto"/>
            </w:tcBorders>
            <w:shd w:val="clear" w:color="auto" w:fill="auto"/>
            <w:vAlign w:val="center"/>
            <w:hideMark/>
          </w:tcPr>
          <w:p w14:paraId="63360DF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97,0</w:t>
            </w:r>
          </w:p>
        </w:tc>
        <w:tc>
          <w:tcPr>
            <w:tcW w:w="1262" w:type="dxa"/>
            <w:tcBorders>
              <w:top w:val="nil"/>
              <w:left w:val="nil"/>
              <w:bottom w:val="single" w:sz="4" w:space="0" w:color="auto"/>
              <w:right w:val="single" w:sz="4" w:space="0" w:color="auto"/>
            </w:tcBorders>
            <w:shd w:val="clear" w:color="auto" w:fill="auto"/>
            <w:vAlign w:val="center"/>
            <w:hideMark/>
          </w:tcPr>
          <w:p w14:paraId="2BC1B25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81,3</w:t>
            </w:r>
          </w:p>
        </w:tc>
        <w:tc>
          <w:tcPr>
            <w:tcW w:w="1085" w:type="dxa"/>
            <w:tcBorders>
              <w:top w:val="nil"/>
              <w:left w:val="nil"/>
              <w:bottom w:val="single" w:sz="4" w:space="0" w:color="auto"/>
              <w:right w:val="single" w:sz="4" w:space="0" w:color="auto"/>
            </w:tcBorders>
            <w:shd w:val="clear" w:color="auto" w:fill="auto"/>
            <w:vAlign w:val="center"/>
            <w:hideMark/>
          </w:tcPr>
          <w:p w14:paraId="40E37AA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85,4</w:t>
            </w:r>
          </w:p>
        </w:tc>
        <w:tc>
          <w:tcPr>
            <w:tcW w:w="916" w:type="dxa"/>
            <w:tcBorders>
              <w:top w:val="nil"/>
              <w:left w:val="nil"/>
              <w:bottom w:val="single" w:sz="4" w:space="0" w:color="auto"/>
              <w:right w:val="single" w:sz="4" w:space="0" w:color="auto"/>
            </w:tcBorders>
            <w:shd w:val="clear" w:color="auto" w:fill="auto"/>
            <w:vAlign w:val="center"/>
            <w:hideMark/>
          </w:tcPr>
          <w:p w14:paraId="71E4A08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80,6</w:t>
            </w:r>
          </w:p>
        </w:tc>
        <w:tc>
          <w:tcPr>
            <w:tcW w:w="871" w:type="dxa"/>
            <w:tcBorders>
              <w:top w:val="nil"/>
              <w:left w:val="nil"/>
              <w:bottom w:val="single" w:sz="4" w:space="0" w:color="auto"/>
              <w:right w:val="single" w:sz="4" w:space="0" w:color="auto"/>
            </w:tcBorders>
            <w:shd w:val="clear" w:color="auto" w:fill="auto"/>
            <w:vAlign w:val="center"/>
            <w:hideMark/>
          </w:tcPr>
          <w:p w14:paraId="6AEFF2D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84,3</w:t>
            </w:r>
          </w:p>
        </w:tc>
      </w:tr>
      <w:tr w:rsidR="00457E80" w:rsidRPr="00036538" w14:paraId="19AB5B50"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F963CF8"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62</w:t>
            </w:r>
          </w:p>
        </w:tc>
        <w:tc>
          <w:tcPr>
            <w:tcW w:w="908" w:type="dxa"/>
            <w:tcBorders>
              <w:top w:val="nil"/>
              <w:left w:val="nil"/>
              <w:bottom w:val="single" w:sz="4" w:space="0" w:color="auto"/>
              <w:right w:val="single" w:sz="4" w:space="0" w:color="auto"/>
            </w:tcBorders>
            <w:shd w:val="clear" w:color="auto" w:fill="auto"/>
            <w:vAlign w:val="bottom"/>
            <w:hideMark/>
          </w:tcPr>
          <w:p w14:paraId="01ADB9A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София</w:t>
            </w:r>
          </w:p>
        </w:tc>
        <w:tc>
          <w:tcPr>
            <w:tcW w:w="1028" w:type="dxa"/>
            <w:tcBorders>
              <w:top w:val="nil"/>
              <w:left w:val="nil"/>
              <w:bottom w:val="single" w:sz="4" w:space="0" w:color="auto"/>
              <w:right w:val="single" w:sz="4" w:space="0" w:color="auto"/>
            </w:tcBorders>
            <w:shd w:val="clear" w:color="auto" w:fill="auto"/>
            <w:vAlign w:val="bottom"/>
            <w:hideMark/>
          </w:tcPr>
          <w:p w14:paraId="00B91BE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Болгария</w:t>
            </w:r>
          </w:p>
        </w:tc>
        <w:tc>
          <w:tcPr>
            <w:tcW w:w="612" w:type="dxa"/>
            <w:tcBorders>
              <w:top w:val="nil"/>
              <w:left w:val="nil"/>
              <w:bottom w:val="single" w:sz="4" w:space="0" w:color="auto"/>
              <w:right w:val="single" w:sz="4" w:space="0" w:color="auto"/>
            </w:tcBorders>
            <w:shd w:val="clear" w:color="000000" w:fill="92D050"/>
            <w:vAlign w:val="center"/>
            <w:hideMark/>
          </w:tcPr>
          <w:p w14:paraId="5870690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653</w:t>
            </w:r>
          </w:p>
        </w:tc>
        <w:tc>
          <w:tcPr>
            <w:tcW w:w="1145" w:type="dxa"/>
            <w:tcBorders>
              <w:top w:val="nil"/>
              <w:left w:val="nil"/>
              <w:bottom w:val="single" w:sz="4" w:space="0" w:color="auto"/>
              <w:right w:val="single" w:sz="4" w:space="0" w:color="auto"/>
            </w:tcBorders>
            <w:shd w:val="clear" w:color="auto" w:fill="auto"/>
            <w:vAlign w:val="center"/>
            <w:hideMark/>
          </w:tcPr>
          <w:p w14:paraId="6B790E0B"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Bulgaria</w:t>
            </w:r>
          </w:p>
        </w:tc>
        <w:tc>
          <w:tcPr>
            <w:tcW w:w="612" w:type="dxa"/>
            <w:tcBorders>
              <w:top w:val="nil"/>
              <w:left w:val="nil"/>
              <w:bottom w:val="single" w:sz="4" w:space="0" w:color="auto"/>
              <w:right w:val="single" w:sz="4" w:space="0" w:color="auto"/>
            </w:tcBorders>
            <w:shd w:val="clear" w:color="auto" w:fill="auto"/>
            <w:vAlign w:val="center"/>
            <w:hideMark/>
          </w:tcPr>
          <w:p w14:paraId="1E1C9C0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72,0</w:t>
            </w:r>
          </w:p>
        </w:tc>
        <w:tc>
          <w:tcPr>
            <w:tcW w:w="818" w:type="dxa"/>
            <w:tcBorders>
              <w:top w:val="nil"/>
              <w:left w:val="nil"/>
              <w:bottom w:val="single" w:sz="4" w:space="0" w:color="auto"/>
              <w:right w:val="single" w:sz="4" w:space="0" w:color="auto"/>
            </w:tcBorders>
            <w:shd w:val="clear" w:color="auto" w:fill="auto"/>
            <w:vAlign w:val="center"/>
            <w:hideMark/>
          </w:tcPr>
          <w:p w14:paraId="4A9B99D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85,4</w:t>
            </w:r>
          </w:p>
        </w:tc>
        <w:tc>
          <w:tcPr>
            <w:tcW w:w="931" w:type="dxa"/>
            <w:tcBorders>
              <w:top w:val="nil"/>
              <w:left w:val="nil"/>
              <w:bottom w:val="single" w:sz="4" w:space="0" w:color="auto"/>
              <w:right w:val="single" w:sz="4" w:space="0" w:color="auto"/>
            </w:tcBorders>
            <w:shd w:val="clear" w:color="auto" w:fill="auto"/>
            <w:vAlign w:val="center"/>
            <w:hideMark/>
          </w:tcPr>
          <w:p w14:paraId="4E69449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69,8</w:t>
            </w:r>
          </w:p>
        </w:tc>
        <w:tc>
          <w:tcPr>
            <w:tcW w:w="732" w:type="dxa"/>
            <w:tcBorders>
              <w:top w:val="nil"/>
              <w:left w:val="nil"/>
              <w:bottom w:val="single" w:sz="4" w:space="0" w:color="auto"/>
              <w:right w:val="single" w:sz="4" w:space="0" w:color="auto"/>
            </w:tcBorders>
            <w:shd w:val="clear" w:color="auto" w:fill="auto"/>
            <w:vAlign w:val="center"/>
            <w:hideMark/>
          </w:tcPr>
          <w:p w14:paraId="37782D6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65,0</w:t>
            </w:r>
          </w:p>
        </w:tc>
        <w:tc>
          <w:tcPr>
            <w:tcW w:w="1016" w:type="dxa"/>
            <w:tcBorders>
              <w:top w:val="nil"/>
              <w:left w:val="nil"/>
              <w:bottom w:val="single" w:sz="4" w:space="0" w:color="auto"/>
              <w:right w:val="single" w:sz="4" w:space="0" w:color="auto"/>
            </w:tcBorders>
            <w:shd w:val="clear" w:color="auto" w:fill="auto"/>
            <w:vAlign w:val="center"/>
            <w:hideMark/>
          </w:tcPr>
          <w:p w14:paraId="1872307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74,0</w:t>
            </w:r>
          </w:p>
        </w:tc>
        <w:tc>
          <w:tcPr>
            <w:tcW w:w="997" w:type="dxa"/>
            <w:tcBorders>
              <w:top w:val="nil"/>
              <w:left w:val="nil"/>
              <w:bottom w:val="single" w:sz="4" w:space="0" w:color="auto"/>
              <w:right w:val="single" w:sz="4" w:space="0" w:color="auto"/>
            </w:tcBorders>
            <w:shd w:val="clear" w:color="auto" w:fill="auto"/>
            <w:vAlign w:val="center"/>
            <w:hideMark/>
          </w:tcPr>
          <w:p w14:paraId="6FB9341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72,3</w:t>
            </w:r>
          </w:p>
        </w:tc>
        <w:tc>
          <w:tcPr>
            <w:tcW w:w="1437" w:type="dxa"/>
            <w:tcBorders>
              <w:top w:val="nil"/>
              <w:left w:val="nil"/>
              <w:bottom w:val="single" w:sz="4" w:space="0" w:color="auto"/>
              <w:right w:val="single" w:sz="4" w:space="0" w:color="auto"/>
            </w:tcBorders>
            <w:shd w:val="clear" w:color="auto" w:fill="auto"/>
            <w:vAlign w:val="center"/>
            <w:hideMark/>
          </w:tcPr>
          <w:p w14:paraId="2F105CC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97,4</w:t>
            </w:r>
          </w:p>
        </w:tc>
        <w:tc>
          <w:tcPr>
            <w:tcW w:w="1262" w:type="dxa"/>
            <w:tcBorders>
              <w:top w:val="nil"/>
              <w:left w:val="nil"/>
              <w:bottom w:val="single" w:sz="4" w:space="0" w:color="auto"/>
              <w:right w:val="single" w:sz="4" w:space="0" w:color="auto"/>
            </w:tcBorders>
            <w:shd w:val="clear" w:color="auto" w:fill="auto"/>
            <w:vAlign w:val="center"/>
            <w:hideMark/>
          </w:tcPr>
          <w:p w14:paraId="21C4130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67,0</w:t>
            </w:r>
          </w:p>
        </w:tc>
        <w:tc>
          <w:tcPr>
            <w:tcW w:w="1085" w:type="dxa"/>
            <w:tcBorders>
              <w:top w:val="nil"/>
              <w:left w:val="nil"/>
              <w:bottom w:val="single" w:sz="4" w:space="0" w:color="auto"/>
              <w:right w:val="single" w:sz="4" w:space="0" w:color="auto"/>
            </w:tcBorders>
            <w:shd w:val="clear" w:color="auto" w:fill="auto"/>
            <w:vAlign w:val="center"/>
            <w:hideMark/>
          </w:tcPr>
          <w:p w14:paraId="7A1B2AD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57,8</w:t>
            </w:r>
          </w:p>
        </w:tc>
        <w:tc>
          <w:tcPr>
            <w:tcW w:w="916" w:type="dxa"/>
            <w:tcBorders>
              <w:top w:val="nil"/>
              <w:left w:val="nil"/>
              <w:bottom w:val="single" w:sz="4" w:space="0" w:color="auto"/>
              <w:right w:val="single" w:sz="4" w:space="0" w:color="auto"/>
            </w:tcBorders>
            <w:shd w:val="clear" w:color="auto" w:fill="auto"/>
            <w:vAlign w:val="center"/>
            <w:hideMark/>
          </w:tcPr>
          <w:p w14:paraId="7F46790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75,9</w:t>
            </w:r>
          </w:p>
        </w:tc>
        <w:tc>
          <w:tcPr>
            <w:tcW w:w="871" w:type="dxa"/>
            <w:tcBorders>
              <w:top w:val="nil"/>
              <w:left w:val="nil"/>
              <w:bottom w:val="single" w:sz="4" w:space="0" w:color="auto"/>
              <w:right w:val="single" w:sz="4" w:space="0" w:color="auto"/>
            </w:tcBorders>
            <w:shd w:val="clear" w:color="auto" w:fill="auto"/>
            <w:vAlign w:val="center"/>
            <w:hideMark/>
          </w:tcPr>
          <w:p w14:paraId="4D9CF68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55,1</w:t>
            </w:r>
          </w:p>
        </w:tc>
      </w:tr>
      <w:tr w:rsidR="00457E80" w:rsidRPr="00036538" w14:paraId="407D1474"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DDAC89A"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63</w:t>
            </w:r>
          </w:p>
        </w:tc>
        <w:tc>
          <w:tcPr>
            <w:tcW w:w="908" w:type="dxa"/>
            <w:tcBorders>
              <w:top w:val="nil"/>
              <w:left w:val="nil"/>
              <w:bottom w:val="single" w:sz="4" w:space="0" w:color="auto"/>
              <w:right w:val="single" w:sz="4" w:space="0" w:color="auto"/>
            </w:tcBorders>
            <w:shd w:val="clear" w:color="auto" w:fill="auto"/>
            <w:vAlign w:val="bottom"/>
            <w:hideMark/>
          </w:tcPr>
          <w:p w14:paraId="2D4EB32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Бермуды</w:t>
            </w:r>
          </w:p>
        </w:tc>
        <w:tc>
          <w:tcPr>
            <w:tcW w:w="1028" w:type="dxa"/>
            <w:tcBorders>
              <w:top w:val="nil"/>
              <w:left w:val="nil"/>
              <w:bottom w:val="single" w:sz="4" w:space="0" w:color="auto"/>
              <w:right w:val="single" w:sz="4" w:space="0" w:color="auto"/>
            </w:tcBorders>
            <w:shd w:val="clear" w:color="auto" w:fill="auto"/>
            <w:vAlign w:val="bottom"/>
            <w:hideMark/>
          </w:tcPr>
          <w:p w14:paraId="3F3BDEF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Великобритания</w:t>
            </w:r>
          </w:p>
        </w:tc>
        <w:tc>
          <w:tcPr>
            <w:tcW w:w="612" w:type="dxa"/>
            <w:tcBorders>
              <w:top w:val="nil"/>
              <w:left w:val="nil"/>
              <w:bottom w:val="single" w:sz="4" w:space="0" w:color="auto"/>
              <w:right w:val="single" w:sz="4" w:space="0" w:color="auto"/>
            </w:tcBorders>
            <w:shd w:val="clear" w:color="000000" w:fill="92D050"/>
            <w:vAlign w:val="center"/>
            <w:hideMark/>
          </w:tcPr>
          <w:p w14:paraId="76E6B1D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652</w:t>
            </w:r>
          </w:p>
        </w:tc>
        <w:tc>
          <w:tcPr>
            <w:tcW w:w="1145" w:type="dxa"/>
            <w:tcBorders>
              <w:top w:val="nil"/>
              <w:left w:val="nil"/>
              <w:bottom w:val="single" w:sz="4" w:space="0" w:color="auto"/>
              <w:right w:val="single" w:sz="4" w:space="0" w:color="auto"/>
            </w:tcBorders>
            <w:shd w:val="clear" w:color="auto" w:fill="auto"/>
            <w:vAlign w:val="center"/>
            <w:hideMark/>
          </w:tcPr>
          <w:p w14:paraId="0B410004"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Kingdom</w:t>
            </w:r>
          </w:p>
        </w:tc>
        <w:tc>
          <w:tcPr>
            <w:tcW w:w="612" w:type="dxa"/>
            <w:tcBorders>
              <w:top w:val="nil"/>
              <w:left w:val="nil"/>
              <w:bottom w:val="single" w:sz="4" w:space="0" w:color="auto"/>
              <w:right w:val="single" w:sz="4" w:space="0" w:color="auto"/>
            </w:tcBorders>
            <w:shd w:val="clear" w:color="auto" w:fill="auto"/>
            <w:vAlign w:val="center"/>
            <w:hideMark/>
          </w:tcPr>
          <w:p w14:paraId="57AA3F7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83,5</w:t>
            </w:r>
          </w:p>
        </w:tc>
        <w:tc>
          <w:tcPr>
            <w:tcW w:w="818" w:type="dxa"/>
            <w:tcBorders>
              <w:top w:val="nil"/>
              <w:left w:val="nil"/>
              <w:bottom w:val="single" w:sz="4" w:space="0" w:color="auto"/>
              <w:right w:val="single" w:sz="4" w:space="0" w:color="auto"/>
            </w:tcBorders>
            <w:shd w:val="clear" w:color="auto" w:fill="auto"/>
            <w:vAlign w:val="center"/>
            <w:hideMark/>
          </w:tcPr>
          <w:p w14:paraId="3950AF6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94,6</w:t>
            </w:r>
          </w:p>
        </w:tc>
        <w:tc>
          <w:tcPr>
            <w:tcW w:w="931" w:type="dxa"/>
            <w:tcBorders>
              <w:top w:val="nil"/>
              <w:left w:val="nil"/>
              <w:bottom w:val="single" w:sz="4" w:space="0" w:color="auto"/>
              <w:right w:val="single" w:sz="4" w:space="0" w:color="auto"/>
            </w:tcBorders>
            <w:shd w:val="clear" w:color="auto" w:fill="auto"/>
            <w:vAlign w:val="center"/>
            <w:hideMark/>
          </w:tcPr>
          <w:p w14:paraId="6766356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571C47C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72F9709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6660EA2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86,2</w:t>
            </w:r>
          </w:p>
        </w:tc>
        <w:tc>
          <w:tcPr>
            <w:tcW w:w="1437" w:type="dxa"/>
            <w:tcBorders>
              <w:top w:val="nil"/>
              <w:left w:val="nil"/>
              <w:bottom w:val="single" w:sz="4" w:space="0" w:color="auto"/>
              <w:right w:val="single" w:sz="4" w:space="0" w:color="auto"/>
            </w:tcBorders>
            <w:shd w:val="clear" w:color="auto" w:fill="auto"/>
            <w:vAlign w:val="center"/>
            <w:hideMark/>
          </w:tcPr>
          <w:p w14:paraId="2F04CFD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93,8</w:t>
            </w:r>
          </w:p>
        </w:tc>
        <w:tc>
          <w:tcPr>
            <w:tcW w:w="1262" w:type="dxa"/>
            <w:tcBorders>
              <w:top w:val="nil"/>
              <w:left w:val="nil"/>
              <w:bottom w:val="single" w:sz="4" w:space="0" w:color="auto"/>
              <w:right w:val="single" w:sz="4" w:space="0" w:color="auto"/>
            </w:tcBorders>
            <w:shd w:val="clear" w:color="auto" w:fill="auto"/>
            <w:vAlign w:val="center"/>
            <w:hideMark/>
          </w:tcPr>
          <w:p w14:paraId="66A6188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68,7</w:t>
            </w:r>
          </w:p>
        </w:tc>
        <w:tc>
          <w:tcPr>
            <w:tcW w:w="1085" w:type="dxa"/>
            <w:tcBorders>
              <w:top w:val="nil"/>
              <w:left w:val="nil"/>
              <w:bottom w:val="single" w:sz="4" w:space="0" w:color="auto"/>
              <w:right w:val="single" w:sz="4" w:space="0" w:color="auto"/>
            </w:tcBorders>
            <w:shd w:val="clear" w:color="auto" w:fill="auto"/>
            <w:vAlign w:val="center"/>
            <w:hideMark/>
          </w:tcPr>
          <w:p w14:paraId="0D07364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916" w:type="dxa"/>
            <w:tcBorders>
              <w:top w:val="nil"/>
              <w:left w:val="nil"/>
              <w:bottom w:val="single" w:sz="4" w:space="0" w:color="auto"/>
              <w:right w:val="single" w:sz="4" w:space="0" w:color="auto"/>
            </w:tcBorders>
            <w:shd w:val="clear" w:color="auto" w:fill="auto"/>
            <w:vAlign w:val="center"/>
            <w:hideMark/>
          </w:tcPr>
          <w:p w14:paraId="68BA0FB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871" w:type="dxa"/>
            <w:tcBorders>
              <w:top w:val="nil"/>
              <w:left w:val="nil"/>
              <w:bottom w:val="single" w:sz="4" w:space="0" w:color="auto"/>
              <w:right w:val="single" w:sz="4" w:space="0" w:color="auto"/>
            </w:tcBorders>
            <w:shd w:val="clear" w:color="auto" w:fill="auto"/>
            <w:vAlign w:val="center"/>
            <w:hideMark/>
          </w:tcPr>
          <w:p w14:paraId="44F9DC1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96,9</w:t>
            </w:r>
          </w:p>
        </w:tc>
      </w:tr>
      <w:tr w:rsidR="00457E80" w:rsidRPr="00036538" w14:paraId="2DA1163F" w14:textId="77777777" w:rsidTr="00576F59">
        <w:trPr>
          <w:trHeight w:val="6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9868587"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64</w:t>
            </w:r>
          </w:p>
        </w:tc>
        <w:tc>
          <w:tcPr>
            <w:tcW w:w="908" w:type="dxa"/>
            <w:tcBorders>
              <w:top w:val="nil"/>
              <w:left w:val="nil"/>
              <w:bottom w:val="single" w:sz="4" w:space="0" w:color="auto"/>
              <w:right w:val="single" w:sz="4" w:space="0" w:color="auto"/>
            </w:tcBorders>
            <w:shd w:val="clear" w:color="auto" w:fill="auto"/>
            <w:vAlign w:val="bottom"/>
            <w:hideMark/>
          </w:tcPr>
          <w:p w14:paraId="58BD484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Маврикий</w:t>
            </w:r>
          </w:p>
        </w:tc>
        <w:tc>
          <w:tcPr>
            <w:tcW w:w="1028" w:type="dxa"/>
            <w:tcBorders>
              <w:top w:val="nil"/>
              <w:left w:val="nil"/>
              <w:bottom w:val="single" w:sz="4" w:space="0" w:color="auto"/>
              <w:right w:val="single" w:sz="4" w:space="0" w:color="auto"/>
            </w:tcBorders>
            <w:shd w:val="clear" w:color="auto" w:fill="auto"/>
            <w:vAlign w:val="bottom"/>
            <w:hideMark/>
          </w:tcPr>
          <w:p w14:paraId="708AF3D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Республика Маврикий</w:t>
            </w:r>
          </w:p>
        </w:tc>
        <w:tc>
          <w:tcPr>
            <w:tcW w:w="612" w:type="dxa"/>
            <w:tcBorders>
              <w:top w:val="nil"/>
              <w:left w:val="nil"/>
              <w:bottom w:val="single" w:sz="4" w:space="0" w:color="auto"/>
              <w:right w:val="single" w:sz="4" w:space="0" w:color="auto"/>
            </w:tcBorders>
            <w:shd w:val="clear" w:color="000000" w:fill="92D050"/>
            <w:vAlign w:val="center"/>
            <w:hideMark/>
          </w:tcPr>
          <w:p w14:paraId="1DBA028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651</w:t>
            </w:r>
          </w:p>
        </w:tc>
        <w:tc>
          <w:tcPr>
            <w:tcW w:w="1145" w:type="dxa"/>
            <w:tcBorders>
              <w:top w:val="nil"/>
              <w:left w:val="nil"/>
              <w:bottom w:val="single" w:sz="4" w:space="0" w:color="auto"/>
              <w:right w:val="single" w:sz="4" w:space="0" w:color="auto"/>
            </w:tcBorders>
            <w:shd w:val="clear" w:color="auto" w:fill="auto"/>
            <w:vAlign w:val="center"/>
            <w:hideMark/>
          </w:tcPr>
          <w:p w14:paraId="03FF0913"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Mauritius</w:t>
            </w:r>
          </w:p>
        </w:tc>
        <w:tc>
          <w:tcPr>
            <w:tcW w:w="612" w:type="dxa"/>
            <w:tcBorders>
              <w:top w:val="nil"/>
              <w:left w:val="nil"/>
              <w:bottom w:val="single" w:sz="4" w:space="0" w:color="auto"/>
              <w:right w:val="single" w:sz="4" w:space="0" w:color="auto"/>
            </w:tcBorders>
            <w:shd w:val="clear" w:color="auto" w:fill="auto"/>
            <w:vAlign w:val="center"/>
            <w:hideMark/>
          </w:tcPr>
          <w:p w14:paraId="6A0BDB3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81,5</w:t>
            </w:r>
          </w:p>
        </w:tc>
        <w:tc>
          <w:tcPr>
            <w:tcW w:w="818" w:type="dxa"/>
            <w:tcBorders>
              <w:top w:val="nil"/>
              <w:left w:val="nil"/>
              <w:bottom w:val="single" w:sz="4" w:space="0" w:color="auto"/>
              <w:right w:val="single" w:sz="4" w:space="0" w:color="auto"/>
            </w:tcBorders>
            <w:shd w:val="clear" w:color="auto" w:fill="auto"/>
            <w:vAlign w:val="center"/>
            <w:hideMark/>
          </w:tcPr>
          <w:p w14:paraId="63E4D6F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94,5</w:t>
            </w:r>
          </w:p>
        </w:tc>
        <w:tc>
          <w:tcPr>
            <w:tcW w:w="931" w:type="dxa"/>
            <w:tcBorders>
              <w:top w:val="nil"/>
              <w:left w:val="nil"/>
              <w:bottom w:val="single" w:sz="4" w:space="0" w:color="auto"/>
              <w:right w:val="single" w:sz="4" w:space="0" w:color="auto"/>
            </w:tcBorders>
            <w:shd w:val="clear" w:color="auto" w:fill="auto"/>
            <w:vAlign w:val="center"/>
            <w:hideMark/>
          </w:tcPr>
          <w:p w14:paraId="5D17BEB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82,5</w:t>
            </w:r>
          </w:p>
        </w:tc>
        <w:tc>
          <w:tcPr>
            <w:tcW w:w="732" w:type="dxa"/>
            <w:tcBorders>
              <w:top w:val="nil"/>
              <w:left w:val="nil"/>
              <w:bottom w:val="single" w:sz="4" w:space="0" w:color="auto"/>
              <w:right w:val="single" w:sz="4" w:space="0" w:color="auto"/>
            </w:tcBorders>
            <w:shd w:val="clear" w:color="auto" w:fill="auto"/>
            <w:vAlign w:val="center"/>
            <w:hideMark/>
          </w:tcPr>
          <w:p w14:paraId="72FC250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65,0</w:t>
            </w:r>
          </w:p>
        </w:tc>
        <w:tc>
          <w:tcPr>
            <w:tcW w:w="1016" w:type="dxa"/>
            <w:tcBorders>
              <w:top w:val="nil"/>
              <w:left w:val="nil"/>
              <w:bottom w:val="single" w:sz="4" w:space="0" w:color="auto"/>
              <w:right w:val="single" w:sz="4" w:space="0" w:color="auto"/>
            </w:tcBorders>
            <w:shd w:val="clear" w:color="auto" w:fill="auto"/>
            <w:vAlign w:val="center"/>
            <w:hideMark/>
          </w:tcPr>
          <w:p w14:paraId="4E267B3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78,0</w:t>
            </w:r>
          </w:p>
        </w:tc>
        <w:tc>
          <w:tcPr>
            <w:tcW w:w="997" w:type="dxa"/>
            <w:tcBorders>
              <w:top w:val="nil"/>
              <w:left w:val="nil"/>
              <w:bottom w:val="single" w:sz="4" w:space="0" w:color="auto"/>
              <w:right w:val="single" w:sz="4" w:space="0" w:color="auto"/>
            </w:tcBorders>
            <w:shd w:val="clear" w:color="auto" w:fill="auto"/>
            <w:vAlign w:val="center"/>
            <w:hideMark/>
          </w:tcPr>
          <w:p w14:paraId="355244B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94,0</w:t>
            </w:r>
          </w:p>
        </w:tc>
        <w:tc>
          <w:tcPr>
            <w:tcW w:w="1437" w:type="dxa"/>
            <w:tcBorders>
              <w:top w:val="nil"/>
              <w:left w:val="nil"/>
              <w:bottom w:val="single" w:sz="4" w:space="0" w:color="auto"/>
              <w:right w:val="single" w:sz="4" w:space="0" w:color="auto"/>
            </w:tcBorders>
            <w:shd w:val="clear" w:color="auto" w:fill="auto"/>
            <w:vAlign w:val="center"/>
            <w:hideMark/>
          </w:tcPr>
          <w:p w14:paraId="30225EB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81,0</w:t>
            </w:r>
          </w:p>
        </w:tc>
        <w:tc>
          <w:tcPr>
            <w:tcW w:w="1262" w:type="dxa"/>
            <w:tcBorders>
              <w:top w:val="nil"/>
              <w:left w:val="nil"/>
              <w:bottom w:val="single" w:sz="4" w:space="0" w:color="auto"/>
              <w:right w:val="single" w:sz="4" w:space="0" w:color="auto"/>
            </w:tcBorders>
            <w:shd w:val="clear" w:color="auto" w:fill="auto"/>
            <w:vAlign w:val="center"/>
            <w:hideMark/>
          </w:tcPr>
          <w:p w14:paraId="31979A1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72,2</w:t>
            </w:r>
          </w:p>
        </w:tc>
        <w:tc>
          <w:tcPr>
            <w:tcW w:w="1085" w:type="dxa"/>
            <w:tcBorders>
              <w:top w:val="nil"/>
              <w:left w:val="nil"/>
              <w:bottom w:val="single" w:sz="4" w:space="0" w:color="auto"/>
              <w:right w:val="single" w:sz="4" w:space="0" w:color="auto"/>
            </w:tcBorders>
            <w:shd w:val="clear" w:color="auto" w:fill="auto"/>
            <w:vAlign w:val="center"/>
            <w:hideMark/>
          </w:tcPr>
          <w:p w14:paraId="1FFE825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73,8</w:t>
            </w:r>
          </w:p>
        </w:tc>
        <w:tc>
          <w:tcPr>
            <w:tcW w:w="916" w:type="dxa"/>
            <w:tcBorders>
              <w:top w:val="nil"/>
              <w:left w:val="nil"/>
              <w:bottom w:val="single" w:sz="4" w:space="0" w:color="auto"/>
              <w:right w:val="single" w:sz="4" w:space="0" w:color="auto"/>
            </w:tcBorders>
            <w:shd w:val="clear" w:color="auto" w:fill="auto"/>
            <w:vAlign w:val="center"/>
            <w:hideMark/>
          </w:tcPr>
          <w:p w14:paraId="01DB7A0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85,8</w:t>
            </w:r>
          </w:p>
        </w:tc>
        <w:tc>
          <w:tcPr>
            <w:tcW w:w="871" w:type="dxa"/>
            <w:tcBorders>
              <w:top w:val="nil"/>
              <w:left w:val="nil"/>
              <w:bottom w:val="single" w:sz="4" w:space="0" w:color="auto"/>
              <w:right w:val="single" w:sz="4" w:space="0" w:color="auto"/>
            </w:tcBorders>
            <w:shd w:val="clear" w:color="auto" w:fill="auto"/>
            <w:vAlign w:val="center"/>
            <w:hideMark/>
          </w:tcPr>
          <w:p w14:paraId="5BE6503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88,0</w:t>
            </w:r>
          </w:p>
        </w:tc>
      </w:tr>
      <w:tr w:rsidR="00457E80" w:rsidRPr="00036538" w14:paraId="5442F496"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7DF3074"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65</w:t>
            </w:r>
          </w:p>
        </w:tc>
        <w:tc>
          <w:tcPr>
            <w:tcW w:w="908" w:type="dxa"/>
            <w:tcBorders>
              <w:top w:val="nil"/>
              <w:left w:val="nil"/>
              <w:bottom w:val="single" w:sz="4" w:space="0" w:color="auto"/>
              <w:right w:val="single" w:sz="4" w:space="0" w:color="auto"/>
            </w:tcBorders>
            <w:shd w:val="clear" w:color="auto" w:fill="auto"/>
            <w:vAlign w:val="bottom"/>
            <w:hideMark/>
          </w:tcPr>
          <w:p w14:paraId="6852832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Галазго</w:t>
            </w:r>
          </w:p>
        </w:tc>
        <w:tc>
          <w:tcPr>
            <w:tcW w:w="1028" w:type="dxa"/>
            <w:tcBorders>
              <w:top w:val="nil"/>
              <w:left w:val="nil"/>
              <w:bottom w:val="single" w:sz="4" w:space="0" w:color="auto"/>
              <w:right w:val="single" w:sz="4" w:space="0" w:color="auto"/>
            </w:tcBorders>
            <w:shd w:val="clear" w:color="auto" w:fill="auto"/>
            <w:vAlign w:val="bottom"/>
            <w:hideMark/>
          </w:tcPr>
          <w:p w14:paraId="407DF45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Эдинбург</w:t>
            </w:r>
          </w:p>
        </w:tc>
        <w:tc>
          <w:tcPr>
            <w:tcW w:w="612" w:type="dxa"/>
            <w:tcBorders>
              <w:top w:val="nil"/>
              <w:left w:val="nil"/>
              <w:bottom w:val="single" w:sz="4" w:space="0" w:color="auto"/>
              <w:right w:val="single" w:sz="4" w:space="0" w:color="auto"/>
            </w:tcBorders>
            <w:shd w:val="clear" w:color="000000" w:fill="92D050"/>
            <w:vAlign w:val="center"/>
            <w:hideMark/>
          </w:tcPr>
          <w:p w14:paraId="3B13758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650</w:t>
            </w:r>
          </w:p>
        </w:tc>
        <w:tc>
          <w:tcPr>
            <w:tcW w:w="1145" w:type="dxa"/>
            <w:tcBorders>
              <w:top w:val="nil"/>
              <w:left w:val="nil"/>
              <w:bottom w:val="single" w:sz="4" w:space="0" w:color="auto"/>
              <w:right w:val="single" w:sz="4" w:space="0" w:color="auto"/>
            </w:tcBorders>
            <w:shd w:val="clear" w:color="auto" w:fill="auto"/>
            <w:vAlign w:val="center"/>
            <w:hideMark/>
          </w:tcPr>
          <w:p w14:paraId="7490F0FE"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Kingdom</w:t>
            </w:r>
          </w:p>
        </w:tc>
        <w:tc>
          <w:tcPr>
            <w:tcW w:w="612" w:type="dxa"/>
            <w:tcBorders>
              <w:top w:val="nil"/>
              <w:left w:val="nil"/>
              <w:bottom w:val="single" w:sz="4" w:space="0" w:color="auto"/>
              <w:right w:val="single" w:sz="4" w:space="0" w:color="auto"/>
            </w:tcBorders>
            <w:shd w:val="clear" w:color="auto" w:fill="auto"/>
            <w:vAlign w:val="center"/>
            <w:hideMark/>
          </w:tcPr>
          <w:p w14:paraId="777A338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83,5</w:t>
            </w:r>
          </w:p>
        </w:tc>
        <w:tc>
          <w:tcPr>
            <w:tcW w:w="818" w:type="dxa"/>
            <w:tcBorders>
              <w:top w:val="nil"/>
              <w:left w:val="nil"/>
              <w:bottom w:val="single" w:sz="4" w:space="0" w:color="auto"/>
              <w:right w:val="single" w:sz="4" w:space="0" w:color="auto"/>
            </w:tcBorders>
            <w:shd w:val="clear" w:color="auto" w:fill="auto"/>
            <w:vAlign w:val="center"/>
            <w:hideMark/>
          </w:tcPr>
          <w:p w14:paraId="2617108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94,6</w:t>
            </w:r>
          </w:p>
        </w:tc>
        <w:tc>
          <w:tcPr>
            <w:tcW w:w="931" w:type="dxa"/>
            <w:tcBorders>
              <w:top w:val="nil"/>
              <w:left w:val="nil"/>
              <w:bottom w:val="single" w:sz="4" w:space="0" w:color="auto"/>
              <w:right w:val="single" w:sz="4" w:space="0" w:color="auto"/>
            </w:tcBorders>
            <w:shd w:val="clear" w:color="auto" w:fill="auto"/>
            <w:vAlign w:val="center"/>
            <w:hideMark/>
          </w:tcPr>
          <w:p w14:paraId="5DE16F6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2C7B4E8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118187C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3142061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86,2</w:t>
            </w:r>
          </w:p>
        </w:tc>
        <w:tc>
          <w:tcPr>
            <w:tcW w:w="1437" w:type="dxa"/>
            <w:tcBorders>
              <w:top w:val="nil"/>
              <w:left w:val="nil"/>
              <w:bottom w:val="single" w:sz="4" w:space="0" w:color="auto"/>
              <w:right w:val="single" w:sz="4" w:space="0" w:color="auto"/>
            </w:tcBorders>
            <w:shd w:val="clear" w:color="auto" w:fill="auto"/>
            <w:vAlign w:val="center"/>
            <w:hideMark/>
          </w:tcPr>
          <w:p w14:paraId="4CEFF69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93,8</w:t>
            </w:r>
          </w:p>
        </w:tc>
        <w:tc>
          <w:tcPr>
            <w:tcW w:w="1262" w:type="dxa"/>
            <w:tcBorders>
              <w:top w:val="nil"/>
              <w:left w:val="nil"/>
              <w:bottom w:val="single" w:sz="4" w:space="0" w:color="auto"/>
              <w:right w:val="single" w:sz="4" w:space="0" w:color="auto"/>
            </w:tcBorders>
            <w:shd w:val="clear" w:color="auto" w:fill="auto"/>
            <w:vAlign w:val="center"/>
            <w:hideMark/>
          </w:tcPr>
          <w:p w14:paraId="2CD504E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68,7</w:t>
            </w:r>
          </w:p>
        </w:tc>
        <w:tc>
          <w:tcPr>
            <w:tcW w:w="1085" w:type="dxa"/>
            <w:tcBorders>
              <w:top w:val="nil"/>
              <w:left w:val="nil"/>
              <w:bottom w:val="single" w:sz="4" w:space="0" w:color="auto"/>
              <w:right w:val="single" w:sz="4" w:space="0" w:color="auto"/>
            </w:tcBorders>
            <w:shd w:val="clear" w:color="auto" w:fill="auto"/>
            <w:vAlign w:val="center"/>
            <w:hideMark/>
          </w:tcPr>
          <w:p w14:paraId="032B102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916" w:type="dxa"/>
            <w:tcBorders>
              <w:top w:val="nil"/>
              <w:left w:val="nil"/>
              <w:bottom w:val="single" w:sz="4" w:space="0" w:color="auto"/>
              <w:right w:val="single" w:sz="4" w:space="0" w:color="auto"/>
            </w:tcBorders>
            <w:shd w:val="clear" w:color="auto" w:fill="auto"/>
            <w:vAlign w:val="center"/>
            <w:hideMark/>
          </w:tcPr>
          <w:p w14:paraId="26168A8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871" w:type="dxa"/>
            <w:tcBorders>
              <w:top w:val="nil"/>
              <w:left w:val="nil"/>
              <w:bottom w:val="single" w:sz="4" w:space="0" w:color="auto"/>
              <w:right w:val="single" w:sz="4" w:space="0" w:color="auto"/>
            </w:tcBorders>
            <w:shd w:val="clear" w:color="auto" w:fill="auto"/>
            <w:vAlign w:val="center"/>
            <w:hideMark/>
          </w:tcPr>
          <w:p w14:paraId="49CCE39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96,9</w:t>
            </w:r>
          </w:p>
        </w:tc>
      </w:tr>
      <w:tr w:rsidR="00457E80" w:rsidRPr="00036538" w14:paraId="6D5F8FA8"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7AE0033"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66</w:t>
            </w:r>
          </w:p>
        </w:tc>
        <w:tc>
          <w:tcPr>
            <w:tcW w:w="908" w:type="dxa"/>
            <w:tcBorders>
              <w:top w:val="nil"/>
              <w:left w:val="nil"/>
              <w:bottom w:val="single" w:sz="4" w:space="0" w:color="auto"/>
              <w:right w:val="single" w:sz="4" w:space="0" w:color="auto"/>
            </w:tcBorders>
            <w:shd w:val="clear" w:color="auto" w:fill="auto"/>
            <w:vAlign w:val="bottom"/>
            <w:hideMark/>
          </w:tcPr>
          <w:p w14:paraId="594A78F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Вильнюс</w:t>
            </w:r>
          </w:p>
        </w:tc>
        <w:tc>
          <w:tcPr>
            <w:tcW w:w="1028" w:type="dxa"/>
            <w:tcBorders>
              <w:top w:val="nil"/>
              <w:left w:val="nil"/>
              <w:bottom w:val="single" w:sz="4" w:space="0" w:color="auto"/>
              <w:right w:val="single" w:sz="4" w:space="0" w:color="auto"/>
            </w:tcBorders>
            <w:shd w:val="clear" w:color="auto" w:fill="auto"/>
            <w:vAlign w:val="bottom"/>
            <w:hideMark/>
          </w:tcPr>
          <w:p w14:paraId="190FB72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 xml:space="preserve">Литва </w:t>
            </w:r>
          </w:p>
        </w:tc>
        <w:tc>
          <w:tcPr>
            <w:tcW w:w="612" w:type="dxa"/>
            <w:tcBorders>
              <w:top w:val="nil"/>
              <w:left w:val="nil"/>
              <w:bottom w:val="single" w:sz="4" w:space="0" w:color="auto"/>
              <w:right w:val="single" w:sz="4" w:space="0" w:color="auto"/>
            </w:tcBorders>
            <w:shd w:val="clear" w:color="000000" w:fill="92D050"/>
            <w:vAlign w:val="center"/>
            <w:hideMark/>
          </w:tcPr>
          <w:p w14:paraId="0AF1628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649</w:t>
            </w:r>
          </w:p>
        </w:tc>
        <w:tc>
          <w:tcPr>
            <w:tcW w:w="1145" w:type="dxa"/>
            <w:tcBorders>
              <w:top w:val="nil"/>
              <w:left w:val="nil"/>
              <w:bottom w:val="single" w:sz="4" w:space="0" w:color="auto"/>
              <w:right w:val="single" w:sz="4" w:space="0" w:color="auto"/>
            </w:tcBorders>
            <w:shd w:val="clear" w:color="auto" w:fill="auto"/>
            <w:vAlign w:val="center"/>
            <w:hideMark/>
          </w:tcPr>
          <w:p w14:paraId="695E94D6"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Lithuania</w:t>
            </w:r>
          </w:p>
        </w:tc>
        <w:tc>
          <w:tcPr>
            <w:tcW w:w="612" w:type="dxa"/>
            <w:tcBorders>
              <w:top w:val="nil"/>
              <w:left w:val="nil"/>
              <w:bottom w:val="single" w:sz="4" w:space="0" w:color="auto"/>
              <w:right w:val="single" w:sz="4" w:space="0" w:color="auto"/>
            </w:tcBorders>
            <w:shd w:val="clear" w:color="auto" w:fill="auto"/>
            <w:vAlign w:val="center"/>
            <w:hideMark/>
          </w:tcPr>
          <w:p w14:paraId="6C80B8D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81,6</w:t>
            </w:r>
          </w:p>
        </w:tc>
        <w:tc>
          <w:tcPr>
            <w:tcW w:w="818" w:type="dxa"/>
            <w:tcBorders>
              <w:top w:val="nil"/>
              <w:left w:val="nil"/>
              <w:bottom w:val="single" w:sz="4" w:space="0" w:color="auto"/>
              <w:right w:val="single" w:sz="4" w:space="0" w:color="auto"/>
            </w:tcBorders>
            <w:shd w:val="clear" w:color="auto" w:fill="auto"/>
            <w:vAlign w:val="center"/>
            <w:hideMark/>
          </w:tcPr>
          <w:p w14:paraId="214128C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93,3</w:t>
            </w:r>
          </w:p>
        </w:tc>
        <w:tc>
          <w:tcPr>
            <w:tcW w:w="931" w:type="dxa"/>
            <w:tcBorders>
              <w:top w:val="nil"/>
              <w:left w:val="nil"/>
              <w:bottom w:val="single" w:sz="4" w:space="0" w:color="auto"/>
              <w:right w:val="single" w:sz="4" w:space="0" w:color="auto"/>
            </w:tcBorders>
            <w:shd w:val="clear" w:color="auto" w:fill="auto"/>
            <w:vAlign w:val="center"/>
            <w:hideMark/>
          </w:tcPr>
          <w:p w14:paraId="5BC5B47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93,0</w:t>
            </w:r>
          </w:p>
        </w:tc>
        <w:tc>
          <w:tcPr>
            <w:tcW w:w="732" w:type="dxa"/>
            <w:tcBorders>
              <w:top w:val="nil"/>
              <w:left w:val="nil"/>
              <w:bottom w:val="single" w:sz="4" w:space="0" w:color="auto"/>
              <w:right w:val="single" w:sz="4" w:space="0" w:color="auto"/>
            </w:tcBorders>
            <w:shd w:val="clear" w:color="auto" w:fill="auto"/>
            <w:vAlign w:val="center"/>
            <w:hideMark/>
          </w:tcPr>
          <w:p w14:paraId="4AA8AA6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439DBFE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70,0</w:t>
            </w:r>
          </w:p>
        </w:tc>
        <w:tc>
          <w:tcPr>
            <w:tcW w:w="997" w:type="dxa"/>
            <w:tcBorders>
              <w:top w:val="nil"/>
              <w:left w:val="nil"/>
              <w:bottom w:val="single" w:sz="4" w:space="0" w:color="auto"/>
              <w:right w:val="single" w:sz="4" w:space="0" w:color="auto"/>
            </w:tcBorders>
            <w:shd w:val="clear" w:color="auto" w:fill="auto"/>
            <w:vAlign w:val="center"/>
            <w:hideMark/>
          </w:tcPr>
          <w:p w14:paraId="15D6F6C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88,8</w:t>
            </w:r>
          </w:p>
        </w:tc>
        <w:tc>
          <w:tcPr>
            <w:tcW w:w="1437" w:type="dxa"/>
            <w:tcBorders>
              <w:top w:val="nil"/>
              <w:left w:val="nil"/>
              <w:bottom w:val="single" w:sz="4" w:space="0" w:color="auto"/>
              <w:right w:val="single" w:sz="4" w:space="0" w:color="auto"/>
            </w:tcBorders>
            <w:shd w:val="clear" w:color="auto" w:fill="auto"/>
            <w:vAlign w:val="center"/>
            <w:hideMark/>
          </w:tcPr>
          <w:p w14:paraId="72C4FFA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97,8</w:t>
            </w:r>
          </w:p>
        </w:tc>
        <w:tc>
          <w:tcPr>
            <w:tcW w:w="1262" w:type="dxa"/>
            <w:tcBorders>
              <w:top w:val="nil"/>
              <w:left w:val="nil"/>
              <w:bottom w:val="single" w:sz="4" w:space="0" w:color="auto"/>
              <w:right w:val="single" w:sz="4" w:space="0" w:color="auto"/>
            </w:tcBorders>
            <w:shd w:val="clear" w:color="auto" w:fill="auto"/>
            <w:vAlign w:val="center"/>
            <w:hideMark/>
          </w:tcPr>
          <w:p w14:paraId="0A91D7E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78,8</w:t>
            </w:r>
          </w:p>
        </w:tc>
        <w:tc>
          <w:tcPr>
            <w:tcW w:w="1085" w:type="dxa"/>
            <w:tcBorders>
              <w:top w:val="nil"/>
              <w:left w:val="nil"/>
              <w:bottom w:val="single" w:sz="4" w:space="0" w:color="auto"/>
              <w:right w:val="single" w:sz="4" w:space="0" w:color="auto"/>
            </w:tcBorders>
            <w:shd w:val="clear" w:color="auto" w:fill="auto"/>
            <w:vAlign w:val="center"/>
            <w:hideMark/>
          </w:tcPr>
          <w:p w14:paraId="1814B88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46,7</w:t>
            </w:r>
          </w:p>
        </w:tc>
        <w:tc>
          <w:tcPr>
            <w:tcW w:w="916" w:type="dxa"/>
            <w:tcBorders>
              <w:top w:val="nil"/>
              <w:left w:val="nil"/>
              <w:bottom w:val="single" w:sz="4" w:space="0" w:color="auto"/>
              <w:right w:val="single" w:sz="4" w:space="0" w:color="auto"/>
            </w:tcBorders>
            <w:shd w:val="clear" w:color="auto" w:fill="auto"/>
            <w:vAlign w:val="center"/>
            <w:hideMark/>
          </w:tcPr>
          <w:p w14:paraId="6DF7ACF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84,9</w:t>
            </w:r>
          </w:p>
        </w:tc>
        <w:tc>
          <w:tcPr>
            <w:tcW w:w="871" w:type="dxa"/>
            <w:tcBorders>
              <w:top w:val="nil"/>
              <w:left w:val="nil"/>
              <w:bottom w:val="single" w:sz="4" w:space="0" w:color="auto"/>
              <w:right w:val="single" w:sz="4" w:space="0" w:color="auto"/>
            </w:tcBorders>
            <w:shd w:val="clear" w:color="auto" w:fill="auto"/>
            <w:vAlign w:val="center"/>
            <w:hideMark/>
          </w:tcPr>
          <w:p w14:paraId="51B37A1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92,9</w:t>
            </w:r>
          </w:p>
        </w:tc>
      </w:tr>
      <w:tr w:rsidR="00457E80" w:rsidRPr="00036538" w14:paraId="00AB81EC"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6170EEE"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67</w:t>
            </w:r>
          </w:p>
        </w:tc>
        <w:tc>
          <w:tcPr>
            <w:tcW w:w="908" w:type="dxa"/>
            <w:tcBorders>
              <w:top w:val="nil"/>
              <w:left w:val="nil"/>
              <w:bottom w:val="single" w:sz="4" w:space="0" w:color="auto"/>
              <w:right w:val="single" w:sz="4" w:space="0" w:color="auto"/>
            </w:tcBorders>
            <w:shd w:val="clear" w:color="auto" w:fill="auto"/>
            <w:vAlign w:val="bottom"/>
            <w:hideMark/>
          </w:tcPr>
          <w:p w14:paraId="3DA46D5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Кипр</w:t>
            </w:r>
          </w:p>
        </w:tc>
        <w:tc>
          <w:tcPr>
            <w:tcW w:w="1028" w:type="dxa"/>
            <w:tcBorders>
              <w:top w:val="nil"/>
              <w:left w:val="nil"/>
              <w:bottom w:val="single" w:sz="4" w:space="0" w:color="auto"/>
              <w:right w:val="single" w:sz="4" w:space="0" w:color="auto"/>
            </w:tcBorders>
            <w:shd w:val="clear" w:color="auto" w:fill="auto"/>
            <w:vAlign w:val="bottom"/>
            <w:hideMark/>
          </w:tcPr>
          <w:p w14:paraId="68039B3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Кипр</w:t>
            </w:r>
          </w:p>
        </w:tc>
        <w:tc>
          <w:tcPr>
            <w:tcW w:w="612" w:type="dxa"/>
            <w:tcBorders>
              <w:top w:val="nil"/>
              <w:left w:val="nil"/>
              <w:bottom w:val="single" w:sz="4" w:space="0" w:color="auto"/>
              <w:right w:val="single" w:sz="4" w:space="0" w:color="auto"/>
            </w:tcBorders>
            <w:shd w:val="clear" w:color="000000" w:fill="92D050"/>
            <w:vAlign w:val="center"/>
            <w:hideMark/>
          </w:tcPr>
          <w:p w14:paraId="6D675DE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648</w:t>
            </w:r>
          </w:p>
        </w:tc>
        <w:tc>
          <w:tcPr>
            <w:tcW w:w="1145" w:type="dxa"/>
            <w:tcBorders>
              <w:top w:val="nil"/>
              <w:left w:val="nil"/>
              <w:bottom w:val="single" w:sz="4" w:space="0" w:color="auto"/>
              <w:right w:val="single" w:sz="4" w:space="0" w:color="auto"/>
            </w:tcBorders>
            <w:shd w:val="clear" w:color="auto" w:fill="auto"/>
            <w:vAlign w:val="center"/>
            <w:hideMark/>
          </w:tcPr>
          <w:p w14:paraId="318B6D72"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Cyprus</w:t>
            </w:r>
          </w:p>
        </w:tc>
        <w:tc>
          <w:tcPr>
            <w:tcW w:w="612" w:type="dxa"/>
            <w:tcBorders>
              <w:top w:val="nil"/>
              <w:left w:val="nil"/>
              <w:bottom w:val="single" w:sz="4" w:space="0" w:color="auto"/>
              <w:right w:val="single" w:sz="4" w:space="0" w:color="auto"/>
            </w:tcBorders>
            <w:shd w:val="clear" w:color="auto" w:fill="auto"/>
            <w:vAlign w:val="center"/>
            <w:hideMark/>
          </w:tcPr>
          <w:p w14:paraId="4CF27D2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73,4</w:t>
            </w:r>
          </w:p>
        </w:tc>
        <w:tc>
          <w:tcPr>
            <w:tcW w:w="818" w:type="dxa"/>
            <w:tcBorders>
              <w:top w:val="nil"/>
              <w:left w:val="nil"/>
              <w:bottom w:val="single" w:sz="4" w:space="0" w:color="auto"/>
              <w:right w:val="single" w:sz="4" w:space="0" w:color="auto"/>
            </w:tcBorders>
            <w:shd w:val="clear" w:color="auto" w:fill="auto"/>
            <w:vAlign w:val="center"/>
            <w:hideMark/>
          </w:tcPr>
          <w:p w14:paraId="0DB88A6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92,0</w:t>
            </w:r>
          </w:p>
        </w:tc>
        <w:tc>
          <w:tcPr>
            <w:tcW w:w="931" w:type="dxa"/>
            <w:tcBorders>
              <w:top w:val="nil"/>
              <w:left w:val="nil"/>
              <w:bottom w:val="single" w:sz="4" w:space="0" w:color="auto"/>
              <w:right w:val="single" w:sz="4" w:space="0" w:color="auto"/>
            </w:tcBorders>
            <w:shd w:val="clear" w:color="auto" w:fill="auto"/>
            <w:vAlign w:val="center"/>
            <w:hideMark/>
          </w:tcPr>
          <w:p w14:paraId="7BA34D1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67,9</w:t>
            </w:r>
          </w:p>
        </w:tc>
        <w:tc>
          <w:tcPr>
            <w:tcW w:w="732" w:type="dxa"/>
            <w:tcBorders>
              <w:top w:val="nil"/>
              <w:left w:val="nil"/>
              <w:bottom w:val="single" w:sz="4" w:space="0" w:color="auto"/>
              <w:right w:val="single" w:sz="4" w:space="0" w:color="auto"/>
            </w:tcBorders>
            <w:shd w:val="clear" w:color="auto" w:fill="auto"/>
            <w:vAlign w:val="center"/>
            <w:hideMark/>
          </w:tcPr>
          <w:p w14:paraId="42D14ED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60,0</w:t>
            </w:r>
          </w:p>
        </w:tc>
        <w:tc>
          <w:tcPr>
            <w:tcW w:w="1016" w:type="dxa"/>
            <w:tcBorders>
              <w:top w:val="nil"/>
              <w:left w:val="nil"/>
              <w:bottom w:val="single" w:sz="4" w:space="0" w:color="auto"/>
              <w:right w:val="single" w:sz="4" w:space="0" w:color="auto"/>
            </w:tcBorders>
            <w:shd w:val="clear" w:color="auto" w:fill="auto"/>
            <w:vAlign w:val="center"/>
            <w:hideMark/>
          </w:tcPr>
          <w:p w14:paraId="72CB302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76,0</w:t>
            </w:r>
          </w:p>
        </w:tc>
        <w:tc>
          <w:tcPr>
            <w:tcW w:w="997" w:type="dxa"/>
            <w:tcBorders>
              <w:top w:val="nil"/>
              <w:left w:val="nil"/>
              <w:bottom w:val="single" w:sz="4" w:space="0" w:color="auto"/>
              <w:right w:val="single" w:sz="4" w:space="0" w:color="auto"/>
            </w:tcBorders>
            <w:shd w:val="clear" w:color="auto" w:fill="auto"/>
            <w:vAlign w:val="center"/>
            <w:hideMark/>
          </w:tcPr>
          <w:p w14:paraId="7803270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85,5</w:t>
            </w:r>
          </w:p>
        </w:tc>
        <w:tc>
          <w:tcPr>
            <w:tcW w:w="1437" w:type="dxa"/>
            <w:tcBorders>
              <w:top w:val="nil"/>
              <w:left w:val="nil"/>
              <w:bottom w:val="single" w:sz="4" w:space="0" w:color="auto"/>
              <w:right w:val="single" w:sz="4" w:space="0" w:color="auto"/>
            </w:tcBorders>
            <w:shd w:val="clear" w:color="auto" w:fill="auto"/>
            <w:vAlign w:val="center"/>
            <w:hideMark/>
          </w:tcPr>
          <w:p w14:paraId="2BFD0FE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88,4</w:t>
            </w:r>
          </w:p>
        </w:tc>
        <w:tc>
          <w:tcPr>
            <w:tcW w:w="1262" w:type="dxa"/>
            <w:tcBorders>
              <w:top w:val="nil"/>
              <w:left w:val="nil"/>
              <w:bottom w:val="single" w:sz="4" w:space="0" w:color="auto"/>
              <w:right w:val="single" w:sz="4" w:space="0" w:color="auto"/>
            </w:tcBorders>
            <w:shd w:val="clear" w:color="auto" w:fill="auto"/>
            <w:vAlign w:val="center"/>
            <w:hideMark/>
          </w:tcPr>
          <w:p w14:paraId="265730F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48,6</w:t>
            </w:r>
          </w:p>
        </w:tc>
        <w:tc>
          <w:tcPr>
            <w:tcW w:w="1085" w:type="dxa"/>
            <w:tcBorders>
              <w:top w:val="nil"/>
              <w:left w:val="nil"/>
              <w:bottom w:val="single" w:sz="4" w:space="0" w:color="auto"/>
              <w:right w:val="single" w:sz="4" w:space="0" w:color="auto"/>
            </w:tcBorders>
            <w:shd w:val="clear" w:color="auto" w:fill="auto"/>
            <w:vAlign w:val="center"/>
            <w:hideMark/>
          </w:tcPr>
          <w:p w14:paraId="79FD26E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72,5</w:t>
            </w:r>
          </w:p>
        </w:tc>
        <w:tc>
          <w:tcPr>
            <w:tcW w:w="916" w:type="dxa"/>
            <w:tcBorders>
              <w:top w:val="nil"/>
              <w:left w:val="nil"/>
              <w:bottom w:val="single" w:sz="4" w:space="0" w:color="auto"/>
              <w:right w:val="single" w:sz="4" w:space="0" w:color="auto"/>
            </w:tcBorders>
            <w:shd w:val="clear" w:color="auto" w:fill="auto"/>
            <w:vAlign w:val="center"/>
            <w:hideMark/>
          </w:tcPr>
          <w:p w14:paraId="7FC9485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64,2</w:t>
            </w:r>
          </w:p>
        </w:tc>
        <w:tc>
          <w:tcPr>
            <w:tcW w:w="871" w:type="dxa"/>
            <w:tcBorders>
              <w:top w:val="nil"/>
              <w:left w:val="nil"/>
              <w:bottom w:val="single" w:sz="4" w:space="0" w:color="auto"/>
              <w:right w:val="single" w:sz="4" w:space="0" w:color="auto"/>
            </w:tcBorders>
            <w:shd w:val="clear" w:color="auto" w:fill="auto"/>
            <w:vAlign w:val="center"/>
            <w:hideMark/>
          </w:tcPr>
          <w:p w14:paraId="67E96A9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78,4</w:t>
            </w:r>
          </w:p>
        </w:tc>
      </w:tr>
      <w:tr w:rsidR="00457E80" w:rsidRPr="00036538" w14:paraId="46EAECDE"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EA3E465"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68</w:t>
            </w:r>
          </w:p>
        </w:tc>
        <w:tc>
          <w:tcPr>
            <w:tcW w:w="908" w:type="dxa"/>
            <w:tcBorders>
              <w:top w:val="nil"/>
              <w:left w:val="nil"/>
              <w:bottom w:val="single" w:sz="4" w:space="0" w:color="auto"/>
              <w:right w:val="single" w:sz="4" w:space="0" w:color="auto"/>
            </w:tcBorders>
            <w:shd w:val="clear" w:color="auto" w:fill="auto"/>
            <w:vAlign w:val="bottom"/>
            <w:hideMark/>
          </w:tcPr>
          <w:p w14:paraId="007DD03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Хельсинки</w:t>
            </w:r>
          </w:p>
        </w:tc>
        <w:tc>
          <w:tcPr>
            <w:tcW w:w="1028" w:type="dxa"/>
            <w:tcBorders>
              <w:top w:val="nil"/>
              <w:left w:val="nil"/>
              <w:bottom w:val="single" w:sz="4" w:space="0" w:color="auto"/>
              <w:right w:val="single" w:sz="4" w:space="0" w:color="auto"/>
            </w:tcBorders>
            <w:shd w:val="clear" w:color="auto" w:fill="auto"/>
            <w:vAlign w:val="bottom"/>
            <w:hideMark/>
          </w:tcPr>
          <w:p w14:paraId="75AA4F0E"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Финляндия</w:t>
            </w:r>
          </w:p>
        </w:tc>
        <w:tc>
          <w:tcPr>
            <w:tcW w:w="612" w:type="dxa"/>
            <w:tcBorders>
              <w:top w:val="nil"/>
              <w:left w:val="nil"/>
              <w:bottom w:val="single" w:sz="4" w:space="0" w:color="auto"/>
              <w:right w:val="single" w:sz="4" w:space="0" w:color="auto"/>
            </w:tcBorders>
            <w:shd w:val="clear" w:color="000000" w:fill="92D050"/>
            <w:vAlign w:val="center"/>
            <w:hideMark/>
          </w:tcPr>
          <w:p w14:paraId="21A7D44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647</w:t>
            </w:r>
          </w:p>
        </w:tc>
        <w:tc>
          <w:tcPr>
            <w:tcW w:w="1145" w:type="dxa"/>
            <w:tcBorders>
              <w:top w:val="nil"/>
              <w:left w:val="nil"/>
              <w:bottom w:val="single" w:sz="4" w:space="0" w:color="auto"/>
              <w:right w:val="single" w:sz="4" w:space="0" w:color="auto"/>
            </w:tcBorders>
            <w:shd w:val="clear" w:color="auto" w:fill="auto"/>
            <w:vAlign w:val="center"/>
            <w:hideMark/>
          </w:tcPr>
          <w:p w14:paraId="3E88A242"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Finland</w:t>
            </w:r>
          </w:p>
        </w:tc>
        <w:tc>
          <w:tcPr>
            <w:tcW w:w="612" w:type="dxa"/>
            <w:tcBorders>
              <w:top w:val="nil"/>
              <w:left w:val="nil"/>
              <w:bottom w:val="single" w:sz="4" w:space="0" w:color="auto"/>
              <w:right w:val="single" w:sz="4" w:space="0" w:color="auto"/>
            </w:tcBorders>
            <w:shd w:val="clear" w:color="auto" w:fill="auto"/>
            <w:vAlign w:val="center"/>
            <w:hideMark/>
          </w:tcPr>
          <w:p w14:paraId="1AC5835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80,2</w:t>
            </w:r>
          </w:p>
        </w:tc>
        <w:tc>
          <w:tcPr>
            <w:tcW w:w="818" w:type="dxa"/>
            <w:tcBorders>
              <w:top w:val="nil"/>
              <w:left w:val="nil"/>
              <w:bottom w:val="single" w:sz="4" w:space="0" w:color="auto"/>
              <w:right w:val="single" w:sz="4" w:space="0" w:color="auto"/>
            </w:tcBorders>
            <w:shd w:val="clear" w:color="auto" w:fill="auto"/>
            <w:vAlign w:val="center"/>
            <w:hideMark/>
          </w:tcPr>
          <w:p w14:paraId="264D41E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93,5</w:t>
            </w:r>
          </w:p>
        </w:tc>
        <w:tc>
          <w:tcPr>
            <w:tcW w:w="931" w:type="dxa"/>
            <w:tcBorders>
              <w:top w:val="nil"/>
              <w:left w:val="nil"/>
              <w:bottom w:val="single" w:sz="4" w:space="0" w:color="auto"/>
              <w:right w:val="single" w:sz="4" w:space="0" w:color="auto"/>
            </w:tcBorders>
            <w:shd w:val="clear" w:color="auto" w:fill="auto"/>
            <w:vAlign w:val="center"/>
            <w:hideMark/>
          </w:tcPr>
          <w:p w14:paraId="7CE620D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79,0</w:t>
            </w:r>
          </w:p>
        </w:tc>
        <w:tc>
          <w:tcPr>
            <w:tcW w:w="732" w:type="dxa"/>
            <w:tcBorders>
              <w:top w:val="nil"/>
              <w:left w:val="nil"/>
              <w:bottom w:val="single" w:sz="4" w:space="0" w:color="auto"/>
              <w:right w:val="single" w:sz="4" w:space="0" w:color="auto"/>
            </w:tcBorders>
            <w:shd w:val="clear" w:color="auto" w:fill="auto"/>
            <w:vAlign w:val="center"/>
            <w:hideMark/>
          </w:tcPr>
          <w:p w14:paraId="2385F35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60,0</w:t>
            </w:r>
          </w:p>
        </w:tc>
        <w:tc>
          <w:tcPr>
            <w:tcW w:w="1016" w:type="dxa"/>
            <w:tcBorders>
              <w:top w:val="nil"/>
              <w:left w:val="nil"/>
              <w:bottom w:val="single" w:sz="4" w:space="0" w:color="auto"/>
              <w:right w:val="single" w:sz="4" w:space="0" w:color="auto"/>
            </w:tcBorders>
            <w:shd w:val="clear" w:color="auto" w:fill="auto"/>
            <w:vAlign w:val="center"/>
            <w:hideMark/>
          </w:tcPr>
          <w:p w14:paraId="64D4ABA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997" w:type="dxa"/>
            <w:tcBorders>
              <w:top w:val="nil"/>
              <w:left w:val="nil"/>
              <w:bottom w:val="single" w:sz="4" w:space="0" w:color="auto"/>
              <w:right w:val="single" w:sz="4" w:space="0" w:color="auto"/>
            </w:tcBorders>
            <w:shd w:val="clear" w:color="auto" w:fill="auto"/>
            <w:vAlign w:val="center"/>
            <w:hideMark/>
          </w:tcPr>
          <w:p w14:paraId="4DCA83E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90,9</w:t>
            </w:r>
          </w:p>
        </w:tc>
        <w:tc>
          <w:tcPr>
            <w:tcW w:w="1437" w:type="dxa"/>
            <w:tcBorders>
              <w:top w:val="nil"/>
              <w:left w:val="nil"/>
              <w:bottom w:val="single" w:sz="4" w:space="0" w:color="auto"/>
              <w:right w:val="single" w:sz="4" w:space="0" w:color="auto"/>
            </w:tcBorders>
            <w:shd w:val="clear" w:color="auto" w:fill="auto"/>
            <w:vAlign w:val="center"/>
            <w:hideMark/>
          </w:tcPr>
          <w:p w14:paraId="6D332B6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92,4</w:t>
            </w:r>
          </w:p>
        </w:tc>
        <w:tc>
          <w:tcPr>
            <w:tcW w:w="1262" w:type="dxa"/>
            <w:tcBorders>
              <w:top w:val="nil"/>
              <w:left w:val="nil"/>
              <w:bottom w:val="single" w:sz="4" w:space="0" w:color="auto"/>
              <w:right w:val="single" w:sz="4" w:space="0" w:color="auto"/>
            </w:tcBorders>
            <w:shd w:val="clear" w:color="auto" w:fill="auto"/>
            <w:vAlign w:val="center"/>
            <w:hideMark/>
          </w:tcPr>
          <w:p w14:paraId="5F1408B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66,4</w:t>
            </w:r>
          </w:p>
        </w:tc>
        <w:tc>
          <w:tcPr>
            <w:tcW w:w="1085" w:type="dxa"/>
            <w:tcBorders>
              <w:top w:val="nil"/>
              <w:left w:val="nil"/>
              <w:bottom w:val="single" w:sz="4" w:space="0" w:color="auto"/>
              <w:right w:val="single" w:sz="4" w:space="0" w:color="auto"/>
            </w:tcBorders>
            <w:shd w:val="clear" w:color="auto" w:fill="auto"/>
            <w:vAlign w:val="center"/>
            <w:hideMark/>
          </w:tcPr>
          <w:p w14:paraId="1EA05F6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92,7</w:t>
            </w:r>
          </w:p>
        </w:tc>
        <w:tc>
          <w:tcPr>
            <w:tcW w:w="916" w:type="dxa"/>
            <w:tcBorders>
              <w:top w:val="nil"/>
              <w:left w:val="nil"/>
              <w:bottom w:val="single" w:sz="4" w:space="0" w:color="auto"/>
              <w:right w:val="single" w:sz="4" w:space="0" w:color="auto"/>
            </w:tcBorders>
            <w:shd w:val="clear" w:color="auto" w:fill="auto"/>
            <w:vAlign w:val="center"/>
            <w:hideMark/>
          </w:tcPr>
          <w:p w14:paraId="0979C2D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75,9</w:t>
            </w:r>
          </w:p>
        </w:tc>
        <w:tc>
          <w:tcPr>
            <w:tcW w:w="871" w:type="dxa"/>
            <w:tcBorders>
              <w:top w:val="nil"/>
              <w:left w:val="nil"/>
              <w:bottom w:val="single" w:sz="4" w:space="0" w:color="auto"/>
              <w:right w:val="single" w:sz="4" w:space="0" w:color="auto"/>
            </w:tcBorders>
            <w:shd w:val="clear" w:color="auto" w:fill="auto"/>
            <w:vAlign w:val="center"/>
            <w:hideMark/>
          </w:tcPr>
          <w:p w14:paraId="1F34C80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89,0</w:t>
            </w:r>
          </w:p>
        </w:tc>
      </w:tr>
      <w:tr w:rsidR="00457E80" w:rsidRPr="00036538" w14:paraId="00DE190D"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D8DD432"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69</w:t>
            </w:r>
          </w:p>
        </w:tc>
        <w:tc>
          <w:tcPr>
            <w:tcW w:w="908" w:type="dxa"/>
            <w:tcBorders>
              <w:top w:val="nil"/>
              <w:left w:val="nil"/>
              <w:bottom w:val="single" w:sz="4" w:space="0" w:color="auto"/>
              <w:right w:val="single" w:sz="4" w:space="0" w:color="auto"/>
            </w:tcBorders>
            <w:shd w:val="clear" w:color="auto" w:fill="auto"/>
            <w:vAlign w:val="bottom"/>
            <w:hideMark/>
          </w:tcPr>
          <w:p w14:paraId="051249F3"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Нью-Дели</w:t>
            </w:r>
          </w:p>
        </w:tc>
        <w:tc>
          <w:tcPr>
            <w:tcW w:w="1028" w:type="dxa"/>
            <w:tcBorders>
              <w:top w:val="nil"/>
              <w:left w:val="nil"/>
              <w:bottom w:val="single" w:sz="4" w:space="0" w:color="auto"/>
              <w:right w:val="single" w:sz="4" w:space="0" w:color="auto"/>
            </w:tcBorders>
            <w:shd w:val="clear" w:color="auto" w:fill="auto"/>
            <w:vAlign w:val="bottom"/>
            <w:hideMark/>
          </w:tcPr>
          <w:p w14:paraId="29ABA33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Индия</w:t>
            </w:r>
          </w:p>
        </w:tc>
        <w:tc>
          <w:tcPr>
            <w:tcW w:w="612" w:type="dxa"/>
            <w:tcBorders>
              <w:top w:val="nil"/>
              <w:left w:val="nil"/>
              <w:bottom w:val="single" w:sz="4" w:space="0" w:color="auto"/>
              <w:right w:val="single" w:sz="4" w:space="0" w:color="auto"/>
            </w:tcBorders>
            <w:shd w:val="clear" w:color="000000" w:fill="92D050"/>
            <w:vAlign w:val="center"/>
            <w:hideMark/>
          </w:tcPr>
          <w:p w14:paraId="38A0D70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646</w:t>
            </w:r>
          </w:p>
        </w:tc>
        <w:tc>
          <w:tcPr>
            <w:tcW w:w="1145" w:type="dxa"/>
            <w:tcBorders>
              <w:top w:val="nil"/>
              <w:left w:val="nil"/>
              <w:bottom w:val="single" w:sz="4" w:space="0" w:color="auto"/>
              <w:right w:val="single" w:sz="4" w:space="0" w:color="auto"/>
            </w:tcBorders>
            <w:shd w:val="clear" w:color="auto" w:fill="auto"/>
            <w:vAlign w:val="center"/>
            <w:hideMark/>
          </w:tcPr>
          <w:p w14:paraId="0D654EC2"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India Delhi</w:t>
            </w:r>
          </w:p>
        </w:tc>
        <w:tc>
          <w:tcPr>
            <w:tcW w:w="612" w:type="dxa"/>
            <w:tcBorders>
              <w:top w:val="nil"/>
              <w:left w:val="nil"/>
              <w:bottom w:val="single" w:sz="4" w:space="0" w:color="auto"/>
              <w:right w:val="single" w:sz="4" w:space="0" w:color="auto"/>
            </w:tcBorders>
            <w:shd w:val="clear" w:color="auto" w:fill="auto"/>
            <w:vAlign w:val="center"/>
            <w:hideMark/>
          </w:tcPr>
          <w:p w14:paraId="028B129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71,9</w:t>
            </w:r>
          </w:p>
        </w:tc>
        <w:tc>
          <w:tcPr>
            <w:tcW w:w="818" w:type="dxa"/>
            <w:tcBorders>
              <w:top w:val="nil"/>
              <w:left w:val="nil"/>
              <w:bottom w:val="single" w:sz="4" w:space="0" w:color="auto"/>
              <w:right w:val="single" w:sz="4" w:space="0" w:color="auto"/>
            </w:tcBorders>
            <w:shd w:val="clear" w:color="auto" w:fill="auto"/>
            <w:vAlign w:val="center"/>
            <w:hideMark/>
          </w:tcPr>
          <w:p w14:paraId="2C54E17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82,0</w:t>
            </w:r>
          </w:p>
        </w:tc>
        <w:tc>
          <w:tcPr>
            <w:tcW w:w="931" w:type="dxa"/>
            <w:tcBorders>
              <w:top w:val="nil"/>
              <w:left w:val="nil"/>
              <w:bottom w:val="single" w:sz="4" w:space="0" w:color="auto"/>
              <w:right w:val="single" w:sz="4" w:space="0" w:color="auto"/>
            </w:tcBorders>
            <w:shd w:val="clear" w:color="auto" w:fill="auto"/>
            <w:vAlign w:val="center"/>
            <w:hideMark/>
          </w:tcPr>
          <w:p w14:paraId="4F5AEF1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45,8</w:t>
            </w:r>
          </w:p>
        </w:tc>
        <w:tc>
          <w:tcPr>
            <w:tcW w:w="732" w:type="dxa"/>
            <w:tcBorders>
              <w:top w:val="nil"/>
              <w:left w:val="nil"/>
              <w:bottom w:val="single" w:sz="4" w:space="0" w:color="auto"/>
              <w:right w:val="single" w:sz="4" w:space="0" w:color="auto"/>
            </w:tcBorders>
            <w:shd w:val="clear" w:color="auto" w:fill="auto"/>
            <w:vAlign w:val="center"/>
            <w:hideMark/>
          </w:tcPr>
          <w:p w14:paraId="6E94550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80,0</w:t>
            </w:r>
          </w:p>
        </w:tc>
        <w:tc>
          <w:tcPr>
            <w:tcW w:w="1016" w:type="dxa"/>
            <w:tcBorders>
              <w:top w:val="nil"/>
              <w:left w:val="nil"/>
              <w:bottom w:val="single" w:sz="4" w:space="0" w:color="auto"/>
              <w:right w:val="single" w:sz="4" w:space="0" w:color="auto"/>
            </w:tcBorders>
            <w:shd w:val="clear" w:color="auto" w:fill="auto"/>
            <w:vAlign w:val="center"/>
            <w:hideMark/>
          </w:tcPr>
          <w:p w14:paraId="4B8E9C1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80,0</w:t>
            </w:r>
          </w:p>
        </w:tc>
        <w:tc>
          <w:tcPr>
            <w:tcW w:w="997" w:type="dxa"/>
            <w:tcBorders>
              <w:top w:val="nil"/>
              <w:left w:val="nil"/>
              <w:bottom w:val="single" w:sz="4" w:space="0" w:color="auto"/>
              <w:right w:val="single" w:sz="4" w:space="0" w:color="auto"/>
            </w:tcBorders>
            <w:shd w:val="clear" w:color="auto" w:fill="auto"/>
            <w:vAlign w:val="center"/>
            <w:hideMark/>
          </w:tcPr>
          <w:p w14:paraId="3906571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68,1</w:t>
            </w:r>
          </w:p>
        </w:tc>
        <w:tc>
          <w:tcPr>
            <w:tcW w:w="1437" w:type="dxa"/>
            <w:tcBorders>
              <w:top w:val="nil"/>
              <w:left w:val="nil"/>
              <w:bottom w:val="single" w:sz="4" w:space="0" w:color="auto"/>
              <w:right w:val="single" w:sz="4" w:space="0" w:color="auto"/>
            </w:tcBorders>
            <w:shd w:val="clear" w:color="auto" w:fill="auto"/>
            <w:vAlign w:val="center"/>
            <w:hideMark/>
          </w:tcPr>
          <w:p w14:paraId="43483DE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82,7</w:t>
            </w:r>
          </w:p>
        </w:tc>
        <w:tc>
          <w:tcPr>
            <w:tcW w:w="1262" w:type="dxa"/>
            <w:tcBorders>
              <w:top w:val="nil"/>
              <w:left w:val="nil"/>
              <w:bottom w:val="single" w:sz="4" w:space="0" w:color="auto"/>
              <w:right w:val="single" w:sz="4" w:space="0" w:color="auto"/>
            </w:tcBorders>
            <w:shd w:val="clear" w:color="auto" w:fill="auto"/>
            <w:vAlign w:val="center"/>
            <w:hideMark/>
          </w:tcPr>
          <w:p w14:paraId="457B053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41,2</w:t>
            </w:r>
          </w:p>
        </w:tc>
        <w:tc>
          <w:tcPr>
            <w:tcW w:w="1085" w:type="dxa"/>
            <w:tcBorders>
              <w:top w:val="nil"/>
              <w:left w:val="nil"/>
              <w:bottom w:val="single" w:sz="4" w:space="0" w:color="auto"/>
              <w:right w:val="single" w:sz="4" w:space="0" w:color="auto"/>
            </w:tcBorders>
            <w:shd w:val="clear" w:color="auto" w:fill="auto"/>
            <w:vAlign w:val="center"/>
            <w:hideMark/>
          </w:tcPr>
          <w:p w14:paraId="1B8390A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62,0</w:t>
            </w:r>
          </w:p>
        </w:tc>
        <w:tc>
          <w:tcPr>
            <w:tcW w:w="916" w:type="dxa"/>
            <w:tcBorders>
              <w:top w:val="nil"/>
              <w:left w:val="nil"/>
              <w:bottom w:val="single" w:sz="4" w:space="0" w:color="auto"/>
              <w:right w:val="single" w:sz="4" w:space="0" w:color="auto"/>
            </w:tcBorders>
            <w:shd w:val="clear" w:color="auto" w:fill="auto"/>
            <w:vAlign w:val="center"/>
            <w:hideMark/>
          </w:tcPr>
          <w:p w14:paraId="21504A2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84,2</w:t>
            </w:r>
          </w:p>
        </w:tc>
        <w:tc>
          <w:tcPr>
            <w:tcW w:w="871" w:type="dxa"/>
            <w:tcBorders>
              <w:top w:val="nil"/>
              <w:left w:val="nil"/>
              <w:bottom w:val="single" w:sz="4" w:space="0" w:color="auto"/>
              <w:right w:val="single" w:sz="4" w:space="0" w:color="auto"/>
            </w:tcBorders>
            <w:shd w:val="clear" w:color="auto" w:fill="auto"/>
            <w:vAlign w:val="center"/>
            <w:hideMark/>
          </w:tcPr>
          <w:p w14:paraId="203A8A7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92,6</w:t>
            </w:r>
          </w:p>
        </w:tc>
      </w:tr>
      <w:tr w:rsidR="00457E80" w:rsidRPr="00036538" w14:paraId="11BB3380"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373AED5"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70</w:t>
            </w:r>
          </w:p>
        </w:tc>
        <w:tc>
          <w:tcPr>
            <w:tcW w:w="908" w:type="dxa"/>
            <w:tcBorders>
              <w:top w:val="nil"/>
              <w:left w:val="nil"/>
              <w:bottom w:val="single" w:sz="4" w:space="0" w:color="auto"/>
              <w:right w:val="single" w:sz="4" w:space="0" w:color="auto"/>
            </w:tcBorders>
            <w:shd w:val="clear" w:color="auto" w:fill="auto"/>
            <w:vAlign w:val="bottom"/>
            <w:hideMark/>
          </w:tcPr>
          <w:p w14:paraId="68071A8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Рига</w:t>
            </w:r>
          </w:p>
        </w:tc>
        <w:tc>
          <w:tcPr>
            <w:tcW w:w="1028" w:type="dxa"/>
            <w:tcBorders>
              <w:top w:val="nil"/>
              <w:left w:val="nil"/>
              <w:bottom w:val="single" w:sz="4" w:space="0" w:color="auto"/>
              <w:right w:val="single" w:sz="4" w:space="0" w:color="auto"/>
            </w:tcBorders>
            <w:shd w:val="clear" w:color="auto" w:fill="auto"/>
            <w:vAlign w:val="bottom"/>
            <w:hideMark/>
          </w:tcPr>
          <w:p w14:paraId="7391FA6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Латвия</w:t>
            </w:r>
          </w:p>
        </w:tc>
        <w:tc>
          <w:tcPr>
            <w:tcW w:w="612" w:type="dxa"/>
            <w:tcBorders>
              <w:top w:val="nil"/>
              <w:left w:val="nil"/>
              <w:bottom w:val="single" w:sz="4" w:space="0" w:color="auto"/>
              <w:right w:val="single" w:sz="4" w:space="0" w:color="auto"/>
            </w:tcBorders>
            <w:shd w:val="clear" w:color="000000" w:fill="92D050"/>
            <w:vAlign w:val="center"/>
            <w:hideMark/>
          </w:tcPr>
          <w:p w14:paraId="4240D65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645</w:t>
            </w:r>
          </w:p>
        </w:tc>
        <w:tc>
          <w:tcPr>
            <w:tcW w:w="1145" w:type="dxa"/>
            <w:tcBorders>
              <w:top w:val="nil"/>
              <w:left w:val="nil"/>
              <w:bottom w:val="single" w:sz="4" w:space="0" w:color="auto"/>
              <w:right w:val="single" w:sz="4" w:space="0" w:color="auto"/>
            </w:tcBorders>
            <w:shd w:val="clear" w:color="auto" w:fill="auto"/>
            <w:vAlign w:val="center"/>
            <w:hideMark/>
          </w:tcPr>
          <w:p w14:paraId="4C6C21B9"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Latvia</w:t>
            </w:r>
          </w:p>
        </w:tc>
        <w:tc>
          <w:tcPr>
            <w:tcW w:w="612" w:type="dxa"/>
            <w:tcBorders>
              <w:top w:val="nil"/>
              <w:left w:val="nil"/>
              <w:bottom w:val="single" w:sz="4" w:space="0" w:color="auto"/>
              <w:right w:val="single" w:sz="4" w:space="0" w:color="auto"/>
            </w:tcBorders>
            <w:shd w:val="clear" w:color="auto" w:fill="auto"/>
            <w:vAlign w:val="center"/>
            <w:hideMark/>
          </w:tcPr>
          <w:p w14:paraId="6B5686A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80,3</w:t>
            </w:r>
          </w:p>
        </w:tc>
        <w:tc>
          <w:tcPr>
            <w:tcW w:w="818" w:type="dxa"/>
            <w:tcBorders>
              <w:top w:val="nil"/>
              <w:left w:val="nil"/>
              <w:bottom w:val="single" w:sz="4" w:space="0" w:color="auto"/>
              <w:right w:val="single" w:sz="4" w:space="0" w:color="auto"/>
            </w:tcBorders>
            <w:shd w:val="clear" w:color="auto" w:fill="auto"/>
            <w:vAlign w:val="center"/>
            <w:hideMark/>
          </w:tcPr>
          <w:p w14:paraId="71799E3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94,1</w:t>
            </w:r>
          </w:p>
        </w:tc>
        <w:tc>
          <w:tcPr>
            <w:tcW w:w="931" w:type="dxa"/>
            <w:tcBorders>
              <w:top w:val="nil"/>
              <w:left w:val="nil"/>
              <w:bottom w:val="single" w:sz="4" w:space="0" w:color="auto"/>
              <w:right w:val="single" w:sz="4" w:space="0" w:color="auto"/>
            </w:tcBorders>
            <w:shd w:val="clear" w:color="auto" w:fill="auto"/>
            <w:vAlign w:val="center"/>
            <w:hideMark/>
          </w:tcPr>
          <w:p w14:paraId="61B6CE0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82,3</w:t>
            </w:r>
          </w:p>
        </w:tc>
        <w:tc>
          <w:tcPr>
            <w:tcW w:w="732" w:type="dxa"/>
            <w:tcBorders>
              <w:top w:val="nil"/>
              <w:left w:val="nil"/>
              <w:bottom w:val="single" w:sz="4" w:space="0" w:color="auto"/>
              <w:right w:val="single" w:sz="4" w:space="0" w:color="auto"/>
            </w:tcBorders>
            <w:shd w:val="clear" w:color="auto" w:fill="auto"/>
            <w:vAlign w:val="center"/>
            <w:hideMark/>
          </w:tcPr>
          <w:p w14:paraId="3D0B226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85,0</w:t>
            </w:r>
          </w:p>
        </w:tc>
        <w:tc>
          <w:tcPr>
            <w:tcW w:w="1016" w:type="dxa"/>
            <w:tcBorders>
              <w:top w:val="nil"/>
              <w:left w:val="nil"/>
              <w:bottom w:val="single" w:sz="4" w:space="0" w:color="auto"/>
              <w:right w:val="single" w:sz="4" w:space="0" w:color="auto"/>
            </w:tcBorders>
            <w:shd w:val="clear" w:color="auto" w:fill="auto"/>
            <w:vAlign w:val="center"/>
            <w:hideMark/>
          </w:tcPr>
          <w:p w14:paraId="6F34DD2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68,0</w:t>
            </w:r>
          </w:p>
        </w:tc>
        <w:tc>
          <w:tcPr>
            <w:tcW w:w="997" w:type="dxa"/>
            <w:tcBorders>
              <w:top w:val="nil"/>
              <w:left w:val="nil"/>
              <w:bottom w:val="single" w:sz="4" w:space="0" w:color="auto"/>
              <w:right w:val="single" w:sz="4" w:space="0" w:color="auto"/>
            </w:tcBorders>
            <w:shd w:val="clear" w:color="auto" w:fill="auto"/>
            <w:vAlign w:val="center"/>
            <w:hideMark/>
          </w:tcPr>
          <w:p w14:paraId="5A142EE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89,0</w:t>
            </w:r>
          </w:p>
        </w:tc>
        <w:tc>
          <w:tcPr>
            <w:tcW w:w="1437" w:type="dxa"/>
            <w:tcBorders>
              <w:top w:val="nil"/>
              <w:left w:val="nil"/>
              <w:bottom w:val="single" w:sz="4" w:space="0" w:color="auto"/>
              <w:right w:val="single" w:sz="4" w:space="0" w:color="auto"/>
            </w:tcBorders>
            <w:shd w:val="clear" w:color="auto" w:fill="auto"/>
            <w:vAlign w:val="center"/>
            <w:hideMark/>
          </w:tcPr>
          <w:p w14:paraId="53582DC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95,3</w:t>
            </w:r>
          </w:p>
        </w:tc>
        <w:tc>
          <w:tcPr>
            <w:tcW w:w="1262" w:type="dxa"/>
            <w:tcBorders>
              <w:top w:val="nil"/>
              <w:left w:val="nil"/>
              <w:bottom w:val="single" w:sz="4" w:space="0" w:color="auto"/>
              <w:right w:val="single" w:sz="4" w:space="0" w:color="auto"/>
            </w:tcBorders>
            <w:shd w:val="clear" w:color="auto" w:fill="auto"/>
            <w:vAlign w:val="center"/>
            <w:hideMark/>
          </w:tcPr>
          <w:p w14:paraId="78E03D2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73,5</w:t>
            </w:r>
          </w:p>
        </w:tc>
        <w:tc>
          <w:tcPr>
            <w:tcW w:w="1085" w:type="dxa"/>
            <w:tcBorders>
              <w:top w:val="nil"/>
              <w:left w:val="nil"/>
              <w:bottom w:val="single" w:sz="4" w:space="0" w:color="auto"/>
              <w:right w:val="single" w:sz="4" w:space="0" w:color="auto"/>
            </w:tcBorders>
            <w:shd w:val="clear" w:color="auto" w:fill="auto"/>
            <w:vAlign w:val="center"/>
            <w:hideMark/>
          </w:tcPr>
          <w:p w14:paraId="4D96B43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59,8</w:t>
            </w:r>
          </w:p>
        </w:tc>
        <w:tc>
          <w:tcPr>
            <w:tcW w:w="916" w:type="dxa"/>
            <w:tcBorders>
              <w:top w:val="nil"/>
              <w:left w:val="nil"/>
              <w:bottom w:val="single" w:sz="4" w:space="0" w:color="auto"/>
              <w:right w:val="single" w:sz="4" w:space="0" w:color="auto"/>
            </w:tcBorders>
            <w:shd w:val="clear" w:color="auto" w:fill="auto"/>
            <w:vAlign w:val="center"/>
            <w:hideMark/>
          </w:tcPr>
          <w:p w14:paraId="298BB07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73,5</w:t>
            </w:r>
          </w:p>
        </w:tc>
        <w:tc>
          <w:tcPr>
            <w:tcW w:w="871" w:type="dxa"/>
            <w:tcBorders>
              <w:top w:val="nil"/>
              <w:left w:val="nil"/>
              <w:bottom w:val="single" w:sz="4" w:space="0" w:color="auto"/>
              <w:right w:val="single" w:sz="4" w:space="0" w:color="auto"/>
            </w:tcBorders>
            <w:shd w:val="clear" w:color="auto" w:fill="auto"/>
            <w:vAlign w:val="center"/>
            <w:hideMark/>
          </w:tcPr>
          <w:p w14:paraId="6EFD97F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82,3</w:t>
            </w:r>
          </w:p>
        </w:tc>
      </w:tr>
      <w:tr w:rsidR="00457E80" w:rsidRPr="00036538" w14:paraId="029A3ECF"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5B37078"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71</w:t>
            </w:r>
          </w:p>
        </w:tc>
        <w:tc>
          <w:tcPr>
            <w:tcW w:w="908" w:type="dxa"/>
            <w:tcBorders>
              <w:top w:val="nil"/>
              <w:left w:val="nil"/>
              <w:bottom w:val="single" w:sz="4" w:space="0" w:color="auto"/>
              <w:right w:val="single" w:sz="4" w:space="0" w:color="auto"/>
            </w:tcBorders>
            <w:shd w:val="clear" w:color="auto" w:fill="auto"/>
            <w:vAlign w:val="bottom"/>
            <w:hideMark/>
          </w:tcPr>
          <w:p w14:paraId="5FEE838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Москва</w:t>
            </w:r>
          </w:p>
        </w:tc>
        <w:tc>
          <w:tcPr>
            <w:tcW w:w="1028" w:type="dxa"/>
            <w:tcBorders>
              <w:top w:val="nil"/>
              <w:left w:val="nil"/>
              <w:bottom w:val="single" w:sz="4" w:space="0" w:color="auto"/>
              <w:right w:val="single" w:sz="4" w:space="0" w:color="auto"/>
            </w:tcBorders>
            <w:shd w:val="clear" w:color="auto" w:fill="auto"/>
            <w:vAlign w:val="bottom"/>
            <w:hideMark/>
          </w:tcPr>
          <w:p w14:paraId="5C39E83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Россия</w:t>
            </w:r>
          </w:p>
        </w:tc>
        <w:tc>
          <w:tcPr>
            <w:tcW w:w="612" w:type="dxa"/>
            <w:tcBorders>
              <w:top w:val="nil"/>
              <w:left w:val="nil"/>
              <w:bottom w:val="single" w:sz="4" w:space="0" w:color="auto"/>
              <w:right w:val="single" w:sz="4" w:space="0" w:color="auto"/>
            </w:tcBorders>
            <w:shd w:val="clear" w:color="000000" w:fill="92D050"/>
            <w:vAlign w:val="center"/>
            <w:hideMark/>
          </w:tcPr>
          <w:p w14:paraId="348EECC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644</w:t>
            </w:r>
          </w:p>
        </w:tc>
        <w:tc>
          <w:tcPr>
            <w:tcW w:w="1145" w:type="dxa"/>
            <w:tcBorders>
              <w:top w:val="nil"/>
              <w:left w:val="nil"/>
              <w:bottom w:val="single" w:sz="4" w:space="0" w:color="auto"/>
              <w:right w:val="single" w:sz="4" w:space="0" w:color="auto"/>
            </w:tcBorders>
            <w:shd w:val="clear" w:color="auto" w:fill="auto"/>
            <w:vAlign w:val="center"/>
            <w:hideMark/>
          </w:tcPr>
          <w:p w14:paraId="6A1DB9B2"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Russian Federation Moscow</w:t>
            </w:r>
          </w:p>
        </w:tc>
        <w:tc>
          <w:tcPr>
            <w:tcW w:w="612" w:type="dxa"/>
            <w:tcBorders>
              <w:top w:val="nil"/>
              <w:left w:val="nil"/>
              <w:bottom w:val="single" w:sz="4" w:space="0" w:color="auto"/>
              <w:right w:val="single" w:sz="4" w:space="0" w:color="auto"/>
            </w:tcBorders>
            <w:shd w:val="clear" w:color="auto" w:fill="auto"/>
            <w:vAlign w:val="center"/>
            <w:hideMark/>
          </w:tcPr>
          <w:p w14:paraId="1169DF1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78,3</w:t>
            </w:r>
          </w:p>
        </w:tc>
        <w:tc>
          <w:tcPr>
            <w:tcW w:w="818" w:type="dxa"/>
            <w:tcBorders>
              <w:top w:val="nil"/>
              <w:left w:val="nil"/>
              <w:bottom w:val="single" w:sz="4" w:space="0" w:color="auto"/>
              <w:right w:val="single" w:sz="4" w:space="0" w:color="auto"/>
            </w:tcBorders>
            <w:shd w:val="clear" w:color="auto" w:fill="auto"/>
            <w:vAlign w:val="center"/>
            <w:hideMark/>
          </w:tcPr>
          <w:p w14:paraId="25A0781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92,8</w:t>
            </w:r>
          </w:p>
        </w:tc>
        <w:tc>
          <w:tcPr>
            <w:tcW w:w="931" w:type="dxa"/>
            <w:tcBorders>
              <w:top w:val="nil"/>
              <w:left w:val="nil"/>
              <w:bottom w:val="single" w:sz="4" w:space="0" w:color="auto"/>
              <w:right w:val="single" w:sz="4" w:space="0" w:color="auto"/>
            </w:tcBorders>
            <w:shd w:val="clear" w:color="auto" w:fill="auto"/>
            <w:vAlign w:val="center"/>
            <w:hideMark/>
          </w:tcPr>
          <w:p w14:paraId="182C7C3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88,6</w:t>
            </w:r>
          </w:p>
        </w:tc>
        <w:tc>
          <w:tcPr>
            <w:tcW w:w="732" w:type="dxa"/>
            <w:tcBorders>
              <w:top w:val="nil"/>
              <w:left w:val="nil"/>
              <w:bottom w:val="single" w:sz="4" w:space="0" w:color="auto"/>
              <w:right w:val="single" w:sz="4" w:space="0" w:color="auto"/>
            </w:tcBorders>
            <w:shd w:val="clear" w:color="auto" w:fill="auto"/>
            <w:vAlign w:val="center"/>
            <w:hideMark/>
          </w:tcPr>
          <w:p w14:paraId="7DA67D6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80,0</w:t>
            </w:r>
          </w:p>
        </w:tc>
        <w:tc>
          <w:tcPr>
            <w:tcW w:w="1016" w:type="dxa"/>
            <w:tcBorders>
              <w:top w:val="nil"/>
              <w:left w:val="nil"/>
              <w:bottom w:val="single" w:sz="4" w:space="0" w:color="auto"/>
              <w:right w:val="single" w:sz="4" w:space="0" w:color="auto"/>
            </w:tcBorders>
            <w:shd w:val="clear" w:color="auto" w:fill="auto"/>
            <w:vAlign w:val="center"/>
            <w:hideMark/>
          </w:tcPr>
          <w:p w14:paraId="7726E64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60,0</w:t>
            </w:r>
          </w:p>
        </w:tc>
        <w:tc>
          <w:tcPr>
            <w:tcW w:w="997" w:type="dxa"/>
            <w:tcBorders>
              <w:top w:val="nil"/>
              <w:left w:val="nil"/>
              <w:bottom w:val="single" w:sz="4" w:space="0" w:color="auto"/>
              <w:right w:val="single" w:sz="4" w:space="0" w:color="auto"/>
            </w:tcBorders>
            <w:shd w:val="clear" w:color="auto" w:fill="auto"/>
            <w:vAlign w:val="center"/>
            <w:hideMark/>
          </w:tcPr>
          <w:p w14:paraId="2A5D6C2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79,4</w:t>
            </w:r>
          </w:p>
        </w:tc>
        <w:tc>
          <w:tcPr>
            <w:tcW w:w="1437" w:type="dxa"/>
            <w:tcBorders>
              <w:top w:val="nil"/>
              <w:left w:val="nil"/>
              <w:bottom w:val="single" w:sz="4" w:space="0" w:color="auto"/>
              <w:right w:val="single" w:sz="4" w:space="0" w:color="auto"/>
            </w:tcBorders>
            <w:shd w:val="clear" w:color="auto" w:fill="auto"/>
            <w:vAlign w:val="center"/>
            <w:hideMark/>
          </w:tcPr>
          <w:p w14:paraId="5D0A710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74,0</w:t>
            </w:r>
          </w:p>
        </w:tc>
        <w:tc>
          <w:tcPr>
            <w:tcW w:w="1262" w:type="dxa"/>
            <w:tcBorders>
              <w:top w:val="nil"/>
              <w:left w:val="nil"/>
              <w:bottom w:val="single" w:sz="4" w:space="0" w:color="auto"/>
              <w:right w:val="single" w:sz="4" w:space="0" w:color="auto"/>
            </w:tcBorders>
            <w:shd w:val="clear" w:color="auto" w:fill="auto"/>
            <w:vAlign w:val="center"/>
            <w:hideMark/>
          </w:tcPr>
          <w:p w14:paraId="749EEC1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72,7</w:t>
            </w:r>
          </w:p>
        </w:tc>
        <w:tc>
          <w:tcPr>
            <w:tcW w:w="1085" w:type="dxa"/>
            <w:tcBorders>
              <w:top w:val="nil"/>
              <w:left w:val="nil"/>
              <w:bottom w:val="single" w:sz="4" w:space="0" w:color="auto"/>
              <w:right w:val="single" w:sz="4" w:space="0" w:color="auto"/>
            </w:tcBorders>
            <w:shd w:val="clear" w:color="auto" w:fill="auto"/>
            <w:vAlign w:val="center"/>
            <w:hideMark/>
          </w:tcPr>
          <w:p w14:paraId="0FD4F4D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59,1</w:t>
            </w:r>
          </w:p>
        </w:tc>
        <w:tc>
          <w:tcPr>
            <w:tcW w:w="916" w:type="dxa"/>
            <w:tcBorders>
              <w:top w:val="nil"/>
              <w:left w:val="nil"/>
              <w:bottom w:val="single" w:sz="4" w:space="0" w:color="auto"/>
              <w:right w:val="single" w:sz="4" w:space="0" w:color="auto"/>
            </w:tcBorders>
            <w:shd w:val="clear" w:color="auto" w:fill="auto"/>
            <w:vAlign w:val="center"/>
            <w:hideMark/>
          </w:tcPr>
          <w:p w14:paraId="77C0DF7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78,2</w:t>
            </w:r>
          </w:p>
        </w:tc>
        <w:tc>
          <w:tcPr>
            <w:tcW w:w="871" w:type="dxa"/>
            <w:tcBorders>
              <w:top w:val="nil"/>
              <w:left w:val="nil"/>
              <w:bottom w:val="single" w:sz="4" w:space="0" w:color="auto"/>
              <w:right w:val="single" w:sz="4" w:space="0" w:color="auto"/>
            </w:tcBorders>
            <w:shd w:val="clear" w:color="auto" w:fill="auto"/>
            <w:vAlign w:val="center"/>
            <w:hideMark/>
          </w:tcPr>
          <w:p w14:paraId="3D4B08B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97,8</w:t>
            </w:r>
          </w:p>
        </w:tc>
      </w:tr>
      <w:tr w:rsidR="00457E80" w:rsidRPr="00036538" w14:paraId="4FE34901"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2683502"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72</w:t>
            </w:r>
          </w:p>
        </w:tc>
        <w:tc>
          <w:tcPr>
            <w:tcW w:w="908" w:type="dxa"/>
            <w:tcBorders>
              <w:top w:val="nil"/>
              <w:left w:val="nil"/>
              <w:bottom w:val="single" w:sz="4" w:space="0" w:color="auto"/>
              <w:right w:val="single" w:sz="4" w:space="0" w:color="auto"/>
            </w:tcBorders>
            <w:shd w:val="clear" w:color="auto" w:fill="auto"/>
            <w:vAlign w:val="bottom"/>
            <w:hideMark/>
          </w:tcPr>
          <w:p w14:paraId="22C6753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Нур-Султан</w:t>
            </w:r>
          </w:p>
        </w:tc>
        <w:tc>
          <w:tcPr>
            <w:tcW w:w="1028" w:type="dxa"/>
            <w:tcBorders>
              <w:top w:val="nil"/>
              <w:left w:val="nil"/>
              <w:bottom w:val="single" w:sz="4" w:space="0" w:color="auto"/>
              <w:right w:val="single" w:sz="4" w:space="0" w:color="auto"/>
            </w:tcBorders>
            <w:shd w:val="clear" w:color="auto" w:fill="auto"/>
            <w:vAlign w:val="bottom"/>
            <w:hideMark/>
          </w:tcPr>
          <w:p w14:paraId="328B36D0"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Казахстан</w:t>
            </w:r>
          </w:p>
        </w:tc>
        <w:tc>
          <w:tcPr>
            <w:tcW w:w="612" w:type="dxa"/>
            <w:tcBorders>
              <w:top w:val="nil"/>
              <w:left w:val="nil"/>
              <w:bottom w:val="single" w:sz="4" w:space="0" w:color="auto"/>
              <w:right w:val="single" w:sz="4" w:space="0" w:color="auto"/>
            </w:tcBorders>
            <w:shd w:val="clear" w:color="000000" w:fill="92D050"/>
            <w:vAlign w:val="center"/>
            <w:hideMark/>
          </w:tcPr>
          <w:p w14:paraId="21C2AB1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643</w:t>
            </w:r>
          </w:p>
        </w:tc>
        <w:tc>
          <w:tcPr>
            <w:tcW w:w="1145" w:type="dxa"/>
            <w:tcBorders>
              <w:top w:val="nil"/>
              <w:left w:val="nil"/>
              <w:bottom w:val="single" w:sz="4" w:space="0" w:color="auto"/>
              <w:right w:val="single" w:sz="4" w:space="0" w:color="auto"/>
            </w:tcBorders>
            <w:shd w:val="clear" w:color="auto" w:fill="auto"/>
            <w:vAlign w:val="center"/>
            <w:hideMark/>
          </w:tcPr>
          <w:p w14:paraId="442B8AC5"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Kazakhstan</w:t>
            </w:r>
          </w:p>
        </w:tc>
        <w:tc>
          <w:tcPr>
            <w:tcW w:w="612" w:type="dxa"/>
            <w:tcBorders>
              <w:top w:val="nil"/>
              <w:left w:val="nil"/>
              <w:bottom w:val="single" w:sz="4" w:space="0" w:color="auto"/>
              <w:right w:val="single" w:sz="4" w:space="0" w:color="auto"/>
            </w:tcBorders>
            <w:shd w:val="clear" w:color="auto" w:fill="auto"/>
            <w:vAlign w:val="center"/>
            <w:hideMark/>
          </w:tcPr>
          <w:p w14:paraId="55777E7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79,6</w:t>
            </w:r>
          </w:p>
        </w:tc>
        <w:tc>
          <w:tcPr>
            <w:tcW w:w="818" w:type="dxa"/>
            <w:tcBorders>
              <w:top w:val="nil"/>
              <w:left w:val="nil"/>
              <w:bottom w:val="single" w:sz="4" w:space="0" w:color="auto"/>
              <w:right w:val="single" w:sz="4" w:space="0" w:color="auto"/>
            </w:tcBorders>
            <w:shd w:val="clear" w:color="auto" w:fill="auto"/>
            <w:vAlign w:val="center"/>
            <w:hideMark/>
          </w:tcPr>
          <w:p w14:paraId="643C297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94,4</w:t>
            </w:r>
          </w:p>
        </w:tc>
        <w:tc>
          <w:tcPr>
            <w:tcW w:w="931" w:type="dxa"/>
            <w:tcBorders>
              <w:top w:val="nil"/>
              <w:left w:val="nil"/>
              <w:bottom w:val="single" w:sz="4" w:space="0" w:color="auto"/>
              <w:right w:val="single" w:sz="4" w:space="0" w:color="auto"/>
            </w:tcBorders>
            <w:shd w:val="clear" w:color="auto" w:fill="auto"/>
            <w:vAlign w:val="center"/>
            <w:hideMark/>
          </w:tcPr>
          <w:p w14:paraId="7310CDC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82,4</w:t>
            </w:r>
          </w:p>
        </w:tc>
        <w:tc>
          <w:tcPr>
            <w:tcW w:w="732" w:type="dxa"/>
            <w:tcBorders>
              <w:top w:val="nil"/>
              <w:left w:val="nil"/>
              <w:bottom w:val="single" w:sz="4" w:space="0" w:color="auto"/>
              <w:right w:val="single" w:sz="4" w:space="0" w:color="auto"/>
            </w:tcBorders>
            <w:shd w:val="clear" w:color="auto" w:fill="auto"/>
            <w:vAlign w:val="center"/>
            <w:hideMark/>
          </w:tcPr>
          <w:p w14:paraId="66B3CAB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80,0</w:t>
            </w:r>
          </w:p>
        </w:tc>
        <w:tc>
          <w:tcPr>
            <w:tcW w:w="1016" w:type="dxa"/>
            <w:tcBorders>
              <w:top w:val="nil"/>
              <w:left w:val="nil"/>
              <w:bottom w:val="single" w:sz="4" w:space="0" w:color="auto"/>
              <w:right w:val="single" w:sz="4" w:space="0" w:color="auto"/>
            </w:tcBorders>
            <w:shd w:val="clear" w:color="auto" w:fill="auto"/>
            <w:vAlign w:val="center"/>
            <w:hideMark/>
          </w:tcPr>
          <w:p w14:paraId="1A74FD4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1525D0C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78,2</w:t>
            </w:r>
          </w:p>
        </w:tc>
        <w:tc>
          <w:tcPr>
            <w:tcW w:w="1437" w:type="dxa"/>
            <w:tcBorders>
              <w:top w:val="nil"/>
              <w:left w:val="nil"/>
              <w:bottom w:val="single" w:sz="4" w:space="0" w:color="auto"/>
              <w:right w:val="single" w:sz="4" w:space="0" w:color="auto"/>
            </w:tcBorders>
            <w:shd w:val="clear" w:color="auto" w:fill="auto"/>
            <w:vAlign w:val="center"/>
            <w:hideMark/>
          </w:tcPr>
          <w:p w14:paraId="66C84F4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70,4</w:t>
            </w:r>
          </w:p>
        </w:tc>
        <w:tc>
          <w:tcPr>
            <w:tcW w:w="1262" w:type="dxa"/>
            <w:tcBorders>
              <w:top w:val="nil"/>
              <w:left w:val="nil"/>
              <w:bottom w:val="single" w:sz="4" w:space="0" w:color="auto"/>
              <w:right w:val="single" w:sz="4" w:space="0" w:color="auto"/>
            </w:tcBorders>
            <w:shd w:val="clear" w:color="auto" w:fill="auto"/>
            <w:vAlign w:val="center"/>
            <w:hideMark/>
          </w:tcPr>
          <w:p w14:paraId="2D95DB2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81,3</w:t>
            </w:r>
          </w:p>
        </w:tc>
        <w:tc>
          <w:tcPr>
            <w:tcW w:w="1085" w:type="dxa"/>
            <w:tcBorders>
              <w:top w:val="nil"/>
              <w:left w:val="nil"/>
              <w:bottom w:val="single" w:sz="4" w:space="0" w:color="auto"/>
              <w:right w:val="single" w:sz="4" w:space="0" w:color="auto"/>
            </w:tcBorders>
            <w:shd w:val="clear" w:color="auto" w:fill="auto"/>
            <w:vAlign w:val="center"/>
            <w:hideMark/>
          </w:tcPr>
          <w:p w14:paraId="6904BC1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66,7</w:t>
            </w:r>
          </w:p>
        </w:tc>
        <w:tc>
          <w:tcPr>
            <w:tcW w:w="916" w:type="dxa"/>
            <w:tcBorders>
              <w:top w:val="nil"/>
              <w:left w:val="nil"/>
              <w:bottom w:val="single" w:sz="4" w:space="0" w:color="auto"/>
              <w:right w:val="single" w:sz="4" w:space="0" w:color="auto"/>
            </w:tcBorders>
            <w:shd w:val="clear" w:color="auto" w:fill="auto"/>
            <w:vAlign w:val="center"/>
            <w:hideMark/>
          </w:tcPr>
          <w:p w14:paraId="75B060D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76,5</w:t>
            </w:r>
          </w:p>
        </w:tc>
        <w:tc>
          <w:tcPr>
            <w:tcW w:w="871" w:type="dxa"/>
            <w:tcBorders>
              <w:top w:val="nil"/>
              <w:left w:val="nil"/>
              <w:bottom w:val="single" w:sz="4" w:space="0" w:color="auto"/>
              <w:right w:val="single" w:sz="4" w:space="0" w:color="auto"/>
            </w:tcBorders>
            <w:shd w:val="clear" w:color="auto" w:fill="auto"/>
            <w:vAlign w:val="center"/>
            <w:hideMark/>
          </w:tcPr>
          <w:p w14:paraId="0A7F476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81,6</w:t>
            </w:r>
          </w:p>
        </w:tc>
      </w:tr>
      <w:tr w:rsidR="00457E80" w:rsidRPr="00036538" w14:paraId="77A12575"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D749E9A"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73</w:t>
            </w:r>
          </w:p>
        </w:tc>
        <w:tc>
          <w:tcPr>
            <w:tcW w:w="908" w:type="dxa"/>
            <w:tcBorders>
              <w:top w:val="nil"/>
              <w:left w:val="nil"/>
              <w:bottom w:val="single" w:sz="4" w:space="0" w:color="auto"/>
              <w:right w:val="single" w:sz="4" w:space="0" w:color="auto"/>
            </w:tcBorders>
            <w:shd w:val="clear" w:color="auto" w:fill="auto"/>
            <w:vAlign w:val="bottom"/>
            <w:hideMark/>
          </w:tcPr>
          <w:p w14:paraId="5DF561B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Гернси</w:t>
            </w:r>
          </w:p>
        </w:tc>
        <w:tc>
          <w:tcPr>
            <w:tcW w:w="1028" w:type="dxa"/>
            <w:tcBorders>
              <w:top w:val="nil"/>
              <w:left w:val="nil"/>
              <w:bottom w:val="single" w:sz="4" w:space="0" w:color="auto"/>
              <w:right w:val="single" w:sz="4" w:space="0" w:color="auto"/>
            </w:tcBorders>
            <w:shd w:val="clear" w:color="auto" w:fill="auto"/>
            <w:vAlign w:val="bottom"/>
            <w:hideMark/>
          </w:tcPr>
          <w:p w14:paraId="29B2BFA3"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Великобритания</w:t>
            </w:r>
          </w:p>
        </w:tc>
        <w:tc>
          <w:tcPr>
            <w:tcW w:w="612" w:type="dxa"/>
            <w:tcBorders>
              <w:top w:val="nil"/>
              <w:left w:val="nil"/>
              <w:bottom w:val="single" w:sz="4" w:space="0" w:color="auto"/>
              <w:right w:val="single" w:sz="4" w:space="0" w:color="auto"/>
            </w:tcBorders>
            <w:shd w:val="clear" w:color="000000" w:fill="92D050"/>
            <w:vAlign w:val="center"/>
            <w:hideMark/>
          </w:tcPr>
          <w:p w14:paraId="496EAA5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642</w:t>
            </w:r>
          </w:p>
        </w:tc>
        <w:tc>
          <w:tcPr>
            <w:tcW w:w="1145" w:type="dxa"/>
            <w:tcBorders>
              <w:top w:val="nil"/>
              <w:left w:val="nil"/>
              <w:bottom w:val="single" w:sz="4" w:space="0" w:color="auto"/>
              <w:right w:val="single" w:sz="4" w:space="0" w:color="auto"/>
            </w:tcBorders>
            <w:shd w:val="clear" w:color="auto" w:fill="auto"/>
            <w:vAlign w:val="center"/>
            <w:hideMark/>
          </w:tcPr>
          <w:p w14:paraId="358A2C3E"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Kingdom</w:t>
            </w:r>
          </w:p>
        </w:tc>
        <w:tc>
          <w:tcPr>
            <w:tcW w:w="612" w:type="dxa"/>
            <w:tcBorders>
              <w:top w:val="nil"/>
              <w:left w:val="nil"/>
              <w:bottom w:val="single" w:sz="4" w:space="0" w:color="auto"/>
              <w:right w:val="single" w:sz="4" w:space="0" w:color="auto"/>
            </w:tcBorders>
            <w:shd w:val="clear" w:color="auto" w:fill="auto"/>
            <w:vAlign w:val="center"/>
            <w:hideMark/>
          </w:tcPr>
          <w:p w14:paraId="10D00F6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83,5</w:t>
            </w:r>
          </w:p>
        </w:tc>
        <w:tc>
          <w:tcPr>
            <w:tcW w:w="818" w:type="dxa"/>
            <w:tcBorders>
              <w:top w:val="nil"/>
              <w:left w:val="nil"/>
              <w:bottom w:val="single" w:sz="4" w:space="0" w:color="auto"/>
              <w:right w:val="single" w:sz="4" w:space="0" w:color="auto"/>
            </w:tcBorders>
            <w:shd w:val="clear" w:color="auto" w:fill="auto"/>
            <w:vAlign w:val="center"/>
            <w:hideMark/>
          </w:tcPr>
          <w:p w14:paraId="18ECBEB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94,6</w:t>
            </w:r>
          </w:p>
        </w:tc>
        <w:tc>
          <w:tcPr>
            <w:tcW w:w="931" w:type="dxa"/>
            <w:tcBorders>
              <w:top w:val="nil"/>
              <w:left w:val="nil"/>
              <w:bottom w:val="single" w:sz="4" w:space="0" w:color="auto"/>
              <w:right w:val="single" w:sz="4" w:space="0" w:color="auto"/>
            </w:tcBorders>
            <w:shd w:val="clear" w:color="auto" w:fill="auto"/>
            <w:vAlign w:val="center"/>
            <w:hideMark/>
          </w:tcPr>
          <w:p w14:paraId="4D5C239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62CEB79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2F66043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77BD263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86,2</w:t>
            </w:r>
          </w:p>
        </w:tc>
        <w:tc>
          <w:tcPr>
            <w:tcW w:w="1437" w:type="dxa"/>
            <w:tcBorders>
              <w:top w:val="nil"/>
              <w:left w:val="nil"/>
              <w:bottom w:val="single" w:sz="4" w:space="0" w:color="auto"/>
              <w:right w:val="single" w:sz="4" w:space="0" w:color="auto"/>
            </w:tcBorders>
            <w:shd w:val="clear" w:color="auto" w:fill="auto"/>
            <w:vAlign w:val="center"/>
            <w:hideMark/>
          </w:tcPr>
          <w:p w14:paraId="2E711E6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93,8</w:t>
            </w:r>
          </w:p>
        </w:tc>
        <w:tc>
          <w:tcPr>
            <w:tcW w:w="1262" w:type="dxa"/>
            <w:tcBorders>
              <w:top w:val="nil"/>
              <w:left w:val="nil"/>
              <w:bottom w:val="single" w:sz="4" w:space="0" w:color="auto"/>
              <w:right w:val="single" w:sz="4" w:space="0" w:color="auto"/>
            </w:tcBorders>
            <w:shd w:val="clear" w:color="auto" w:fill="auto"/>
            <w:vAlign w:val="center"/>
            <w:hideMark/>
          </w:tcPr>
          <w:p w14:paraId="44A8DF7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68,7</w:t>
            </w:r>
          </w:p>
        </w:tc>
        <w:tc>
          <w:tcPr>
            <w:tcW w:w="1085" w:type="dxa"/>
            <w:tcBorders>
              <w:top w:val="nil"/>
              <w:left w:val="nil"/>
              <w:bottom w:val="single" w:sz="4" w:space="0" w:color="auto"/>
              <w:right w:val="single" w:sz="4" w:space="0" w:color="auto"/>
            </w:tcBorders>
            <w:shd w:val="clear" w:color="auto" w:fill="auto"/>
            <w:vAlign w:val="center"/>
            <w:hideMark/>
          </w:tcPr>
          <w:p w14:paraId="1D92987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916" w:type="dxa"/>
            <w:tcBorders>
              <w:top w:val="nil"/>
              <w:left w:val="nil"/>
              <w:bottom w:val="single" w:sz="4" w:space="0" w:color="auto"/>
              <w:right w:val="single" w:sz="4" w:space="0" w:color="auto"/>
            </w:tcBorders>
            <w:shd w:val="clear" w:color="auto" w:fill="auto"/>
            <w:vAlign w:val="center"/>
            <w:hideMark/>
          </w:tcPr>
          <w:p w14:paraId="1BF0408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871" w:type="dxa"/>
            <w:tcBorders>
              <w:top w:val="nil"/>
              <w:left w:val="nil"/>
              <w:bottom w:val="single" w:sz="4" w:space="0" w:color="auto"/>
              <w:right w:val="single" w:sz="4" w:space="0" w:color="auto"/>
            </w:tcBorders>
            <w:shd w:val="clear" w:color="auto" w:fill="auto"/>
            <w:vAlign w:val="center"/>
            <w:hideMark/>
          </w:tcPr>
          <w:p w14:paraId="6AE894C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96,9</w:t>
            </w:r>
          </w:p>
        </w:tc>
      </w:tr>
      <w:tr w:rsidR="00457E80" w:rsidRPr="00036538" w14:paraId="616C6EA9"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C26E120"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74</w:t>
            </w:r>
          </w:p>
        </w:tc>
        <w:tc>
          <w:tcPr>
            <w:tcW w:w="908" w:type="dxa"/>
            <w:tcBorders>
              <w:top w:val="nil"/>
              <w:left w:val="nil"/>
              <w:bottom w:val="single" w:sz="4" w:space="0" w:color="auto"/>
              <w:right w:val="single" w:sz="4" w:space="0" w:color="auto"/>
            </w:tcBorders>
            <w:shd w:val="clear" w:color="auto" w:fill="auto"/>
            <w:vAlign w:val="bottom"/>
            <w:hideMark/>
          </w:tcPr>
          <w:p w14:paraId="7A9790E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Чэнду</w:t>
            </w:r>
          </w:p>
        </w:tc>
        <w:tc>
          <w:tcPr>
            <w:tcW w:w="1028" w:type="dxa"/>
            <w:tcBorders>
              <w:top w:val="nil"/>
              <w:left w:val="nil"/>
              <w:bottom w:val="single" w:sz="4" w:space="0" w:color="auto"/>
              <w:right w:val="single" w:sz="4" w:space="0" w:color="auto"/>
            </w:tcBorders>
            <w:shd w:val="clear" w:color="auto" w:fill="auto"/>
            <w:vAlign w:val="bottom"/>
            <w:hideMark/>
          </w:tcPr>
          <w:p w14:paraId="239F70C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Китай</w:t>
            </w:r>
          </w:p>
        </w:tc>
        <w:tc>
          <w:tcPr>
            <w:tcW w:w="612" w:type="dxa"/>
            <w:tcBorders>
              <w:top w:val="nil"/>
              <w:left w:val="nil"/>
              <w:bottom w:val="single" w:sz="4" w:space="0" w:color="auto"/>
              <w:right w:val="single" w:sz="4" w:space="0" w:color="auto"/>
            </w:tcBorders>
            <w:shd w:val="clear" w:color="000000" w:fill="92D050"/>
            <w:vAlign w:val="center"/>
            <w:hideMark/>
          </w:tcPr>
          <w:p w14:paraId="36B70B7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641</w:t>
            </w:r>
          </w:p>
        </w:tc>
        <w:tc>
          <w:tcPr>
            <w:tcW w:w="1145" w:type="dxa"/>
            <w:tcBorders>
              <w:top w:val="nil"/>
              <w:left w:val="nil"/>
              <w:bottom w:val="single" w:sz="4" w:space="0" w:color="auto"/>
              <w:right w:val="single" w:sz="4" w:space="0" w:color="auto"/>
            </w:tcBorders>
            <w:shd w:val="clear" w:color="auto" w:fill="auto"/>
            <w:vAlign w:val="center"/>
            <w:hideMark/>
          </w:tcPr>
          <w:p w14:paraId="273FA767"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China</w:t>
            </w:r>
          </w:p>
        </w:tc>
        <w:tc>
          <w:tcPr>
            <w:tcW w:w="612" w:type="dxa"/>
            <w:tcBorders>
              <w:top w:val="nil"/>
              <w:left w:val="nil"/>
              <w:bottom w:val="single" w:sz="4" w:space="0" w:color="auto"/>
              <w:right w:val="single" w:sz="4" w:space="0" w:color="auto"/>
            </w:tcBorders>
            <w:shd w:val="clear" w:color="auto" w:fill="auto"/>
            <w:vAlign w:val="center"/>
            <w:hideMark/>
          </w:tcPr>
          <w:p w14:paraId="5005E5B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77,3</w:t>
            </w:r>
          </w:p>
        </w:tc>
        <w:tc>
          <w:tcPr>
            <w:tcW w:w="818" w:type="dxa"/>
            <w:tcBorders>
              <w:top w:val="nil"/>
              <w:left w:val="nil"/>
              <w:bottom w:val="single" w:sz="4" w:space="0" w:color="auto"/>
              <w:right w:val="single" w:sz="4" w:space="0" w:color="auto"/>
            </w:tcBorders>
            <w:shd w:val="clear" w:color="auto" w:fill="auto"/>
            <w:vAlign w:val="center"/>
            <w:hideMark/>
          </w:tcPr>
          <w:p w14:paraId="0D4AB2B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92,6</w:t>
            </w:r>
          </w:p>
        </w:tc>
        <w:tc>
          <w:tcPr>
            <w:tcW w:w="931" w:type="dxa"/>
            <w:tcBorders>
              <w:top w:val="nil"/>
              <w:left w:val="nil"/>
              <w:bottom w:val="single" w:sz="4" w:space="0" w:color="auto"/>
              <w:right w:val="single" w:sz="4" w:space="0" w:color="auto"/>
            </w:tcBorders>
            <w:shd w:val="clear" w:color="auto" w:fill="auto"/>
            <w:vAlign w:val="center"/>
            <w:hideMark/>
          </w:tcPr>
          <w:p w14:paraId="05B7CFE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81,0</w:t>
            </w:r>
          </w:p>
        </w:tc>
        <w:tc>
          <w:tcPr>
            <w:tcW w:w="732" w:type="dxa"/>
            <w:tcBorders>
              <w:top w:val="nil"/>
              <w:left w:val="nil"/>
              <w:bottom w:val="single" w:sz="4" w:space="0" w:color="auto"/>
              <w:right w:val="single" w:sz="4" w:space="0" w:color="auto"/>
            </w:tcBorders>
            <w:shd w:val="clear" w:color="auto" w:fill="auto"/>
            <w:vAlign w:val="center"/>
            <w:hideMark/>
          </w:tcPr>
          <w:p w14:paraId="77AFC98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2DD410F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3B9CDA5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70,1</w:t>
            </w:r>
          </w:p>
        </w:tc>
        <w:tc>
          <w:tcPr>
            <w:tcW w:w="1437" w:type="dxa"/>
            <w:tcBorders>
              <w:top w:val="nil"/>
              <w:left w:val="nil"/>
              <w:bottom w:val="single" w:sz="4" w:space="0" w:color="auto"/>
              <w:right w:val="single" w:sz="4" w:space="0" w:color="auto"/>
            </w:tcBorders>
            <w:shd w:val="clear" w:color="auto" w:fill="auto"/>
            <w:vAlign w:val="center"/>
            <w:hideMark/>
          </w:tcPr>
          <w:p w14:paraId="0B70C49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86,5</w:t>
            </w:r>
          </w:p>
        </w:tc>
        <w:tc>
          <w:tcPr>
            <w:tcW w:w="1262" w:type="dxa"/>
            <w:tcBorders>
              <w:top w:val="nil"/>
              <w:left w:val="nil"/>
              <w:bottom w:val="single" w:sz="4" w:space="0" w:color="auto"/>
              <w:right w:val="single" w:sz="4" w:space="0" w:color="auto"/>
            </w:tcBorders>
            <w:shd w:val="clear" w:color="auto" w:fill="auto"/>
            <w:vAlign w:val="center"/>
            <w:hideMark/>
          </w:tcPr>
          <w:p w14:paraId="0032F3A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80,9</w:t>
            </w:r>
          </w:p>
        </w:tc>
        <w:tc>
          <w:tcPr>
            <w:tcW w:w="1085" w:type="dxa"/>
            <w:tcBorders>
              <w:top w:val="nil"/>
              <w:left w:val="nil"/>
              <w:bottom w:val="single" w:sz="4" w:space="0" w:color="auto"/>
              <w:right w:val="single" w:sz="4" w:space="0" w:color="auto"/>
            </w:tcBorders>
            <w:shd w:val="clear" w:color="auto" w:fill="auto"/>
            <w:vAlign w:val="center"/>
            <w:hideMark/>
          </w:tcPr>
          <w:p w14:paraId="3DB93D5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62,1</w:t>
            </w:r>
          </w:p>
        </w:tc>
        <w:tc>
          <w:tcPr>
            <w:tcW w:w="916" w:type="dxa"/>
            <w:tcBorders>
              <w:top w:val="nil"/>
              <w:left w:val="nil"/>
              <w:bottom w:val="single" w:sz="4" w:space="0" w:color="auto"/>
              <w:right w:val="single" w:sz="4" w:space="0" w:color="auto"/>
            </w:tcBorders>
            <w:shd w:val="clear" w:color="auto" w:fill="auto"/>
            <w:vAlign w:val="center"/>
            <w:hideMark/>
          </w:tcPr>
          <w:p w14:paraId="0673AC0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77,3</w:t>
            </w:r>
          </w:p>
        </w:tc>
        <w:tc>
          <w:tcPr>
            <w:tcW w:w="871" w:type="dxa"/>
            <w:tcBorders>
              <w:top w:val="nil"/>
              <w:left w:val="nil"/>
              <w:bottom w:val="single" w:sz="4" w:space="0" w:color="auto"/>
              <w:right w:val="single" w:sz="4" w:space="0" w:color="auto"/>
            </w:tcBorders>
            <w:shd w:val="clear" w:color="auto" w:fill="auto"/>
            <w:vAlign w:val="center"/>
            <w:hideMark/>
          </w:tcPr>
          <w:p w14:paraId="1E9BFE0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95,4</w:t>
            </w:r>
          </w:p>
        </w:tc>
      </w:tr>
      <w:tr w:rsidR="00457E80" w:rsidRPr="00036538" w14:paraId="21AE6222"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7DE44BB"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75</w:t>
            </w:r>
          </w:p>
        </w:tc>
        <w:tc>
          <w:tcPr>
            <w:tcW w:w="908" w:type="dxa"/>
            <w:tcBorders>
              <w:top w:val="nil"/>
              <w:left w:val="nil"/>
              <w:bottom w:val="single" w:sz="4" w:space="0" w:color="auto"/>
              <w:right w:val="single" w:sz="4" w:space="0" w:color="auto"/>
            </w:tcBorders>
            <w:shd w:val="clear" w:color="auto" w:fill="auto"/>
            <w:vAlign w:val="bottom"/>
            <w:hideMark/>
          </w:tcPr>
          <w:p w14:paraId="44FF6CA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Тайбэй</w:t>
            </w:r>
          </w:p>
        </w:tc>
        <w:tc>
          <w:tcPr>
            <w:tcW w:w="1028" w:type="dxa"/>
            <w:tcBorders>
              <w:top w:val="nil"/>
              <w:left w:val="nil"/>
              <w:bottom w:val="single" w:sz="4" w:space="0" w:color="auto"/>
              <w:right w:val="single" w:sz="4" w:space="0" w:color="auto"/>
            </w:tcBorders>
            <w:shd w:val="clear" w:color="auto" w:fill="auto"/>
            <w:vAlign w:val="bottom"/>
            <w:hideMark/>
          </w:tcPr>
          <w:p w14:paraId="15F8681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Тайвань</w:t>
            </w:r>
          </w:p>
        </w:tc>
        <w:tc>
          <w:tcPr>
            <w:tcW w:w="612" w:type="dxa"/>
            <w:tcBorders>
              <w:top w:val="nil"/>
              <w:left w:val="nil"/>
              <w:bottom w:val="single" w:sz="4" w:space="0" w:color="auto"/>
              <w:right w:val="single" w:sz="4" w:space="0" w:color="auto"/>
            </w:tcBorders>
            <w:shd w:val="clear" w:color="000000" w:fill="92D050"/>
            <w:vAlign w:val="center"/>
            <w:hideMark/>
          </w:tcPr>
          <w:p w14:paraId="75BED66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640</w:t>
            </w:r>
          </w:p>
        </w:tc>
        <w:tc>
          <w:tcPr>
            <w:tcW w:w="1145" w:type="dxa"/>
            <w:tcBorders>
              <w:top w:val="nil"/>
              <w:left w:val="nil"/>
              <w:bottom w:val="single" w:sz="4" w:space="0" w:color="auto"/>
              <w:right w:val="single" w:sz="4" w:space="0" w:color="auto"/>
            </w:tcBorders>
            <w:shd w:val="clear" w:color="auto" w:fill="auto"/>
            <w:vAlign w:val="center"/>
            <w:hideMark/>
          </w:tcPr>
          <w:p w14:paraId="353444A0"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Taiwan, China</w:t>
            </w:r>
          </w:p>
        </w:tc>
        <w:tc>
          <w:tcPr>
            <w:tcW w:w="612" w:type="dxa"/>
            <w:tcBorders>
              <w:top w:val="nil"/>
              <w:left w:val="nil"/>
              <w:bottom w:val="single" w:sz="4" w:space="0" w:color="auto"/>
              <w:right w:val="single" w:sz="4" w:space="0" w:color="auto"/>
            </w:tcBorders>
            <w:shd w:val="clear" w:color="auto" w:fill="auto"/>
            <w:vAlign w:val="center"/>
            <w:hideMark/>
          </w:tcPr>
          <w:p w14:paraId="313976E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80,9</w:t>
            </w:r>
          </w:p>
        </w:tc>
        <w:tc>
          <w:tcPr>
            <w:tcW w:w="818" w:type="dxa"/>
            <w:tcBorders>
              <w:top w:val="nil"/>
              <w:left w:val="nil"/>
              <w:bottom w:val="single" w:sz="4" w:space="0" w:color="auto"/>
              <w:right w:val="single" w:sz="4" w:space="0" w:color="auto"/>
            </w:tcBorders>
            <w:shd w:val="clear" w:color="auto" w:fill="auto"/>
            <w:vAlign w:val="center"/>
            <w:hideMark/>
          </w:tcPr>
          <w:p w14:paraId="04927DE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94,4</w:t>
            </w:r>
          </w:p>
        </w:tc>
        <w:tc>
          <w:tcPr>
            <w:tcW w:w="931" w:type="dxa"/>
            <w:tcBorders>
              <w:top w:val="nil"/>
              <w:left w:val="nil"/>
              <w:bottom w:val="single" w:sz="4" w:space="0" w:color="auto"/>
              <w:right w:val="single" w:sz="4" w:space="0" w:color="auto"/>
            </w:tcBorders>
            <w:shd w:val="clear" w:color="auto" w:fill="auto"/>
            <w:vAlign w:val="center"/>
            <w:hideMark/>
          </w:tcPr>
          <w:p w14:paraId="02F459B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83,9</w:t>
            </w:r>
          </w:p>
        </w:tc>
        <w:tc>
          <w:tcPr>
            <w:tcW w:w="732" w:type="dxa"/>
            <w:tcBorders>
              <w:top w:val="nil"/>
              <w:left w:val="nil"/>
              <w:bottom w:val="single" w:sz="4" w:space="0" w:color="auto"/>
              <w:right w:val="single" w:sz="4" w:space="0" w:color="auto"/>
            </w:tcBorders>
            <w:shd w:val="clear" w:color="auto" w:fill="auto"/>
            <w:vAlign w:val="center"/>
            <w:hideMark/>
          </w:tcPr>
          <w:p w14:paraId="73236D3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50,0</w:t>
            </w:r>
          </w:p>
        </w:tc>
        <w:tc>
          <w:tcPr>
            <w:tcW w:w="1016" w:type="dxa"/>
            <w:tcBorders>
              <w:top w:val="nil"/>
              <w:left w:val="nil"/>
              <w:bottom w:val="single" w:sz="4" w:space="0" w:color="auto"/>
              <w:right w:val="single" w:sz="4" w:space="0" w:color="auto"/>
            </w:tcBorders>
            <w:shd w:val="clear" w:color="auto" w:fill="auto"/>
            <w:vAlign w:val="center"/>
            <w:hideMark/>
          </w:tcPr>
          <w:p w14:paraId="3120E03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76,0</w:t>
            </w:r>
          </w:p>
        </w:tc>
        <w:tc>
          <w:tcPr>
            <w:tcW w:w="997" w:type="dxa"/>
            <w:tcBorders>
              <w:top w:val="nil"/>
              <w:left w:val="nil"/>
              <w:bottom w:val="single" w:sz="4" w:space="0" w:color="auto"/>
              <w:right w:val="single" w:sz="4" w:space="0" w:color="auto"/>
            </w:tcBorders>
            <w:shd w:val="clear" w:color="auto" w:fill="auto"/>
            <w:vAlign w:val="center"/>
            <w:hideMark/>
          </w:tcPr>
          <w:p w14:paraId="5546B90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84,3</w:t>
            </w:r>
          </w:p>
        </w:tc>
        <w:tc>
          <w:tcPr>
            <w:tcW w:w="1437" w:type="dxa"/>
            <w:tcBorders>
              <w:top w:val="nil"/>
              <w:left w:val="nil"/>
              <w:bottom w:val="single" w:sz="4" w:space="0" w:color="auto"/>
              <w:right w:val="single" w:sz="4" w:space="0" w:color="auto"/>
            </w:tcBorders>
            <w:shd w:val="clear" w:color="auto" w:fill="auto"/>
            <w:vAlign w:val="center"/>
            <w:hideMark/>
          </w:tcPr>
          <w:p w14:paraId="1534547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84,9</w:t>
            </w:r>
          </w:p>
        </w:tc>
        <w:tc>
          <w:tcPr>
            <w:tcW w:w="1262" w:type="dxa"/>
            <w:tcBorders>
              <w:top w:val="nil"/>
              <w:left w:val="nil"/>
              <w:bottom w:val="single" w:sz="4" w:space="0" w:color="auto"/>
              <w:right w:val="single" w:sz="4" w:space="0" w:color="auto"/>
            </w:tcBorders>
            <w:shd w:val="clear" w:color="auto" w:fill="auto"/>
            <w:vAlign w:val="center"/>
            <w:hideMark/>
          </w:tcPr>
          <w:p w14:paraId="139887A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75,1</w:t>
            </w:r>
          </w:p>
        </w:tc>
        <w:tc>
          <w:tcPr>
            <w:tcW w:w="1085" w:type="dxa"/>
            <w:tcBorders>
              <w:top w:val="nil"/>
              <w:left w:val="nil"/>
              <w:bottom w:val="single" w:sz="4" w:space="0" w:color="auto"/>
              <w:right w:val="single" w:sz="4" w:space="0" w:color="auto"/>
            </w:tcBorders>
            <w:shd w:val="clear" w:color="auto" w:fill="auto"/>
            <w:vAlign w:val="center"/>
            <w:hideMark/>
          </w:tcPr>
          <w:p w14:paraId="5D98331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77,1</w:t>
            </w:r>
          </w:p>
        </w:tc>
        <w:tc>
          <w:tcPr>
            <w:tcW w:w="916" w:type="dxa"/>
            <w:tcBorders>
              <w:top w:val="nil"/>
              <w:left w:val="nil"/>
              <w:bottom w:val="single" w:sz="4" w:space="0" w:color="auto"/>
              <w:right w:val="single" w:sz="4" w:space="0" w:color="auto"/>
            </w:tcBorders>
            <w:shd w:val="clear" w:color="auto" w:fill="auto"/>
            <w:vAlign w:val="center"/>
            <w:hideMark/>
          </w:tcPr>
          <w:p w14:paraId="32ED8A2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87,1</w:t>
            </w:r>
          </w:p>
        </w:tc>
        <w:tc>
          <w:tcPr>
            <w:tcW w:w="871" w:type="dxa"/>
            <w:tcBorders>
              <w:top w:val="nil"/>
              <w:left w:val="nil"/>
              <w:bottom w:val="single" w:sz="4" w:space="0" w:color="auto"/>
              <w:right w:val="single" w:sz="4" w:space="0" w:color="auto"/>
            </w:tcBorders>
            <w:shd w:val="clear" w:color="auto" w:fill="auto"/>
            <w:vAlign w:val="center"/>
            <w:hideMark/>
          </w:tcPr>
          <w:p w14:paraId="5DDA7B0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96,3</w:t>
            </w:r>
          </w:p>
        </w:tc>
      </w:tr>
      <w:tr w:rsidR="00457E80" w:rsidRPr="00036538" w14:paraId="46739DA0"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9F77ABC"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lastRenderedPageBreak/>
              <w:t>76</w:t>
            </w:r>
          </w:p>
        </w:tc>
        <w:tc>
          <w:tcPr>
            <w:tcW w:w="908" w:type="dxa"/>
            <w:tcBorders>
              <w:top w:val="nil"/>
              <w:left w:val="nil"/>
              <w:bottom w:val="single" w:sz="4" w:space="0" w:color="auto"/>
              <w:right w:val="single" w:sz="4" w:space="0" w:color="auto"/>
            </w:tcBorders>
            <w:shd w:val="clear" w:color="auto" w:fill="auto"/>
            <w:vAlign w:val="bottom"/>
            <w:hideMark/>
          </w:tcPr>
          <w:p w14:paraId="662C439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Лиссабон</w:t>
            </w:r>
          </w:p>
        </w:tc>
        <w:tc>
          <w:tcPr>
            <w:tcW w:w="1028" w:type="dxa"/>
            <w:tcBorders>
              <w:top w:val="nil"/>
              <w:left w:val="nil"/>
              <w:bottom w:val="single" w:sz="4" w:space="0" w:color="auto"/>
              <w:right w:val="single" w:sz="4" w:space="0" w:color="auto"/>
            </w:tcBorders>
            <w:shd w:val="clear" w:color="auto" w:fill="auto"/>
            <w:vAlign w:val="bottom"/>
            <w:hideMark/>
          </w:tcPr>
          <w:p w14:paraId="4B2A6BD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Португалия</w:t>
            </w:r>
          </w:p>
        </w:tc>
        <w:tc>
          <w:tcPr>
            <w:tcW w:w="612" w:type="dxa"/>
            <w:tcBorders>
              <w:top w:val="nil"/>
              <w:left w:val="nil"/>
              <w:bottom w:val="single" w:sz="4" w:space="0" w:color="auto"/>
              <w:right w:val="single" w:sz="4" w:space="0" w:color="auto"/>
            </w:tcBorders>
            <w:shd w:val="clear" w:color="000000" w:fill="92D050"/>
            <w:vAlign w:val="center"/>
            <w:hideMark/>
          </w:tcPr>
          <w:p w14:paraId="3577415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639</w:t>
            </w:r>
          </w:p>
        </w:tc>
        <w:tc>
          <w:tcPr>
            <w:tcW w:w="1145" w:type="dxa"/>
            <w:tcBorders>
              <w:top w:val="nil"/>
              <w:left w:val="nil"/>
              <w:bottom w:val="single" w:sz="4" w:space="0" w:color="auto"/>
              <w:right w:val="single" w:sz="4" w:space="0" w:color="auto"/>
            </w:tcBorders>
            <w:shd w:val="clear" w:color="auto" w:fill="auto"/>
            <w:vAlign w:val="center"/>
            <w:hideMark/>
          </w:tcPr>
          <w:p w14:paraId="3B1174BA"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Portugal</w:t>
            </w:r>
          </w:p>
        </w:tc>
        <w:tc>
          <w:tcPr>
            <w:tcW w:w="612" w:type="dxa"/>
            <w:tcBorders>
              <w:top w:val="nil"/>
              <w:left w:val="nil"/>
              <w:bottom w:val="single" w:sz="4" w:space="0" w:color="auto"/>
              <w:right w:val="single" w:sz="4" w:space="0" w:color="auto"/>
            </w:tcBorders>
            <w:shd w:val="clear" w:color="auto" w:fill="auto"/>
            <w:vAlign w:val="center"/>
            <w:hideMark/>
          </w:tcPr>
          <w:p w14:paraId="27B7D52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76,5</w:t>
            </w:r>
          </w:p>
        </w:tc>
        <w:tc>
          <w:tcPr>
            <w:tcW w:w="818" w:type="dxa"/>
            <w:tcBorders>
              <w:top w:val="nil"/>
              <w:left w:val="nil"/>
              <w:bottom w:val="single" w:sz="4" w:space="0" w:color="auto"/>
              <w:right w:val="single" w:sz="4" w:space="0" w:color="auto"/>
            </w:tcBorders>
            <w:shd w:val="clear" w:color="auto" w:fill="auto"/>
            <w:vAlign w:val="center"/>
            <w:hideMark/>
          </w:tcPr>
          <w:p w14:paraId="5279A50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90,9</w:t>
            </w:r>
          </w:p>
        </w:tc>
        <w:tc>
          <w:tcPr>
            <w:tcW w:w="931" w:type="dxa"/>
            <w:tcBorders>
              <w:top w:val="nil"/>
              <w:left w:val="nil"/>
              <w:bottom w:val="single" w:sz="4" w:space="0" w:color="auto"/>
              <w:right w:val="single" w:sz="4" w:space="0" w:color="auto"/>
            </w:tcBorders>
            <w:shd w:val="clear" w:color="auto" w:fill="auto"/>
            <w:vAlign w:val="center"/>
            <w:hideMark/>
          </w:tcPr>
          <w:p w14:paraId="1FBD695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78,4</w:t>
            </w:r>
          </w:p>
        </w:tc>
        <w:tc>
          <w:tcPr>
            <w:tcW w:w="732" w:type="dxa"/>
            <w:tcBorders>
              <w:top w:val="nil"/>
              <w:left w:val="nil"/>
              <w:bottom w:val="single" w:sz="4" w:space="0" w:color="auto"/>
              <w:right w:val="single" w:sz="4" w:space="0" w:color="auto"/>
            </w:tcBorders>
            <w:shd w:val="clear" w:color="auto" w:fill="auto"/>
            <w:vAlign w:val="center"/>
            <w:hideMark/>
          </w:tcPr>
          <w:p w14:paraId="407F205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45,0</w:t>
            </w:r>
          </w:p>
        </w:tc>
        <w:tc>
          <w:tcPr>
            <w:tcW w:w="1016" w:type="dxa"/>
            <w:tcBorders>
              <w:top w:val="nil"/>
              <w:left w:val="nil"/>
              <w:bottom w:val="single" w:sz="4" w:space="0" w:color="auto"/>
              <w:right w:val="single" w:sz="4" w:space="0" w:color="auto"/>
            </w:tcBorders>
            <w:shd w:val="clear" w:color="auto" w:fill="auto"/>
            <w:vAlign w:val="center"/>
            <w:hideMark/>
          </w:tcPr>
          <w:p w14:paraId="6808C5D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997" w:type="dxa"/>
            <w:tcBorders>
              <w:top w:val="nil"/>
              <w:left w:val="nil"/>
              <w:bottom w:val="single" w:sz="4" w:space="0" w:color="auto"/>
              <w:right w:val="single" w:sz="4" w:space="0" w:color="auto"/>
            </w:tcBorders>
            <w:shd w:val="clear" w:color="auto" w:fill="auto"/>
            <w:vAlign w:val="center"/>
            <w:hideMark/>
          </w:tcPr>
          <w:p w14:paraId="339A4B8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83,7</w:t>
            </w:r>
          </w:p>
        </w:tc>
        <w:tc>
          <w:tcPr>
            <w:tcW w:w="1437" w:type="dxa"/>
            <w:tcBorders>
              <w:top w:val="nil"/>
              <w:left w:val="nil"/>
              <w:bottom w:val="single" w:sz="4" w:space="0" w:color="auto"/>
              <w:right w:val="single" w:sz="4" w:space="0" w:color="auto"/>
            </w:tcBorders>
            <w:shd w:val="clear" w:color="auto" w:fill="auto"/>
            <w:vAlign w:val="center"/>
            <w:hideMark/>
          </w:tcPr>
          <w:p w14:paraId="414F668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1E1C707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67,9</w:t>
            </w:r>
          </w:p>
        </w:tc>
        <w:tc>
          <w:tcPr>
            <w:tcW w:w="1085" w:type="dxa"/>
            <w:tcBorders>
              <w:top w:val="nil"/>
              <w:left w:val="nil"/>
              <w:bottom w:val="single" w:sz="4" w:space="0" w:color="auto"/>
              <w:right w:val="single" w:sz="4" w:space="0" w:color="auto"/>
            </w:tcBorders>
            <w:shd w:val="clear" w:color="auto" w:fill="auto"/>
            <w:vAlign w:val="center"/>
            <w:hideMark/>
          </w:tcPr>
          <w:p w14:paraId="4413DDB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80,2</w:t>
            </w:r>
          </w:p>
        </w:tc>
        <w:tc>
          <w:tcPr>
            <w:tcW w:w="916" w:type="dxa"/>
            <w:tcBorders>
              <w:top w:val="nil"/>
              <w:left w:val="nil"/>
              <w:bottom w:val="single" w:sz="4" w:space="0" w:color="auto"/>
              <w:right w:val="single" w:sz="4" w:space="0" w:color="auto"/>
            </w:tcBorders>
            <w:shd w:val="clear" w:color="auto" w:fill="auto"/>
            <w:vAlign w:val="center"/>
            <w:hideMark/>
          </w:tcPr>
          <w:p w14:paraId="492CECA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73,2</w:t>
            </w:r>
          </w:p>
        </w:tc>
        <w:tc>
          <w:tcPr>
            <w:tcW w:w="871" w:type="dxa"/>
            <w:tcBorders>
              <w:top w:val="nil"/>
              <w:left w:val="nil"/>
              <w:bottom w:val="single" w:sz="4" w:space="0" w:color="auto"/>
              <w:right w:val="single" w:sz="4" w:space="0" w:color="auto"/>
            </w:tcBorders>
            <w:shd w:val="clear" w:color="auto" w:fill="auto"/>
            <w:vAlign w:val="center"/>
            <w:hideMark/>
          </w:tcPr>
          <w:p w14:paraId="5B7F873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83,3</w:t>
            </w:r>
          </w:p>
        </w:tc>
      </w:tr>
      <w:tr w:rsidR="00457E80" w:rsidRPr="00036538" w14:paraId="53946622"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C72EFFF"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77</w:t>
            </w:r>
          </w:p>
        </w:tc>
        <w:tc>
          <w:tcPr>
            <w:tcW w:w="908" w:type="dxa"/>
            <w:tcBorders>
              <w:top w:val="nil"/>
              <w:left w:val="nil"/>
              <w:bottom w:val="single" w:sz="4" w:space="0" w:color="auto"/>
              <w:right w:val="single" w:sz="4" w:space="0" w:color="auto"/>
            </w:tcBorders>
            <w:shd w:val="clear" w:color="auto" w:fill="auto"/>
            <w:vAlign w:val="bottom"/>
            <w:hideMark/>
          </w:tcPr>
          <w:p w14:paraId="406DE08E"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о. Мэн</w:t>
            </w:r>
          </w:p>
        </w:tc>
        <w:tc>
          <w:tcPr>
            <w:tcW w:w="1028" w:type="dxa"/>
            <w:tcBorders>
              <w:top w:val="nil"/>
              <w:left w:val="nil"/>
              <w:bottom w:val="single" w:sz="4" w:space="0" w:color="auto"/>
              <w:right w:val="single" w:sz="4" w:space="0" w:color="auto"/>
            </w:tcBorders>
            <w:shd w:val="clear" w:color="auto" w:fill="auto"/>
            <w:vAlign w:val="bottom"/>
            <w:hideMark/>
          </w:tcPr>
          <w:p w14:paraId="524C760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Великобритания</w:t>
            </w:r>
          </w:p>
        </w:tc>
        <w:tc>
          <w:tcPr>
            <w:tcW w:w="612" w:type="dxa"/>
            <w:tcBorders>
              <w:top w:val="nil"/>
              <w:left w:val="nil"/>
              <w:bottom w:val="single" w:sz="4" w:space="0" w:color="auto"/>
              <w:right w:val="single" w:sz="4" w:space="0" w:color="auto"/>
            </w:tcBorders>
            <w:shd w:val="clear" w:color="000000" w:fill="92D050"/>
            <w:vAlign w:val="center"/>
            <w:hideMark/>
          </w:tcPr>
          <w:p w14:paraId="5A5917E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638</w:t>
            </w:r>
          </w:p>
        </w:tc>
        <w:tc>
          <w:tcPr>
            <w:tcW w:w="1145" w:type="dxa"/>
            <w:tcBorders>
              <w:top w:val="nil"/>
              <w:left w:val="nil"/>
              <w:bottom w:val="single" w:sz="4" w:space="0" w:color="auto"/>
              <w:right w:val="single" w:sz="4" w:space="0" w:color="auto"/>
            </w:tcBorders>
            <w:shd w:val="clear" w:color="auto" w:fill="auto"/>
            <w:vAlign w:val="center"/>
            <w:hideMark/>
          </w:tcPr>
          <w:p w14:paraId="26F7C514"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Kingdom</w:t>
            </w:r>
          </w:p>
        </w:tc>
        <w:tc>
          <w:tcPr>
            <w:tcW w:w="612" w:type="dxa"/>
            <w:tcBorders>
              <w:top w:val="nil"/>
              <w:left w:val="nil"/>
              <w:bottom w:val="single" w:sz="4" w:space="0" w:color="auto"/>
              <w:right w:val="single" w:sz="4" w:space="0" w:color="auto"/>
            </w:tcBorders>
            <w:shd w:val="clear" w:color="auto" w:fill="auto"/>
            <w:vAlign w:val="center"/>
            <w:hideMark/>
          </w:tcPr>
          <w:p w14:paraId="0A504BE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83,5</w:t>
            </w:r>
          </w:p>
        </w:tc>
        <w:tc>
          <w:tcPr>
            <w:tcW w:w="818" w:type="dxa"/>
            <w:tcBorders>
              <w:top w:val="nil"/>
              <w:left w:val="nil"/>
              <w:bottom w:val="single" w:sz="4" w:space="0" w:color="auto"/>
              <w:right w:val="single" w:sz="4" w:space="0" w:color="auto"/>
            </w:tcBorders>
            <w:shd w:val="clear" w:color="auto" w:fill="auto"/>
            <w:vAlign w:val="center"/>
            <w:hideMark/>
          </w:tcPr>
          <w:p w14:paraId="457CF39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94,6</w:t>
            </w:r>
          </w:p>
        </w:tc>
        <w:tc>
          <w:tcPr>
            <w:tcW w:w="931" w:type="dxa"/>
            <w:tcBorders>
              <w:top w:val="nil"/>
              <w:left w:val="nil"/>
              <w:bottom w:val="single" w:sz="4" w:space="0" w:color="auto"/>
              <w:right w:val="single" w:sz="4" w:space="0" w:color="auto"/>
            </w:tcBorders>
            <w:shd w:val="clear" w:color="auto" w:fill="auto"/>
            <w:vAlign w:val="center"/>
            <w:hideMark/>
          </w:tcPr>
          <w:p w14:paraId="659A192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vAlign w:val="center"/>
            <w:hideMark/>
          </w:tcPr>
          <w:p w14:paraId="63C3246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5058C20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7818B0B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86,2</w:t>
            </w:r>
          </w:p>
        </w:tc>
        <w:tc>
          <w:tcPr>
            <w:tcW w:w="1437" w:type="dxa"/>
            <w:tcBorders>
              <w:top w:val="nil"/>
              <w:left w:val="nil"/>
              <w:bottom w:val="single" w:sz="4" w:space="0" w:color="auto"/>
              <w:right w:val="single" w:sz="4" w:space="0" w:color="auto"/>
            </w:tcBorders>
            <w:shd w:val="clear" w:color="auto" w:fill="auto"/>
            <w:vAlign w:val="center"/>
            <w:hideMark/>
          </w:tcPr>
          <w:p w14:paraId="663FD6A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93,8</w:t>
            </w:r>
          </w:p>
        </w:tc>
        <w:tc>
          <w:tcPr>
            <w:tcW w:w="1262" w:type="dxa"/>
            <w:tcBorders>
              <w:top w:val="nil"/>
              <w:left w:val="nil"/>
              <w:bottom w:val="single" w:sz="4" w:space="0" w:color="auto"/>
              <w:right w:val="single" w:sz="4" w:space="0" w:color="auto"/>
            </w:tcBorders>
            <w:shd w:val="clear" w:color="auto" w:fill="auto"/>
            <w:vAlign w:val="center"/>
            <w:hideMark/>
          </w:tcPr>
          <w:p w14:paraId="3A19FEC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68,7</w:t>
            </w:r>
          </w:p>
        </w:tc>
        <w:tc>
          <w:tcPr>
            <w:tcW w:w="1085" w:type="dxa"/>
            <w:tcBorders>
              <w:top w:val="nil"/>
              <w:left w:val="nil"/>
              <w:bottom w:val="single" w:sz="4" w:space="0" w:color="auto"/>
              <w:right w:val="single" w:sz="4" w:space="0" w:color="auto"/>
            </w:tcBorders>
            <w:shd w:val="clear" w:color="auto" w:fill="auto"/>
            <w:vAlign w:val="center"/>
            <w:hideMark/>
          </w:tcPr>
          <w:p w14:paraId="124F46A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916" w:type="dxa"/>
            <w:tcBorders>
              <w:top w:val="nil"/>
              <w:left w:val="nil"/>
              <w:bottom w:val="single" w:sz="4" w:space="0" w:color="auto"/>
              <w:right w:val="single" w:sz="4" w:space="0" w:color="auto"/>
            </w:tcBorders>
            <w:shd w:val="clear" w:color="auto" w:fill="auto"/>
            <w:vAlign w:val="center"/>
            <w:hideMark/>
          </w:tcPr>
          <w:p w14:paraId="06551C0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871" w:type="dxa"/>
            <w:tcBorders>
              <w:top w:val="nil"/>
              <w:left w:val="nil"/>
              <w:bottom w:val="single" w:sz="4" w:space="0" w:color="auto"/>
              <w:right w:val="single" w:sz="4" w:space="0" w:color="auto"/>
            </w:tcBorders>
            <w:shd w:val="clear" w:color="auto" w:fill="auto"/>
            <w:vAlign w:val="center"/>
            <w:hideMark/>
          </w:tcPr>
          <w:p w14:paraId="0A21F3D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96,9</w:t>
            </w:r>
          </w:p>
        </w:tc>
      </w:tr>
      <w:tr w:rsidR="00457E80" w:rsidRPr="00036538" w14:paraId="765EAB70"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F1EF6D2"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78</w:t>
            </w:r>
          </w:p>
        </w:tc>
        <w:tc>
          <w:tcPr>
            <w:tcW w:w="908" w:type="dxa"/>
            <w:tcBorders>
              <w:top w:val="nil"/>
              <w:left w:val="nil"/>
              <w:bottom w:val="single" w:sz="4" w:space="0" w:color="auto"/>
              <w:right w:val="single" w:sz="4" w:space="0" w:color="auto"/>
            </w:tcBorders>
            <w:shd w:val="clear" w:color="auto" w:fill="auto"/>
            <w:vAlign w:val="bottom"/>
            <w:hideMark/>
          </w:tcPr>
          <w:p w14:paraId="61EFD9A3"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Мехико</w:t>
            </w:r>
          </w:p>
        </w:tc>
        <w:tc>
          <w:tcPr>
            <w:tcW w:w="1028" w:type="dxa"/>
            <w:tcBorders>
              <w:top w:val="nil"/>
              <w:left w:val="nil"/>
              <w:bottom w:val="single" w:sz="4" w:space="0" w:color="auto"/>
              <w:right w:val="single" w:sz="4" w:space="0" w:color="auto"/>
            </w:tcBorders>
            <w:shd w:val="clear" w:color="auto" w:fill="auto"/>
            <w:vAlign w:val="bottom"/>
            <w:hideMark/>
          </w:tcPr>
          <w:p w14:paraId="497D2C1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Мексика</w:t>
            </w:r>
          </w:p>
        </w:tc>
        <w:tc>
          <w:tcPr>
            <w:tcW w:w="612" w:type="dxa"/>
            <w:tcBorders>
              <w:top w:val="nil"/>
              <w:left w:val="nil"/>
              <w:bottom w:val="single" w:sz="4" w:space="0" w:color="auto"/>
              <w:right w:val="single" w:sz="4" w:space="0" w:color="auto"/>
            </w:tcBorders>
            <w:shd w:val="clear" w:color="000000" w:fill="92D050"/>
            <w:vAlign w:val="center"/>
            <w:hideMark/>
          </w:tcPr>
          <w:p w14:paraId="62113B1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637</w:t>
            </w:r>
          </w:p>
        </w:tc>
        <w:tc>
          <w:tcPr>
            <w:tcW w:w="1145" w:type="dxa"/>
            <w:tcBorders>
              <w:top w:val="nil"/>
              <w:left w:val="nil"/>
              <w:bottom w:val="single" w:sz="4" w:space="0" w:color="auto"/>
              <w:right w:val="single" w:sz="4" w:space="0" w:color="auto"/>
            </w:tcBorders>
            <w:shd w:val="clear" w:color="auto" w:fill="auto"/>
            <w:vAlign w:val="center"/>
            <w:hideMark/>
          </w:tcPr>
          <w:p w14:paraId="4A146E78"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Mexico Mexico City</w:t>
            </w:r>
          </w:p>
        </w:tc>
        <w:tc>
          <w:tcPr>
            <w:tcW w:w="612" w:type="dxa"/>
            <w:tcBorders>
              <w:top w:val="nil"/>
              <w:left w:val="nil"/>
              <w:bottom w:val="single" w:sz="4" w:space="0" w:color="auto"/>
              <w:right w:val="single" w:sz="4" w:space="0" w:color="auto"/>
            </w:tcBorders>
            <w:shd w:val="clear" w:color="auto" w:fill="auto"/>
            <w:vAlign w:val="center"/>
            <w:hideMark/>
          </w:tcPr>
          <w:p w14:paraId="0CDEC34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71,7</w:t>
            </w:r>
          </w:p>
        </w:tc>
        <w:tc>
          <w:tcPr>
            <w:tcW w:w="818" w:type="dxa"/>
            <w:tcBorders>
              <w:top w:val="nil"/>
              <w:left w:val="nil"/>
              <w:bottom w:val="single" w:sz="4" w:space="0" w:color="auto"/>
              <w:right w:val="single" w:sz="4" w:space="0" w:color="auto"/>
            </w:tcBorders>
            <w:shd w:val="clear" w:color="auto" w:fill="auto"/>
            <w:vAlign w:val="center"/>
            <w:hideMark/>
          </w:tcPr>
          <w:p w14:paraId="58F5E11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85,7</w:t>
            </w:r>
          </w:p>
        </w:tc>
        <w:tc>
          <w:tcPr>
            <w:tcW w:w="931" w:type="dxa"/>
            <w:tcBorders>
              <w:top w:val="nil"/>
              <w:left w:val="nil"/>
              <w:bottom w:val="single" w:sz="4" w:space="0" w:color="auto"/>
              <w:right w:val="single" w:sz="4" w:space="0" w:color="auto"/>
            </w:tcBorders>
            <w:shd w:val="clear" w:color="auto" w:fill="auto"/>
            <w:vAlign w:val="center"/>
            <w:hideMark/>
          </w:tcPr>
          <w:p w14:paraId="6BC923F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58,4</w:t>
            </w:r>
          </w:p>
        </w:tc>
        <w:tc>
          <w:tcPr>
            <w:tcW w:w="732" w:type="dxa"/>
            <w:tcBorders>
              <w:top w:val="nil"/>
              <w:left w:val="nil"/>
              <w:bottom w:val="single" w:sz="4" w:space="0" w:color="auto"/>
              <w:right w:val="single" w:sz="4" w:space="0" w:color="auto"/>
            </w:tcBorders>
            <w:shd w:val="clear" w:color="auto" w:fill="auto"/>
            <w:vAlign w:val="center"/>
            <w:hideMark/>
          </w:tcPr>
          <w:p w14:paraId="1E74C6A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90,0</w:t>
            </w:r>
          </w:p>
        </w:tc>
        <w:tc>
          <w:tcPr>
            <w:tcW w:w="1016" w:type="dxa"/>
            <w:tcBorders>
              <w:top w:val="nil"/>
              <w:left w:val="nil"/>
              <w:bottom w:val="single" w:sz="4" w:space="0" w:color="auto"/>
              <w:right w:val="single" w:sz="4" w:space="0" w:color="auto"/>
            </w:tcBorders>
            <w:shd w:val="clear" w:color="auto" w:fill="auto"/>
            <w:vAlign w:val="center"/>
            <w:hideMark/>
          </w:tcPr>
          <w:p w14:paraId="00F65A2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997" w:type="dxa"/>
            <w:tcBorders>
              <w:top w:val="nil"/>
              <w:left w:val="nil"/>
              <w:bottom w:val="single" w:sz="4" w:space="0" w:color="auto"/>
              <w:right w:val="single" w:sz="4" w:space="0" w:color="auto"/>
            </w:tcBorders>
            <w:shd w:val="clear" w:color="auto" w:fill="auto"/>
            <w:vAlign w:val="center"/>
            <w:hideMark/>
          </w:tcPr>
          <w:p w14:paraId="05EE31D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65,8</w:t>
            </w:r>
          </w:p>
        </w:tc>
        <w:tc>
          <w:tcPr>
            <w:tcW w:w="1437" w:type="dxa"/>
            <w:tcBorders>
              <w:top w:val="nil"/>
              <w:left w:val="nil"/>
              <w:bottom w:val="single" w:sz="4" w:space="0" w:color="auto"/>
              <w:right w:val="single" w:sz="4" w:space="0" w:color="auto"/>
            </w:tcBorders>
            <w:shd w:val="clear" w:color="auto" w:fill="auto"/>
            <w:vAlign w:val="center"/>
            <w:hideMark/>
          </w:tcPr>
          <w:p w14:paraId="1DFAAF2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82,1</w:t>
            </w:r>
          </w:p>
        </w:tc>
        <w:tc>
          <w:tcPr>
            <w:tcW w:w="1262" w:type="dxa"/>
            <w:tcBorders>
              <w:top w:val="nil"/>
              <w:left w:val="nil"/>
              <w:bottom w:val="single" w:sz="4" w:space="0" w:color="auto"/>
              <w:right w:val="single" w:sz="4" w:space="0" w:color="auto"/>
            </w:tcBorders>
            <w:shd w:val="clear" w:color="auto" w:fill="auto"/>
            <w:vAlign w:val="center"/>
            <w:hideMark/>
          </w:tcPr>
          <w:p w14:paraId="351DD99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65,5</w:t>
            </w:r>
          </w:p>
        </w:tc>
        <w:tc>
          <w:tcPr>
            <w:tcW w:w="1085" w:type="dxa"/>
            <w:tcBorders>
              <w:top w:val="nil"/>
              <w:left w:val="nil"/>
              <w:bottom w:val="single" w:sz="4" w:space="0" w:color="auto"/>
              <w:right w:val="single" w:sz="4" w:space="0" w:color="auto"/>
            </w:tcBorders>
            <w:shd w:val="clear" w:color="auto" w:fill="auto"/>
            <w:vAlign w:val="center"/>
            <w:hideMark/>
          </w:tcPr>
          <w:p w14:paraId="55316AC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70,3</w:t>
            </w:r>
          </w:p>
        </w:tc>
        <w:tc>
          <w:tcPr>
            <w:tcW w:w="916" w:type="dxa"/>
            <w:tcBorders>
              <w:top w:val="nil"/>
              <w:left w:val="nil"/>
              <w:bottom w:val="single" w:sz="4" w:space="0" w:color="auto"/>
              <w:right w:val="single" w:sz="4" w:space="0" w:color="auto"/>
            </w:tcBorders>
            <w:shd w:val="clear" w:color="auto" w:fill="auto"/>
            <w:vAlign w:val="center"/>
            <w:hideMark/>
          </w:tcPr>
          <w:p w14:paraId="63DA529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67,8</w:t>
            </w:r>
          </w:p>
        </w:tc>
        <w:tc>
          <w:tcPr>
            <w:tcW w:w="871" w:type="dxa"/>
            <w:tcBorders>
              <w:top w:val="nil"/>
              <w:left w:val="nil"/>
              <w:bottom w:val="single" w:sz="4" w:space="0" w:color="auto"/>
              <w:right w:val="single" w:sz="4" w:space="0" w:color="auto"/>
            </w:tcBorders>
            <w:shd w:val="clear" w:color="auto" w:fill="auto"/>
            <w:vAlign w:val="center"/>
            <w:hideMark/>
          </w:tcPr>
          <w:p w14:paraId="499F111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69,1</w:t>
            </w:r>
          </w:p>
        </w:tc>
      </w:tr>
      <w:tr w:rsidR="00457E80" w:rsidRPr="00036538" w14:paraId="03FA631F"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8E3E7F7"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79</w:t>
            </w:r>
          </w:p>
        </w:tc>
        <w:tc>
          <w:tcPr>
            <w:tcW w:w="908" w:type="dxa"/>
            <w:tcBorders>
              <w:top w:val="nil"/>
              <w:left w:val="nil"/>
              <w:bottom w:val="single" w:sz="4" w:space="0" w:color="auto"/>
              <w:right w:val="single" w:sz="4" w:space="0" w:color="auto"/>
            </w:tcBorders>
            <w:shd w:val="clear" w:color="auto" w:fill="auto"/>
            <w:vAlign w:val="bottom"/>
            <w:hideMark/>
          </w:tcPr>
          <w:p w14:paraId="4A46C75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Стамбул</w:t>
            </w:r>
          </w:p>
        </w:tc>
        <w:tc>
          <w:tcPr>
            <w:tcW w:w="1028" w:type="dxa"/>
            <w:tcBorders>
              <w:top w:val="nil"/>
              <w:left w:val="nil"/>
              <w:bottom w:val="single" w:sz="4" w:space="0" w:color="auto"/>
              <w:right w:val="single" w:sz="4" w:space="0" w:color="auto"/>
            </w:tcBorders>
            <w:shd w:val="clear" w:color="auto" w:fill="auto"/>
            <w:vAlign w:val="bottom"/>
            <w:hideMark/>
          </w:tcPr>
          <w:p w14:paraId="185B5CC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Турция</w:t>
            </w:r>
          </w:p>
        </w:tc>
        <w:tc>
          <w:tcPr>
            <w:tcW w:w="612" w:type="dxa"/>
            <w:tcBorders>
              <w:top w:val="nil"/>
              <w:left w:val="nil"/>
              <w:bottom w:val="single" w:sz="4" w:space="0" w:color="auto"/>
              <w:right w:val="single" w:sz="4" w:space="0" w:color="auto"/>
            </w:tcBorders>
            <w:shd w:val="clear" w:color="000000" w:fill="92D050"/>
            <w:vAlign w:val="center"/>
            <w:hideMark/>
          </w:tcPr>
          <w:p w14:paraId="0403334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636</w:t>
            </w:r>
          </w:p>
        </w:tc>
        <w:tc>
          <w:tcPr>
            <w:tcW w:w="1145" w:type="dxa"/>
            <w:tcBorders>
              <w:top w:val="nil"/>
              <w:left w:val="nil"/>
              <w:bottom w:val="single" w:sz="4" w:space="0" w:color="auto"/>
              <w:right w:val="single" w:sz="4" w:space="0" w:color="auto"/>
            </w:tcBorders>
            <w:shd w:val="clear" w:color="auto" w:fill="auto"/>
            <w:vAlign w:val="center"/>
            <w:hideMark/>
          </w:tcPr>
          <w:p w14:paraId="09D23336"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Turkey</w:t>
            </w:r>
          </w:p>
        </w:tc>
        <w:tc>
          <w:tcPr>
            <w:tcW w:w="612" w:type="dxa"/>
            <w:tcBorders>
              <w:top w:val="nil"/>
              <w:left w:val="nil"/>
              <w:bottom w:val="single" w:sz="4" w:space="0" w:color="auto"/>
              <w:right w:val="single" w:sz="4" w:space="0" w:color="auto"/>
            </w:tcBorders>
            <w:shd w:val="clear" w:color="auto" w:fill="auto"/>
            <w:vAlign w:val="center"/>
            <w:hideMark/>
          </w:tcPr>
          <w:p w14:paraId="600355F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76,8</w:t>
            </w:r>
          </w:p>
        </w:tc>
        <w:tc>
          <w:tcPr>
            <w:tcW w:w="818" w:type="dxa"/>
            <w:tcBorders>
              <w:top w:val="nil"/>
              <w:left w:val="nil"/>
              <w:bottom w:val="single" w:sz="4" w:space="0" w:color="auto"/>
              <w:right w:val="single" w:sz="4" w:space="0" w:color="auto"/>
            </w:tcBorders>
            <w:shd w:val="clear" w:color="auto" w:fill="auto"/>
            <w:vAlign w:val="center"/>
            <w:hideMark/>
          </w:tcPr>
          <w:p w14:paraId="7B06ADA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88,8</w:t>
            </w:r>
          </w:p>
        </w:tc>
        <w:tc>
          <w:tcPr>
            <w:tcW w:w="931" w:type="dxa"/>
            <w:tcBorders>
              <w:top w:val="nil"/>
              <w:left w:val="nil"/>
              <w:bottom w:val="single" w:sz="4" w:space="0" w:color="auto"/>
              <w:right w:val="single" w:sz="4" w:space="0" w:color="auto"/>
            </w:tcBorders>
            <w:shd w:val="clear" w:color="auto" w:fill="auto"/>
            <w:vAlign w:val="center"/>
            <w:hideMark/>
          </w:tcPr>
          <w:p w14:paraId="4A413C0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81,6</w:t>
            </w:r>
          </w:p>
        </w:tc>
        <w:tc>
          <w:tcPr>
            <w:tcW w:w="732" w:type="dxa"/>
            <w:tcBorders>
              <w:top w:val="nil"/>
              <w:left w:val="nil"/>
              <w:bottom w:val="single" w:sz="4" w:space="0" w:color="auto"/>
              <w:right w:val="single" w:sz="4" w:space="0" w:color="auto"/>
            </w:tcBorders>
            <w:shd w:val="clear" w:color="auto" w:fill="auto"/>
            <w:vAlign w:val="center"/>
            <w:hideMark/>
          </w:tcPr>
          <w:p w14:paraId="43A8E0B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40C09B5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76,0</w:t>
            </w:r>
          </w:p>
        </w:tc>
        <w:tc>
          <w:tcPr>
            <w:tcW w:w="997" w:type="dxa"/>
            <w:tcBorders>
              <w:top w:val="nil"/>
              <w:left w:val="nil"/>
              <w:bottom w:val="single" w:sz="4" w:space="0" w:color="auto"/>
              <w:right w:val="single" w:sz="4" w:space="0" w:color="auto"/>
            </w:tcBorders>
            <w:shd w:val="clear" w:color="auto" w:fill="auto"/>
            <w:vAlign w:val="center"/>
            <w:hideMark/>
          </w:tcPr>
          <w:p w14:paraId="3814964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86,6</w:t>
            </w:r>
          </w:p>
        </w:tc>
        <w:tc>
          <w:tcPr>
            <w:tcW w:w="1437" w:type="dxa"/>
            <w:tcBorders>
              <w:top w:val="nil"/>
              <w:left w:val="nil"/>
              <w:bottom w:val="single" w:sz="4" w:space="0" w:color="auto"/>
              <w:right w:val="single" w:sz="4" w:space="0" w:color="auto"/>
            </w:tcBorders>
            <w:shd w:val="clear" w:color="auto" w:fill="auto"/>
            <w:vAlign w:val="center"/>
            <w:hideMark/>
          </w:tcPr>
          <w:p w14:paraId="08D4E4D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91,6</w:t>
            </w:r>
          </w:p>
        </w:tc>
        <w:tc>
          <w:tcPr>
            <w:tcW w:w="1262" w:type="dxa"/>
            <w:tcBorders>
              <w:top w:val="nil"/>
              <w:left w:val="nil"/>
              <w:bottom w:val="single" w:sz="4" w:space="0" w:color="auto"/>
              <w:right w:val="single" w:sz="4" w:space="0" w:color="auto"/>
            </w:tcBorders>
            <w:shd w:val="clear" w:color="auto" w:fill="auto"/>
            <w:vAlign w:val="center"/>
            <w:hideMark/>
          </w:tcPr>
          <w:p w14:paraId="6A5B48B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71,4</w:t>
            </w:r>
          </w:p>
        </w:tc>
        <w:tc>
          <w:tcPr>
            <w:tcW w:w="1085" w:type="dxa"/>
            <w:tcBorders>
              <w:top w:val="nil"/>
              <w:left w:val="nil"/>
              <w:bottom w:val="single" w:sz="4" w:space="0" w:color="auto"/>
              <w:right w:val="single" w:sz="4" w:space="0" w:color="auto"/>
            </w:tcBorders>
            <w:shd w:val="clear" w:color="auto" w:fill="auto"/>
            <w:vAlign w:val="center"/>
            <w:hideMark/>
          </w:tcPr>
          <w:p w14:paraId="4B0295E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38,5</w:t>
            </w:r>
          </w:p>
        </w:tc>
        <w:tc>
          <w:tcPr>
            <w:tcW w:w="916" w:type="dxa"/>
            <w:tcBorders>
              <w:top w:val="nil"/>
              <w:left w:val="nil"/>
              <w:bottom w:val="single" w:sz="4" w:space="0" w:color="auto"/>
              <w:right w:val="single" w:sz="4" w:space="0" w:color="auto"/>
            </w:tcBorders>
            <w:shd w:val="clear" w:color="auto" w:fill="auto"/>
            <w:vAlign w:val="center"/>
            <w:hideMark/>
          </w:tcPr>
          <w:p w14:paraId="3D3DF34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73,8</w:t>
            </w:r>
          </w:p>
        </w:tc>
        <w:tc>
          <w:tcPr>
            <w:tcW w:w="871" w:type="dxa"/>
            <w:tcBorders>
              <w:top w:val="nil"/>
              <w:left w:val="nil"/>
              <w:bottom w:val="single" w:sz="4" w:space="0" w:color="auto"/>
              <w:right w:val="single" w:sz="4" w:space="0" w:color="auto"/>
            </w:tcBorders>
            <w:shd w:val="clear" w:color="auto" w:fill="auto"/>
            <w:vAlign w:val="center"/>
            <w:hideMark/>
          </w:tcPr>
          <w:p w14:paraId="0CAA7FE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84,5</w:t>
            </w:r>
          </w:p>
        </w:tc>
      </w:tr>
      <w:tr w:rsidR="00457E80" w:rsidRPr="00036538" w14:paraId="22F716B1"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7B93C55"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80</w:t>
            </w:r>
          </w:p>
        </w:tc>
        <w:tc>
          <w:tcPr>
            <w:tcW w:w="908" w:type="dxa"/>
            <w:tcBorders>
              <w:top w:val="nil"/>
              <w:left w:val="nil"/>
              <w:bottom w:val="single" w:sz="4" w:space="0" w:color="auto"/>
              <w:right w:val="single" w:sz="4" w:space="0" w:color="auto"/>
            </w:tcBorders>
            <w:shd w:val="clear" w:color="auto" w:fill="auto"/>
            <w:vAlign w:val="bottom"/>
            <w:hideMark/>
          </w:tcPr>
          <w:p w14:paraId="584C58D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Кейптаун</w:t>
            </w:r>
          </w:p>
        </w:tc>
        <w:tc>
          <w:tcPr>
            <w:tcW w:w="1028" w:type="dxa"/>
            <w:tcBorders>
              <w:top w:val="nil"/>
              <w:left w:val="nil"/>
              <w:bottom w:val="single" w:sz="4" w:space="0" w:color="auto"/>
              <w:right w:val="single" w:sz="4" w:space="0" w:color="auto"/>
            </w:tcBorders>
            <w:shd w:val="clear" w:color="auto" w:fill="auto"/>
            <w:vAlign w:val="bottom"/>
            <w:hideMark/>
          </w:tcPr>
          <w:p w14:paraId="03F88F9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ЮАР</w:t>
            </w:r>
          </w:p>
        </w:tc>
        <w:tc>
          <w:tcPr>
            <w:tcW w:w="612" w:type="dxa"/>
            <w:tcBorders>
              <w:top w:val="nil"/>
              <w:left w:val="nil"/>
              <w:bottom w:val="single" w:sz="4" w:space="0" w:color="auto"/>
              <w:right w:val="single" w:sz="4" w:space="0" w:color="auto"/>
            </w:tcBorders>
            <w:shd w:val="clear" w:color="000000" w:fill="92D050"/>
            <w:vAlign w:val="center"/>
            <w:hideMark/>
          </w:tcPr>
          <w:p w14:paraId="71A94DC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635</w:t>
            </w:r>
          </w:p>
        </w:tc>
        <w:tc>
          <w:tcPr>
            <w:tcW w:w="1145" w:type="dxa"/>
            <w:tcBorders>
              <w:top w:val="nil"/>
              <w:left w:val="nil"/>
              <w:bottom w:val="single" w:sz="4" w:space="0" w:color="auto"/>
              <w:right w:val="single" w:sz="4" w:space="0" w:color="auto"/>
            </w:tcBorders>
            <w:shd w:val="clear" w:color="auto" w:fill="auto"/>
            <w:vAlign w:val="center"/>
            <w:hideMark/>
          </w:tcPr>
          <w:p w14:paraId="07198E6F"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South Africa</w:t>
            </w:r>
          </w:p>
        </w:tc>
        <w:tc>
          <w:tcPr>
            <w:tcW w:w="612" w:type="dxa"/>
            <w:tcBorders>
              <w:top w:val="nil"/>
              <w:left w:val="nil"/>
              <w:bottom w:val="single" w:sz="4" w:space="0" w:color="auto"/>
              <w:right w:val="single" w:sz="4" w:space="0" w:color="auto"/>
            </w:tcBorders>
            <w:shd w:val="clear" w:color="auto" w:fill="auto"/>
            <w:vAlign w:val="center"/>
            <w:hideMark/>
          </w:tcPr>
          <w:p w14:paraId="7A79E23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67,0</w:t>
            </w:r>
          </w:p>
        </w:tc>
        <w:tc>
          <w:tcPr>
            <w:tcW w:w="818" w:type="dxa"/>
            <w:tcBorders>
              <w:top w:val="nil"/>
              <w:left w:val="nil"/>
              <w:bottom w:val="single" w:sz="4" w:space="0" w:color="auto"/>
              <w:right w:val="single" w:sz="4" w:space="0" w:color="auto"/>
            </w:tcBorders>
            <w:shd w:val="clear" w:color="auto" w:fill="auto"/>
            <w:vAlign w:val="center"/>
            <w:hideMark/>
          </w:tcPr>
          <w:p w14:paraId="30E7F9B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81,2</w:t>
            </w:r>
          </w:p>
        </w:tc>
        <w:tc>
          <w:tcPr>
            <w:tcW w:w="931" w:type="dxa"/>
            <w:tcBorders>
              <w:top w:val="nil"/>
              <w:left w:val="nil"/>
              <w:bottom w:val="single" w:sz="4" w:space="0" w:color="auto"/>
              <w:right w:val="single" w:sz="4" w:space="0" w:color="auto"/>
            </w:tcBorders>
            <w:shd w:val="clear" w:color="auto" w:fill="auto"/>
            <w:vAlign w:val="center"/>
            <w:hideMark/>
          </w:tcPr>
          <w:p w14:paraId="4E6317F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59,5</w:t>
            </w:r>
          </w:p>
        </w:tc>
        <w:tc>
          <w:tcPr>
            <w:tcW w:w="732" w:type="dxa"/>
            <w:tcBorders>
              <w:top w:val="nil"/>
              <w:left w:val="nil"/>
              <w:bottom w:val="single" w:sz="4" w:space="0" w:color="auto"/>
              <w:right w:val="single" w:sz="4" w:space="0" w:color="auto"/>
            </w:tcBorders>
            <w:shd w:val="clear" w:color="auto" w:fill="auto"/>
            <w:vAlign w:val="center"/>
            <w:hideMark/>
          </w:tcPr>
          <w:p w14:paraId="4A9BA46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60,0</w:t>
            </w:r>
          </w:p>
        </w:tc>
        <w:tc>
          <w:tcPr>
            <w:tcW w:w="1016" w:type="dxa"/>
            <w:tcBorders>
              <w:top w:val="nil"/>
              <w:left w:val="nil"/>
              <w:bottom w:val="single" w:sz="4" w:space="0" w:color="auto"/>
              <w:right w:val="single" w:sz="4" w:space="0" w:color="auto"/>
            </w:tcBorders>
            <w:shd w:val="clear" w:color="auto" w:fill="auto"/>
            <w:vAlign w:val="center"/>
            <w:hideMark/>
          </w:tcPr>
          <w:p w14:paraId="4FFE709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80,0</w:t>
            </w:r>
          </w:p>
        </w:tc>
        <w:tc>
          <w:tcPr>
            <w:tcW w:w="997" w:type="dxa"/>
            <w:tcBorders>
              <w:top w:val="nil"/>
              <w:left w:val="nil"/>
              <w:bottom w:val="single" w:sz="4" w:space="0" w:color="auto"/>
              <w:right w:val="single" w:sz="4" w:space="0" w:color="auto"/>
            </w:tcBorders>
            <w:shd w:val="clear" w:color="auto" w:fill="auto"/>
            <w:vAlign w:val="center"/>
            <w:hideMark/>
          </w:tcPr>
          <w:p w14:paraId="6F32FA2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81,2</w:t>
            </w:r>
          </w:p>
        </w:tc>
        <w:tc>
          <w:tcPr>
            <w:tcW w:w="1437" w:type="dxa"/>
            <w:tcBorders>
              <w:top w:val="nil"/>
              <w:left w:val="nil"/>
              <w:bottom w:val="single" w:sz="4" w:space="0" w:color="auto"/>
              <w:right w:val="single" w:sz="4" w:space="0" w:color="auto"/>
            </w:tcBorders>
            <w:shd w:val="clear" w:color="auto" w:fill="auto"/>
            <w:vAlign w:val="center"/>
            <w:hideMark/>
          </w:tcPr>
          <w:p w14:paraId="11B43A3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59,6</w:t>
            </w:r>
          </w:p>
        </w:tc>
        <w:tc>
          <w:tcPr>
            <w:tcW w:w="1262" w:type="dxa"/>
            <w:tcBorders>
              <w:top w:val="nil"/>
              <w:left w:val="nil"/>
              <w:bottom w:val="single" w:sz="4" w:space="0" w:color="auto"/>
              <w:right w:val="single" w:sz="4" w:space="0" w:color="auto"/>
            </w:tcBorders>
            <w:shd w:val="clear" w:color="auto" w:fill="auto"/>
            <w:vAlign w:val="center"/>
            <w:hideMark/>
          </w:tcPr>
          <w:p w14:paraId="4A2AD7F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56,9</w:t>
            </w:r>
          </w:p>
        </w:tc>
        <w:tc>
          <w:tcPr>
            <w:tcW w:w="1085" w:type="dxa"/>
            <w:tcBorders>
              <w:top w:val="nil"/>
              <w:left w:val="nil"/>
              <w:bottom w:val="single" w:sz="4" w:space="0" w:color="auto"/>
              <w:right w:val="single" w:sz="4" w:space="0" w:color="auto"/>
            </w:tcBorders>
            <w:shd w:val="clear" w:color="auto" w:fill="auto"/>
            <w:vAlign w:val="center"/>
            <w:hideMark/>
          </w:tcPr>
          <w:p w14:paraId="68AB826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54,6</w:t>
            </w:r>
          </w:p>
        </w:tc>
        <w:tc>
          <w:tcPr>
            <w:tcW w:w="916" w:type="dxa"/>
            <w:tcBorders>
              <w:top w:val="nil"/>
              <w:left w:val="nil"/>
              <w:bottom w:val="single" w:sz="4" w:space="0" w:color="auto"/>
              <w:right w:val="single" w:sz="4" w:space="0" w:color="auto"/>
            </w:tcBorders>
            <w:shd w:val="clear" w:color="auto" w:fill="auto"/>
            <w:vAlign w:val="center"/>
            <w:hideMark/>
          </w:tcPr>
          <w:p w14:paraId="16B6B6A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68,3</w:t>
            </w:r>
          </w:p>
        </w:tc>
        <w:tc>
          <w:tcPr>
            <w:tcW w:w="871" w:type="dxa"/>
            <w:tcBorders>
              <w:top w:val="nil"/>
              <w:left w:val="nil"/>
              <w:bottom w:val="single" w:sz="4" w:space="0" w:color="auto"/>
              <w:right w:val="single" w:sz="4" w:space="0" w:color="auto"/>
            </w:tcBorders>
            <w:shd w:val="clear" w:color="auto" w:fill="auto"/>
            <w:vAlign w:val="center"/>
            <w:hideMark/>
          </w:tcPr>
          <w:p w14:paraId="7A8A33E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68,8</w:t>
            </w:r>
          </w:p>
        </w:tc>
      </w:tr>
      <w:tr w:rsidR="00457E80" w:rsidRPr="00036538" w14:paraId="4E6D821C"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C2E470F"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81</w:t>
            </w:r>
          </w:p>
        </w:tc>
        <w:tc>
          <w:tcPr>
            <w:tcW w:w="908" w:type="dxa"/>
            <w:tcBorders>
              <w:top w:val="nil"/>
              <w:left w:val="nil"/>
              <w:bottom w:val="single" w:sz="4" w:space="0" w:color="auto"/>
              <w:right w:val="single" w:sz="4" w:space="0" w:color="auto"/>
            </w:tcBorders>
            <w:shd w:val="clear" w:color="auto" w:fill="auto"/>
            <w:vAlign w:val="bottom"/>
            <w:hideMark/>
          </w:tcPr>
          <w:p w14:paraId="1669049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Сан-Диего</w:t>
            </w:r>
          </w:p>
        </w:tc>
        <w:tc>
          <w:tcPr>
            <w:tcW w:w="1028" w:type="dxa"/>
            <w:tcBorders>
              <w:top w:val="nil"/>
              <w:left w:val="nil"/>
              <w:bottom w:val="single" w:sz="4" w:space="0" w:color="auto"/>
              <w:right w:val="single" w:sz="4" w:space="0" w:color="auto"/>
            </w:tcBorders>
            <w:shd w:val="clear" w:color="auto" w:fill="auto"/>
            <w:vAlign w:val="bottom"/>
            <w:hideMark/>
          </w:tcPr>
          <w:p w14:paraId="55E1A4F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США</w:t>
            </w:r>
          </w:p>
        </w:tc>
        <w:tc>
          <w:tcPr>
            <w:tcW w:w="612" w:type="dxa"/>
            <w:tcBorders>
              <w:top w:val="nil"/>
              <w:left w:val="nil"/>
              <w:bottom w:val="single" w:sz="4" w:space="0" w:color="auto"/>
              <w:right w:val="single" w:sz="4" w:space="0" w:color="auto"/>
            </w:tcBorders>
            <w:shd w:val="clear" w:color="000000" w:fill="92D050"/>
            <w:vAlign w:val="center"/>
            <w:hideMark/>
          </w:tcPr>
          <w:p w14:paraId="4C82739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634</w:t>
            </w:r>
          </w:p>
        </w:tc>
        <w:tc>
          <w:tcPr>
            <w:tcW w:w="1145" w:type="dxa"/>
            <w:tcBorders>
              <w:top w:val="nil"/>
              <w:left w:val="nil"/>
              <w:bottom w:val="single" w:sz="4" w:space="0" w:color="auto"/>
              <w:right w:val="single" w:sz="4" w:space="0" w:color="auto"/>
            </w:tcBorders>
            <w:shd w:val="clear" w:color="auto" w:fill="auto"/>
            <w:vAlign w:val="center"/>
            <w:hideMark/>
          </w:tcPr>
          <w:p w14:paraId="43995C38"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States</w:t>
            </w:r>
          </w:p>
        </w:tc>
        <w:tc>
          <w:tcPr>
            <w:tcW w:w="612" w:type="dxa"/>
            <w:tcBorders>
              <w:top w:val="nil"/>
              <w:left w:val="nil"/>
              <w:bottom w:val="single" w:sz="4" w:space="0" w:color="auto"/>
              <w:right w:val="single" w:sz="4" w:space="0" w:color="auto"/>
            </w:tcBorders>
            <w:shd w:val="clear" w:color="auto" w:fill="auto"/>
            <w:vAlign w:val="center"/>
            <w:hideMark/>
          </w:tcPr>
          <w:p w14:paraId="6D73AD8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84,0</w:t>
            </w:r>
          </w:p>
        </w:tc>
        <w:tc>
          <w:tcPr>
            <w:tcW w:w="818" w:type="dxa"/>
            <w:tcBorders>
              <w:top w:val="nil"/>
              <w:left w:val="nil"/>
              <w:bottom w:val="single" w:sz="4" w:space="0" w:color="auto"/>
              <w:right w:val="single" w:sz="4" w:space="0" w:color="auto"/>
            </w:tcBorders>
            <w:shd w:val="clear" w:color="auto" w:fill="auto"/>
            <w:vAlign w:val="center"/>
            <w:hideMark/>
          </w:tcPr>
          <w:p w14:paraId="09D5F8E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91,6</w:t>
            </w:r>
          </w:p>
        </w:tc>
        <w:tc>
          <w:tcPr>
            <w:tcW w:w="931" w:type="dxa"/>
            <w:tcBorders>
              <w:top w:val="nil"/>
              <w:left w:val="nil"/>
              <w:bottom w:val="single" w:sz="4" w:space="0" w:color="auto"/>
              <w:right w:val="single" w:sz="4" w:space="0" w:color="auto"/>
            </w:tcBorders>
            <w:shd w:val="clear" w:color="auto" w:fill="auto"/>
            <w:vAlign w:val="center"/>
            <w:hideMark/>
          </w:tcPr>
          <w:p w14:paraId="70BB7BE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76,9</w:t>
            </w:r>
          </w:p>
        </w:tc>
        <w:tc>
          <w:tcPr>
            <w:tcW w:w="732" w:type="dxa"/>
            <w:tcBorders>
              <w:top w:val="nil"/>
              <w:left w:val="nil"/>
              <w:bottom w:val="single" w:sz="4" w:space="0" w:color="auto"/>
              <w:right w:val="single" w:sz="4" w:space="0" w:color="auto"/>
            </w:tcBorders>
            <w:shd w:val="clear" w:color="auto" w:fill="auto"/>
            <w:vAlign w:val="center"/>
            <w:hideMark/>
          </w:tcPr>
          <w:p w14:paraId="638E3F8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95,0</w:t>
            </w:r>
          </w:p>
        </w:tc>
        <w:tc>
          <w:tcPr>
            <w:tcW w:w="1016" w:type="dxa"/>
            <w:tcBorders>
              <w:top w:val="nil"/>
              <w:left w:val="nil"/>
              <w:bottom w:val="single" w:sz="4" w:space="0" w:color="auto"/>
              <w:right w:val="single" w:sz="4" w:space="0" w:color="auto"/>
            </w:tcBorders>
            <w:shd w:val="clear" w:color="auto" w:fill="auto"/>
            <w:vAlign w:val="center"/>
            <w:hideMark/>
          </w:tcPr>
          <w:p w14:paraId="63276DB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71,6</w:t>
            </w:r>
          </w:p>
        </w:tc>
        <w:tc>
          <w:tcPr>
            <w:tcW w:w="997" w:type="dxa"/>
            <w:tcBorders>
              <w:top w:val="nil"/>
              <w:left w:val="nil"/>
              <w:bottom w:val="single" w:sz="4" w:space="0" w:color="auto"/>
              <w:right w:val="single" w:sz="4" w:space="0" w:color="auto"/>
            </w:tcBorders>
            <w:shd w:val="clear" w:color="auto" w:fill="auto"/>
            <w:vAlign w:val="center"/>
            <w:hideMark/>
          </w:tcPr>
          <w:p w14:paraId="7AA8D93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86,8</w:t>
            </w:r>
          </w:p>
        </w:tc>
        <w:tc>
          <w:tcPr>
            <w:tcW w:w="1437" w:type="dxa"/>
            <w:tcBorders>
              <w:top w:val="nil"/>
              <w:left w:val="nil"/>
              <w:bottom w:val="single" w:sz="4" w:space="0" w:color="auto"/>
              <w:right w:val="single" w:sz="4" w:space="0" w:color="auto"/>
            </w:tcBorders>
            <w:shd w:val="clear" w:color="auto" w:fill="auto"/>
            <w:vAlign w:val="center"/>
            <w:hideMark/>
          </w:tcPr>
          <w:p w14:paraId="3AA348F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92,0</w:t>
            </w:r>
          </w:p>
        </w:tc>
        <w:tc>
          <w:tcPr>
            <w:tcW w:w="1262" w:type="dxa"/>
            <w:tcBorders>
              <w:top w:val="nil"/>
              <w:left w:val="nil"/>
              <w:bottom w:val="single" w:sz="4" w:space="0" w:color="auto"/>
              <w:right w:val="single" w:sz="4" w:space="0" w:color="auto"/>
            </w:tcBorders>
            <w:shd w:val="clear" w:color="auto" w:fill="auto"/>
            <w:vAlign w:val="center"/>
            <w:hideMark/>
          </w:tcPr>
          <w:p w14:paraId="2531ED3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73,4</w:t>
            </w:r>
          </w:p>
        </w:tc>
        <w:tc>
          <w:tcPr>
            <w:tcW w:w="1085" w:type="dxa"/>
            <w:tcBorders>
              <w:top w:val="nil"/>
              <w:left w:val="nil"/>
              <w:bottom w:val="single" w:sz="4" w:space="0" w:color="auto"/>
              <w:right w:val="single" w:sz="4" w:space="0" w:color="auto"/>
            </w:tcBorders>
            <w:shd w:val="clear" w:color="auto" w:fill="auto"/>
            <w:vAlign w:val="center"/>
            <w:hideMark/>
          </w:tcPr>
          <w:p w14:paraId="076527A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90,5</w:t>
            </w:r>
          </w:p>
        </w:tc>
        <w:tc>
          <w:tcPr>
            <w:tcW w:w="916" w:type="dxa"/>
            <w:tcBorders>
              <w:top w:val="nil"/>
              <w:left w:val="nil"/>
              <w:bottom w:val="single" w:sz="4" w:space="0" w:color="auto"/>
              <w:right w:val="single" w:sz="4" w:space="0" w:color="auto"/>
            </w:tcBorders>
            <w:shd w:val="clear" w:color="auto" w:fill="auto"/>
            <w:vAlign w:val="center"/>
            <w:hideMark/>
          </w:tcPr>
          <w:p w14:paraId="4EAEE3A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80,0</w:t>
            </w:r>
          </w:p>
        </w:tc>
        <w:tc>
          <w:tcPr>
            <w:tcW w:w="871" w:type="dxa"/>
            <w:tcBorders>
              <w:top w:val="nil"/>
              <w:left w:val="nil"/>
              <w:bottom w:val="single" w:sz="4" w:space="0" w:color="auto"/>
              <w:right w:val="single" w:sz="4" w:space="0" w:color="auto"/>
            </w:tcBorders>
            <w:shd w:val="clear" w:color="auto" w:fill="auto"/>
            <w:vAlign w:val="center"/>
            <w:hideMark/>
          </w:tcPr>
          <w:p w14:paraId="266010B4"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82,2</w:t>
            </w:r>
          </w:p>
        </w:tc>
      </w:tr>
      <w:tr w:rsidR="00457E80" w:rsidRPr="00036538" w14:paraId="2FE3E3C7" w14:textId="77777777" w:rsidTr="00576F59">
        <w:trPr>
          <w:trHeight w:val="6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A255944"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82</w:t>
            </w:r>
          </w:p>
        </w:tc>
        <w:tc>
          <w:tcPr>
            <w:tcW w:w="908" w:type="dxa"/>
            <w:tcBorders>
              <w:top w:val="nil"/>
              <w:left w:val="nil"/>
              <w:bottom w:val="single" w:sz="4" w:space="0" w:color="auto"/>
              <w:right w:val="single" w:sz="4" w:space="0" w:color="auto"/>
            </w:tcBorders>
            <w:shd w:val="clear" w:color="auto" w:fill="auto"/>
            <w:vAlign w:val="bottom"/>
            <w:hideMark/>
          </w:tcPr>
          <w:p w14:paraId="65DE718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ГИФТ Сити Гуджарат</w:t>
            </w:r>
          </w:p>
        </w:tc>
        <w:tc>
          <w:tcPr>
            <w:tcW w:w="1028" w:type="dxa"/>
            <w:tcBorders>
              <w:top w:val="nil"/>
              <w:left w:val="nil"/>
              <w:bottom w:val="single" w:sz="4" w:space="0" w:color="auto"/>
              <w:right w:val="single" w:sz="4" w:space="0" w:color="auto"/>
            </w:tcBorders>
            <w:shd w:val="clear" w:color="auto" w:fill="auto"/>
            <w:vAlign w:val="bottom"/>
            <w:hideMark/>
          </w:tcPr>
          <w:p w14:paraId="21B60A2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Индия</w:t>
            </w:r>
          </w:p>
        </w:tc>
        <w:tc>
          <w:tcPr>
            <w:tcW w:w="612" w:type="dxa"/>
            <w:tcBorders>
              <w:top w:val="nil"/>
              <w:left w:val="nil"/>
              <w:bottom w:val="single" w:sz="4" w:space="0" w:color="auto"/>
              <w:right w:val="single" w:sz="4" w:space="0" w:color="auto"/>
            </w:tcBorders>
            <w:shd w:val="clear" w:color="000000" w:fill="92D050"/>
            <w:vAlign w:val="center"/>
            <w:hideMark/>
          </w:tcPr>
          <w:p w14:paraId="5FAF75C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633</w:t>
            </w:r>
          </w:p>
        </w:tc>
        <w:tc>
          <w:tcPr>
            <w:tcW w:w="1145" w:type="dxa"/>
            <w:tcBorders>
              <w:top w:val="nil"/>
              <w:left w:val="nil"/>
              <w:bottom w:val="single" w:sz="4" w:space="0" w:color="auto"/>
              <w:right w:val="single" w:sz="4" w:space="0" w:color="auto"/>
            </w:tcBorders>
            <w:shd w:val="clear" w:color="auto" w:fill="auto"/>
            <w:vAlign w:val="center"/>
            <w:hideMark/>
          </w:tcPr>
          <w:p w14:paraId="6945E1FA"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India</w:t>
            </w:r>
          </w:p>
        </w:tc>
        <w:tc>
          <w:tcPr>
            <w:tcW w:w="612" w:type="dxa"/>
            <w:tcBorders>
              <w:top w:val="nil"/>
              <w:left w:val="nil"/>
              <w:bottom w:val="single" w:sz="4" w:space="0" w:color="auto"/>
              <w:right w:val="single" w:sz="4" w:space="0" w:color="auto"/>
            </w:tcBorders>
            <w:shd w:val="clear" w:color="auto" w:fill="auto"/>
            <w:vAlign w:val="center"/>
            <w:hideMark/>
          </w:tcPr>
          <w:p w14:paraId="38FB24B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71,0</w:t>
            </w:r>
          </w:p>
        </w:tc>
        <w:tc>
          <w:tcPr>
            <w:tcW w:w="818" w:type="dxa"/>
            <w:tcBorders>
              <w:top w:val="nil"/>
              <w:left w:val="nil"/>
              <w:bottom w:val="single" w:sz="4" w:space="0" w:color="auto"/>
              <w:right w:val="single" w:sz="4" w:space="0" w:color="auto"/>
            </w:tcBorders>
            <w:shd w:val="clear" w:color="auto" w:fill="auto"/>
            <w:vAlign w:val="center"/>
            <w:hideMark/>
          </w:tcPr>
          <w:p w14:paraId="15BD363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81,6</w:t>
            </w:r>
          </w:p>
        </w:tc>
        <w:tc>
          <w:tcPr>
            <w:tcW w:w="931" w:type="dxa"/>
            <w:tcBorders>
              <w:top w:val="nil"/>
              <w:left w:val="nil"/>
              <w:bottom w:val="single" w:sz="4" w:space="0" w:color="auto"/>
              <w:right w:val="single" w:sz="4" w:space="0" w:color="auto"/>
            </w:tcBorders>
            <w:shd w:val="clear" w:color="auto" w:fill="auto"/>
            <w:vAlign w:val="center"/>
            <w:hideMark/>
          </w:tcPr>
          <w:p w14:paraId="16D671E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47,6</w:t>
            </w:r>
          </w:p>
        </w:tc>
        <w:tc>
          <w:tcPr>
            <w:tcW w:w="732" w:type="dxa"/>
            <w:tcBorders>
              <w:top w:val="nil"/>
              <w:left w:val="nil"/>
              <w:bottom w:val="single" w:sz="4" w:space="0" w:color="auto"/>
              <w:right w:val="single" w:sz="4" w:space="0" w:color="auto"/>
            </w:tcBorders>
            <w:shd w:val="clear" w:color="auto" w:fill="auto"/>
            <w:vAlign w:val="center"/>
            <w:hideMark/>
          </w:tcPr>
          <w:p w14:paraId="3BDC065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80,0</w:t>
            </w:r>
          </w:p>
        </w:tc>
        <w:tc>
          <w:tcPr>
            <w:tcW w:w="1016" w:type="dxa"/>
            <w:tcBorders>
              <w:top w:val="nil"/>
              <w:left w:val="nil"/>
              <w:bottom w:val="single" w:sz="4" w:space="0" w:color="auto"/>
              <w:right w:val="single" w:sz="4" w:space="0" w:color="auto"/>
            </w:tcBorders>
            <w:shd w:val="clear" w:color="auto" w:fill="auto"/>
            <w:vAlign w:val="center"/>
            <w:hideMark/>
          </w:tcPr>
          <w:p w14:paraId="02EC925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80,0</w:t>
            </w:r>
          </w:p>
        </w:tc>
        <w:tc>
          <w:tcPr>
            <w:tcW w:w="997" w:type="dxa"/>
            <w:tcBorders>
              <w:top w:val="nil"/>
              <w:left w:val="nil"/>
              <w:bottom w:val="single" w:sz="4" w:space="0" w:color="auto"/>
              <w:right w:val="single" w:sz="4" w:space="0" w:color="auto"/>
            </w:tcBorders>
            <w:shd w:val="clear" w:color="auto" w:fill="auto"/>
            <w:vAlign w:val="center"/>
            <w:hideMark/>
          </w:tcPr>
          <w:p w14:paraId="48B635A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67,6</w:t>
            </w:r>
          </w:p>
        </w:tc>
        <w:tc>
          <w:tcPr>
            <w:tcW w:w="1437" w:type="dxa"/>
            <w:tcBorders>
              <w:top w:val="nil"/>
              <w:left w:val="nil"/>
              <w:bottom w:val="single" w:sz="4" w:space="0" w:color="auto"/>
              <w:right w:val="single" w:sz="4" w:space="0" w:color="auto"/>
            </w:tcBorders>
            <w:shd w:val="clear" w:color="auto" w:fill="auto"/>
            <w:vAlign w:val="center"/>
            <w:hideMark/>
          </w:tcPr>
          <w:p w14:paraId="1134DD5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82,5</w:t>
            </w:r>
          </w:p>
        </w:tc>
        <w:tc>
          <w:tcPr>
            <w:tcW w:w="1262" w:type="dxa"/>
            <w:tcBorders>
              <w:top w:val="nil"/>
              <w:left w:val="nil"/>
              <w:bottom w:val="single" w:sz="4" w:space="0" w:color="auto"/>
              <w:right w:val="single" w:sz="4" w:space="0" w:color="auto"/>
            </w:tcBorders>
            <w:shd w:val="clear" w:color="auto" w:fill="auto"/>
            <w:vAlign w:val="center"/>
            <w:hideMark/>
          </w:tcPr>
          <w:p w14:paraId="341B969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41,2</w:t>
            </w:r>
          </w:p>
        </w:tc>
        <w:tc>
          <w:tcPr>
            <w:tcW w:w="1085" w:type="dxa"/>
            <w:tcBorders>
              <w:top w:val="nil"/>
              <w:left w:val="nil"/>
              <w:bottom w:val="single" w:sz="4" w:space="0" w:color="auto"/>
              <w:right w:val="single" w:sz="4" w:space="0" w:color="auto"/>
            </w:tcBorders>
            <w:shd w:val="clear" w:color="auto" w:fill="auto"/>
            <w:vAlign w:val="center"/>
            <w:hideMark/>
          </w:tcPr>
          <w:p w14:paraId="216CE5B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62,0</w:t>
            </w:r>
          </w:p>
        </w:tc>
        <w:tc>
          <w:tcPr>
            <w:tcW w:w="916" w:type="dxa"/>
            <w:tcBorders>
              <w:top w:val="nil"/>
              <w:left w:val="nil"/>
              <w:bottom w:val="single" w:sz="4" w:space="0" w:color="auto"/>
              <w:right w:val="single" w:sz="4" w:space="0" w:color="auto"/>
            </w:tcBorders>
            <w:shd w:val="clear" w:color="auto" w:fill="auto"/>
            <w:vAlign w:val="center"/>
            <w:hideMark/>
          </w:tcPr>
          <w:p w14:paraId="69B6570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78,7</w:t>
            </w:r>
          </w:p>
        </w:tc>
        <w:tc>
          <w:tcPr>
            <w:tcW w:w="871" w:type="dxa"/>
            <w:tcBorders>
              <w:top w:val="nil"/>
              <w:left w:val="nil"/>
              <w:bottom w:val="single" w:sz="4" w:space="0" w:color="auto"/>
              <w:right w:val="single" w:sz="4" w:space="0" w:color="auto"/>
            </w:tcBorders>
            <w:shd w:val="clear" w:color="auto" w:fill="auto"/>
            <w:vAlign w:val="center"/>
            <w:hideMark/>
          </w:tcPr>
          <w:p w14:paraId="1336944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89,4</w:t>
            </w:r>
          </w:p>
        </w:tc>
      </w:tr>
      <w:tr w:rsidR="00457E80" w:rsidRPr="00036538" w14:paraId="1E906F9A"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4A61DA9"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83</w:t>
            </w:r>
          </w:p>
        </w:tc>
        <w:tc>
          <w:tcPr>
            <w:tcW w:w="908" w:type="dxa"/>
            <w:tcBorders>
              <w:top w:val="nil"/>
              <w:left w:val="nil"/>
              <w:bottom w:val="single" w:sz="4" w:space="0" w:color="auto"/>
              <w:right w:val="single" w:sz="4" w:space="0" w:color="auto"/>
            </w:tcBorders>
            <w:shd w:val="clear" w:color="auto" w:fill="auto"/>
            <w:vAlign w:val="bottom"/>
            <w:hideMark/>
          </w:tcPr>
          <w:p w14:paraId="03CCCA7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Сан-Паоло</w:t>
            </w:r>
          </w:p>
        </w:tc>
        <w:tc>
          <w:tcPr>
            <w:tcW w:w="1028" w:type="dxa"/>
            <w:tcBorders>
              <w:top w:val="nil"/>
              <w:left w:val="nil"/>
              <w:bottom w:val="single" w:sz="4" w:space="0" w:color="auto"/>
              <w:right w:val="single" w:sz="4" w:space="0" w:color="auto"/>
            </w:tcBorders>
            <w:shd w:val="clear" w:color="auto" w:fill="auto"/>
            <w:vAlign w:val="bottom"/>
            <w:hideMark/>
          </w:tcPr>
          <w:p w14:paraId="62800A8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Бразилия</w:t>
            </w:r>
          </w:p>
        </w:tc>
        <w:tc>
          <w:tcPr>
            <w:tcW w:w="612" w:type="dxa"/>
            <w:tcBorders>
              <w:top w:val="nil"/>
              <w:left w:val="nil"/>
              <w:bottom w:val="single" w:sz="4" w:space="0" w:color="auto"/>
              <w:right w:val="single" w:sz="4" w:space="0" w:color="auto"/>
            </w:tcBorders>
            <w:shd w:val="clear" w:color="000000" w:fill="92D050"/>
            <w:noWrap/>
            <w:vAlign w:val="center"/>
            <w:hideMark/>
          </w:tcPr>
          <w:p w14:paraId="65219C7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632</w:t>
            </w:r>
          </w:p>
        </w:tc>
        <w:tc>
          <w:tcPr>
            <w:tcW w:w="1145" w:type="dxa"/>
            <w:tcBorders>
              <w:top w:val="nil"/>
              <w:left w:val="nil"/>
              <w:bottom w:val="single" w:sz="4" w:space="0" w:color="auto"/>
              <w:right w:val="single" w:sz="4" w:space="0" w:color="auto"/>
            </w:tcBorders>
            <w:shd w:val="clear" w:color="auto" w:fill="auto"/>
            <w:noWrap/>
            <w:vAlign w:val="center"/>
            <w:hideMark/>
          </w:tcPr>
          <w:p w14:paraId="557C4185"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Brazil São Paulo</w:t>
            </w:r>
          </w:p>
        </w:tc>
        <w:tc>
          <w:tcPr>
            <w:tcW w:w="612" w:type="dxa"/>
            <w:tcBorders>
              <w:top w:val="nil"/>
              <w:left w:val="nil"/>
              <w:bottom w:val="single" w:sz="4" w:space="0" w:color="auto"/>
              <w:right w:val="single" w:sz="4" w:space="0" w:color="auto"/>
            </w:tcBorders>
            <w:shd w:val="clear" w:color="auto" w:fill="auto"/>
            <w:noWrap/>
            <w:vAlign w:val="center"/>
            <w:hideMark/>
          </w:tcPr>
          <w:p w14:paraId="1AEA5F5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58,8</w:t>
            </w:r>
          </w:p>
        </w:tc>
        <w:tc>
          <w:tcPr>
            <w:tcW w:w="818" w:type="dxa"/>
            <w:tcBorders>
              <w:top w:val="nil"/>
              <w:left w:val="nil"/>
              <w:bottom w:val="single" w:sz="4" w:space="0" w:color="auto"/>
              <w:right w:val="single" w:sz="4" w:space="0" w:color="auto"/>
            </w:tcBorders>
            <w:shd w:val="clear" w:color="auto" w:fill="auto"/>
            <w:noWrap/>
            <w:vAlign w:val="center"/>
            <w:hideMark/>
          </w:tcPr>
          <w:p w14:paraId="2C574B4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81,6</w:t>
            </w:r>
          </w:p>
        </w:tc>
        <w:tc>
          <w:tcPr>
            <w:tcW w:w="931" w:type="dxa"/>
            <w:tcBorders>
              <w:top w:val="nil"/>
              <w:left w:val="nil"/>
              <w:bottom w:val="single" w:sz="4" w:space="0" w:color="auto"/>
              <w:right w:val="single" w:sz="4" w:space="0" w:color="auto"/>
            </w:tcBorders>
            <w:shd w:val="clear" w:color="auto" w:fill="auto"/>
            <w:vAlign w:val="center"/>
            <w:hideMark/>
          </w:tcPr>
          <w:p w14:paraId="2BF03DC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55,0</w:t>
            </w:r>
          </w:p>
        </w:tc>
        <w:tc>
          <w:tcPr>
            <w:tcW w:w="732" w:type="dxa"/>
            <w:tcBorders>
              <w:top w:val="nil"/>
              <w:left w:val="nil"/>
              <w:bottom w:val="single" w:sz="4" w:space="0" w:color="auto"/>
              <w:right w:val="single" w:sz="4" w:space="0" w:color="auto"/>
            </w:tcBorders>
            <w:shd w:val="clear" w:color="auto" w:fill="auto"/>
            <w:noWrap/>
            <w:vAlign w:val="center"/>
            <w:hideMark/>
          </w:tcPr>
          <w:p w14:paraId="3A80059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50,0</w:t>
            </w:r>
          </w:p>
        </w:tc>
        <w:tc>
          <w:tcPr>
            <w:tcW w:w="1016" w:type="dxa"/>
            <w:tcBorders>
              <w:top w:val="nil"/>
              <w:left w:val="nil"/>
              <w:bottom w:val="single" w:sz="4" w:space="0" w:color="auto"/>
              <w:right w:val="single" w:sz="4" w:space="0" w:color="auto"/>
            </w:tcBorders>
            <w:shd w:val="clear" w:color="auto" w:fill="auto"/>
            <w:vAlign w:val="center"/>
            <w:hideMark/>
          </w:tcPr>
          <w:p w14:paraId="5C625D9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997" w:type="dxa"/>
            <w:tcBorders>
              <w:top w:val="nil"/>
              <w:left w:val="nil"/>
              <w:bottom w:val="single" w:sz="4" w:space="0" w:color="auto"/>
              <w:right w:val="single" w:sz="4" w:space="0" w:color="auto"/>
            </w:tcBorders>
            <w:shd w:val="clear" w:color="auto" w:fill="auto"/>
            <w:vAlign w:val="center"/>
            <w:hideMark/>
          </w:tcPr>
          <w:p w14:paraId="44AC985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34,4</w:t>
            </w:r>
          </w:p>
        </w:tc>
        <w:tc>
          <w:tcPr>
            <w:tcW w:w="1437" w:type="dxa"/>
            <w:tcBorders>
              <w:top w:val="nil"/>
              <w:left w:val="nil"/>
              <w:bottom w:val="single" w:sz="4" w:space="0" w:color="auto"/>
              <w:right w:val="single" w:sz="4" w:space="0" w:color="auto"/>
            </w:tcBorders>
            <w:shd w:val="clear" w:color="auto" w:fill="auto"/>
            <w:vAlign w:val="center"/>
            <w:hideMark/>
          </w:tcPr>
          <w:p w14:paraId="2C5CDD1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69,9</w:t>
            </w:r>
          </w:p>
        </w:tc>
        <w:tc>
          <w:tcPr>
            <w:tcW w:w="1262" w:type="dxa"/>
            <w:tcBorders>
              <w:top w:val="nil"/>
              <w:left w:val="nil"/>
              <w:bottom w:val="single" w:sz="4" w:space="0" w:color="auto"/>
              <w:right w:val="single" w:sz="4" w:space="0" w:color="auto"/>
            </w:tcBorders>
            <w:shd w:val="clear" w:color="auto" w:fill="auto"/>
            <w:vAlign w:val="center"/>
            <w:hideMark/>
          </w:tcPr>
          <w:p w14:paraId="019B21B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65,4</w:t>
            </w:r>
          </w:p>
        </w:tc>
        <w:tc>
          <w:tcPr>
            <w:tcW w:w="1085" w:type="dxa"/>
            <w:tcBorders>
              <w:top w:val="nil"/>
              <w:left w:val="nil"/>
              <w:bottom w:val="single" w:sz="4" w:space="0" w:color="auto"/>
              <w:right w:val="single" w:sz="4" w:space="0" w:color="auto"/>
            </w:tcBorders>
            <w:shd w:val="clear" w:color="auto" w:fill="auto"/>
            <w:vAlign w:val="center"/>
            <w:hideMark/>
          </w:tcPr>
          <w:p w14:paraId="37681E5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50,4</w:t>
            </w:r>
          </w:p>
        </w:tc>
        <w:tc>
          <w:tcPr>
            <w:tcW w:w="916" w:type="dxa"/>
            <w:tcBorders>
              <w:top w:val="nil"/>
              <w:left w:val="nil"/>
              <w:bottom w:val="single" w:sz="4" w:space="0" w:color="auto"/>
              <w:right w:val="single" w:sz="4" w:space="0" w:color="auto"/>
            </w:tcBorders>
            <w:shd w:val="clear" w:color="auto" w:fill="auto"/>
            <w:vAlign w:val="center"/>
            <w:hideMark/>
          </w:tcPr>
          <w:p w14:paraId="30612C2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47,7</w:t>
            </w:r>
          </w:p>
        </w:tc>
        <w:tc>
          <w:tcPr>
            <w:tcW w:w="871" w:type="dxa"/>
            <w:tcBorders>
              <w:top w:val="nil"/>
              <w:left w:val="nil"/>
              <w:bottom w:val="single" w:sz="4" w:space="0" w:color="auto"/>
              <w:right w:val="single" w:sz="4" w:space="0" w:color="auto"/>
            </w:tcBorders>
            <w:shd w:val="clear" w:color="auto" w:fill="auto"/>
            <w:vAlign w:val="center"/>
            <w:hideMark/>
          </w:tcPr>
          <w:p w14:paraId="1AE6AD3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72,0</w:t>
            </w:r>
          </w:p>
        </w:tc>
      </w:tr>
      <w:tr w:rsidR="00457E80" w:rsidRPr="00036538" w14:paraId="34C1F27E"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6161F25"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84</w:t>
            </w:r>
          </w:p>
        </w:tc>
        <w:tc>
          <w:tcPr>
            <w:tcW w:w="908" w:type="dxa"/>
            <w:tcBorders>
              <w:top w:val="nil"/>
              <w:left w:val="nil"/>
              <w:bottom w:val="single" w:sz="4" w:space="0" w:color="auto"/>
              <w:right w:val="single" w:sz="4" w:space="0" w:color="auto"/>
            </w:tcBorders>
            <w:shd w:val="clear" w:color="auto" w:fill="auto"/>
            <w:vAlign w:val="bottom"/>
            <w:hideMark/>
          </w:tcPr>
          <w:p w14:paraId="39B58AC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Будапешт</w:t>
            </w:r>
          </w:p>
        </w:tc>
        <w:tc>
          <w:tcPr>
            <w:tcW w:w="1028" w:type="dxa"/>
            <w:tcBorders>
              <w:top w:val="nil"/>
              <w:left w:val="nil"/>
              <w:bottom w:val="single" w:sz="4" w:space="0" w:color="auto"/>
              <w:right w:val="single" w:sz="4" w:space="0" w:color="auto"/>
            </w:tcBorders>
            <w:shd w:val="clear" w:color="auto" w:fill="auto"/>
            <w:vAlign w:val="bottom"/>
            <w:hideMark/>
          </w:tcPr>
          <w:p w14:paraId="049916C9"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Венгрия</w:t>
            </w:r>
          </w:p>
        </w:tc>
        <w:tc>
          <w:tcPr>
            <w:tcW w:w="612" w:type="dxa"/>
            <w:tcBorders>
              <w:top w:val="nil"/>
              <w:left w:val="nil"/>
              <w:bottom w:val="single" w:sz="4" w:space="0" w:color="auto"/>
              <w:right w:val="single" w:sz="4" w:space="0" w:color="auto"/>
            </w:tcBorders>
            <w:shd w:val="clear" w:color="000000" w:fill="92D050"/>
            <w:vAlign w:val="center"/>
            <w:hideMark/>
          </w:tcPr>
          <w:p w14:paraId="000BDC7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628</w:t>
            </w:r>
          </w:p>
        </w:tc>
        <w:tc>
          <w:tcPr>
            <w:tcW w:w="1145" w:type="dxa"/>
            <w:tcBorders>
              <w:top w:val="nil"/>
              <w:left w:val="nil"/>
              <w:bottom w:val="single" w:sz="4" w:space="0" w:color="auto"/>
              <w:right w:val="single" w:sz="4" w:space="0" w:color="auto"/>
            </w:tcBorders>
            <w:shd w:val="clear" w:color="auto" w:fill="auto"/>
            <w:vAlign w:val="center"/>
            <w:hideMark/>
          </w:tcPr>
          <w:p w14:paraId="6216551D"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Hungary</w:t>
            </w:r>
          </w:p>
        </w:tc>
        <w:tc>
          <w:tcPr>
            <w:tcW w:w="612" w:type="dxa"/>
            <w:tcBorders>
              <w:top w:val="nil"/>
              <w:left w:val="nil"/>
              <w:bottom w:val="single" w:sz="4" w:space="0" w:color="auto"/>
              <w:right w:val="single" w:sz="4" w:space="0" w:color="auto"/>
            </w:tcBorders>
            <w:shd w:val="clear" w:color="auto" w:fill="auto"/>
            <w:vAlign w:val="center"/>
            <w:hideMark/>
          </w:tcPr>
          <w:p w14:paraId="0DCC321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73,4</w:t>
            </w:r>
          </w:p>
        </w:tc>
        <w:tc>
          <w:tcPr>
            <w:tcW w:w="818" w:type="dxa"/>
            <w:tcBorders>
              <w:top w:val="nil"/>
              <w:left w:val="nil"/>
              <w:bottom w:val="single" w:sz="4" w:space="0" w:color="auto"/>
              <w:right w:val="single" w:sz="4" w:space="0" w:color="auto"/>
            </w:tcBorders>
            <w:shd w:val="clear" w:color="auto" w:fill="auto"/>
            <w:vAlign w:val="center"/>
            <w:hideMark/>
          </w:tcPr>
          <w:p w14:paraId="6DAAB42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88,2</w:t>
            </w:r>
          </w:p>
        </w:tc>
        <w:tc>
          <w:tcPr>
            <w:tcW w:w="931" w:type="dxa"/>
            <w:tcBorders>
              <w:top w:val="nil"/>
              <w:left w:val="nil"/>
              <w:bottom w:val="single" w:sz="4" w:space="0" w:color="auto"/>
              <w:right w:val="single" w:sz="4" w:space="0" w:color="auto"/>
            </w:tcBorders>
            <w:shd w:val="clear" w:color="auto" w:fill="auto"/>
            <w:vAlign w:val="center"/>
            <w:hideMark/>
          </w:tcPr>
          <w:p w14:paraId="48CE62E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80,1</w:t>
            </w:r>
          </w:p>
        </w:tc>
        <w:tc>
          <w:tcPr>
            <w:tcW w:w="732" w:type="dxa"/>
            <w:tcBorders>
              <w:top w:val="nil"/>
              <w:left w:val="nil"/>
              <w:bottom w:val="single" w:sz="4" w:space="0" w:color="auto"/>
              <w:right w:val="single" w:sz="4" w:space="0" w:color="auto"/>
            </w:tcBorders>
            <w:shd w:val="clear" w:color="auto" w:fill="auto"/>
            <w:vAlign w:val="center"/>
            <w:hideMark/>
          </w:tcPr>
          <w:p w14:paraId="30B457C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1198922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54,0</w:t>
            </w:r>
          </w:p>
        </w:tc>
        <w:tc>
          <w:tcPr>
            <w:tcW w:w="997" w:type="dxa"/>
            <w:tcBorders>
              <w:top w:val="nil"/>
              <w:left w:val="nil"/>
              <w:bottom w:val="single" w:sz="4" w:space="0" w:color="auto"/>
              <w:right w:val="single" w:sz="4" w:space="0" w:color="auto"/>
            </w:tcBorders>
            <w:shd w:val="clear" w:color="auto" w:fill="auto"/>
            <w:vAlign w:val="center"/>
            <w:hideMark/>
          </w:tcPr>
          <w:p w14:paraId="252B139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80,6</w:t>
            </w:r>
          </w:p>
        </w:tc>
        <w:tc>
          <w:tcPr>
            <w:tcW w:w="1437" w:type="dxa"/>
            <w:tcBorders>
              <w:top w:val="nil"/>
              <w:left w:val="nil"/>
              <w:bottom w:val="single" w:sz="4" w:space="0" w:color="auto"/>
              <w:right w:val="single" w:sz="4" w:space="0" w:color="auto"/>
            </w:tcBorders>
            <w:shd w:val="clear" w:color="auto" w:fill="auto"/>
            <w:vAlign w:val="center"/>
            <w:hideMark/>
          </w:tcPr>
          <w:p w14:paraId="009A8D2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4424CA3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71,0</w:t>
            </w:r>
          </w:p>
        </w:tc>
        <w:tc>
          <w:tcPr>
            <w:tcW w:w="1085" w:type="dxa"/>
            <w:tcBorders>
              <w:top w:val="nil"/>
              <w:left w:val="nil"/>
              <w:bottom w:val="single" w:sz="4" w:space="0" w:color="auto"/>
              <w:right w:val="single" w:sz="4" w:space="0" w:color="auto"/>
            </w:tcBorders>
            <w:shd w:val="clear" w:color="auto" w:fill="auto"/>
            <w:vAlign w:val="center"/>
            <w:hideMark/>
          </w:tcPr>
          <w:p w14:paraId="526F2FD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55,0</w:t>
            </w:r>
          </w:p>
        </w:tc>
        <w:tc>
          <w:tcPr>
            <w:tcW w:w="916" w:type="dxa"/>
            <w:tcBorders>
              <w:top w:val="nil"/>
              <w:left w:val="nil"/>
              <w:bottom w:val="single" w:sz="4" w:space="0" w:color="auto"/>
              <w:right w:val="single" w:sz="4" w:space="0" w:color="auto"/>
            </w:tcBorders>
            <w:shd w:val="clear" w:color="auto" w:fill="auto"/>
            <w:vAlign w:val="center"/>
            <w:hideMark/>
          </w:tcPr>
          <w:p w14:paraId="0E8A704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67,0</w:t>
            </w:r>
          </w:p>
        </w:tc>
        <w:tc>
          <w:tcPr>
            <w:tcW w:w="871" w:type="dxa"/>
            <w:tcBorders>
              <w:top w:val="nil"/>
              <w:left w:val="nil"/>
              <w:bottom w:val="single" w:sz="4" w:space="0" w:color="auto"/>
              <w:right w:val="single" w:sz="4" w:space="0" w:color="auto"/>
            </w:tcBorders>
            <w:shd w:val="clear" w:color="auto" w:fill="auto"/>
            <w:vAlign w:val="center"/>
            <w:hideMark/>
          </w:tcPr>
          <w:p w14:paraId="7002C16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63,3</w:t>
            </w:r>
          </w:p>
        </w:tc>
      </w:tr>
      <w:tr w:rsidR="00457E80" w:rsidRPr="00036538" w14:paraId="07CA72CB" w14:textId="77777777" w:rsidTr="00576F59">
        <w:trPr>
          <w:trHeight w:val="6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F80AB9C"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85</w:t>
            </w:r>
          </w:p>
        </w:tc>
        <w:tc>
          <w:tcPr>
            <w:tcW w:w="908" w:type="dxa"/>
            <w:tcBorders>
              <w:top w:val="nil"/>
              <w:left w:val="nil"/>
              <w:bottom w:val="single" w:sz="4" w:space="0" w:color="auto"/>
              <w:right w:val="single" w:sz="4" w:space="0" w:color="auto"/>
            </w:tcBorders>
            <w:shd w:val="clear" w:color="auto" w:fill="auto"/>
            <w:vAlign w:val="bottom"/>
            <w:hideMark/>
          </w:tcPr>
          <w:p w14:paraId="56443F5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Йоханнесбург</w:t>
            </w:r>
          </w:p>
        </w:tc>
        <w:tc>
          <w:tcPr>
            <w:tcW w:w="1028" w:type="dxa"/>
            <w:tcBorders>
              <w:top w:val="nil"/>
              <w:left w:val="nil"/>
              <w:bottom w:val="single" w:sz="4" w:space="0" w:color="auto"/>
              <w:right w:val="single" w:sz="4" w:space="0" w:color="auto"/>
            </w:tcBorders>
            <w:shd w:val="clear" w:color="auto" w:fill="auto"/>
            <w:vAlign w:val="bottom"/>
            <w:hideMark/>
          </w:tcPr>
          <w:p w14:paraId="133F956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ЮАР</w:t>
            </w:r>
          </w:p>
        </w:tc>
        <w:tc>
          <w:tcPr>
            <w:tcW w:w="612" w:type="dxa"/>
            <w:tcBorders>
              <w:top w:val="nil"/>
              <w:left w:val="nil"/>
              <w:bottom w:val="single" w:sz="4" w:space="0" w:color="auto"/>
              <w:right w:val="single" w:sz="4" w:space="0" w:color="auto"/>
            </w:tcBorders>
            <w:shd w:val="clear" w:color="000000" w:fill="92D050"/>
            <w:vAlign w:val="center"/>
            <w:hideMark/>
          </w:tcPr>
          <w:p w14:paraId="09532FE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627</w:t>
            </w:r>
          </w:p>
        </w:tc>
        <w:tc>
          <w:tcPr>
            <w:tcW w:w="1145" w:type="dxa"/>
            <w:tcBorders>
              <w:top w:val="nil"/>
              <w:left w:val="nil"/>
              <w:bottom w:val="single" w:sz="4" w:space="0" w:color="auto"/>
              <w:right w:val="single" w:sz="4" w:space="0" w:color="auto"/>
            </w:tcBorders>
            <w:shd w:val="clear" w:color="auto" w:fill="auto"/>
            <w:vAlign w:val="center"/>
            <w:hideMark/>
          </w:tcPr>
          <w:p w14:paraId="5760FC64"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South Africa</w:t>
            </w:r>
          </w:p>
        </w:tc>
        <w:tc>
          <w:tcPr>
            <w:tcW w:w="612" w:type="dxa"/>
            <w:tcBorders>
              <w:top w:val="nil"/>
              <w:left w:val="nil"/>
              <w:bottom w:val="single" w:sz="4" w:space="0" w:color="auto"/>
              <w:right w:val="single" w:sz="4" w:space="0" w:color="auto"/>
            </w:tcBorders>
            <w:shd w:val="clear" w:color="auto" w:fill="auto"/>
            <w:vAlign w:val="center"/>
            <w:hideMark/>
          </w:tcPr>
          <w:p w14:paraId="3EBF7BD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67,0</w:t>
            </w:r>
          </w:p>
        </w:tc>
        <w:tc>
          <w:tcPr>
            <w:tcW w:w="818" w:type="dxa"/>
            <w:tcBorders>
              <w:top w:val="nil"/>
              <w:left w:val="nil"/>
              <w:bottom w:val="single" w:sz="4" w:space="0" w:color="auto"/>
              <w:right w:val="single" w:sz="4" w:space="0" w:color="auto"/>
            </w:tcBorders>
            <w:shd w:val="clear" w:color="auto" w:fill="auto"/>
            <w:vAlign w:val="center"/>
            <w:hideMark/>
          </w:tcPr>
          <w:p w14:paraId="52FFD0E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81,2</w:t>
            </w:r>
          </w:p>
        </w:tc>
        <w:tc>
          <w:tcPr>
            <w:tcW w:w="931" w:type="dxa"/>
            <w:tcBorders>
              <w:top w:val="nil"/>
              <w:left w:val="nil"/>
              <w:bottom w:val="single" w:sz="4" w:space="0" w:color="auto"/>
              <w:right w:val="single" w:sz="4" w:space="0" w:color="auto"/>
            </w:tcBorders>
            <w:shd w:val="clear" w:color="auto" w:fill="auto"/>
            <w:vAlign w:val="center"/>
            <w:hideMark/>
          </w:tcPr>
          <w:p w14:paraId="3AFF402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59,5</w:t>
            </w:r>
          </w:p>
        </w:tc>
        <w:tc>
          <w:tcPr>
            <w:tcW w:w="732" w:type="dxa"/>
            <w:tcBorders>
              <w:top w:val="nil"/>
              <w:left w:val="nil"/>
              <w:bottom w:val="single" w:sz="4" w:space="0" w:color="auto"/>
              <w:right w:val="single" w:sz="4" w:space="0" w:color="auto"/>
            </w:tcBorders>
            <w:shd w:val="clear" w:color="auto" w:fill="auto"/>
            <w:vAlign w:val="center"/>
            <w:hideMark/>
          </w:tcPr>
          <w:p w14:paraId="6D4C33F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60,0</w:t>
            </w:r>
          </w:p>
        </w:tc>
        <w:tc>
          <w:tcPr>
            <w:tcW w:w="1016" w:type="dxa"/>
            <w:tcBorders>
              <w:top w:val="nil"/>
              <w:left w:val="nil"/>
              <w:bottom w:val="single" w:sz="4" w:space="0" w:color="auto"/>
              <w:right w:val="single" w:sz="4" w:space="0" w:color="auto"/>
            </w:tcBorders>
            <w:shd w:val="clear" w:color="auto" w:fill="auto"/>
            <w:vAlign w:val="center"/>
            <w:hideMark/>
          </w:tcPr>
          <w:p w14:paraId="1F73505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80,0</w:t>
            </w:r>
          </w:p>
        </w:tc>
        <w:tc>
          <w:tcPr>
            <w:tcW w:w="997" w:type="dxa"/>
            <w:tcBorders>
              <w:top w:val="nil"/>
              <w:left w:val="nil"/>
              <w:bottom w:val="single" w:sz="4" w:space="0" w:color="auto"/>
              <w:right w:val="single" w:sz="4" w:space="0" w:color="auto"/>
            </w:tcBorders>
            <w:shd w:val="clear" w:color="auto" w:fill="auto"/>
            <w:vAlign w:val="center"/>
            <w:hideMark/>
          </w:tcPr>
          <w:p w14:paraId="25DF0FE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81,2</w:t>
            </w:r>
          </w:p>
        </w:tc>
        <w:tc>
          <w:tcPr>
            <w:tcW w:w="1437" w:type="dxa"/>
            <w:tcBorders>
              <w:top w:val="nil"/>
              <w:left w:val="nil"/>
              <w:bottom w:val="single" w:sz="4" w:space="0" w:color="auto"/>
              <w:right w:val="single" w:sz="4" w:space="0" w:color="auto"/>
            </w:tcBorders>
            <w:shd w:val="clear" w:color="auto" w:fill="auto"/>
            <w:vAlign w:val="center"/>
            <w:hideMark/>
          </w:tcPr>
          <w:p w14:paraId="7970C32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59,6</w:t>
            </w:r>
          </w:p>
        </w:tc>
        <w:tc>
          <w:tcPr>
            <w:tcW w:w="1262" w:type="dxa"/>
            <w:tcBorders>
              <w:top w:val="nil"/>
              <w:left w:val="nil"/>
              <w:bottom w:val="single" w:sz="4" w:space="0" w:color="auto"/>
              <w:right w:val="single" w:sz="4" w:space="0" w:color="auto"/>
            </w:tcBorders>
            <w:shd w:val="clear" w:color="auto" w:fill="auto"/>
            <w:vAlign w:val="center"/>
            <w:hideMark/>
          </w:tcPr>
          <w:p w14:paraId="75FC045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56,9</w:t>
            </w:r>
          </w:p>
        </w:tc>
        <w:tc>
          <w:tcPr>
            <w:tcW w:w="1085" w:type="dxa"/>
            <w:tcBorders>
              <w:top w:val="nil"/>
              <w:left w:val="nil"/>
              <w:bottom w:val="single" w:sz="4" w:space="0" w:color="auto"/>
              <w:right w:val="single" w:sz="4" w:space="0" w:color="auto"/>
            </w:tcBorders>
            <w:shd w:val="clear" w:color="auto" w:fill="auto"/>
            <w:vAlign w:val="center"/>
            <w:hideMark/>
          </w:tcPr>
          <w:p w14:paraId="603F4E9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54,6</w:t>
            </w:r>
          </w:p>
        </w:tc>
        <w:tc>
          <w:tcPr>
            <w:tcW w:w="916" w:type="dxa"/>
            <w:tcBorders>
              <w:top w:val="nil"/>
              <w:left w:val="nil"/>
              <w:bottom w:val="single" w:sz="4" w:space="0" w:color="auto"/>
              <w:right w:val="single" w:sz="4" w:space="0" w:color="auto"/>
            </w:tcBorders>
            <w:shd w:val="clear" w:color="auto" w:fill="auto"/>
            <w:vAlign w:val="center"/>
            <w:hideMark/>
          </w:tcPr>
          <w:p w14:paraId="77B7516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68,3</w:t>
            </w:r>
          </w:p>
        </w:tc>
        <w:tc>
          <w:tcPr>
            <w:tcW w:w="871" w:type="dxa"/>
            <w:tcBorders>
              <w:top w:val="nil"/>
              <w:left w:val="nil"/>
              <w:bottom w:val="single" w:sz="4" w:space="0" w:color="auto"/>
              <w:right w:val="single" w:sz="4" w:space="0" w:color="auto"/>
            </w:tcBorders>
            <w:shd w:val="clear" w:color="auto" w:fill="auto"/>
            <w:vAlign w:val="center"/>
            <w:hideMark/>
          </w:tcPr>
          <w:p w14:paraId="4EBB702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68,8</w:t>
            </w:r>
          </w:p>
        </w:tc>
      </w:tr>
      <w:tr w:rsidR="00457E80" w:rsidRPr="00036538" w14:paraId="589D3002"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CA29B6D"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86</w:t>
            </w:r>
          </w:p>
        </w:tc>
        <w:tc>
          <w:tcPr>
            <w:tcW w:w="908" w:type="dxa"/>
            <w:tcBorders>
              <w:top w:val="nil"/>
              <w:left w:val="nil"/>
              <w:bottom w:val="single" w:sz="4" w:space="0" w:color="auto"/>
              <w:right w:val="single" w:sz="4" w:space="0" w:color="auto"/>
            </w:tcBorders>
            <w:shd w:val="clear" w:color="auto" w:fill="auto"/>
            <w:noWrap/>
            <w:vAlign w:val="bottom"/>
            <w:hideMark/>
          </w:tcPr>
          <w:p w14:paraId="0531A1F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Монако</w:t>
            </w:r>
          </w:p>
        </w:tc>
        <w:tc>
          <w:tcPr>
            <w:tcW w:w="1028" w:type="dxa"/>
            <w:tcBorders>
              <w:top w:val="nil"/>
              <w:left w:val="nil"/>
              <w:bottom w:val="single" w:sz="4" w:space="0" w:color="auto"/>
              <w:right w:val="single" w:sz="4" w:space="0" w:color="auto"/>
            </w:tcBorders>
            <w:shd w:val="clear" w:color="auto" w:fill="auto"/>
            <w:noWrap/>
            <w:vAlign w:val="bottom"/>
            <w:hideMark/>
          </w:tcPr>
          <w:p w14:paraId="5C1EE32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Франция</w:t>
            </w:r>
          </w:p>
        </w:tc>
        <w:tc>
          <w:tcPr>
            <w:tcW w:w="612" w:type="dxa"/>
            <w:tcBorders>
              <w:top w:val="nil"/>
              <w:left w:val="nil"/>
              <w:bottom w:val="single" w:sz="4" w:space="0" w:color="auto"/>
              <w:right w:val="single" w:sz="4" w:space="0" w:color="auto"/>
            </w:tcBorders>
            <w:shd w:val="clear" w:color="000000" w:fill="92D050"/>
            <w:noWrap/>
            <w:vAlign w:val="center"/>
            <w:hideMark/>
          </w:tcPr>
          <w:p w14:paraId="27FC72D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626</w:t>
            </w:r>
          </w:p>
        </w:tc>
        <w:tc>
          <w:tcPr>
            <w:tcW w:w="1145" w:type="dxa"/>
            <w:tcBorders>
              <w:top w:val="nil"/>
              <w:left w:val="nil"/>
              <w:bottom w:val="single" w:sz="4" w:space="0" w:color="auto"/>
              <w:right w:val="single" w:sz="4" w:space="0" w:color="auto"/>
            </w:tcBorders>
            <w:shd w:val="clear" w:color="auto" w:fill="auto"/>
            <w:noWrap/>
            <w:vAlign w:val="center"/>
            <w:hideMark/>
          </w:tcPr>
          <w:p w14:paraId="1ACF1DCB"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France</w:t>
            </w:r>
          </w:p>
        </w:tc>
        <w:tc>
          <w:tcPr>
            <w:tcW w:w="612" w:type="dxa"/>
            <w:tcBorders>
              <w:top w:val="nil"/>
              <w:left w:val="nil"/>
              <w:bottom w:val="single" w:sz="4" w:space="0" w:color="auto"/>
              <w:right w:val="single" w:sz="4" w:space="0" w:color="auto"/>
            </w:tcBorders>
            <w:shd w:val="clear" w:color="auto" w:fill="auto"/>
            <w:noWrap/>
            <w:vAlign w:val="center"/>
            <w:hideMark/>
          </w:tcPr>
          <w:p w14:paraId="16B6AD3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76,8</w:t>
            </w:r>
          </w:p>
        </w:tc>
        <w:tc>
          <w:tcPr>
            <w:tcW w:w="818" w:type="dxa"/>
            <w:tcBorders>
              <w:top w:val="nil"/>
              <w:left w:val="nil"/>
              <w:bottom w:val="single" w:sz="4" w:space="0" w:color="auto"/>
              <w:right w:val="single" w:sz="4" w:space="0" w:color="auto"/>
            </w:tcBorders>
            <w:shd w:val="clear" w:color="auto" w:fill="auto"/>
            <w:noWrap/>
            <w:vAlign w:val="center"/>
            <w:hideMark/>
          </w:tcPr>
          <w:p w14:paraId="7920FBB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93,1</w:t>
            </w:r>
          </w:p>
        </w:tc>
        <w:tc>
          <w:tcPr>
            <w:tcW w:w="931" w:type="dxa"/>
            <w:tcBorders>
              <w:top w:val="nil"/>
              <w:left w:val="nil"/>
              <w:bottom w:val="single" w:sz="4" w:space="0" w:color="auto"/>
              <w:right w:val="single" w:sz="4" w:space="0" w:color="auto"/>
            </w:tcBorders>
            <w:shd w:val="clear" w:color="auto" w:fill="auto"/>
            <w:vAlign w:val="center"/>
            <w:hideMark/>
          </w:tcPr>
          <w:p w14:paraId="01656D4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63,3</w:t>
            </w:r>
          </w:p>
        </w:tc>
        <w:tc>
          <w:tcPr>
            <w:tcW w:w="732" w:type="dxa"/>
            <w:tcBorders>
              <w:top w:val="nil"/>
              <w:left w:val="nil"/>
              <w:bottom w:val="single" w:sz="4" w:space="0" w:color="auto"/>
              <w:right w:val="single" w:sz="4" w:space="0" w:color="auto"/>
            </w:tcBorders>
            <w:shd w:val="clear" w:color="auto" w:fill="auto"/>
            <w:noWrap/>
            <w:vAlign w:val="center"/>
            <w:hideMark/>
          </w:tcPr>
          <w:p w14:paraId="2B1F0A4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50,0</w:t>
            </w:r>
          </w:p>
        </w:tc>
        <w:tc>
          <w:tcPr>
            <w:tcW w:w="1016" w:type="dxa"/>
            <w:tcBorders>
              <w:top w:val="nil"/>
              <w:left w:val="nil"/>
              <w:bottom w:val="single" w:sz="4" w:space="0" w:color="auto"/>
              <w:right w:val="single" w:sz="4" w:space="0" w:color="auto"/>
            </w:tcBorders>
            <w:shd w:val="clear" w:color="auto" w:fill="auto"/>
            <w:vAlign w:val="center"/>
            <w:hideMark/>
          </w:tcPr>
          <w:p w14:paraId="60DAF1F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68,0</w:t>
            </w:r>
          </w:p>
        </w:tc>
        <w:tc>
          <w:tcPr>
            <w:tcW w:w="997" w:type="dxa"/>
            <w:tcBorders>
              <w:top w:val="nil"/>
              <w:left w:val="nil"/>
              <w:bottom w:val="single" w:sz="4" w:space="0" w:color="auto"/>
              <w:right w:val="single" w:sz="4" w:space="0" w:color="auto"/>
            </w:tcBorders>
            <w:shd w:val="clear" w:color="auto" w:fill="auto"/>
            <w:vAlign w:val="center"/>
            <w:hideMark/>
          </w:tcPr>
          <w:p w14:paraId="4A811C0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79,2</w:t>
            </w:r>
          </w:p>
        </w:tc>
        <w:tc>
          <w:tcPr>
            <w:tcW w:w="1437" w:type="dxa"/>
            <w:tcBorders>
              <w:top w:val="nil"/>
              <w:left w:val="nil"/>
              <w:bottom w:val="single" w:sz="4" w:space="0" w:color="auto"/>
              <w:right w:val="single" w:sz="4" w:space="0" w:color="auto"/>
            </w:tcBorders>
            <w:shd w:val="clear" w:color="auto" w:fill="auto"/>
            <w:vAlign w:val="center"/>
            <w:hideMark/>
          </w:tcPr>
          <w:p w14:paraId="561C4C5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100,0</w:t>
            </w:r>
          </w:p>
        </w:tc>
        <w:tc>
          <w:tcPr>
            <w:tcW w:w="1262" w:type="dxa"/>
            <w:tcBorders>
              <w:top w:val="nil"/>
              <w:left w:val="nil"/>
              <w:bottom w:val="single" w:sz="4" w:space="0" w:color="auto"/>
              <w:right w:val="single" w:sz="4" w:space="0" w:color="auto"/>
            </w:tcBorders>
            <w:shd w:val="clear" w:color="auto" w:fill="auto"/>
            <w:vAlign w:val="center"/>
            <w:hideMark/>
          </w:tcPr>
          <w:p w14:paraId="16A9C11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73,5</w:t>
            </w:r>
          </w:p>
        </w:tc>
        <w:tc>
          <w:tcPr>
            <w:tcW w:w="1085" w:type="dxa"/>
            <w:tcBorders>
              <w:top w:val="nil"/>
              <w:left w:val="nil"/>
              <w:bottom w:val="single" w:sz="4" w:space="0" w:color="auto"/>
              <w:right w:val="single" w:sz="4" w:space="0" w:color="auto"/>
            </w:tcBorders>
            <w:shd w:val="clear" w:color="auto" w:fill="auto"/>
            <w:vAlign w:val="center"/>
            <w:hideMark/>
          </w:tcPr>
          <w:p w14:paraId="096118C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74,6</w:t>
            </w:r>
          </w:p>
        </w:tc>
        <w:tc>
          <w:tcPr>
            <w:tcW w:w="916" w:type="dxa"/>
            <w:tcBorders>
              <w:top w:val="nil"/>
              <w:left w:val="nil"/>
              <w:bottom w:val="single" w:sz="4" w:space="0" w:color="auto"/>
              <w:right w:val="single" w:sz="4" w:space="0" w:color="auto"/>
            </w:tcBorders>
            <w:shd w:val="clear" w:color="auto" w:fill="auto"/>
            <w:vAlign w:val="center"/>
            <w:hideMark/>
          </w:tcPr>
          <w:p w14:paraId="6D011F9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74,3</w:t>
            </w:r>
          </w:p>
        </w:tc>
        <w:tc>
          <w:tcPr>
            <w:tcW w:w="871" w:type="dxa"/>
            <w:tcBorders>
              <w:top w:val="nil"/>
              <w:left w:val="nil"/>
              <w:bottom w:val="single" w:sz="4" w:space="0" w:color="auto"/>
              <w:right w:val="single" w:sz="4" w:space="0" w:color="auto"/>
            </w:tcBorders>
            <w:shd w:val="clear" w:color="auto" w:fill="auto"/>
            <w:vAlign w:val="center"/>
            <w:hideMark/>
          </w:tcPr>
          <w:p w14:paraId="5F263A7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92,0</w:t>
            </w:r>
          </w:p>
        </w:tc>
      </w:tr>
      <w:tr w:rsidR="00457E80" w:rsidRPr="00036538" w14:paraId="30EEC755"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1479B97"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87</w:t>
            </w:r>
          </w:p>
        </w:tc>
        <w:tc>
          <w:tcPr>
            <w:tcW w:w="908" w:type="dxa"/>
            <w:tcBorders>
              <w:top w:val="nil"/>
              <w:left w:val="nil"/>
              <w:bottom w:val="single" w:sz="4" w:space="0" w:color="auto"/>
              <w:right w:val="single" w:sz="4" w:space="0" w:color="auto"/>
            </w:tcBorders>
            <w:shd w:val="clear" w:color="auto" w:fill="auto"/>
            <w:noWrap/>
            <w:vAlign w:val="bottom"/>
            <w:hideMark/>
          </w:tcPr>
          <w:p w14:paraId="5328A1A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Найроби</w:t>
            </w:r>
          </w:p>
        </w:tc>
        <w:tc>
          <w:tcPr>
            <w:tcW w:w="1028" w:type="dxa"/>
            <w:tcBorders>
              <w:top w:val="nil"/>
              <w:left w:val="nil"/>
              <w:bottom w:val="single" w:sz="4" w:space="0" w:color="auto"/>
              <w:right w:val="single" w:sz="4" w:space="0" w:color="auto"/>
            </w:tcBorders>
            <w:shd w:val="clear" w:color="auto" w:fill="auto"/>
            <w:noWrap/>
            <w:vAlign w:val="bottom"/>
            <w:hideMark/>
          </w:tcPr>
          <w:p w14:paraId="58CF886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Кения</w:t>
            </w:r>
          </w:p>
        </w:tc>
        <w:tc>
          <w:tcPr>
            <w:tcW w:w="612" w:type="dxa"/>
            <w:tcBorders>
              <w:top w:val="nil"/>
              <w:left w:val="nil"/>
              <w:bottom w:val="single" w:sz="4" w:space="0" w:color="auto"/>
              <w:right w:val="single" w:sz="4" w:space="0" w:color="auto"/>
            </w:tcBorders>
            <w:shd w:val="clear" w:color="000000" w:fill="92D050"/>
            <w:vAlign w:val="center"/>
            <w:hideMark/>
          </w:tcPr>
          <w:p w14:paraId="2CB0720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625</w:t>
            </w:r>
          </w:p>
        </w:tc>
        <w:tc>
          <w:tcPr>
            <w:tcW w:w="1145" w:type="dxa"/>
            <w:tcBorders>
              <w:top w:val="nil"/>
              <w:left w:val="nil"/>
              <w:bottom w:val="single" w:sz="4" w:space="0" w:color="auto"/>
              <w:right w:val="single" w:sz="4" w:space="0" w:color="auto"/>
            </w:tcBorders>
            <w:shd w:val="clear" w:color="auto" w:fill="auto"/>
            <w:noWrap/>
            <w:vAlign w:val="center"/>
            <w:hideMark/>
          </w:tcPr>
          <w:p w14:paraId="0812EFCE"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Kenya</w:t>
            </w:r>
          </w:p>
        </w:tc>
        <w:tc>
          <w:tcPr>
            <w:tcW w:w="612" w:type="dxa"/>
            <w:tcBorders>
              <w:top w:val="nil"/>
              <w:left w:val="nil"/>
              <w:bottom w:val="single" w:sz="4" w:space="0" w:color="auto"/>
              <w:right w:val="single" w:sz="4" w:space="0" w:color="auto"/>
            </w:tcBorders>
            <w:shd w:val="clear" w:color="auto" w:fill="auto"/>
            <w:noWrap/>
            <w:vAlign w:val="center"/>
            <w:hideMark/>
          </w:tcPr>
          <w:p w14:paraId="598657F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73,2</w:t>
            </w:r>
          </w:p>
        </w:tc>
        <w:tc>
          <w:tcPr>
            <w:tcW w:w="818" w:type="dxa"/>
            <w:tcBorders>
              <w:top w:val="nil"/>
              <w:left w:val="nil"/>
              <w:bottom w:val="single" w:sz="4" w:space="0" w:color="auto"/>
              <w:right w:val="single" w:sz="4" w:space="0" w:color="auto"/>
            </w:tcBorders>
            <w:shd w:val="clear" w:color="auto" w:fill="auto"/>
            <w:noWrap/>
            <w:vAlign w:val="center"/>
            <w:hideMark/>
          </w:tcPr>
          <w:p w14:paraId="11E9D6C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82,7</w:t>
            </w:r>
          </w:p>
        </w:tc>
        <w:tc>
          <w:tcPr>
            <w:tcW w:w="931" w:type="dxa"/>
            <w:tcBorders>
              <w:top w:val="nil"/>
              <w:left w:val="nil"/>
              <w:bottom w:val="single" w:sz="4" w:space="0" w:color="auto"/>
              <w:right w:val="single" w:sz="4" w:space="0" w:color="auto"/>
            </w:tcBorders>
            <w:shd w:val="clear" w:color="auto" w:fill="auto"/>
            <w:vAlign w:val="center"/>
            <w:hideMark/>
          </w:tcPr>
          <w:p w14:paraId="52E0882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53,8</w:t>
            </w:r>
          </w:p>
        </w:tc>
        <w:tc>
          <w:tcPr>
            <w:tcW w:w="732" w:type="dxa"/>
            <w:tcBorders>
              <w:top w:val="nil"/>
              <w:left w:val="nil"/>
              <w:bottom w:val="single" w:sz="4" w:space="0" w:color="auto"/>
              <w:right w:val="single" w:sz="4" w:space="0" w:color="auto"/>
            </w:tcBorders>
            <w:shd w:val="clear" w:color="auto" w:fill="auto"/>
            <w:noWrap/>
            <w:vAlign w:val="center"/>
            <w:hideMark/>
          </w:tcPr>
          <w:p w14:paraId="0AD3F21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95,0</w:t>
            </w:r>
          </w:p>
        </w:tc>
        <w:tc>
          <w:tcPr>
            <w:tcW w:w="1016" w:type="dxa"/>
            <w:tcBorders>
              <w:top w:val="nil"/>
              <w:left w:val="nil"/>
              <w:bottom w:val="single" w:sz="4" w:space="0" w:color="auto"/>
              <w:right w:val="single" w:sz="4" w:space="0" w:color="auto"/>
            </w:tcBorders>
            <w:shd w:val="clear" w:color="auto" w:fill="auto"/>
            <w:vAlign w:val="center"/>
            <w:hideMark/>
          </w:tcPr>
          <w:p w14:paraId="7FFA755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92,0</w:t>
            </w:r>
          </w:p>
        </w:tc>
        <w:tc>
          <w:tcPr>
            <w:tcW w:w="997" w:type="dxa"/>
            <w:tcBorders>
              <w:top w:val="nil"/>
              <w:left w:val="nil"/>
              <w:bottom w:val="single" w:sz="4" w:space="0" w:color="auto"/>
              <w:right w:val="single" w:sz="4" w:space="0" w:color="auto"/>
            </w:tcBorders>
            <w:shd w:val="clear" w:color="auto" w:fill="auto"/>
            <w:vAlign w:val="center"/>
            <w:hideMark/>
          </w:tcPr>
          <w:p w14:paraId="4673FAB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72,8</w:t>
            </w:r>
          </w:p>
        </w:tc>
        <w:tc>
          <w:tcPr>
            <w:tcW w:w="1437" w:type="dxa"/>
            <w:tcBorders>
              <w:top w:val="nil"/>
              <w:left w:val="nil"/>
              <w:bottom w:val="single" w:sz="4" w:space="0" w:color="auto"/>
              <w:right w:val="single" w:sz="4" w:space="0" w:color="auto"/>
            </w:tcBorders>
            <w:shd w:val="clear" w:color="auto" w:fill="auto"/>
            <w:vAlign w:val="center"/>
            <w:hideMark/>
          </w:tcPr>
          <w:p w14:paraId="6A66519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67,4</w:t>
            </w:r>
          </w:p>
        </w:tc>
        <w:tc>
          <w:tcPr>
            <w:tcW w:w="1262" w:type="dxa"/>
            <w:tcBorders>
              <w:top w:val="nil"/>
              <w:left w:val="nil"/>
              <w:bottom w:val="single" w:sz="4" w:space="0" w:color="auto"/>
              <w:right w:val="single" w:sz="4" w:space="0" w:color="auto"/>
            </w:tcBorders>
            <w:shd w:val="clear" w:color="auto" w:fill="auto"/>
            <w:vAlign w:val="center"/>
            <w:hideMark/>
          </w:tcPr>
          <w:p w14:paraId="7253F0A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58,3</w:t>
            </w:r>
          </w:p>
        </w:tc>
        <w:tc>
          <w:tcPr>
            <w:tcW w:w="1085" w:type="dxa"/>
            <w:tcBorders>
              <w:top w:val="nil"/>
              <w:left w:val="nil"/>
              <w:bottom w:val="single" w:sz="4" w:space="0" w:color="auto"/>
              <w:right w:val="single" w:sz="4" w:space="0" w:color="auto"/>
            </w:tcBorders>
            <w:shd w:val="clear" w:color="auto" w:fill="auto"/>
            <w:vAlign w:val="center"/>
            <w:hideMark/>
          </w:tcPr>
          <w:p w14:paraId="194433B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62,4</w:t>
            </w:r>
          </w:p>
        </w:tc>
        <w:tc>
          <w:tcPr>
            <w:tcW w:w="916" w:type="dxa"/>
            <w:tcBorders>
              <w:top w:val="nil"/>
              <w:left w:val="nil"/>
              <w:bottom w:val="single" w:sz="4" w:space="0" w:color="auto"/>
              <w:right w:val="single" w:sz="4" w:space="0" w:color="auto"/>
            </w:tcBorders>
            <w:shd w:val="clear" w:color="auto" w:fill="auto"/>
            <w:vAlign w:val="center"/>
            <w:hideMark/>
          </w:tcPr>
          <w:p w14:paraId="6881203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67,6</w:t>
            </w:r>
          </w:p>
        </w:tc>
        <w:tc>
          <w:tcPr>
            <w:tcW w:w="871" w:type="dxa"/>
            <w:tcBorders>
              <w:top w:val="nil"/>
              <w:left w:val="nil"/>
              <w:bottom w:val="single" w:sz="4" w:space="0" w:color="auto"/>
              <w:right w:val="single" w:sz="4" w:space="0" w:color="auto"/>
            </w:tcBorders>
            <w:shd w:val="clear" w:color="auto" w:fill="auto"/>
            <w:vAlign w:val="center"/>
            <w:hideMark/>
          </w:tcPr>
          <w:p w14:paraId="3CBCC56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80,1</w:t>
            </w:r>
          </w:p>
        </w:tc>
      </w:tr>
      <w:tr w:rsidR="00457E80" w:rsidRPr="00036538" w14:paraId="0DE37779"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361CE76"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88</w:t>
            </w:r>
          </w:p>
        </w:tc>
        <w:tc>
          <w:tcPr>
            <w:tcW w:w="908" w:type="dxa"/>
            <w:tcBorders>
              <w:top w:val="nil"/>
              <w:left w:val="nil"/>
              <w:bottom w:val="single" w:sz="4" w:space="0" w:color="auto"/>
              <w:right w:val="single" w:sz="4" w:space="0" w:color="auto"/>
            </w:tcBorders>
            <w:shd w:val="clear" w:color="auto" w:fill="auto"/>
            <w:noWrap/>
            <w:vAlign w:val="bottom"/>
            <w:hideMark/>
          </w:tcPr>
          <w:p w14:paraId="6A3A62C0"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Эр-рияд</w:t>
            </w:r>
          </w:p>
        </w:tc>
        <w:tc>
          <w:tcPr>
            <w:tcW w:w="1028" w:type="dxa"/>
            <w:tcBorders>
              <w:top w:val="nil"/>
              <w:left w:val="nil"/>
              <w:bottom w:val="single" w:sz="4" w:space="0" w:color="auto"/>
              <w:right w:val="single" w:sz="4" w:space="0" w:color="auto"/>
            </w:tcBorders>
            <w:shd w:val="clear" w:color="auto" w:fill="auto"/>
            <w:noWrap/>
            <w:vAlign w:val="bottom"/>
            <w:hideMark/>
          </w:tcPr>
          <w:p w14:paraId="5CEB5071"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Саудовская Аравия</w:t>
            </w:r>
          </w:p>
        </w:tc>
        <w:tc>
          <w:tcPr>
            <w:tcW w:w="612" w:type="dxa"/>
            <w:tcBorders>
              <w:top w:val="nil"/>
              <w:left w:val="nil"/>
              <w:bottom w:val="single" w:sz="4" w:space="0" w:color="auto"/>
              <w:right w:val="single" w:sz="4" w:space="0" w:color="auto"/>
            </w:tcBorders>
            <w:shd w:val="clear" w:color="000000" w:fill="92D050"/>
            <w:vAlign w:val="center"/>
            <w:hideMark/>
          </w:tcPr>
          <w:p w14:paraId="4A79E01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624</w:t>
            </w:r>
          </w:p>
        </w:tc>
        <w:tc>
          <w:tcPr>
            <w:tcW w:w="1145" w:type="dxa"/>
            <w:tcBorders>
              <w:top w:val="nil"/>
              <w:left w:val="nil"/>
              <w:bottom w:val="single" w:sz="4" w:space="0" w:color="auto"/>
              <w:right w:val="single" w:sz="4" w:space="0" w:color="auto"/>
            </w:tcBorders>
            <w:shd w:val="clear" w:color="auto" w:fill="auto"/>
            <w:noWrap/>
            <w:vAlign w:val="center"/>
            <w:hideMark/>
          </w:tcPr>
          <w:p w14:paraId="40966816"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Saudi Arabia</w:t>
            </w:r>
          </w:p>
        </w:tc>
        <w:tc>
          <w:tcPr>
            <w:tcW w:w="612" w:type="dxa"/>
            <w:tcBorders>
              <w:top w:val="nil"/>
              <w:left w:val="nil"/>
              <w:bottom w:val="single" w:sz="4" w:space="0" w:color="auto"/>
              <w:right w:val="single" w:sz="4" w:space="0" w:color="auto"/>
            </w:tcBorders>
            <w:shd w:val="clear" w:color="auto" w:fill="auto"/>
            <w:noWrap/>
            <w:vAlign w:val="center"/>
            <w:hideMark/>
          </w:tcPr>
          <w:p w14:paraId="6523E16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70,9</w:t>
            </w:r>
          </w:p>
        </w:tc>
        <w:tc>
          <w:tcPr>
            <w:tcW w:w="818" w:type="dxa"/>
            <w:tcBorders>
              <w:top w:val="nil"/>
              <w:left w:val="nil"/>
              <w:bottom w:val="single" w:sz="4" w:space="0" w:color="auto"/>
              <w:right w:val="single" w:sz="4" w:space="0" w:color="auto"/>
            </w:tcBorders>
            <w:shd w:val="clear" w:color="auto" w:fill="auto"/>
            <w:noWrap/>
            <w:vAlign w:val="center"/>
            <w:hideMark/>
          </w:tcPr>
          <w:p w14:paraId="2C8AAB8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93,1</w:t>
            </w:r>
          </w:p>
        </w:tc>
        <w:tc>
          <w:tcPr>
            <w:tcW w:w="931" w:type="dxa"/>
            <w:tcBorders>
              <w:top w:val="nil"/>
              <w:left w:val="nil"/>
              <w:bottom w:val="single" w:sz="4" w:space="0" w:color="auto"/>
              <w:right w:val="single" w:sz="4" w:space="0" w:color="auto"/>
            </w:tcBorders>
            <w:shd w:val="clear" w:color="auto" w:fill="auto"/>
            <w:vAlign w:val="center"/>
            <w:hideMark/>
          </w:tcPr>
          <w:p w14:paraId="5EE2E04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84,5</w:t>
            </w:r>
          </w:p>
        </w:tc>
        <w:tc>
          <w:tcPr>
            <w:tcW w:w="732" w:type="dxa"/>
            <w:tcBorders>
              <w:top w:val="nil"/>
              <w:left w:val="nil"/>
              <w:bottom w:val="single" w:sz="4" w:space="0" w:color="auto"/>
              <w:right w:val="single" w:sz="4" w:space="0" w:color="auto"/>
            </w:tcBorders>
            <w:shd w:val="clear" w:color="auto" w:fill="auto"/>
            <w:noWrap/>
            <w:vAlign w:val="center"/>
            <w:hideMark/>
          </w:tcPr>
          <w:p w14:paraId="40C2471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782E855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86,0</w:t>
            </w:r>
          </w:p>
        </w:tc>
        <w:tc>
          <w:tcPr>
            <w:tcW w:w="997" w:type="dxa"/>
            <w:tcBorders>
              <w:top w:val="nil"/>
              <w:left w:val="nil"/>
              <w:bottom w:val="single" w:sz="4" w:space="0" w:color="auto"/>
              <w:right w:val="single" w:sz="4" w:space="0" w:color="auto"/>
            </w:tcBorders>
            <w:shd w:val="clear" w:color="auto" w:fill="auto"/>
            <w:vAlign w:val="center"/>
            <w:hideMark/>
          </w:tcPr>
          <w:p w14:paraId="2BBE2CB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78,7</w:t>
            </w:r>
          </w:p>
        </w:tc>
        <w:tc>
          <w:tcPr>
            <w:tcW w:w="1437" w:type="dxa"/>
            <w:tcBorders>
              <w:top w:val="nil"/>
              <w:left w:val="nil"/>
              <w:bottom w:val="single" w:sz="4" w:space="0" w:color="auto"/>
              <w:right w:val="single" w:sz="4" w:space="0" w:color="auto"/>
            </w:tcBorders>
            <w:shd w:val="clear" w:color="auto" w:fill="auto"/>
            <w:vAlign w:val="center"/>
            <w:hideMark/>
          </w:tcPr>
          <w:p w14:paraId="39C6B86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76,0</w:t>
            </w:r>
          </w:p>
        </w:tc>
        <w:tc>
          <w:tcPr>
            <w:tcW w:w="1262" w:type="dxa"/>
            <w:tcBorders>
              <w:top w:val="nil"/>
              <w:left w:val="nil"/>
              <w:bottom w:val="single" w:sz="4" w:space="0" w:color="auto"/>
              <w:right w:val="single" w:sz="4" w:space="0" w:color="auto"/>
            </w:tcBorders>
            <w:shd w:val="clear" w:color="auto" w:fill="auto"/>
            <w:vAlign w:val="center"/>
            <w:hideMark/>
          </w:tcPr>
          <w:p w14:paraId="179D49A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65,3</w:t>
            </w:r>
          </w:p>
        </w:tc>
        <w:tc>
          <w:tcPr>
            <w:tcW w:w="1085" w:type="dxa"/>
            <w:tcBorders>
              <w:top w:val="nil"/>
              <w:left w:val="nil"/>
              <w:bottom w:val="single" w:sz="4" w:space="0" w:color="auto"/>
              <w:right w:val="single" w:sz="4" w:space="0" w:color="auto"/>
            </w:tcBorders>
            <w:shd w:val="clear" w:color="auto" w:fill="auto"/>
            <w:vAlign w:val="center"/>
            <w:hideMark/>
          </w:tcPr>
          <w:p w14:paraId="081F0CF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0,0</w:t>
            </w:r>
          </w:p>
        </w:tc>
        <w:tc>
          <w:tcPr>
            <w:tcW w:w="916" w:type="dxa"/>
            <w:tcBorders>
              <w:top w:val="nil"/>
              <w:left w:val="nil"/>
              <w:bottom w:val="single" w:sz="4" w:space="0" w:color="auto"/>
              <w:right w:val="single" w:sz="4" w:space="0" w:color="auto"/>
            </w:tcBorders>
            <w:shd w:val="clear" w:color="auto" w:fill="auto"/>
            <w:vAlign w:val="center"/>
            <w:hideMark/>
          </w:tcPr>
          <w:p w14:paraId="2A4056C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78,3</w:t>
            </w:r>
          </w:p>
        </w:tc>
        <w:tc>
          <w:tcPr>
            <w:tcW w:w="871" w:type="dxa"/>
            <w:tcBorders>
              <w:top w:val="nil"/>
              <w:left w:val="nil"/>
              <w:bottom w:val="single" w:sz="4" w:space="0" w:color="auto"/>
              <w:right w:val="single" w:sz="4" w:space="0" w:color="auto"/>
            </w:tcBorders>
            <w:shd w:val="clear" w:color="auto" w:fill="auto"/>
            <w:vAlign w:val="center"/>
            <w:hideMark/>
          </w:tcPr>
          <w:p w14:paraId="014D4F2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91,8</w:t>
            </w:r>
          </w:p>
        </w:tc>
      </w:tr>
      <w:tr w:rsidR="00457E80" w:rsidRPr="00036538" w14:paraId="11D46A6F"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A6B15AD"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89</w:t>
            </w:r>
          </w:p>
        </w:tc>
        <w:tc>
          <w:tcPr>
            <w:tcW w:w="908" w:type="dxa"/>
            <w:tcBorders>
              <w:top w:val="nil"/>
              <w:left w:val="nil"/>
              <w:bottom w:val="single" w:sz="4" w:space="0" w:color="auto"/>
              <w:right w:val="single" w:sz="4" w:space="0" w:color="auto"/>
            </w:tcBorders>
            <w:shd w:val="clear" w:color="auto" w:fill="auto"/>
            <w:noWrap/>
            <w:vAlign w:val="bottom"/>
            <w:hideMark/>
          </w:tcPr>
          <w:p w14:paraId="292B867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Рио-де-Жанейро</w:t>
            </w:r>
          </w:p>
        </w:tc>
        <w:tc>
          <w:tcPr>
            <w:tcW w:w="1028" w:type="dxa"/>
            <w:tcBorders>
              <w:top w:val="nil"/>
              <w:left w:val="nil"/>
              <w:bottom w:val="single" w:sz="4" w:space="0" w:color="auto"/>
              <w:right w:val="single" w:sz="4" w:space="0" w:color="auto"/>
            </w:tcBorders>
            <w:shd w:val="clear" w:color="auto" w:fill="auto"/>
            <w:noWrap/>
            <w:vAlign w:val="bottom"/>
            <w:hideMark/>
          </w:tcPr>
          <w:p w14:paraId="05D1977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Бразилия</w:t>
            </w:r>
          </w:p>
        </w:tc>
        <w:tc>
          <w:tcPr>
            <w:tcW w:w="612" w:type="dxa"/>
            <w:tcBorders>
              <w:top w:val="nil"/>
              <w:left w:val="nil"/>
              <w:bottom w:val="single" w:sz="4" w:space="0" w:color="auto"/>
              <w:right w:val="single" w:sz="4" w:space="0" w:color="auto"/>
            </w:tcBorders>
            <w:shd w:val="clear" w:color="000000" w:fill="92D050"/>
            <w:vAlign w:val="center"/>
            <w:hideMark/>
          </w:tcPr>
          <w:p w14:paraId="54AD423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622</w:t>
            </w:r>
          </w:p>
        </w:tc>
        <w:tc>
          <w:tcPr>
            <w:tcW w:w="1145" w:type="dxa"/>
            <w:tcBorders>
              <w:top w:val="nil"/>
              <w:left w:val="nil"/>
              <w:bottom w:val="single" w:sz="4" w:space="0" w:color="auto"/>
              <w:right w:val="single" w:sz="4" w:space="0" w:color="auto"/>
            </w:tcBorders>
            <w:shd w:val="clear" w:color="auto" w:fill="auto"/>
            <w:noWrap/>
            <w:vAlign w:val="center"/>
            <w:hideMark/>
          </w:tcPr>
          <w:p w14:paraId="15D32855"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Brazil Rio de Janeiro</w:t>
            </w:r>
          </w:p>
        </w:tc>
        <w:tc>
          <w:tcPr>
            <w:tcW w:w="612" w:type="dxa"/>
            <w:tcBorders>
              <w:top w:val="nil"/>
              <w:left w:val="nil"/>
              <w:bottom w:val="single" w:sz="4" w:space="0" w:color="auto"/>
              <w:right w:val="single" w:sz="4" w:space="0" w:color="auto"/>
            </w:tcBorders>
            <w:shd w:val="clear" w:color="auto" w:fill="auto"/>
            <w:noWrap/>
            <w:vAlign w:val="center"/>
            <w:hideMark/>
          </w:tcPr>
          <w:p w14:paraId="60BEF64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59,5</w:t>
            </w:r>
          </w:p>
        </w:tc>
        <w:tc>
          <w:tcPr>
            <w:tcW w:w="818" w:type="dxa"/>
            <w:tcBorders>
              <w:top w:val="nil"/>
              <w:left w:val="nil"/>
              <w:bottom w:val="single" w:sz="4" w:space="0" w:color="auto"/>
              <w:right w:val="single" w:sz="4" w:space="0" w:color="auto"/>
            </w:tcBorders>
            <w:shd w:val="clear" w:color="auto" w:fill="auto"/>
            <w:noWrap/>
            <w:vAlign w:val="center"/>
            <w:hideMark/>
          </w:tcPr>
          <w:p w14:paraId="18FA105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80,8</w:t>
            </w:r>
          </w:p>
        </w:tc>
        <w:tc>
          <w:tcPr>
            <w:tcW w:w="931" w:type="dxa"/>
            <w:tcBorders>
              <w:top w:val="nil"/>
              <w:left w:val="nil"/>
              <w:bottom w:val="single" w:sz="4" w:space="0" w:color="auto"/>
              <w:right w:val="single" w:sz="4" w:space="0" w:color="auto"/>
            </w:tcBorders>
            <w:shd w:val="clear" w:color="auto" w:fill="auto"/>
            <w:vAlign w:val="center"/>
            <w:hideMark/>
          </w:tcPr>
          <w:p w14:paraId="4C52266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52,7</w:t>
            </w:r>
          </w:p>
        </w:tc>
        <w:tc>
          <w:tcPr>
            <w:tcW w:w="732" w:type="dxa"/>
            <w:tcBorders>
              <w:top w:val="nil"/>
              <w:left w:val="nil"/>
              <w:bottom w:val="single" w:sz="4" w:space="0" w:color="auto"/>
              <w:right w:val="single" w:sz="4" w:space="0" w:color="auto"/>
            </w:tcBorders>
            <w:shd w:val="clear" w:color="auto" w:fill="auto"/>
            <w:noWrap/>
            <w:vAlign w:val="center"/>
            <w:hideMark/>
          </w:tcPr>
          <w:p w14:paraId="069767B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50,0</w:t>
            </w:r>
          </w:p>
        </w:tc>
        <w:tc>
          <w:tcPr>
            <w:tcW w:w="1016" w:type="dxa"/>
            <w:tcBorders>
              <w:top w:val="nil"/>
              <w:left w:val="nil"/>
              <w:bottom w:val="single" w:sz="4" w:space="0" w:color="auto"/>
              <w:right w:val="single" w:sz="4" w:space="0" w:color="auto"/>
            </w:tcBorders>
            <w:shd w:val="clear" w:color="auto" w:fill="auto"/>
            <w:vAlign w:val="center"/>
            <w:hideMark/>
          </w:tcPr>
          <w:p w14:paraId="79721FA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997" w:type="dxa"/>
            <w:tcBorders>
              <w:top w:val="nil"/>
              <w:left w:val="nil"/>
              <w:bottom w:val="single" w:sz="4" w:space="0" w:color="auto"/>
              <w:right w:val="single" w:sz="4" w:space="0" w:color="auto"/>
            </w:tcBorders>
            <w:shd w:val="clear" w:color="auto" w:fill="auto"/>
            <w:vAlign w:val="center"/>
            <w:hideMark/>
          </w:tcPr>
          <w:p w14:paraId="2A3563D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34,4</w:t>
            </w:r>
          </w:p>
        </w:tc>
        <w:tc>
          <w:tcPr>
            <w:tcW w:w="1437" w:type="dxa"/>
            <w:tcBorders>
              <w:top w:val="nil"/>
              <w:left w:val="nil"/>
              <w:bottom w:val="single" w:sz="4" w:space="0" w:color="auto"/>
              <w:right w:val="single" w:sz="4" w:space="0" w:color="auto"/>
            </w:tcBorders>
            <w:shd w:val="clear" w:color="auto" w:fill="auto"/>
            <w:vAlign w:val="center"/>
            <w:hideMark/>
          </w:tcPr>
          <w:p w14:paraId="5D4534F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69,9</w:t>
            </w:r>
          </w:p>
        </w:tc>
        <w:tc>
          <w:tcPr>
            <w:tcW w:w="1262" w:type="dxa"/>
            <w:tcBorders>
              <w:top w:val="nil"/>
              <w:left w:val="nil"/>
              <w:bottom w:val="single" w:sz="4" w:space="0" w:color="auto"/>
              <w:right w:val="single" w:sz="4" w:space="0" w:color="auto"/>
            </w:tcBorders>
            <w:shd w:val="clear" w:color="auto" w:fill="auto"/>
            <w:vAlign w:val="center"/>
            <w:hideMark/>
          </w:tcPr>
          <w:p w14:paraId="430D77C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1085" w:type="dxa"/>
            <w:tcBorders>
              <w:top w:val="nil"/>
              <w:left w:val="nil"/>
              <w:bottom w:val="single" w:sz="4" w:space="0" w:color="auto"/>
              <w:right w:val="single" w:sz="4" w:space="0" w:color="auto"/>
            </w:tcBorders>
            <w:shd w:val="clear" w:color="auto" w:fill="auto"/>
            <w:vAlign w:val="center"/>
            <w:hideMark/>
          </w:tcPr>
          <w:p w14:paraId="76B86F1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50,4</w:t>
            </w:r>
          </w:p>
        </w:tc>
        <w:tc>
          <w:tcPr>
            <w:tcW w:w="916" w:type="dxa"/>
            <w:tcBorders>
              <w:top w:val="nil"/>
              <w:left w:val="nil"/>
              <w:bottom w:val="single" w:sz="4" w:space="0" w:color="auto"/>
              <w:right w:val="single" w:sz="4" w:space="0" w:color="auto"/>
            </w:tcBorders>
            <w:shd w:val="clear" w:color="auto" w:fill="auto"/>
            <w:vAlign w:val="center"/>
            <w:hideMark/>
          </w:tcPr>
          <w:p w14:paraId="1C8AE43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58,4</w:t>
            </w:r>
          </w:p>
        </w:tc>
        <w:tc>
          <w:tcPr>
            <w:tcW w:w="871" w:type="dxa"/>
            <w:tcBorders>
              <w:top w:val="nil"/>
              <w:left w:val="nil"/>
              <w:bottom w:val="single" w:sz="4" w:space="0" w:color="auto"/>
              <w:right w:val="single" w:sz="4" w:space="0" w:color="auto"/>
            </w:tcBorders>
            <w:shd w:val="clear" w:color="auto" w:fill="auto"/>
            <w:vAlign w:val="center"/>
            <w:hideMark/>
          </w:tcPr>
          <w:p w14:paraId="17617BB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74,0</w:t>
            </w:r>
          </w:p>
        </w:tc>
      </w:tr>
      <w:tr w:rsidR="00457E80" w:rsidRPr="00036538" w14:paraId="46F74D63"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D03F254"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90</w:t>
            </w:r>
          </w:p>
        </w:tc>
        <w:tc>
          <w:tcPr>
            <w:tcW w:w="908" w:type="dxa"/>
            <w:tcBorders>
              <w:top w:val="nil"/>
              <w:left w:val="nil"/>
              <w:bottom w:val="single" w:sz="4" w:space="0" w:color="auto"/>
              <w:right w:val="single" w:sz="4" w:space="0" w:color="auto"/>
            </w:tcBorders>
            <w:shd w:val="clear" w:color="auto" w:fill="auto"/>
            <w:vAlign w:val="bottom"/>
            <w:hideMark/>
          </w:tcPr>
          <w:p w14:paraId="3B74375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Гибралтар</w:t>
            </w:r>
          </w:p>
        </w:tc>
        <w:tc>
          <w:tcPr>
            <w:tcW w:w="1028" w:type="dxa"/>
            <w:tcBorders>
              <w:top w:val="nil"/>
              <w:left w:val="nil"/>
              <w:bottom w:val="single" w:sz="4" w:space="0" w:color="auto"/>
              <w:right w:val="single" w:sz="4" w:space="0" w:color="auto"/>
            </w:tcBorders>
            <w:shd w:val="clear" w:color="auto" w:fill="auto"/>
            <w:noWrap/>
            <w:vAlign w:val="bottom"/>
            <w:hideMark/>
          </w:tcPr>
          <w:p w14:paraId="747CC31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Великобритания</w:t>
            </w:r>
          </w:p>
        </w:tc>
        <w:tc>
          <w:tcPr>
            <w:tcW w:w="612" w:type="dxa"/>
            <w:tcBorders>
              <w:top w:val="nil"/>
              <w:left w:val="nil"/>
              <w:bottom w:val="single" w:sz="4" w:space="0" w:color="auto"/>
              <w:right w:val="single" w:sz="4" w:space="0" w:color="auto"/>
            </w:tcBorders>
            <w:shd w:val="clear" w:color="000000" w:fill="92D050"/>
            <w:vAlign w:val="center"/>
            <w:hideMark/>
          </w:tcPr>
          <w:p w14:paraId="7156826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621</w:t>
            </w:r>
          </w:p>
        </w:tc>
        <w:tc>
          <w:tcPr>
            <w:tcW w:w="1145" w:type="dxa"/>
            <w:tcBorders>
              <w:top w:val="nil"/>
              <w:left w:val="nil"/>
              <w:bottom w:val="single" w:sz="4" w:space="0" w:color="auto"/>
              <w:right w:val="single" w:sz="4" w:space="0" w:color="auto"/>
            </w:tcBorders>
            <w:shd w:val="clear" w:color="auto" w:fill="auto"/>
            <w:noWrap/>
            <w:vAlign w:val="center"/>
            <w:hideMark/>
          </w:tcPr>
          <w:p w14:paraId="1ED4C8D6"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United Kingdom</w:t>
            </w:r>
          </w:p>
        </w:tc>
        <w:tc>
          <w:tcPr>
            <w:tcW w:w="612" w:type="dxa"/>
            <w:tcBorders>
              <w:top w:val="nil"/>
              <w:left w:val="nil"/>
              <w:bottom w:val="single" w:sz="4" w:space="0" w:color="auto"/>
              <w:right w:val="single" w:sz="4" w:space="0" w:color="auto"/>
            </w:tcBorders>
            <w:shd w:val="clear" w:color="auto" w:fill="auto"/>
            <w:noWrap/>
            <w:vAlign w:val="center"/>
            <w:hideMark/>
          </w:tcPr>
          <w:p w14:paraId="64298E7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83,5</w:t>
            </w:r>
          </w:p>
        </w:tc>
        <w:tc>
          <w:tcPr>
            <w:tcW w:w="818" w:type="dxa"/>
            <w:tcBorders>
              <w:top w:val="nil"/>
              <w:left w:val="nil"/>
              <w:bottom w:val="single" w:sz="4" w:space="0" w:color="auto"/>
              <w:right w:val="single" w:sz="4" w:space="0" w:color="auto"/>
            </w:tcBorders>
            <w:shd w:val="clear" w:color="auto" w:fill="auto"/>
            <w:noWrap/>
            <w:vAlign w:val="center"/>
            <w:hideMark/>
          </w:tcPr>
          <w:p w14:paraId="294C159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94,6</w:t>
            </w:r>
          </w:p>
        </w:tc>
        <w:tc>
          <w:tcPr>
            <w:tcW w:w="931" w:type="dxa"/>
            <w:tcBorders>
              <w:top w:val="nil"/>
              <w:left w:val="nil"/>
              <w:bottom w:val="single" w:sz="4" w:space="0" w:color="auto"/>
              <w:right w:val="single" w:sz="4" w:space="0" w:color="auto"/>
            </w:tcBorders>
            <w:shd w:val="clear" w:color="auto" w:fill="auto"/>
            <w:vAlign w:val="center"/>
            <w:hideMark/>
          </w:tcPr>
          <w:p w14:paraId="66E54D4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75,7</w:t>
            </w:r>
          </w:p>
        </w:tc>
        <w:tc>
          <w:tcPr>
            <w:tcW w:w="732" w:type="dxa"/>
            <w:tcBorders>
              <w:top w:val="nil"/>
              <w:left w:val="nil"/>
              <w:bottom w:val="single" w:sz="4" w:space="0" w:color="auto"/>
              <w:right w:val="single" w:sz="4" w:space="0" w:color="auto"/>
            </w:tcBorders>
            <w:shd w:val="clear" w:color="auto" w:fill="auto"/>
            <w:noWrap/>
            <w:vAlign w:val="center"/>
            <w:hideMark/>
          </w:tcPr>
          <w:p w14:paraId="05D337B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75,0</w:t>
            </w:r>
          </w:p>
        </w:tc>
        <w:tc>
          <w:tcPr>
            <w:tcW w:w="1016" w:type="dxa"/>
            <w:tcBorders>
              <w:top w:val="nil"/>
              <w:left w:val="nil"/>
              <w:bottom w:val="single" w:sz="4" w:space="0" w:color="auto"/>
              <w:right w:val="single" w:sz="4" w:space="0" w:color="auto"/>
            </w:tcBorders>
            <w:shd w:val="clear" w:color="auto" w:fill="auto"/>
            <w:vAlign w:val="center"/>
            <w:hideMark/>
          </w:tcPr>
          <w:p w14:paraId="130D894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84,0</w:t>
            </w:r>
          </w:p>
        </w:tc>
        <w:tc>
          <w:tcPr>
            <w:tcW w:w="997" w:type="dxa"/>
            <w:tcBorders>
              <w:top w:val="nil"/>
              <w:left w:val="nil"/>
              <w:bottom w:val="single" w:sz="4" w:space="0" w:color="auto"/>
              <w:right w:val="single" w:sz="4" w:space="0" w:color="auto"/>
            </w:tcBorders>
            <w:shd w:val="clear" w:color="auto" w:fill="auto"/>
            <w:vAlign w:val="center"/>
            <w:hideMark/>
          </w:tcPr>
          <w:p w14:paraId="09573C5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86,2</w:t>
            </w:r>
          </w:p>
        </w:tc>
        <w:tc>
          <w:tcPr>
            <w:tcW w:w="1437" w:type="dxa"/>
            <w:tcBorders>
              <w:top w:val="nil"/>
              <w:left w:val="nil"/>
              <w:bottom w:val="single" w:sz="4" w:space="0" w:color="auto"/>
              <w:right w:val="single" w:sz="4" w:space="0" w:color="auto"/>
            </w:tcBorders>
            <w:shd w:val="clear" w:color="auto" w:fill="auto"/>
            <w:vAlign w:val="center"/>
            <w:hideMark/>
          </w:tcPr>
          <w:p w14:paraId="72B1774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93,8</w:t>
            </w:r>
          </w:p>
        </w:tc>
        <w:tc>
          <w:tcPr>
            <w:tcW w:w="1262" w:type="dxa"/>
            <w:tcBorders>
              <w:top w:val="nil"/>
              <w:left w:val="nil"/>
              <w:bottom w:val="single" w:sz="4" w:space="0" w:color="auto"/>
              <w:right w:val="single" w:sz="4" w:space="0" w:color="auto"/>
            </w:tcBorders>
            <w:shd w:val="clear" w:color="auto" w:fill="auto"/>
            <w:vAlign w:val="center"/>
            <w:hideMark/>
          </w:tcPr>
          <w:p w14:paraId="1D3A54D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68,7</w:t>
            </w:r>
          </w:p>
        </w:tc>
        <w:tc>
          <w:tcPr>
            <w:tcW w:w="1085" w:type="dxa"/>
            <w:tcBorders>
              <w:top w:val="nil"/>
              <w:left w:val="nil"/>
              <w:bottom w:val="single" w:sz="4" w:space="0" w:color="auto"/>
              <w:right w:val="single" w:sz="4" w:space="0" w:color="auto"/>
            </w:tcBorders>
            <w:shd w:val="clear" w:color="auto" w:fill="auto"/>
            <w:vAlign w:val="center"/>
            <w:hideMark/>
          </w:tcPr>
          <w:p w14:paraId="61D642E1"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916" w:type="dxa"/>
            <w:tcBorders>
              <w:top w:val="nil"/>
              <w:left w:val="nil"/>
              <w:bottom w:val="single" w:sz="4" w:space="0" w:color="auto"/>
              <w:right w:val="single" w:sz="4" w:space="0" w:color="auto"/>
            </w:tcBorders>
            <w:shd w:val="clear" w:color="auto" w:fill="auto"/>
            <w:vAlign w:val="center"/>
            <w:hideMark/>
          </w:tcPr>
          <w:p w14:paraId="73D08C1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80,3</w:t>
            </w:r>
          </w:p>
        </w:tc>
        <w:tc>
          <w:tcPr>
            <w:tcW w:w="871" w:type="dxa"/>
            <w:tcBorders>
              <w:top w:val="nil"/>
              <w:left w:val="nil"/>
              <w:bottom w:val="single" w:sz="4" w:space="0" w:color="auto"/>
              <w:right w:val="single" w:sz="4" w:space="0" w:color="auto"/>
            </w:tcBorders>
            <w:shd w:val="clear" w:color="auto" w:fill="auto"/>
            <w:vAlign w:val="center"/>
            <w:hideMark/>
          </w:tcPr>
          <w:p w14:paraId="229B9D8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96,9</w:t>
            </w:r>
          </w:p>
        </w:tc>
      </w:tr>
      <w:tr w:rsidR="00457E80" w:rsidRPr="00036538" w14:paraId="6BDC4D5B"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860A6C9"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91</w:t>
            </w:r>
          </w:p>
        </w:tc>
        <w:tc>
          <w:tcPr>
            <w:tcW w:w="908" w:type="dxa"/>
            <w:tcBorders>
              <w:top w:val="nil"/>
              <w:left w:val="nil"/>
              <w:bottom w:val="single" w:sz="4" w:space="0" w:color="auto"/>
              <w:right w:val="single" w:sz="4" w:space="0" w:color="auto"/>
            </w:tcBorders>
            <w:shd w:val="clear" w:color="auto" w:fill="auto"/>
            <w:vAlign w:val="bottom"/>
            <w:hideMark/>
          </w:tcPr>
          <w:p w14:paraId="4EEB1C00"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Кувейт</w:t>
            </w:r>
          </w:p>
        </w:tc>
        <w:tc>
          <w:tcPr>
            <w:tcW w:w="1028" w:type="dxa"/>
            <w:tcBorders>
              <w:top w:val="nil"/>
              <w:left w:val="nil"/>
              <w:bottom w:val="single" w:sz="4" w:space="0" w:color="auto"/>
              <w:right w:val="single" w:sz="4" w:space="0" w:color="auto"/>
            </w:tcBorders>
            <w:shd w:val="clear" w:color="auto" w:fill="auto"/>
            <w:vAlign w:val="bottom"/>
            <w:hideMark/>
          </w:tcPr>
          <w:p w14:paraId="2C9E019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Кувейт</w:t>
            </w:r>
          </w:p>
        </w:tc>
        <w:tc>
          <w:tcPr>
            <w:tcW w:w="612" w:type="dxa"/>
            <w:tcBorders>
              <w:top w:val="nil"/>
              <w:left w:val="nil"/>
              <w:bottom w:val="single" w:sz="4" w:space="0" w:color="auto"/>
              <w:right w:val="single" w:sz="4" w:space="0" w:color="auto"/>
            </w:tcBorders>
            <w:shd w:val="clear" w:color="000000" w:fill="92D050"/>
            <w:noWrap/>
            <w:vAlign w:val="center"/>
            <w:hideMark/>
          </w:tcPr>
          <w:p w14:paraId="44AF022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620</w:t>
            </w:r>
          </w:p>
        </w:tc>
        <w:tc>
          <w:tcPr>
            <w:tcW w:w="1145" w:type="dxa"/>
            <w:tcBorders>
              <w:top w:val="nil"/>
              <w:left w:val="nil"/>
              <w:bottom w:val="single" w:sz="4" w:space="0" w:color="auto"/>
              <w:right w:val="single" w:sz="4" w:space="0" w:color="auto"/>
            </w:tcBorders>
            <w:shd w:val="clear" w:color="auto" w:fill="auto"/>
            <w:noWrap/>
            <w:vAlign w:val="center"/>
            <w:hideMark/>
          </w:tcPr>
          <w:p w14:paraId="08F249EB"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Kuwait</w:t>
            </w:r>
          </w:p>
        </w:tc>
        <w:tc>
          <w:tcPr>
            <w:tcW w:w="612" w:type="dxa"/>
            <w:tcBorders>
              <w:top w:val="nil"/>
              <w:left w:val="nil"/>
              <w:bottom w:val="single" w:sz="4" w:space="0" w:color="auto"/>
              <w:right w:val="single" w:sz="4" w:space="0" w:color="auto"/>
            </w:tcBorders>
            <w:shd w:val="clear" w:color="auto" w:fill="auto"/>
            <w:noWrap/>
            <w:vAlign w:val="center"/>
            <w:hideMark/>
          </w:tcPr>
          <w:p w14:paraId="520A753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67,4</w:t>
            </w:r>
          </w:p>
        </w:tc>
        <w:tc>
          <w:tcPr>
            <w:tcW w:w="818" w:type="dxa"/>
            <w:tcBorders>
              <w:top w:val="nil"/>
              <w:left w:val="nil"/>
              <w:bottom w:val="single" w:sz="4" w:space="0" w:color="auto"/>
              <w:right w:val="single" w:sz="4" w:space="0" w:color="auto"/>
            </w:tcBorders>
            <w:shd w:val="clear" w:color="auto" w:fill="auto"/>
            <w:noWrap/>
            <w:vAlign w:val="center"/>
            <w:hideMark/>
          </w:tcPr>
          <w:p w14:paraId="7640A03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88,4</w:t>
            </w:r>
          </w:p>
        </w:tc>
        <w:tc>
          <w:tcPr>
            <w:tcW w:w="931" w:type="dxa"/>
            <w:tcBorders>
              <w:top w:val="nil"/>
              <w:left w:val="nil"/>
              <w:bottom w:val="single" w:sz="4" w:space="0" w:color="auto"/>
              <w:right w:val="single" w:sz="4" w:space="0" w:color="auto"/>
            </w:tcBorders>
            <w:shd w:val="clear" w:color="auto" w:fill="auto"/>
            <w:vAlign w:val="center"/>
            <w:hideMark/>
          </w:tcPr>
          <w:p w14:paraId="284E5B6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75,1</w:t>
            </w:r>
          </w:p>
        </w:tc>
        <w:tc>
          <w:tcPr>
            <w:tcW w:w="732" w:type="dxa"/>
            <w:tcBorders>
              <w:top w:val="nil"/>
              <w:left w:val="nil"/>
              <w:bottom w:val="single" w:sz="4" w:space="0" w:color="auto"/>
              <w:right w:val="single" w:sz="4" w:space="0" w:color="auto"/>
            </w:tcBorders>
            <w:shd w:val="clear" w:color="auto" w:fill="auto"/>
            <w:noWrap/>
            <w:vAlign w:val="center"/>
            <w:hideMark/>
          </w:tcPr>
          <w:p w14:paraId="6114818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45,0</w:t>
            </w:r>
          </w:p>
        </w:tc>
        <w:tc>
          <w:tcPr>
            <w:tcW w:w="1016" w:type="dxa"/>
            <w:tcBorders>
              <w:top w:val="nil"/>
              <w:left w:val="nil"/>
              <w:bottom w:val="single" w:sz="4" w:space="0" w:color="auto"/>
              <w:right w:val="single" w:sz="4" w:space="0" w:color="auto"/>
            </w:tcBorders>
            <w:shd w:val="clear" w:color="auto" w:fill="auto"/>
            <w:vAlign w:val="center"/>
            <w:hideMark/>
          </w:tcPr>
          <w:p w14:paraId="6AB9604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66,0</w:t>
            </w:r>
          </w:p>
        </w:tc>
        <w:tc>
          <w:tcPr>
            <w:tcW w:w="997" w:type="dxa"/>
            <w:tcBorders>
              <w:top w:val="nil"/>
              <w:left w:val="nil"/>
              <w:bottom w:val="single" w:sz="4" w:space="0" w:color="auto"/>
              <w:right w:val="single" w:sz="4" w:space="0" w:color="auto"/>
            </w:tcBorders>
            <w:shd w:val="clear" w:color="auto" w:fill="auto"/>
            <w:vAlign w:val="center"/>
            <w:hideMark/>
          </w:tcPr>
          <w:p w14:paraId="64B0180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92,5</w:t>
            </w:r>
          </w:p>
        </w:tc>
        <w:tc>
          <w:tcPr>
            <w:tcW w:w="1437" w:type="dxa"/>
            <w:tcBorders>
              <w:top w:val="nil"/>
              <w:left w:val="nil"/>
              <w:bottom w:val="single" w:sz="4" w:space="0" w:color="auto"/>
              <w:right w:val="single" w:sz="4" w:space="0" w:color="auto"/>
            </w:tcBorders>
            <w:shd w:val="clear" w:color="auto" w:fill="auto"/>
            <w:vAlign w:val="center"/>
            <w:hideMark/>
          </w:tcPr>
          <w:p w14:paraId="52979FC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52,6</w:t>
            </w:r>
          </w:p>
        </w:tc>
        <w:tc>
          <w:tcPr>
            <w:tcW w:w="1262" w:type="dxa"/>
            <w:tcBorders>
              <w:top w:val="nil"/>
              <w:left w:val="nil"/>
              <w:bottom w:val="single" w:sz="4" w:space="0" w:color="auto"/>
              <w:right w:val="single" w:sz="4" w:space="0" w:color="auto"/>
            </w:tcBorders>
            <w:shd w:val="clear" w:color="auto" w:fill="auto"/>
            <w:vAlign w:val="center"/>
            <w:hideMark/>
          </w:tcPr>
          <w:p w14:paraId="1DD8CB0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61,4</w:t>
            </w:r>
          </w:p>
        </w:tc>
        <w:tc>
          <w:tcPr>
            <w:tcW w:w="1085" w:type="dxa"/>
            <w:tcBorders>
              <w:top w:val="nil"/>
              <w:left w:val="nil"/>
              <w:bottom w:val="single" w:sz="4" w:space="0" w:color="auto"/>
              <w:right w:val="single" w:sz="4" w:space="0" w:color="auto"/>
            </w:tcBorders>
            <w:shd w:val="clear" w:color="auto" w:fill="auto"/>
            <w:vAlign w:val="center"/>
            <w:hideMark/>
          </w:tcPr>
          <w:p w14:paraId="20F2184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39,2</w:t>
            </w:r>
          </w:p>
        </w:tc>
        <w:tc>
          <w:tcPr>
            <w:tcW w:w="916" w:type="dxa"/>
            <w:tcBorders>
              <w:top w:val="nil"/>
              <w:left w:val="nil"/>
              <w:bottom w:val="single" w:sz="4" w:space="0" w:color="auto"/>
              <w:right w:val="single" w:sz="4" w:space="0" w:color="auto"/>
            </w:tcBorders>
            <w:shd w:val="clear" w:color="auto" w:fill="auto"/>
            <w:vAlign w:val="center"/>
            <w:hideMark/>
          </w:tcPr>
          <w:p w14:paraId="02990C0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71,9</w:t>
            </w:r>
          </w:p>
        </w:tc>
        <w:tc>
          <w:tcPr>
            <w:tcW w:w="871" w:type="dxa"/>
            <w:tcBorders>
              <w:top w:val="nil"/>
              <w:left w:val="nil"/>
              <w:bottom w:val="single" w:sz="4" w:space="0" w:color="auto"/>
              <w:right w:val="single" w:sz="4" w:space="0" w:color="auto"/>
            </w:tcBorders>
            <w:shd w:val="clear" w:color="auto" w:fill="auto"/>
            <w:vAlign w:val="center"/>
            <w:hideMark/>
          </w:tcPr>
          <w:p w14:paraId="446EDB3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81,9</w:t>
            </w:r>
          </w:p>
        </w:tc>
      </w:tr>
      <w:tr w:rsidR="00457E80" w:rsidRPr="00036538" w14:paraId="21F7CF32"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D908960"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92</w:t>
            </w:r>
          </w:p>
        </w:tc>
        <w:tc>
          <w:tcPr>
            <w:tcW w:w="908" w:type="dxa"/>
            <w:tcBorders>
              <w:top w:val="nil"/>
              <w:left w:val="nil"/>
              <w:bottom w:val="single" w:sz="4" w:space="0" w:color="auto"/>
              <w:right w:val="single" w:sz="4" w:space="0" w:color="auto"/>
            </w:tcBorders>
            <w:shd w:val="clear" w:color="auto" w:fill="auto"/>
            <w:vAlign w:val="bottom"/>
            <w:hideMark/>
          </w:tcPr>
          <w:p w14:paraId="2CF328AE"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Рейкьявик</w:t>
            </w:r>
          </w:p>
        </w:tc>
        <w:tc>
          <w:tcPr>
            <w:tcW w:w="1028" w:type="dxa"/>
            <w:tcBorders>
              <w:top w:val="nil"/>
              <w:left w:val="nil"/>
              <w:bottom w:val="single" w:sz="4" w:space="0" w:color="auto"/>
              <w:right w:val="single" w:sz="4" w:space="0" w:color="auto"/>
            </w:tcBorders>
            <w:shd w:val="clear" w:color="auto" w:fill="auto"/>
            <w:vAlign w:val="bottom"/>
            <w:hideMark/>
          </w:tcPr>
          <w:p w14:paraId="076C57F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Исландия</w:t>
            </w:r>
          </w:p>
        </w:tc>
        <w:tc>
          <w:tcPr>
            <w:tcW w:w="612" w:type="dxa"/>
            <w:tcBorders>
              <w:top w:val="nil"/>
              <w:left w:val="nil"/>
              <w:bottom w:val="single" w:sz="4" w:space="0" w:color="auto"/>
              <w:right w:val="single" w:sz="4" w:space="0" w:color="auto"/>
            </w:tcBorders>
            <w:shd w:val="clear" w:color="000000" w:fill="92D050"/>
            <w:noWrap/>
            <w:vAlign w:val="center"/>
            <w:hideMark/>
          </w:tcPr>
          <w:p w14:paraId="6277F79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618</w:t>
            </w:r>
          </w:p>
        </w:tc>
        <w:tc>
          <w:tcPr>
            <w:tcW w:w="1145" w:type="dxa"/>
            <w:tcBorders>
              <w:top w:val="nil"/>
              <w:left w:val="nil"/>
              <w:bottom w:val="single" w:sz="4" w:space="0" w:color="auto"/>
              <w:right w:val="single" w:sz="4" w:space="0" w:color="auto"/>
            </w:tcBorders>
            <w:shd w:val="clear" w:color="auto" w:fill="auto"/>
            <w:noWrap/>
            <w:vAlign w:val="center"/>
            <w:hideMark/>
          </w:tcPr>
          <w:p w14:paraId="2F618F81"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Ireland</w:t>
            </w:r>
          </w:p>
        </w:tc>
        <w:tc>
          <w:tcPr>
            <w:tcW w:w="612" w:type="dxa"/>
            <w:tcBorders>
              <w:top w:val="nil"/>
              <w:left w:val="nil"/>
              <w:bottom w:val="single" w:sz="4" w:space="0" w:color="auto"/>
              <w:right w:val="single" w:sz="4" w:space="0" w:color="auto"/>
            </w:tcBorders>
            <w:shd w:val="clear" w:color="auto" w:fill="auto"/>
            <w:noWrap/>
            <w:vAlign w:val="center"/>
            <w:hideMark/>
          </w:tcPr>
          <w:p w14:paraId="4CCB1E2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79,6</w:t>
            </w:r>
          </w:p>
        </w:tc>
        <w:tc>
          <w:tcPr>
            <w:tcW w:w="818" w:type="dxa"/>
            <w:tcBorders>
              <w:top w:val="nil"/>
              <w:left w:val="nil"/>
              <w:bottom w:val="single" w:sz="4" w:space="0" w:color="auto"/>
              <w:right w:val="single" w:sz="4" w:space="0" w:color="auto"/>
            </w:tcBorders>
            <w:shd w:val="clear" w:color="auto" w:fill="auto"/>
            <w:noWrap/>
            <w:vAlign w:val="center"/>
            <w:hideMark/>
          </w:tcPr>
          <w:p w14:paraId="2751AE2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94,4</w:t>
            </w:r>
          </w:p>
        </w:tc>
        <w:tc>
          <w:tcPr>
            <w:tcW w:w="931" w:type="dxa"/>
            <w:tcBorders>
              <w:top w:val="nil"/>
              <w:left w:val="nil"/>
              <w:bottom w:val="single" w:sz="4" w:space="0" w:color="auto"/>
              <w:right w:val="single" w:sz="4" w:space="0" w:color="auto"/>
            </w:tcBorders>
            <w:shd w:val="clear" w:color="auto" w:fill="auto"/>
            <w:vAlign w:val="center"/>
            <w:hideMark/>
          </w:tcPr>
          <w:p w14:paraId="0392765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71,7</w:t>
            </w:r>
          </w:p>
        </w:tc>
        <w:tc>
          <w:tcPr>
            <w:tcW w:w="732" w:type="dxa"/>
            <w:tcBorders>
              <w:top w:val="nil"/>
              <w:left w:val="nil"/>
              <w:bottom w:val="single" w:sz="4" w:space="0" w:color="auto"/>
              <w:right w:val="single" w:sz="4" w:space="0" w:color="auto"/>
            </w:tcBorders>
            <w:shd w:val="clear" w:color="auto" w:fill="auto"/>
            <w:noWrap/>
            <w:vAlign w:val="center"/>
            <w:hideMark/>
          </w:tcPr>
          <w:p w14:paraId="24D2CA9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70,0</w:t>
            </w:r>
          </w:p>
        </w:tc>
        <w:tc>
          <w:tcPr>
            <w:tcW w:w="1016" w:type="dxa"/>
            <w:tcBorders>
              <w:top w:val="nil"/>
              <w:left w:val="nil"/>
              <w:bottom w:val="single" w:sz="4" w:space="0" w:color="auto"/>
              <w:right w:val="single" w:sz="4" w:space="0" w:color="auto"/>
            </w:tcBorders>
            <w:shd w:val="clear" w:color="auto" w:fill="auto"/>
            <w:vAlign w:val="center"/>
            <w:hideMark/>
          </w:tcPr>
          <w:p w14:paraId="45B2B44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80,0</w:t>
            </w:r>
          </w:p>
        </w:tc>
        <w:tc>
          <w:tcPr>
            <w:tcW w:w="997" w:type="dxa"/>
            <w:tcBorders>
              <w:top w:val="nil"/>
              <w:left w:val="nil"/>
              <w:bottom w:val="single" w:sz="4" w:space="0" w:color="auto"/>
              <w:right w:val="single" w:sz="4" w:space="0" w:color="auto"/>
            </w:tcBorders>
            <w:shd w:val="clear" w:color="auto" w:fill="auto"/>
            <w:vAlign w:val="center"/>
            <w:hideMark/>
          </w:tcPr>
          <w:p w14:paraId="73BC100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94,6</w:t>
            </w:r>
          </w:p>
        </w:tc>
        <w:tc>
          <w:tcPr>
            <w:tcW w:w="1437" w:type="dxa"/>
            <w:tcBorders>
              <w:top w:val="nil"/>
              <w:left w:val="nil"/>
              <w:bottom w:val="single" w:sz="4" w:space="0" w:color="auto"/>
              <w:right w:val="single" w:sz="4" w:space="0" w:color="auto"/>
            </w:tcBorders>
            <w:shd w:val="clear" w:color="auto" w:fill="auto"/>
            <w:vAlign w:val="center"/>
            <w:hideMark/>
          </w:tcPr>
          <w:p w14:paraId="10C04B9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87,2</w:t>
            </w:r>
          </w:p>
        </w:tc>
        <w:tc>
          <w:tcPr>
            <w:tcW w:w="1262" w:type="dxa"/>
            <w:tcBorders>
              <w:top w:val="nil"/>
              <w:left w:val="nil"/>
              <w:bottom w:val="single" w:sz="4" w:space="0" w:color="auto"/>
              <w:right w:val="single" w:sz="4" w:space="0" w:color="auto"/>
            </w:tcBorders>
            <w:shd w:val="clear" w:color="auto" w:fill="auto"/>
            <w:vAlign w:val="center"/>
            <w:hideMark/>
          </w:tcPr>
          <w:p w14:paraId="3C1FBDF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57,9</w:t>
            </w:r>
          </w:p>
        </w:tc>
        <w:tc>
          <w:tcPr>
            <w:tcW w:w="1085" w:type="dxa"/>
            <w:tcBorders>
              <w:top w:val="nil"/>
              <w:left w:val="nil"/>
              <w:bottom w:val="single" w:sz="4" w:space="0" w:color="auto"/>
              <w:right w:val="single" w:sz="4" w:space="0" w:color="auto"/>
            </w:tcBorders>
            <w:shd w:val="clear" w:color="auto" w:fill="auto"/>
            <w:vAlign w:val="center"/>
            <w:hideMark/>
          </w:tcPr>
          <w:p w14:paraId="28C665D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79,2</w:t>
            </w:r>
          </w:p>
        </w:tc>
        <w:tc>
          <w:tcPr>
            <w:tcW w:w="916" w:type="dxa"/>
            <w:tcBorders>
              <w:top w:val="nil"/>
              <w:left w:val="nil"/>
              <w:bottom w:val="single" w:sz="4" w:space="0" w:color="auto"/>
              <w:right w:val="single" w:sz="4" w:space="0" w:color="auto"/>
            </w:tcBorders>
            <w:shd w:val="clear" w:color="auto" w:fill="auto"/>
            <w:vAlign w:val="center"/>
            <w:hideMark/>
          </w:tcPr>
          <w:p w14:paraId="5E3EF30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76,6</w:t>
            </w:r>
          </w:p>
        </w:tc>
        <w:tc>
          <w:tcPr>
            <w:tcW w:w="871" w:type="dxa"/>
            <w:tcBorders>
              <w:top w:val="nil"/>
              <w:left w:val="nil"/>
              <w:bottom w:val="single" w:sz="4" w:space="0" w:color="auto"/>
              <w:right w:val="single" w:sz="4" w:space="0" w:color="auto"/>
            </w:tcBorders>
            <w:shd w:val="clear" w:color="auto" w:fill="auto"/>
            <w:vAlign w:val="center"/>
            <w:hideMark/>
          </w:tcPr>
          <w:p w14:paraId="2FFD42C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84,2</w:t>
            </w:r>
          </w:p>
        </w:tc>
      </w:tr>
      <w:tr w:rsidR="00457E80" w:rsidRPr="00036538" w14:paraId="445589AB"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AD47127"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93</w:t>
            </w:r>
          </w:p>
        </w:tc>
        <w:tc>
          <w:tcPr>
            <w:tcW w:w="908" w:type="dxa"/>
            <w:tcBorders>
              <w:top w:val="nil"/>
              <w:left w:val="nil"/>
              <w:bottom w:val="single" w:sz="4" w:space="0" w:color="auto"/>
              <w:right w:val="single" w:sz="4" w:space="0" w:color="auto"/>
            </w:tcBorders>
            <w:shd w:val="clear" w:color="auto" w:fill="auto"/>
            <w:vAlign w:val="bottom"/>
            <w:hideMark/>
          </w:tcPr>
          <w:p w14:paraId="0305C3A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Джакарта</w:t>
            </w:r>
          </w:p>
        </w:tc>
        <w:tc>
          <w:tcPr>
            <w:tcW w:w="1028" w:type="dxa"/>
            <w:tcBorders>
              <w:top w:val="nil"/>
              <w:left w:val="nil"/>
              <w:bottom w:val="single" w:sz="4" w:space="0" w:color="auto"/>
              <w:right w:val="single" w:sz="4" w:space="0" w:color="auto"/>
            </w:tcBorders>
            <w:shd w:val="clear" w:color="auto" w:fill="auto"/>
            <w:vAlign w:val="bottom"/>
            <w:hideMark/>
          </w:tcPr>
          <w:p w14:paraId="0F2FB96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Индонезия</w:t>
            </w:r>
          </w:p>
        </w:tc>
        <w:tc>
          <w:tcPr>
            <w:tcW w:w="612" w:type="dxa"/>
            <w:tcBorders>
              <w:top w:val="nil"/>
              <w:left w:val="nil"/>
              <w:bottom w:val="single" w:sz="4" w:space="0" w:color="auto"/>
              <w:right w:val="single" w:sz="4" w:space="0" w:color="auto"/>
            </w:tcBorders>
            <w:shd w:val="clear" w:color="000000" w:fill="92D050"/>
            <w:noWrap/>
            <w:vAlign w:val="center"/>
            <w:hideMark/>
          </w:tcPr>
          <w:p w14:paraId="34E7A4A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617</w:t>
            </w:r>
          </w:p>
        </w:tc>
        <w:tc>
          <w:tcPr>
            <w:tcW w:w="1145" w:type="dxa"/>
            <w:tcBorders>
              <w:top w:val="nil"/>
              <w:left w:val="nil"/>
              <w:bottom w:val="single" w:sz="4" w:space="0" w:color="auto"/>
              <w:right w:val="single" w:sz="4" w:space="0" w:color="auto"/>
            </w:tcBorders>
            <w:shd w:val="clear" w:color="auto" w:fill="auto"/>
            <w:noWrap/>
            <w:vAlign w:val="center"/>
            <w:hideMark/>
          </w:tcPr>
          <w:p w14:paraId="35A50A37"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Vietnam</w:t>
            </w:r>
          </w:p>
        </w:tc>
        <w:tc>
          <w:tcPr>
            <w:tcW w:w="612" w:type="dxa"/>
            <w:tcBorders>
              <w:top w:val="nil"/>
              <w:left w:val="nil"/>
              <w:bottom w:val="single" w:sz="4" w:space="0" w:color="auto"/>
              <w:right w:val="single" w:sz="4" w:space="0" w:color="auto"/>
            </w:tcBorders>
            <w:shd w:val="clear" w:color="auto" w:fill="auto"/>
            <w:noWrap/>
            <w:vAlign w:val="center"/>
            <w:hideMark/>
          </w:tcPr>
          <w:p w14:paraId="1785AE8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69,8</w:t>
            </w:r>
          </w:p>
        </w:tc>
        <w:tc>
          <w:tcPr>
            <w:tcW w:w="818" w:type="dxa"/>
            <w:tcBorders>
              <w:top w:val="nil"/>
              <w:left w:val="nil"/>
              <w:bottom w:val="single" w:sz="4" w:space="0" w:color="auto"/>
              <w:right w:val="single" w:sz="4" w:space="0" w:color="auto"/>
            </w:tcBorders>
            <w:shd w:val="clear" w:color="auto" w:fill="auto"/>
            <w:noWrap/>
            <w:vAlign w:val="center"/>
            <w:hideMark/>
          </w:tcPr>
          <w:p w14:paraId="7E84727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85,1</w:t>
            </w:r>
          </w:p>
        </w:tc>
        <w:tc>
          <w:tcPr>
            <w:tcW w:w="931" w:type="dxa"/>
            <w:tcBorders>
              <w:top w:val="nil"/>
              <w:left w:val="nil"/>
              <w:bottom w:val="single" w:sz="4" w:space="0" w:color="auto"/>
              <w:right w:val="single" w:sz="4" w:space="0" w:color="auto"/>
            </w:tcBorders>
            <w:shd w:val="clear" w:color="auto" w:fill="auto"/>
            <w:vAlign w:val="center"/>
            <w:hideMark/>
          </w:tcPr>
          <w:p w14:paraId="3A29074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71,1</w:t>
            </w:r>
          </w:p>
        </w:tc>
        <w:tc>
          <w:tcPr>
            <w:tcW w:w="732" w:type="dxa"/>
            <w:tcBorders>
              <w:top w:val="nil"/>
              <w:left w:val="nil"/>
              <w:bottom w:val="single" w:sz="4" w:space="0" w:color="auto"/>
              <w:right w:val="single" w:sz="4" w:space="0" w:color="auto"/>
            </w:tcBorders>
            <w:shd w:val="clear" w:color="auto" w:fill="auto"/>
            <w:noWrap/>
            <w:vAlign w:val="center"/>
            <w:hideMark/>
          </w:tcPr>
          <w:p w14:paraId="53089E3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80,0</w:t>
            </w:r>
          </w:p>
        </w:tc>
        <w:tc>
          <w:tcPr>
            <w:tcW w:w="1016" w:type="dxa"/>
            <w:tcBorders>
              <w:top w:val="nil"/>
              <w:left w:val="nil"/>
              <w:bottom w:val="single" w:sz="4" w:space="0" w:color="auto"/>
              <w:right w:val="single" w:sz="4" w:space="0" w:color="auto"/>
            </w:tcBorders>
            <w:shd w:val="clear" w:color="auto" w:fill="auto"/>
            <w:vAlign w:val="center"/>
            <w:hideMark/>
          </w:tcPr>
          <w:p w14:paraId="0CAB382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54,0</w:t>
            </w:r>
          </w:p>
        </w:tc>
        <w:tc>
          <w:tcPr>
            <w:tcW w:w="997" w:type="dxa"/>
            <w:tcBorders>
              <w:top w:val="nil"/>
              <w:left w:val="nil"/>
              <w:bottom w:val="single" w:sz="4" w:space="0" w:color="auto"/>
              <w:right w:val="single" w:sz="4" w:space="0" w:color="auto"/>
            </w:tcBorders>
            <w:shd w:val="clear" w:color="auto" w:fill="auto"/>
            <w:vAlign w:val="center"/>
            <w:hideMark/>
          </w:tcPr>
          <w:p w14:paraId="1F96915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69,0</w:t>
            </w:r>
          </w:p>
        </w:tc>
        <w:tc>
          <w:tcPr>
            <w:tcW w:w="1437" w:type="dxa"/>
            <w:tcBorders>
              <w:top w:val="nil"/>
              <w:left w:val="nil"/>
              <w:bottom w:val="single" w:sz="4" w:space="0" w:color="auto"/>
              <w:right w:val="single" w:sz="4" w:space="0" w:color="auto"/>
            </w:tcBorders>
            <w:shd w:val="clear" w:color="auto" w:fill="auto"/>
            <w:vAlign w:val="center"/>
            <w:hideMark/>
          </w:tcPr>
          <w:p w14:paraId="6E5216D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70,8</w:t>
            </w:r>
          </w:p>
        </w:tc>
        <w:tc>
          <w:tcPr>
            <w:tcW w:w="1262" w:type="dxa"/>
            <w:tcBorders>
              <w:top w:val="nil"/>
              <w:left w:val="nil"/>
              <w:bottom w:val="single" w:sz="4" w:space="0" w:color="auto"/>
              <w:right w:val="single" w:sz="4" w:space="0" w:color="auto"/>
            </w:tcBorders>
            <w:shd w:val="clear" w:color="auto" w:fill="auto"/>
            <w:vAlign w:val="center"/>
            <w:hideMark/>
          </w:tcPr>
          <w:p w14:paraId="5E42E8F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62,1</w:t>
            </w:r>
          </w:p>
        </w:tc>
        <w:tc>
          <w:tcPr>
            <w:tcW w:w="1085" w:type="dxa"/>
            <w:tcBorders>
              <w:top w:val="nil"/>
              <w:left w:val="nil"/>
              <w:bottom w:val="single" w:sz="4" w:space="0" w:color="auto"/>
              <w:right w:val="single" w:sz="4" w:space="0" w:color="auto"/>
            </w:tcBorders>
            <w:shd w:val="clear" w:color="auto" w:fill="auto"/>
            <w:vAlign w:val="center"/>
            <w:hideMark/>
          </w:tcPr>
          <w:p w14:paraId="47F0CBE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38,0</w:t>
            </w:r>
          </w:p>
        </w:tc>
        <w:tc>
          <w:tcPr>
            <w:tcW w:w="916" w:type="dxa"/>
            <w:tcBorders>
              <w:top w:val="nil"/>
              <w:left w:val="nil"/>
              <w:bottom w:val="single" w:sz="4" w:space="0" w:color="auto"/>
              <w:right w:val="single" w:sz="4" w:space="0" w:color="auto"/>
            </w:tcBorders>
            <w:shd w:val="clear" w:color="auto" w:fill="auto"/>
            <w:vAlign w:val="center"/>
            <w:hideMark/>
          </w:tcPr>
          <w:p w14:paraId="7BCB849B"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79,3</w:t>
            </w:r>
          </w:p>
        </w:tc>
        <w:tc>
          <w:tcPr>
            <w:tcW w:w="871" w:type="dxa"/>
            <w:tcBorders>
              <w:top w:val="nil"/>
              <w:left w:val="nil"/>
              <w:bottom w:val="single" w:sz="4" w:space="0" w:color="auto"/>
              <w:right w:val="single" w:sz="4" w:space="0" w:color="auto"/>
            </w:tcBorders>
            <w:shd w:val="clear" w:color="auto" w:fill="auto"/>
            <w:vAlign w:val="center"/>
            <w:hideMark/>
          </w:tcPr>
          <w:p w14:paraId="49AB1BC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88,2</w:t>
            </w:r>
          </w:p>
        </w:tc>
      </w:tr>
      <w:tr w:rsidR="00457E80" w:rsidRPr="00036538" w14:paraId="2B9DCAD9"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208F3FF0"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94</w:t>
            </w:r>
          </w:p>
        </w:tc>
        <w:tc>
          <w:tcPr>
            <w:tcW w:w="908" w:type="dxa"/>
            <w:tcBorders>
              <w:top w:val="nil"/>
              <w:left w:val="nil"/>
              <w:bottom w:val="single" w:sz="4" w:space="0" w:color="auto"/>
              <w:right w:val="single" w:sz="4" w:space="0" w:color="auto"/>
            </w:tcBorders>
            <w:shd w:val="clear" w:color="auto" w:fill="auto"/>
            <w:noWrap/>
            <w:vAlign w:val="bottom"/>
            <w:hideMark/>
          </w:tcPr>
          <w:p w14:paraId="3294935C"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Панама</w:t>
            </w:r>
          </w:p>
        </w:tc>
        <w:tc>
          <w:tcPr>
            <w:tcW w:w="1028" w:type="dxa"/>
            <w:tcBorders>
              <w:top w:val="nil"/>
              <w:left w:val="nil"/>
              <w:bottom w:val="single" w:sz="4" w:space="0" w:color="auto"/>
              <w:right w:val="single" w:sz="4" w:space="0" w:color="auto"/>
            </w:tcBorders>
            <w:shd w:val="clear" w:color="auto" w:fill="auto"/>
            <w:noWrap/>
            <w:vAlign w:val="bottom"/>
            <w:hideMark/>
          </w:tcPr>
          <w:p w14:paraId="08E5FA9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Панама</w:t>
            </w:r>
          </w:p>
        </w:tc>
        <w:tc>
          <w:tcPr>
            <w:tcW w:w="612" w:type="dxa"/>
            <w:tcBorders>
              <w:top w:val="nil"/>
              <w:left w:val="nil"/>
              <w:bottom w:val="single" w:sz="4" w:space="0" w:color="auto"/>
              <w:right w:val="single" w:sz="4" w:space="0" w:color="auto"/>
            </w:tcBorders>
            <w:shd w:val="clear" w:color="000000" w:fill="92D050"/>
            <w:noWrap/>
            <w:vAlign w:val="center"/>
            <w:hideMark/>
          </w:tcPr>
          <w:p w14:paraId="79CBB90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616</w:t>
            </w:r>
          </w:p>
        </w:tc>
        <w:tc>
          <w:tcPr>
            <w:tcW w:w="1145" w:type="dxa"/>
            <w:tcBorders>
              <w:top w:val="nil"/>
              <w:left w:val="nil"/>
              <w:bottom w:val="single" w:sz="4" w:space="0" w:color="auto"/>
              <w:right w:val="single" w:sz="4" w:space="0" w:color="auto"/>
            </w:tcBorders>
            <w:shd w:val="clear" w:color="auto" w:fill="auto"/>
            <w:noWrap/>
            <w:vAlign w:val="center"/>
            <w:hideMark/>
          </w:tcPr>
          <w:p w14:paraId="17869F55"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Panama</w:t>
            </w:r>
          </w:p>
        </w:tc>
        <w:tc>
          <w:tcPr>
            <w:tcW w:w="612" w:type="dxa"/>
            <w:tcBorders>
              <w:top w:val="nil"/>
              <w:left w:val="nil"/>
              <w:bottom w:val="single" w:sz="4" w:space="0" w:color="auto"/>
              <w:right w:val="single" w:sz="4" w:space="0" w:color="auto"/>
            </w:tcBorders>
            <w:shd w:val="clear" w:color="auto" w:fill="auto"/>
            <w:noWrap/>
            <w:vAlign w:val="center"/>
            <w:hideMark/>
          </w:tcPr>
          <w:p w14:paraId="229B4C8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66,6</w:t>
            </w:r>
          </w:p>
        </w:tc>
        <w:tc>
          <w:tcPr>
            <w:tcW w:w="818" w:type="dxa"/>
            <w:tcBorders>
              <w:top w:val="nil"/>
              <w:left w:val="nil"/>
              <w:bottom w:val="single" w:sz="4" w:space="0" w:color="auto"/>
              <w:right w:val="single" w:sz="4" w:space="0" w:color="auto"/>
            </w:tcBorders>
            <w:shd w:val="clear" w:color="auto" w:fill="auto"/>
            <w:noWrap/>
            <w:vAlign w:val="center"/>
            <w:hideMark/>
          </w:tcPr>
          <w:p w14:paraId="3AD3D04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92,0</w:t>
            </w:r>
          </w:p>
        </w:tc>
        <w:tc>
          <w:tcPr>
            <w:tcW w:w="931" w:type="dxa"/>
            <w:tcBorders>
              <w:top w:val="nil"/>
              <w:left w:val="nil"/>
              <w:bottom w:val="single" w:sz="4" w:space="0" w:color="auto"/>
              <w:right w:val="single" w:sz="4" w:space="0" w:color="auto"/>
            </w:tcBorders>
            <w:shd w:val="clear" w:color="auto" w:fill="auto"/>
            <w:vAlign w:val="center"/>
            <w:hideMark/>
          </w:tcPr>
          <w:p w14:paraId="6AEA099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65,2</w:t>
            </w:r>
          </w:p>
        </w:tc>
        <w:tc>
          <w:tcPr>
            <w:tcW w:w="732" w:type="dxa"/>
            <w:tcBorders>
              <w:top w:val="nil"/>
              <w:left w:val="nil"/>
              <w:bottom w:val="single" w:sz="4" w:space="0" w:color="auto"/>
              <w:right w:val="single" w:sz="4" w:space="0" w:color="auto"/>
            </w:tcBorders>
            <w:shd w:val="clear" w:color="auto" w:fill="auto"/>
            <w:noWrap/>
            <w:vAlign w:val="center"/>
            <w:hideMark/>
          </w:tcPr>
          <w:p w14:paraId="2F7E988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80,0</w:t>
            </w:r>
          </w:p>
        </w:tc>
        <w:tc>
          <w:tcPr>
            <w:tcW w:w="1016" w:type="dxa"/>
            <w:tcBorders>
              <w:top w:val="nil"/>
              <w:left w:val="nil"/>
              <w:bottom w:val="single" w:sz="4" w:space="0" w:color="auto"/>
              <w:right w:val="single" w:sz="4" w:space="0" w:color="auto"/>
            </w:tcBorders>
            <w:shd w:val="clear" w:color="auto" w:fill="auto"/>
            <w:vAlign w:val="center"/>
            <w:hideMark/>
          </w:tcPr>
          <w:p w14:paraId="26AD84F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56,0</w:t>
            </w:r>
          </w:p>
        </w:tc>
        <w:tc>
          <w:tcPr>
            <w:tcW w:w="997" w:type="dxa"/>
            <w:tcBorders>
              <w:top w:val="nil"/>
              <w:left w:val="nil"/>
              <w:bottom w:val="single" w:sz="4" w:space="0" w:color="auto"/>
              <w:right w:val="single" w:sz="4" w:space="0" w:color="auto"/>
            </w:tcBorders>
            <w:shd w:val="clear" w:color="auto" w:fill="auto"/>
            <w:vAlign w:val="center"/>
            <w:hideMark/>
          </w:tcPr>
          <w:p w14:paraId="69D324D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46,7</w:t>
            </w:r>
          </w:p>
        </w:tc>
        <w:tc>
          <w:tcPr>
            <w:tcW w:w="1437" w:type="dxa"/>
            <w:tcBorders>
              <w:top w:val="nil"/>
              <w:left w:val="nil"/>
              <w:bottom w:val="single" w:sz="4" w:space="0" w:color="auto"/>
              <w:right w:val="single" w:sz="4" w:space="0" w:color="auto"/>
            </w:tcBorders>
            <w:shd w:val="clear" w:color="auto" w:fill="auto"/>
            <w:vAlign w:val="center"/>
            <w:hideMark/>
          </w:tcPr>
          <w:p w14:paraId="6438300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85,5</w:t>
            </w:r>
          </w:p>
        </w:tc>
        <w:tc>
          <w:tcPr>
            <w:tcW w:w="1262" w:type="dxa"/>
            <w:tcBorders>
              <w:top w:val="nil"/>
              <w:left w:val="nil"/>
              <w:bottom w:val="single" w:sz="4" w:space="0" w:color="auto"/>
              <w:right w:val="single" w:sz="4" w:space="0" w:color="auto"/>
            </w:tcBorders>
            <w:shd w:val="clear" w:color="auto" w:fill="auto"/>
            <w:vAlign w:val="center"/>
            <w:hideMark/>
          </w:tcPr>
          <w:p w14:paraId="5A976F0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49,0</w:t>
            </w:r>
          </w:p>
        </w:tc>
        <w:tc>
          <w:tcPr>
            <w:tcW w:w="1085" w:type="dxa"/>
            <w:tcBorders>
              <w:top w:val="nil"/>
              <w:left w:val="nil"/>
              <w:bottom w:val="single" w:sz="4" w:space="0" w:color="auto"/>
              <w:right w:val="single" w:sz="4" w:space="0" w:color="auto"/>
            </w:tcBorders>
            <w:shd w:val="clear" w:color="auto" w:fill="auto"/>
            <w:vAlign w:val="center"/>
            <w:hideMark/>
          </w:tcPr>
          <w:p w14:paraId="7E8B74B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39,5</w:t>
            </w:r>
          </w:p>
        </w:tc>
        <w:tc>
          <w:tcPr>
            <w:tcW w:w="916" w:type="dxa"/>
            <w:tcBorders>
              <w:top w:val="nil"/>
              <w:left w:val="nil"/>
              <w:bottom w:val="single" w:sz="4" w:space="0" w:color="auto"/>
              <w:right w:val="single" w:sz="4" w:space="0" w:color="auto"/>
            </w:tcBorders>
            <w:shd w:val="clear" w:color="auto" w:fill="auto"/>
            <w:vAlign w:val="center"/>
            <w:hideMark/>
          </w:tcPr>
          <w:p w14:paraId="4709CFD9"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68,2</w:t>
            </w:r>
          </w:p>
        </w:tc>
        <w:tc>
          <w:tcPr>
            <w:tcW w:w="871" w:type="dxa"/>
            <w:tcBorders>
              <w:top w:val="nil"/>
              <w:left w:val="nil"/>
              <w:bottom w:val="single" w:sz="4" w:space="0" w:color="auto"/>
              <w:right w:val="single" w:sz="4" w:space="0" w:color="auto"/>
            </w:tcBorders>
            <w:shd w:val="clear" w:color="auto" w:fill="auto"/>
            <w:vAlign w:val="center"/>
            <w:hideMark/>
          </w:tcPr>
          <w:p w14:paraId="5E778E5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83,5</w:t>
            </w:r>
          </w:p>
        </w:tc>
      </w:tr>
      <w:tr w:rsidR="00457E80" w:rsidRPr="00036538" w14:paraId="08DC88A2"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F7BB5BB"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95</w:t>
            </w:r>
          </w:p>
        </w:tc>
        <w:tc>
          <w:tcPr>
            <w:tcW w:w="908" w:type="dxa"/>
            <w:tcBorders>
              <w:top w:val="nil"/>
              <w:left w:val="nil"/>
              <w:bottom w:val="single" w:sz="4" w:space="0" w:color="auto"/>
              <w:right w:val="single" w:sz="4" w:space="0" w:color="auto"/>
            </w:tcBorders>
            <w:shd w:val="clear" w:color="auto" w:fill="auto"/>
            <w:noWrap/>
            <w:vAlign w:val="bottom"/>
            <w:hideMark/>
          </w:tcPr>
          <w:p w14:paraId="27F7AB0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Тегеран</w:t>
            </w:r>
          </w:p>
        </w:tc>
        <w:tc>
          <w:tcPr>
            <w:tcW w:w="1028" w:type="dxa"/>
            <w:tcBorders>
              <w:top w:val="nil"/>
              <w:left w:val="nil"/>
              <w:bottom w:val="single" w:sz="4" w:space="0" w:color="auto"/>
              <w:right w:val="single" w:sz="4" w:space="0" w:color="auto"/>
            </w:tcBorders>
            <w:shd w:val="clear" w:color="auto" w:fill="auto"/>
            <w:noWrap/>
            <w:vAlign w:val="bottom"/>
            <w:hideMark/>
          </w:tcPr>
          <w:p w14:paraId="63696BE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Иран</w:t>
            </w:r>
          </w:p>
        </w:tc>
        <w:tc>
          <w:tcPr>
            <w:tcW w:w="612" w:type="dxa"/>
            <w:tcBorders>
              <w:top w:val="nil"/>
              <w:left w:val="nil"/>
              <w:bottom w:val="single" w:sz="4" w:space="0" w:color="auto"/>
              <w:right w:val="single" w:sz="4" w:space="0" w:color="auto"/>
            </w:tcBorders>
            <w:shd w:val="clear" w:color="000000" w:fill="92D050"/>
            <w:noWrap/>
            <w:vAlign w:val="center"/>
            <w:hideMark/>
          </w:tcPr>
          <w:p w14:paraId="5E5CA15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615</w:t>
            </w:r>
          </w:p>
        </w:tc>
        <w:tc>
          <w:tcPr>
            <w:tcW w:w="1145" w:type="dxa"/>
            <w:tcBorders>
              <w:top w:val="nil"/>
              <w:left w:val="nil"/>
              <w:bottom w:val="single" w:sz="4" w:space="0" w:color="auto"/>
              <w:right w:val="single" w:sz="4" w:space="0" w:color="auto"/>
            </w:tcBorders>
            <w:shd w:val="clear" w:color="auto" w:fill="auto"/>
            <w:noWrap/>
            <w:vAlign w:val="center"/>
            <w:hideMark/>
          </w:tcPr>
          <w:p w14:paraId="22A6FB40"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Iran, Islamic Rep.</w:t>
            </w:r>
          </w:p>
        </w:tc>
        <w:tc>
          <w:tcPr>
            <w:tcW w:w="612" w:type="dxa"/>
            <w:tcBorders>
              <w:top w:val="nil"/>
              <w:left w:val="nil"/>
              <w:bottom w:val="single" w:sz="4" w:space="0" w:color="auto"/>
              <w:right w:val="single" w:sz="4" w:space="0" w:color="auto"/>
            </w:tcBorders>
            <w:shd w:val="clear" w:color="auto" w:fill="auto"/>
            <w:noWrap/>
            <w:vAlign w:val="center"/>
            <w:hideMark/>
          </w:tcPr>
          <w:p w14:paraId="7B017BE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58,5</w:t>
            </w:r>
          </w:p>
        </w:tc>
        <w:tc>
          <w:tcPr>
            <w:tcW w:w="818" w:type="dxa"/>
            <w:tcBorders>
              <w:top w:val="nil"/>
              <w:left w:val="nil"/>
              <w:bottom w:val="single" w:sz="4" w:space="0" w:color="auto"/>
              <w:right w:val="single" w:sz="4" w:space="0" w:color="auto"/>
            </w:tcBorders>
            <w:shd w:val="clear" w:color="auto" w:fill="auto"/>
            <w:noWrap/>
            <w:vAlign w:val="center"/>
            <w:hideMark/>
          </w:tcPr>
          <w:p w14:paraId="02FB027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67,8</w:t>
            </w:r>
          </w:p>
        </w:tc>
        <w:tc>
          <w:tcPr>
            <w:tcW w:w="931" w:type="dxa"/>
            <w:tcBorders>
              <w:top w:val="nil"/>
              <w:left w:val="nil"/>
              <w:bottom w:val="single" w:sz="4" w:space="0" w:color="auto"/>
              <w:right w:val="single" w:sz="4" w:space="0" w:color="auto"/>
            </w:tcBorders>
            <w:shd w:val="clear" w:color="auto" w:fill="auto"/>
            <w:vAlign w:val="center"/>
            <w:hideMark/>
          </w:tcPr>
          <w:p w14:paraId="729B70D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68,1</w:t>
            </w:r>
          </w:p>
        </w:tc>
        <w:tc>
          <w:tcPr>
            <w:tcW w:w="732" w:type="dxa"/>
            <w:tcBorders>
              <w:top w:val="nil"/>
              <w:left w:val="nil"/>
              <w:bottom w:val="single" w:sz="4" w:space="0" w:color="auto"/>
              <w:right w:val="single" w:sz="4" w:space="0" w:color="auto"/>
            </w:tcBorders>
            <w:shd w:val="clear" w:color="auto" w:fill="auto"/>
            <w:noWrap/>
            <w:vAlign w:val="center"/>
            <w:hideMark/>
          </w:tcPr>
          <w:p w14:paraId="5043E1F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50,0</w:t>
            </w:r>
          </w:p>
        </w:tc>
        <w:tc>
          <w:tcPr>
            <w:tcW w:w="1016" w:type="dxa"/>
            <w:tcBorders>
              <w:top w:val="nil"/>
              <w:left w:val="nil"/>
              <w:bottom w:val="single" w:sz="4" w:space="0" w:color="auto"/>
              <w:right w:val="single" w:sz="4" w:space="0" w:color="auto"/>
            </w:tcBorders>
            <w:shd w:val="clear" w:color="auto" w:fill="auto"/>
            <w:vAlign w:val="center"/>
            <w:hideMark/>
          </w:tcPr>
          <w:p w14:paraId="57416C3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40,0</w:t>
            </w:r>
          </w:p>
        </w:tc>
        <w:tc>
          <w:tcPr>
            <w:tcW w:w="997" w:type="dxa"/>
            <w:tcBorders>
              <w:top w:val="nil"/>
              <w:left w:val="nil"/>
              <w:bottom w:val="single" w:sz="4" w:space="0" w:color="auto"/>
              <w:right w:val="single" w:sz="4" w:space="0" w:color="auto"/>
            </w:tcBorders>
            <w:shd w:val="clear" w:color="auto" w:fill="auto"/>
            <w:vAlign w:val="center"/>
            <w:hideMark/>
          </w:tcPr>
          <w:p w14:paraId="03E17AD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59,5</w:t>
            </w:r>
          </w:p>
        </w:tc>
        <w:tc>
          <w:tcPr>
            <w:tcW w:w="1437" w:type="dxa"/>
            <w:tcBorders>
              <w:top w:val="nil"/>
              <w:left w:val="nil"/>
              <w:bottom w:val="single" w:sz="4" w:space="0" w:color="auto"/>
              <w:right w:val="single" w:sz="4" w:space="0" w:color="auto"/>
            </w:tcBorders>
            <w:shd w:val="clear" w:color="auto" w:fill="auto"/>
            <w:vAlign w:val="center"/>
            <w:hideMark/>
          </w:tcPr>
          <w:p w14:paraId="7C330D9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66,2</w:t>
            </w:r>
          </w:p>
        </w:tc>
        <w:tc>
          <w:tcPr>
            <w:tcW w:w="1262" w:type="dxa"/>
            <w:tcBorders>
              <w:top w:val="nil"/>
              <w:left w:val="nil"/>
              <w:bottom w:val="single" w:sz="4" w:space="0" w:color="auto"/>
              <w:right w:val="single" w:sz="4" w:space="0" w:color="auto"/>
            </w:tcBorders>
            <w:shd w:val="clear" w:color="auto" w:fill="auto"/>
            <w:vAlign w:val="center"/>
            <w:hideMark/>
          </w:tcPr>
          <w:p w14:paraId="4D9CE7C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58,2</w:t>
            </w:r>
          </w:p>
        </w:tc>
        <w:tc>
          <w:tcPr>
            <w:tcW w:w="1085" w:type="dxa"/>
            <w:tcBorders>
              <w:top w:val="nil"/>
              <w:left w:val="nil"/>
              <w:bottom w:val="single" w:sz="4" w:space="0" w:color="auto"/>
              <w:right w:val="single" w:sz="4" w:space="0" w:color="auto"/>
            </w:tcBorders>
            <w:shd w:val="clear" w:color="auto" w:fill="auto"/>
            <w:vAlign w:val="center"/>
            <w:hideMark/>
          </w:tcPr>
          <w:p w14:paraId="1775287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35,1</w:t>
            </w:r>
          </w:p>
        </w:tc>
        <w:tc>
          <w:tcPr>
            <w:tcW w:w="916" w:type="dxa"/>
            <w:tcBorders>
              <w:top w:val="nil"/>
              <w:left w:val="nil"/>
              <w:bottom w:val="single" w:sz="4" w:space="0" w:color="auto"/>
              <w:right w:val="single" w:sz="4" w:space="0" w:color="auto"/>
            </w:tcBorders>
            <w:shd w:val="clear" w:color="auto" w:fill="auto"/>
            <w:vAlign w:val="center"/>
            <w:hideMark/>
          </w:tcPr>
          <w:p w14:paraId="049F4A2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71,2</w:t>
            </w:r>
          </w:p>
        </w:tc>
        <w:tc>
          <w:tcPr>
            <w:tcW w:w="871" w:type="dxa"/>
            <w:tcBorders>
              <w:top w:val="nil"/>
              <w:left w:val="nil"/>
              <w:bottom w:val="single" w:sz="4" w:space="0" w:color="auto"/>
              <w:right w:val="single" w:sz="4" w:space="0" w:color="auto"/>
            </w:tcBorders>
            <w:shd w:val="clear" w:color="auto" w:fill="auto"/>
            <w:vAlign w:val="center"/>
            <w:hideMark/>
          </w:tcPr>
          <w:p w14:paraId="6DEBC474"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69,4</w:t>
            </w:r>
          </w:p>
        </w:tc>
      </w:tr>
      <w:tr w:rsidR="00457E80" w:rsidRPr="00036538" w14:paraId="20949F04"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F72774F"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96</w:t>
            </w:r>
          </w:p>
        </w:tc>
        <w:tc>
          <w:tcPr>
            <w:tcW w:w="908" w:type="dxa"/>
            <w:tcBorders>
              <w:top w:val="nil"/>
              <w:left w:val="nil"/>
              <w:bottom w:val="single" w:sz="4" w:space="0" w:color="auto"/>
              <w:right w:val="single" w:sz="4" w:space="0" w:color="auto"/>
            </w:tcBorders>
            <w:shd w:val="clear" w:color="auto" w:fill="auto"/>
            <w:noWrap/>
            <w:vAlign w:val="bottom"/>
            <w:hideMark/>
          </w:tcPr>
          <w:p w14:paraId="3557DDF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Афины</w:t>
            </w:r>
          </w:p>
        </w:tc>
        <w:tc>
          <w:tcPr>
            <w:tcW w:w="1028" w:type="dxa"/>
            <w:tcBorders>
              <w:top w:val="nil"/>
              <w:left w:val="nil"/>
              <w:bottom w:val="single" w:sz="4" w:space="0" w:color="auto"/>
              <w:right w:val="single" w:sz="4" w:space="0" w:color="auto"/>
            </w:tcBorders>
            <w:shd w:val="clear" w:color="auto" w:fill="auto"/>
            <w:noWrap/>
            <w:vAlign w:val="bottom"/>
            <w:hideMark/>
          </w:tcPr>
          <w:p w14:paraId="06EB963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Греция</w:t>
            </w:r>
          </w:p>
        </w:tc>
        <w:tc>
          <w:tcPr>
            <w:tcW w:w="612" w:type="dxa"/>
            <w:tcBorders>
              <w:top w:val="nil"/>
              <w:left w:val="nil"/>
              <w:bottom w:val="single" w:sz="4" w:space="0" w:color="auto"/>
              <w:right w:val="single" w:sz="4" w:space="0" w:color="auto"/>
            </w:tcBorders>
            <w:shd w:val="clear" w:color="000000" w:fill="92D050"/>
            <w:noWrap/>
            <w:vAlign w:val="center"/>
            <w:hideMark/>
          </w:tcPr>
          <w:p w14:paraId="16EE800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614</w:t>
            </w:r>
          </w:p>
        </w:tc>
        <w:tc>
          <w:tcPr>
            <w:tcW w:w="1145" w:type="dxa"/>
            <w:tcBorders>
              <w:top w:val="nil"/>
              <w:left w:val="nil"/>
              <w:bottom w:val="single" w:sz="4" w:space="0" w:color="auto"/>
              <w:right w:val="single" w:sz="4" w:space="0" w:color="auto"/>
            </w:tcBorders>
            <w:shd w:val="clear" w:color="auto" w:fill="auto"/>
            <w:noWrap/>
            <w:vAlign w:val="center"/>
            <w:hideMark/>
          </w:tcPr>
          <w:p w14:paraId="56B1F098"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Greece</w:t>
            </w:r>
          </w:p>
        </w:tc>
        <w:tc>
          <w:tcPr>
            <w:tcW w:w="612" w:type="dxa"/>
            <w:tcBorders>
              <w:top w:val="nil"/>
              <w:left w:val="nil"/>
              <w:bottom w:val="single" w:sz="4" w:space="0" w:color="auto"/>
              <w:right w:val="single" w:sz="4" w:space="0" w:color="auto"/>
            </w:tcBorders>
            <w:shd w:val="clear" w:color="auto" w:fill="auto"/>
            <w:noWrap/>
            <w:vAlign w:val="center"/>
            <w:hideMark/>
          </w:tcPr>
          <w:p w14:paraId="0367DA9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68,4</w:t>
            </w:r>
          </w:p>
        </w:tc>
        <w:tc>
          <w:tcPr>
            <w:tcW w:w="818" w:type="dxa"/>
            <w:tcBorders>
              <w:top w:val="nil"/>
              <w:left w:val="nil"/>
              <w:bottom w:val="single" w:sz="4" w:space="0" w:color="auto"/>
              <w:right w:val="single" w:sz="4" w:space="0" w:color="auto"/>
            </w:tcBorders>
            <w:shd w:val="clear" w:color="auto" w:fill="auto"/>
            <w:noWrap/>
            <w:vAlign w:val="center"/>
            <w:hideMark/>
          </w:tcPr>
          <w:p w14:paraId="42390DB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96,0</w:t>
            </w:r>
          </w:p>
        </w:tc>
        <w:tc>
          <w:tcPr>
            <w:tcW w:w="931" w:type="dxa"/>
            <w:tcBorders>
              <w:top w:val="nil"/>
              <w:left w:val="nil"/>
              <w:bottom w:val="single" w:sz="4" w:space="0" w:color="auto"/>
              <w:right w:val="single" w:sz="4" w:space="0" w:color="auto"/>
            </w:tcBorders>
            <w:shd w:val="clear" w:color="auto" w:fill="auto"/>
            <w:vAlign w:val="center"/>
            <w:hideMark/>
          </w:tcPr>
          <w:p w14:paraId="21CF4CC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46,9</w:t>
            </w:r>
          </w:p>
        </w:tc>
        <w:tc>
          <w:tcPr>
            <w:tcW w:w="732" w:type="dxa"/>
            <w:tcBorders>
              <w:top w:val="nil"/>
              <w:left w:val="nil"/>
              <w:bottom w:val="single" w:sz="4" w:space="0" w:color="auto"/>
              <w:right w:val="single" w:sz="4" w:space="0" w:color="auto"/>
            </w:tcBorders>
            <w:shd w:val="clear" w:color="auto" w:fill="auto"/>
            <w:noWrap/>
            <w:vAlign w:val="center"/>
            <w:hideMark/>
          </w:tcPr>
          <w:p w14:paraId="28C0D2A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45,0</w:t>
            </w:r>
          </w:p>
        </w:tc>
        <w:tc>
          <w:tcPr>
            <w:tcW w:w="1016" w:type="dxa"/>
            <w:tcBorders>
              <w:top w:val="nil"/>
              <w:left w:val="nil"/>
              <w:bottom w:val="single" w:sz="4" w:space="0" w:color="auto"/>
              <w:right w:val="single" w:sz="4" w:space="0" w:color="auto"/>
            </w:tcBorders>
            <w:shd w:val="clear" w:color="auto" w:fill="auto"/>
            <w:vAlign w:val="center"/>
            <w:hideMark/>
          </w:tcPr>
          <w:p w14:paraId="085DDCC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70,0</w:t>
            </w:r>
          </w:p>
        </w:tc>
        <w:tc>
          <w:tcPr>
            <w:tcW w:w="997" w:type="dxa"/>
            <w:tcBorders>
              <w:top w:val="nil"/>
              <w:left w:val="nil"/>
              <w:bottom w:val="single" w:sz="4" w:space="0" w:color="auto"/>
              <w:right w:val="single" w:sz="4" w:space="0" w:color="auto"/>
            </w:tcBorders>
            <w:shd w:val="clear" w:color="auto" w:fill="auto"/>
            <w:vAlign w:val="center"/>
            <w:hideMark/>
          </w:tcPr>
          <w:p w14:paraId="13ECB50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77,1</w:t>
            </w:r>
          </w:p>
        </w:tc>
        <w:tc>
          <w:tcPr>
            <w:tcW w:w="1437" w:type="dxa"/>
            <w:tcBorders>
              <w:top w:val="nil"/>
              <w:left w:val="nil"/>
              <w:bottom w:val="single" w:sz="4" w:space="0" w:color="auto"/>
              <w:right w:val="single" w:sz="4" w:space="0" w:color="auto"/>
            </w:tcBorders>
            <w:shd w:val="clear" w:color="auto" w:fill="auto"/>
            <w:vAlign w:val="center"/>
            <w:hideMark/>
          </w:tcPr>
          <w:p w14:paraId="7AE8F65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93,7</w:t>
            </w:r>
          </w:p>
        </w:tc>
        <w:tc>
          <w:tcPr>
            <w:tcW w:w="1262" w:type="dxa"/>
            <w:tcBorders>
              <w:top w:val="nil"/>
              <w:left w:val="nil"/>
              <w:bottom w:val="single" w:sz="4" w:space="0" w:color="auto"/>
              <w:right w:val="single" w:sz="4" w:space="0" w:color="auto"/>
            </w:tcBorders>
            <w:shd w:val="clear" w:color="auto" w:fill="auto"/>
            <w:vAlign w:val="center"/>
            <w:hideMark/>
          </w:tcPr>
          <w:p w14:paraId="563EBDD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48,1</w:t>
            </w:r>
          </w:p>
        </w:tc>
        <w:tc>
          <w:tcPr>
            <w:tcW w:w="1085" w:type="dxa"/>
            <w:tcBorders>
              <w:top w:val="nil"/>
              <w:left w:val="nil"/>
              <w:bottom w:val="single" w:sz="4" w:space="0" w:color="auto"/>
              <w:right w:val="single" w:sz="4" w:space="0" w:color="auto"/>
            </w:tcBorders>
            <w:shd w:val="clear" w:color="auto" w:fill="auto"/>
            <w:vAlign w:val="center"/>
            <w:hideMark/>
          </w:tcPr>
          <w:p w14:paraId="4006E74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53,1</w:t>
            </w:r>
          </w:p>
        </w:tc>
        <w:tc>
          <w:tcPr>
            <w:tcW w:w="916" w:type="dxa"/>
            <w:tcBorders>
              <w:top w:val="nil"/>
              <w:left w:val="nil"/>
              <w:bottom w:val="single" w:sz="4" w:space="0" w:color="auto"/>
              <w:right w:val="single" w:sz="4" w:space="0" w:color="auto"/>
            </w:tcBorders>
            <w:shd w:val="clear" w:color="auto" w:fill="auto"/>
            <w:vAlign w:val="center"/>
            <w:hideMark/>
          </w:tcPr>
          <w:p w14:paraId="63E2A13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69,5</w:t>
            </w:r>
          </w:p>
        </w:tc>
        <w:tc>
          <w:tcPr>
            <w:tcW w:w="871" w:type="dxa"/>
            <w:tcBorders>
              <w:top w:val="nil"/>
              <w:left w:val="nil"/>
              <w:bottom w:val="single" w:sz="4" w:space="0" w:color="auto"/>
              <w:right w:val="single" w:sz="4" w:space="0" w:color="auto"/>
            </w:tcBorders>
            <w:shd w:val="clear" w:color="auto" w:fill="auto"/>
            <w:vAlign w:val="center"/>
            <w:hideMark/>
          </w:tcPr>
          <w:p w14:paraId="0850D8A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84,7</w:t>
            </w:r>
          </w:p>
        </w:tc>
      </w:tr>
      <w:tr w:rsidR="00457E80" w:rsidRPr="00036538" w14:paraId="19380255"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0A52B35"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lastRenderedPageBreak/>
              <w:t>97</w:t>
            </w:r>
          </w:p>
        </w:tc>
        <w:tc>
          <w:tcPr>
            <w:tcW w:w="908" w:type="dxa"/>
            <w:tcBorders>
              <w:top w:val="nil"/>
              <w:left w:val="nil"/>
              <w:bottom w:val="single" w:sz="4" w:space="0" w:color="auto"/>
              <w:right w:val="single" w:sz="4" w:space="0" w:color="auto"/>
            </w:tcBorders>
            <w:shd w:val="clear" w:color="auto" w:fill="auto"/>
            <w:noWrap/>
            <w:vAlign w:val="bottom"/>
            <w:hideMark/>
          </w:tcPr>
          <w:p w14:paraId="5B77400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Санкт-Петербург</w:t>
            </w:r>
          </w:p>
        </w:tc>
        <w:tc>
          <w:tcPr>
            <w:tcW w:w="1028" w:type="dxa"/>
            <w:tcBorders>
              <w:top w:val="nil"/>
              <w:left w:val="nil"/>
              <w:bottom w:val="single" w:sz="4" w:space="0" w:color="auto"/>
              <w:right w:val="single" w:sz="4" w:space="0" w:color="auto"/>
            </w:tcBorders>
            <w:shd w:val="clear" w:color="auto" w:fill="auto"/>
            <w:noWrap/>
            <w:vAlign w:val="bottom"/>
            <w:hideMark/>
          </w:tcPr>
          <w:p w14:paraId="08E154F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Россия</w:t>
            </w:r>
          </w:p>
        </w:tc>
        <w:tc>
          <w:tcPr>
            <w:tcW w:w="612" w:type="dxa"/>
            <w:tcBorders>
              <w:top w:val="nil"/>
              <w:left w:val="nil"/>
              <w:bottom w:val="single" w:sz="4" w:space="0" w:color="auto"/>
              <w:right w:val="single" w:sz="4" w:space="0" w:color="auto"/>
            </w:tcBorders>
            <w:shd w:val="clear" w:color="000000" w:fill="92D050"/>
            <w:noWrap/>
            <w:vAlign w:val="center"/>
            <w:hideMark/>
          </w:tcPr>
          <w:p w14:paraId="4784908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613</w:t>
            </w:r>
          </w:p>
        </w:tc>
        <w:tc>
          <w:tcPr>
            <w:tcW w:w="1145" w:type="dxa"/>
            <w:tcBorders>
              <w:top w:val="nil"/>
              <w:left w:val="nil"/>
              <w:bottom w:val="single" w:sz="4" w:space="0" w:color="auto"/>
              <w:right w:val="single" w:sz="4" w:space="0" w:color="auto"/>
            </w:tcBorders>
            <w:shd w:val="clear" w:color="auto" w:fill="auto"/>
            <w:noWrap/>
            <w:vAlign w:val="center"/>
            <w:hideMark/>
          </w:tcPr>
          <w:p w14:paraId="43A91888"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Russian Federation Saint Petersburg</w:t>
            </w:r>
          </w:p>
        </w:tc>
        <w:tc>
          <w:tcPr>
            <w:tcW w:w="612" w:type="dxa"/>
            <w:tcBorders>
              <w:top w:val="nil"/>
              <w:left w:val="nil"/>
              <w:bottom w:val="single" w:sz="4" w:space="0" w:color="auto"/>
              <w:right w:val="single" w:sz="4" w:space="0" w:color="auto"/>
            </w:tcBorders>
            <w:shd w:val="clear" w:color="auto" w:fill="auto"/>
            <w:noWrap/>
            <w:vAlign w:val="center"/>
            <w:hideMark/>
          </w:tcPr>
          <w:p w14:paraId="491EE78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77,9</w:t>
            </w:r>
          </w:p>
        </w:tc>
        <w:tc>
          <w:tcPr>
            <w:tcW w:w="818" w:type="dxa"/>
            <w:tcBorders>
              <w:top w:val="nil"/>
              <w:left w:val="nil"/>
              <w:bottom w:val="single" w:sz="4" w:space="0" w:color="auto"/>
              <w:right w:val="single" w:sz="4" w:space="0" w:color="auto"/>
            </w:tcBorders>
            <w:shd w:val="clear" w:color="auto" w:fill="auto"/>
            <w:noWrap/>
            <w:vAlign w:val="center"/>
            <w:hideMark/>
          </w:tcPr>
          <w:p w14:paraId="41A61DB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93,6</w:t>
            </w:r>
          </w:p>
        </w:tc>
        <w:tc>
          <w:tcPr>
            <w:tcW w:w="931" w:type="dxa"/>
            <w:tcBorders>
              <w:top w:val="nil"/>
              <w:left w:val="nil"/>
              <w:bottom w:val="single" w:sz="4" w:space="0" w:color="auto"/>
              <w:right w:val="single" w:sz="4" w:space="0" w:color="auto"/>
            </w:tcBorders>
            <w:shd w:val="clear" w:color="auto" w:fill="auto"/>
            <w:vAlign w:val="center"/>
            <w:hideMark/>
          </w:tcPr>
          <w:p w14:paraId="1CCF856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88,6</w:t>
            </w:r>
          </w:p>
        </w:tc>
        <w:tc>
          <w:tcPr>
            <w:tcW w:w="732" w:type="dxa"/>
            <w:tcBorders>
              <w:top w:val="nil"/>
              <w:left w:val="nil"/>
              <w:bottom w:val="single" w:sz="4" w:space="0" w:color="auto"/>
              <w:right w:val="single" w:sz="4" w:space="0" w:color="auto"/>
            </w:tcBorders>
            <w:shd w:val="clear" w:color="auto" w:fill="auto"/>
            <w:noWrap/>
            <w:vAlign w:val="center"/>
            <w:hideMark/>
          </w:tcPr>
          <w:p w14:paraId="603D5433"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80,0</w:t>
            </w:r>
          </w:p>
        </w:tc>
        <w:tc>
          <w:tcPr>
            <w:tcW w:w="1016" w:type="dxa"/>
            <w:tcBorders>
              <w:top w:val="nil"/>
              <w:left w:val="nil"/>
              <w:bottom w:val="single" w:sz="4" w:space="0" w:color="auto"/>
              <w:right w:val="single" w:sz="4" w:space="0" w:color="auto"/>
            </w:tcBorders>
            <w:shd w:val="clear" w:color="auto" w:fill="auto"/>
            <w:vAlign w:val="center"/>
            <w:hideMark/>
          </w:tcPr>
          <w:p w14:paraId="2BD4009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60,0</w:t>
            </w:r>
          </w:p>
        </w:tc>
        <w:tc>
          <w:tcPr>
            <w:tcW w:w="997" w:type="dxa"/>
            <w:tcBorders>
              <w:top w:val="nil"/>
              <w:left w:val="nil"/>
              <w:bottom w:val="single" w:sz="4" w:space="0" w:color="auto"/>
              <w:right w:val="single" w:sz="4" w:space="0" w:color="auto"/>
            </w:tcBorders>
            <w:shd w:val="clear" w:color="auto" w:fill="auto"/>
            <w:vAlign w:val="center"/>
            <w:hideMark/>
          </w:tcPr>
          <w:p w14:paraId="7F26A4E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83,0</w:t>
            </w:r>
          </w:p>
        </w:tc>
        <w:tc>
          <w:tcPr>
            <w:tcW w:w="1437" w:type="dxa"/>
            <w:tcBorders>
              <w:top w:val="nil"/>
              <w:left w:val="nil"/>
              <w:bottom w:val="single" w:sz="4" w:space="0" w:color="auto"/>
              <w:right w:val="single" w:sz="4" w:space="0" w:color="auto"/>
            </w:tcBorders>
            <w:shd w:val="clear" w:color="auto" w:fill="auto"/>
            <w:vAlign w:val="center"/>
            <w:hideMark/>
          </w:tcPr>
          <w:p w14:paraId="0891E14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66,5</w:t>
            </w:r>
          </w:p>
        </w:tc>
        <w:tc>
          <w:tcPr>
            <w:tcW w:w="1262" w:type="dxa"/>
            <w:tcBorders>
              <w:top w:val="nil"/>
              <w:left w:val="nil"/>
              <w:bottom w:val="single" w:sz="4" w:space="0" w:color="auto"/>
              <w:right w:val="single" w:sz="4" w:space="0" w:color="auto"/>
            </w:tcBorders>
            <w:shd w:val="clear" w:color="auto" w:fill="auto"/>
            <w:vAlign w:val="center"/>
            <w:hideMark/>
          </w:tcPr>
          <w:p w14:paraId="5F7D32A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71,1</w:t>
            </w:r>
          </w:p>
        </w:tc>
        <w:tc>
          <w:tcPr>
            <w:tcW w:w="1085" w:type="dxa"/>
            <w:tcBorders>
              <w:top w:val="nil"/>
              <w:left w:val="nil"/>
              <w:bottom w:val="single" w:sz="4" w:space="0" w:color="auto"/>
              <w:right w:val="single" w:sz="4" w:space="0" w:color="auto"/>
            </w:tcBorders>
            <w:shd w:val="clear" w:color="auto" w:fill="auto"/>
            <w:vAlign w:val="center"/>
            <w:hideMark/>
          </w:tcPr>
          <w:p w14:paraId="610CBE74"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59,1</w:t>
            </w:r>
          </w:p>
        </w:tc>
        <w:tc>
          <w:tcPr>
            <w:tcW w:w="916" w:type="dxa"/>
            <w:tcBorders>
              <w:top w:val="nil"/>
              <w:left w:val="nil"/>
              <w:bottom w:val="single" w:sz="4" w:space="0" w:color="auto"/>
              <w:right w:val="single" w:sz="4" w:space="0" w:color="auto"/>
            </w:tcBorders>
            <w:shd w:val="clear" w:color="auto" w:fill="auto"/>
            <w:vAlign w:val="center"/>
            <w:hideMark/>
          </w:tcPr>
          <w:p w14:paraId="40F3522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80,5</w:t>
            </w:r>
          </w:p>
        </w:tc>
        <w:tc>
          <w:tcPr>
            <w:tcW w:w="871" w:type="dxa"/>
            <w:tcBorders>
              <w:top w:val="nil"/>
              <w:left w:val="nil"/>
              <w:bottom w:val="single" w:sz="4" w:space="0" w:color="auto"/>
              <w:right w:val="single" w:sz="4" w:space="0" w:color="auto"/>
            </w:tcBorders>
            <w:shd w:val="clear" w:color="auto" w:fill="auto"/>
            <w:vAlign w:val="center"/>
            <w:hideMark/>
          </w:tcPr>
          <w:p w14:paraId="51A3EFE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96,8</w:t>
            </w:r>
          </w:p>
        </w:tc>
      </w:tr>
      <w:tr w:rsidR="00457E80" w:rsidRPr="00036538" w14:paraId="05B66DBB"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14BE494E"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98</w:t>
            </w:r>
          </w:p>
        </w:tc>
        <w:tc>
          <w:tcPr>
            <w:tcW w:w="908" w:type="dxa"/>
            <w:tcBorders>
              <w:top w:val="nil"/>
              <w:left w:val="nil"/>
              <w:bottom w:val="single" w:sz="4" w:space="0" w:color="auto"/>
              <w:right w:val="single" w:sz="4" w:space="0" w:color="auto"/>
            </w:tcBorders>
            <w:shd w:val="clear" w:color="auto" w:fill="auto"/>
            <w:noWrap/>
            <w:vAlign w:val="bottom"/>
            <w:hideMark/>
          </w:tcPr>
          <w:p w14:paraId="630EE151"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Ханчжоу</w:t>
            </w:r>
          </w:p>
        </w:tc>
        <w:tc>
          <w:tcPr>
            <w:tcW w:w="1028" w:type="dxa"/>
            <w:tcBorders>
              <w:top w:val="nil"/>
              <w:left w:val="nil"/>
              <w:bottom w:val="single" w:sz="4" w:space="0" w:color="auto"/>
              <w:right w:val="single" w:sz="4" w:space="0" w:color="auto"/>
            </w:tcBorders>
            <w:shd w:val="clear" w:color="auto" w:fill="auto"/>
            <w:noWrap/>
            <w:vAlign w:val="bottom"/>
            <w:hideMark/>
          </w:tcPr>
          <w:p w14:paraId="4CE6D22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Китай</w:t>
            </w:r>
          </w:p>
        </w:tc>
        <w:tc>
          <w:tcPr>
            <w:tcW w:w="612" w:type="dxa"/>
            <w:tcBorders>
              <w:top w:val="nil"/>
              <w:left w:val="nil"/>
              <w:bottom w:val="single" w:sz="4" w:space="0" w:color="auto"/>
              <w:right w:val="single" w:sz="4" w:space="0" w:color="auto"/>
            </w:tcBorders>
            <w:shd w:val="clear" w:color="000000" w:fill="92D050"/>
            <w:noWrap/>
            <w:vAlign w:val="center"/>
            <w:hideMark/>
          </w:tcPr>
          <w:p w14:paraId="4E198B1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612</w:t>
            </w:r>
          </w:p>
        </w:tc>
        <w:tc>
          <w:tcPr>
            <w:tcW w:w="1145" w:type="dxa"/>
            <w:tcBorders>
              <w:top w:val="nil"/>
              <w:left w:val="nil"/>
              <w:bottom w:val="single" w:sz="4" w:space="0" w:color="auto"/>
              <w:right w:val="single" w:sz="4" w:space="0" w:color="auto"/>
            </w:tcBorders>
            <w:shd w:val="clear" w:color="auto" w:fill="auto"/>
            <w:noWrap/>
            <w:vAlign w:val="center"/>
            <w:hideMark/>
          </w:tcPr>
          <w:p w14:paraId="44FAF363"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China</w:t>
            </w:r>
          </w:p>
        </w:tc>
        <w:tc>
          <w:tcPr>
            <w:tcW w:w="612" w:type="dxa"/>
            <w:tcBorders>
              <w:top w:val="nil"/>
              <w:left w:val="nil"/>
              <w:bottom w:val="single" w:sz="4" w:space="0" w:color="auto"/>
              <w:right w:val="single" w:sz="4" w:space="0" w:color="auto"/>
            </w:tcBorders>
            <w:shd w:val="clear" w:color="auto" w:fill="auto"/>
            <w:noWrap/>
            <w:vAlign w:val="center"/>
            <w:hideMark/>
          </w:tcPr>
          <w:p w14:paraId="6A57EF9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77,3</w:t>
            </w:r>
          </w:p>
        </w:tc>
        <w:tc>
          <w:tcPr>
            <w:tcW w:w="818" w:type="dxa"/>
            <w:tcBorders>
              <w:top w:val="nil"/>
              <w:left w:val="nil"/>
              <w:bottom w:val="single" w:sz="4" w:space="0" w:color="auto"/>
              <w:right w:val="single" w:sz="4" w:space="0" w:color="auto"/>
            </w:tcBorders>
            <w:shd w:val="clear" w:color="auto" w:fill="auto"/>
            <w:noWrap/>
            <w:vAlign w:val="center"/>
            <w:hideMark/>
          </w:tcPr>
          <w:p w14:paraId="4A901AE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92,6</w:t>
            </w:r>
          </w:p>
        </w:tc>
        <w:tc>
          <w:tcPr>
            <w:tcW w:w="931" w:type="dxa"/>
            <w:tcBorders>
              <w:top w:val="nil"/>
              <w:left w:val="nil"/>
              <w:bottom w:val="single" w:sz="4" w:space="0" w:color="auto"/>
              <w:right w:val="single" w:sz="4" w:space="0" w:color="auto"/>
            </w:tcBorders>
            <w:shd w:val="clear" w:color="auto" w:fill="auto"/>
            <w:vAlign w:val="center"/>
            <w:hideMark/>
          </w:tcPr>
          <w:p w14:paraId="1565B51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81,0</w:t>
            </w:r>
          </w:p>
        </w:tc>
        <w:tc>
          <w:tcPr>
            <w:tcW w:w="732" w:type="dxa"/>
            <w:tcBorders>
              <w:top w:val="nil"/>
              <w:left w:val="nil"/>
              <w:bottom w:val="single" w:sz="4" w:space="0" w:color="auto"/>
              <w:right w:val="single" w:sz="4" w:space="0" w:color="auto"/>
            </w:tcBorders>
            <w:shd w:val="clear" w:color="auto" w:fill="auto"/>
            <w:noWrap/>
            <w:vAlign w:val="center"/>
            <w:hideMark/>
          </w:tcPr>
          <w:p w14:paraId="79E1EA2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6AE0EB74"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51B5A2C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70,1</w:t>
            </w:r>
          </w:p>
        </w:tc>
        <w:tc>
          <w:tcPr>
            <w:tcW w:w="1437" w:type="dxa"/>
            <w:tcBorders>
              <w:top w:val="nil"/>
              <w:left w:val="nil"/>
              <w:bottom w:val="single" w:sz="4" w:space="0" w:color="auto"/>
              <w:right w:val="single" w:sz="4" w:space="0" w:color="auto"/>
            </w:tcBorders>
            <w:shd w:val="clear" w:color="auto" w:fill="auto"/>
            <w:vAlign w:val="center"/>
            <w:hideMark/>
          </w:tcPr>
          <w:p w14:paraId="4032537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86,5</w:t>
            </w:r>
          </w:p>
        </w:tc>
        <w:tc>
          <w:tcPr>
            <w:tcW w:w="1262" w:type="dxa"/>
            <w:tcBorders>
              <w:top w:val="nil"/>
              <w:left w:val="nil"/>
              <w:bottom w:val="single" w:sz="4" w:space="0" w:color="auto"/>
              <w:right w:val="single" w:sz="4" w:space="0" w:color="auto"/>
            </w:tcBorders>
            <w:shd w:val="clear" w:color="auto" w:fill="auto"/>
            <w:vAlign w:val="center"/>
            <w:hideMark/>
          </w:tcPr>
          <w:p w14:paraId="65B96F7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80,9</w:t>
            </w:r>
          </w:p>
        </w:tc>
        <w:tc>
          <w:tcPr>
            <w:tcW w:w="1085" w:type="dxa"/>
            <w:tcBorders>
              <w:top w:val="nil"/>
              <w:left w:val="nil"/>
              <w:bottom w:val="single" w:sz="4" w:space="0" w:color="auto"/>
              <w:right w:val="single" w:sz="4" w:space="0" w:color="auto"/>
            </w:tcBorders>
            <w:shd w:val="clear" w:color="auto" w:fill="auto"/>
            <w:vAlign w:val="center"/>
            <w:hideMark/>
          </w:tcPr>
          <w:p w14:paraId="15F5597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62,1</w:t>
            </w:r>
          </w:p>
        </w:tc>
        <w:tc>
          <w:tcPr>
            <w:tcW w:w="916" w:type="dxa"/>
            <w:tcBorders>
              <w:top w:val="nil"/>
              <w:left w:val="nil"/>
              <w:bottom w:val="single" w:sz="4" w:space="0" w:color="auto"/>
              <w:right w:val="single" w:sz="4" w:space="0" w:color="auto"/>
            </w:tcBorders>
            <w:shd w:val="clear" w:color="auto" w:fill="auto"/>
            <w:vAlign w:val="center"/>
            <w:hideMark/>
          </w:tcPr>
          <w:p w14:paraId="0076A13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77,3</w:t>
            </w:r>
          </w:p>
        </w:tc>
        <w:tc>
          <w:tcPr>
            <w:tcW w:w="871" w:type="dxa"/>
            <w:tcBorders>
              <w:top w:val="nil"/>
              <w:left w:val="nil"/>
              <w:bottom w:val="single" w:sz="4" w:space="0" w:color="auto"/>
              <w:right w:val="single" w:sz="4" w:space="0" w:color="auto"/>
            </w:tcBorders>
            <w:shd w:val="clear" w:color="auto" w:fill="auto"/>
            <w:vAlign w:val="center"/>
            <w:hideMark/>
          </w:tcPr>
          <w:p w14:paraId="6212C90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95,4</w:t>
            </w:r>
          </w:p>
        </w:tc>
      </w:tr>
      <w:tr w:rsidR="00457E80" w:rsidRPr="00036538" w14:paraId="2B71590B"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29C649E"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99</w:t>
            </w:r>
          </w:p>
        </w:tc>
        <w:tc>
          <w:tcPr>
            <w:tcW w:w="908" w:type="dxa"/>
            <w:tcBorders>
              <w:top w:val="nil"/>
              <w:left w:val="nil"/>
              <w:bottom w:val="single" w:sz="4" w:space="0" w:color="auto"/>
              <w:right w:val="single" w:sz="4" w:space="0" w:color="auto"/>
            </w:tcBorders>
            <w:shd w:val="clear" w:color="auto" w:fill="auto"/>
            <w:noWrap/>
            <w:vAlign w:val="bottom"/>
            <w:hideMark/>
          </w:tcPr>
          <w:p w14:paraId="04CCD865"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Циндао</w:t>
            </w:r>
          </w:p>
        </w:tc>
        <w:tc>
          <w:tcPr>
            <w:tcW w:w="1028" w:type="dxa"/>
            <w:tcBorders>
              <w:top w:val="nil"/>
              <w:left w:val="nil"/>
              <w:bottom w:val="single" w:sz="4" w:space="0" w:color="auto"/>
              <w:right w:val="single" w:sz="4" w:space="0" w:color="auto"/>
            </w:tcBorders>
            <w:shd w:val="clear" w:color="auto" w:fill="auto"/>
            <w:noWrap/>
            <w:vAlign w:val="bottom"/>
            <w:hideMark/>
          </w:tcPr>
          <w:p w14:paraId="419649B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Китай</w:t>
            </w:r>
          </w:p>
        </w:tc>
        <w:tc>
          <w:tcPr>
            <w:tcW w:w="612" w:type="dxa"/>
            <w:tcBorders>
              <w:top w:val="nil"/>
              <w:left w:val="nil"/>
              <w:bottom w:val="single" w:sz="4" w:space="0" w:color="auto"/>
              <w:right w:val="single" w:sz="4" w:space="0" w:color="auto"/>
            </w:tcBorders>
            <w:shd w:val="clear" w:color="000000" w:fill="92D050"/>
            <w:noWrap/>
            <w:vAlign w:val="center"/>
            <w:hideMark/>
          </w:tcPr>
          <w:p w14:paraId="3D9800E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610</w:t>
            </w:r>
          </w:p>
        </w:tc>
        <w:tc>
          <w:tcPr>
            <w:tcW w:w="1145" w:type="dxa"/>
            <w:tcBorders>
              <w:top w:val="nil"/>
              <w:left w:val="nil"/>
              <w:bottom w:val="single" w:sz="4" w:space="0" w:color="auto"/>
              <w:right w:val="single" w:sz="4" w:space="0" w:color="auto"/>
            </w:tcBorders>
            <w:shd w:val="clear" w:color="auto" w:fill="auto"/>
            <w:noWrap/>
            <w:vAlign w:val="center"/>
            <w:hideMark/>
          </w:tcPr>
          <w:p w14:paraId="0B684417"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China</w:t>
            </w:r>
          </w:p>
        </w:tc>
        <w:tc>
          <w:tcPr>
            <w:tcW w:w="612" w:type="dxa"/>
            <w:tcBorders>
              <w:top w:val="nil"/>
              <w:left w:val="nil"/>
              <w:bottom w:val="single" w:sz="4" w:space="0" w:color="auto"/>
              <w:right w:val="single" w:sz="4" w:space="0" w:color="auto"/>
            </w:tcBorders>
            <w:shd w:val="clear" w:color="auto" w:fill="auto"/>
            <w:noWrap/>
            <w:vAlign w:val="center"/>
            <w:hideMark/>
          </w:tcPr>
          <w:p w14:paraId="3A08DE7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77,3</w:t>
            </w:r>
          </w:p>
        </w:tc>
        <w:tc>
          <w:tcPr>
            <w:tcW w:w="818" w:type="dxa"/>
            <w:tcBorders>
              <w:top w:val="nil"/>
              <w:left w:val="nil"/>
              <w:bottom w:val="single" w:sz="4" w:space="0" w:color="auto"/>
              <w:right w:val="single" w:sz="4" w:space="0" w:color="auto"/>
            </w:tcBorders>
            <w:shd w:val="clear" w:color="auto" w:fill="auto"/>
            <w:noWrap/>
            <w:vAlign w:val="center"/>
            <w:hideMark/>
          </w:tcPr>
          <w:p w14:paraId="014BCA0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92,6</w:t>
            </w:r>
          </w:p>
        </w:tc>
        <w:tc>
          <w:tcPr>
            <w:tcW w:w="931" w:type="dxa"/>
            <w:tcBorders>
              <w:top w:val="nil"/>
              <w:left w:val="nil"/>
              <w:bottom w:val="single" w:sz="4" w:space="0" w:color="auto"/>
              <w:right w:val="single" w:sz="4" w:space="0" w:color="auto"/>
            </w:tcBorders>
            <w:shd w:val="clear" w:color="auto" w:fill="auto"/>
            <w:vAlign w:val="center"/>
            <w:hideMark/>
          </w:tcPr>
          <w:p w14:paraId="53927B5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81,0</w:t>
            </w:r>
          </w:p>
        </w:tc>
        <w:tc>
          <w:tcPr>
            <w:tcW w:w="732" w:type="dxa"/>
            <w:tcBorders>
              <w:top w:val="nil"/>
              <w:left w:val="nil"/>
              <w:bottom w:val="single" w:sz="4" w:space="0" w:color="auto"/>
              <w:right w:val="single" w:sz="4" w:space="0" w:color="auto"/>
            </w:tcBorders>
            <w:shd w:val="clear" w:color="auto" w:fill="auto"/>
            <w:noWrap/>
            <w:vAlign w:val="center"/>
            <w:hideMark/>
          </w:tcPr>
          <w:p w14:paraId="3592515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49470CE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45C80B9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70,1</w:t>
            </w:r>
          </w:p>
        </w:tc>
        <w:tc>
          <w:tcPr>
            <w:tcW w:w="1437" w:type="dxa"/>
            <w:tcBorders>
              <w:top w:val="nil"/>
              <w:left w:val="nil"/>
              <w:bottom w:val="single" w:sz="4" w:space="0" w:color="auto"/>
              <w:right w:val="single" w:sz="4" w:space="0" w:color="auto"/>
            </w:tcBorders>
            <w:shd w:val="clear" w:color="auto" w:fill="auto"/>
            <w:vAlign w:val="center"/>
            <w:hideMark/>
          </w:tcPr>
          <w:p w14:paraId="267230E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86,5</w:t>
            </w:r>
          </w:p>
        </w:tc>
        <w:tc>
          <w:tcPr>
            <w:tcW w:w="1262" w:type="dxa"/>
            <w:tcBorders>
              <w:top w:val="nil"/>
              <w:left w:val="nil"/>
              <w:bottom w:val="single" w:sz="4" w:space="0" w:color="auto"/>
              <w:right w:val="single" w:sz="4" w:space="0" w:color="auto"/>
            </w:tcBorders>
            <w:shd w:val="clear" w:color="auto" w:fill="auto"/>
            <w:vAlign w:val="center"/>
            <w:hideMark/>
          </w:tcPr>
          <w:p w14:paraId="05CA9723"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80,9</w:t>
            </w:r>
          </w:p>
        </w:tc>
        <w:tc>
          <w:tcPr>
            <w:tcW w:w="1085" w:type="dxa"/>
            <w:tcBorders>
              <w:top w:val="nil"/>
              <w:left w:val="nil"/>
              <w:bottom w:val="single" w:sz="4" w:space="0" w:color="auto"/>
              <w:right w:val="single" w:sz="4" w:space="0" w:color="auto"/>
            </w:tcBorders>
            <w:shd w:val="clear" w:color="auto" w:fill="auto"/>
            <w:vAlign w:val="center"/>
            <w:hideMark/>
          </w:tcPr>
          <w:p w14:paraId="4814DA4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62,1</w:t>
            </w:r>
          </w:p>
        </w:tc>
        <w:tc>
          <w:tcPr>
            <w:tcW w:w="916" w:type="dxa"/>
            <w:tcBorders>
              <w:top w:val="nil"/>
              <w:left w:val="nil"/>
              <w:bottom w:val="single" w:sz="4" w:space="0" w:color="auto"/>
              <w:right w:val="single" w:sz="4" w:space="0" w:color="auto"/>
            </w:tcBorders>
            <w:shd w:val="clear" w:color="auto" w:fill="auto"/>
            <w:vAlign w:val="center"/>
            <w:hideMark/>
          </w:tcPr>
          <w:p w14:paraId="6307ABD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77,3</w:t>
            </w:r>
          </w:p>
        </w:tc>
        <w:tc>
          <w:tcPr>
            <w:tcW w:w="871" w:type="dxa"/>
            <w:tcBorders>
              <w:top w:val="nil"/>
              <w:left w:val="nil"/>
              <w:bottom w:val="single" w:sz="4" w:space="0" w:color="auto"/>
              <w:right w:val="single" w:sz="4" w:space="0" w:color="auto"/>
            </w:tcBorders>
            <w:shd w:val="clear" w:color="auto" w:fill="auto"/>
            <w:vAlign w:val="center"/>
            <w:hideMark/>
          </w:tcPr>
          <w:p w14:paraId="3858383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95,4</w:t>
            </w:r>
          </w:p>
        </w:tc>
      </w:tr>
      <w:tr w:rsidR="00457E80" w:rsidRPr="00036538" w14:paraId="0971731E"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3671C447"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100</w:t>
            </w:r>
          </w:p>
        </w:tc>
        <w:tc>
          <w:tcPr>
            <w:tcW w:w="908" w:type="dxa"/>
            <w:tcBorders>
              <w:top w:val="nil"/>
              <w:left w:val="nil"/>
              <w:bottom w:val="single" w:sz="4" w:space="0" w:color="auto"/>
              <w:right w:val="single" w:sz="4" w:space="0" w:color="auto"/>
            </w:tcBorders>
            <w:shd w:val="clear" w:color="auto" w:fill="auto"/>
            <w:noWrap/>
            <w:vAlign w:val="bottom"/>
            <w:hideMark/>
          </w:tcPr>
          <w:p w14:paraId="4583A3F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Тьянцзин</w:t>
            </w:r>
          </w:p>
        </w:tc>
        <w:tc>
          <w:tcPr>
            <w:tcW w:w="1028" w:type="dxa"/>
            <w:tcBorders>
              <w:top w:val="nil"/>
              <w:left w:val="nil"/>
              <w:bottom w:val="single" w:sz="4" w:space="0" w:color="auto"/>
              <w:right w:val="single" w:sz="4" w:space="0" w:color="auto"/>
            </w:tcBorders>
            <w:shd w:val="clear" w:color="auto" w:fill="auto"/>
            <w:noWrap/>
            <w:vAlign w:val="bottom"/>
            <w:hideMark/>
          </w:tcPr>
          <w:p w14:paraId="66373D0F"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Китай</w:t>
            </w:r>
          </w:p>
        </w:tc>
        <w:tc>
          <w:tcPr>
            <w:tcW w:w="612" w:type="dxa"/>
            <w:tcBorders>
              <w:top w:val="nil"/>
              <w:left w:val="nil"/>
              <w:bottom w:val="single" w:sz="4" w:space="0" w:color="auto"/>
              <w:right w:val="single" w:sz="4" w:space="0" w:color="auto"/>
            </w:tcBorders>
            <w:shd w:val="clear" w:color="000000" w:fill="92D050"/>
            <w:noWrap/>
            <w:vAlign w:val="center"/>
            <w:hideMark/>
          </w:tcPr>
          <w:p w14:paraId="702E56F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609</w:t>
            </w:r>
          </w:p>
        </w:tc>
        <w:tc>
          <w:tcPr>
            <w:tcW w:w="1145" w:type="dxa"/>
            <w:tcBorders>
              <w:top w:val="nil"/>
              <w:left w:val="nil"/>
              <w:bottom w:val="single" w:sz="4" w:space="0" w:color="auto"/>
              <w:right w:val="single" w:sz="4" w:space="0" w:color="auto"/>
            </w:tcBorders>
            <w:shd w:val="clear" w:color="auto" w:fill="auto"/>
            <w:noWrap/>
            <w:vAlign w:val="center"/>
            <w:hideMark/>
          </w:tcPr>
          <w:p w14:paraId="3CCB3EDC"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China</w:t>
            </w:r>
          </w:p>
        </w:tc>
        <w:tc>
          <w:tcPr>
            <w:tcW w:w="612" w:type="dxa"/>
            <w:tcBorders>
              <w:top w:val="nil"/>
              <w:left w:val="nil"/>
              <w:bottom w:val="single" w:sz="4" w:space="0" w:color="auto"/>
              <w:right w:val="single" w:sz="4" w:space="0" w:color="auto"/>
            </w:tcBorders>
            <w:shd w:val="clear" w:color="auto" w:fill="auto"/>
            <w:noWrap/>
            <w:vAlign w:val="center"/>
            <w:hideMark/>
          </w:tcPr>
          <w:p w14:paraId="5C3764F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77,3</w:t>
            </w:r>
          </w:p>
        </w:tc>
        <w:tc>
          <w:tcPr>
            <w:tcW w:w="818" w:type="dxa"/>
            <w:tcBorders>
              <w:top w:val="nil"/>
              <w:left w:val="nil"/>
              <w:bottom w:val="single" w:sz="4" w:space="0" w:color="auto"/>
              <w:right w:val="single" w:sz="4" w:space="0" w:color="auto"/>
            </w:tcBorders>
            <w:shd w:val="clear" w:color="auto" w:fill="auto"/>
            <w:noWrap/>
            <w:vAlign w:val="center"/>
            <w:hideMark/>
          </w:tcPr>
          <w:p w14:paraId="54288EC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92,6</w:t>
            </w:r>
          </w:p>
        </w:tc>
        <w:tc>
          <w:tcPr>
            <w:tcW w:w="931" w:type="dxa"/>
            <w:tcBorders>
              <w:top w:val="nil"/>
              <w:left w:val="nil"/>
              <w:bottom w:val="single" w:sz="4" w:space="0" w:color="auto"/>
              <w:right w:val="single" w:sz="4" w:space="0" w:color="auto"/>
            </w:tcBorders>
            <w:shd w:val="clear" w:color="auto" w:fill="auto"/>
            <w:vAlign w:val="center"/>
            <w:hideMark/>
          </w:tcPr>
          <w:p w14:paraId="32F938B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81,0</w:t>
            </w:r>
          </w:p>
        </w:tc>
        <w:tc>
          <w:tcPr>
            <w:tcW w:w="732" w:type="dxa"/>
            <w:tcBorders>
              <w:top w:val="nil"/>
              <w:left w:val="nil"/>
              <w:bottom w:val="single" w:sz="4" w:space="0" w:color="auto"/>
              <w:right w:val="single" w:sz="4" w:space="0" w:color="auto"/>
            </w:tcBorders>
            <w:shd w:val="clear" w:color="auto" w:fill="auto"/>
            <w:noWrap/>
            <w:vAlign w:val="center"/>
            <w:hideMark/>
          </w:tcPr>
          <w:p w14:paraId="1E026E1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5E467AD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50E3681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70,1</w:t>
            </w:r>
          </w:p>
        </w:tc>
        <w:tc>
          <w:tcPr>
            <w:tcW w:w="1437" w:type="dxa"/>
            <w:tcBorders>
              <w:top w:val="nil"/>
              <w:left w:val="nil"/>
              <w:bottom w:val="single" w:sz="4" w:space="0" w:color="auto"/>
              <w:right w:val="single" w:sz="4" w:space="0" w:color="auto"/>
            </w:tcBorders>
            <w:shd w:val="clear" w:color="auto" w:fill="auto"/>
            <w:vAlign w:val="center"/>
            <w:hideMark/>
          </w:tcPr>
          <w:p w14:paraId="3F1C257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86,5</w:t>
            </w:r>
          </w:p>
        </w:tc>
        <w:tc>
          <w:tcPr>
            <w:tcW w:w="1262" w:type="dxa"/>
            <w:tcBorders>
              <w:top w:val="nil"/>
              <w:left w:val="nil"/>
              <w:bottom w:val="single" w:sz="4" w:space="0" w:color="auto"/>
              <w:right w:val="single" w:sz="4" w:space="0" w:color="auto"/>
            </w:tcBorders>
            <w:shd w:val="clear" w:color="auto" w:fill="auto"/>
            <w:vAlign w:val="center"/>
            <w:hideMark/>
          </w:tcPr>
          <w:p w14:paraId="35D66FD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80,9</w:t>
            </w:r>
          </w:p>
        </w:tc>
        <w:tc>
          <w:tcPr>
            <w:tcW w:w="1085" w:type="dxa"/>
            <w:tcBorders>
              <w:top w:val="nil"/>
              <w:left w:val="nil"/>
              <w:bottom w:val="single" w:sz="4" w:space="0" w:color="auto"/>
              <w:right w:val="single" w:sz="4" w:space="0" w:color="auto"/>
            </w:tcBorders>
            <w:shd w:val="clear" w:color="auto" w:fill="auto"/>
            <w:vAlign w:val="center"/>
            <w:hideMark/>
          </w:tcPr>
          <w:p w14:paraId="7E8E7A7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62,1</w:t>
            </w:r>
          </w:p>
        </w:tc>
        <w:tc>
          <w:tcPr>
            <w:tcW w:w="916" w:type="dxa"/>
            <w:tcBorders>
              <w:top w:val="nil"/>
              <w:left w:val="nil"/>
              <w:bottom w:val="single" w:sz="4" w:space="0" w:color="auto"/>
              <w:right w:val="single" w:sz="4" w:space="0" w:color="auto"/>
            </w:tcBorders>
            <w:shd w:val="clear" w:color="auto" w:fill="auto"/>
            <w:vAlign w:val="center"/>
            <w:hideMark/>
          </w:tcPr>
          <w:p w14:paraId="3AFD8A9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77,3</w:t>
            </w:r>
          </w:p>
        </w:tc>
        <w:tc>
          <w:tcPr>
            <w:tcW w:w="871" w:type="dxa"/>
            <w:tcBorders>
              <w:top w:val="nil"/>
              <w:left w:val="nil"/>
              <w:bottom w:val="single" w:sz="4" w:space="0" w:color="auto"/>
              <w:right w:val="single" w:sz="4" w:space="0" w:color="auto"/>
            </w:tcBorders>
            <w:shd w:val="clear" w:color="auto" w:fill="auto"/>
            <w:vAlign w:val="center"/>
            <w:hideMark/>
          </w:tcPr>
          <w:p w14:paraId="2BB9940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95,4</w:t>
            </w:r>
          </w:p>
        </w:tc>
      </w:tr>
      <w:tr w:rsidR="00457E80" w:rsidRPr="00036538" w14:paraId="7BC620DC"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605A08CF"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101</w:t>
            </w:r>
          </w:p>
        </w:tc>
        <w:tc>
          <w:tcPr>
            <w:tcW w:w="908" w:type="dxa"/>
            <w:tcBorders>
              <w:top w:val="nil"/>
              <w:left w:val="nil"/>
              <w:bottom w:val="single" w:sz="4" w:space="0" w:color="auto"/>
              <w:right w:val="single" w:sz="4" w:space="0" w:color="auto"/>
            </w:tcBorders>
            <w:shd w:val="clear" w:color="auto" w:fill="auto"/>
            <w:noWrap/>
            <w:vAlign w:val="bottom"/>
            <w:hideMark/>
          </w:tcPr>
          <w:p w14:paraId="7910CEE7"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Нанкин</w:t>
            </w:r>
          </w:p>
        </w:tc>
        <w:tc>
          <w:tcPr>
            <w:tcW w:w="1028" w:type="dxa"/>
            <w:tcBorders>
              <w:top w:val="nil"/>
              <w:left w:val="nil"/>
              <w:bottom w:val="single" w:sz="4" w:space="0" w:color="auto"/>
              <w:right w:val="single" w:sz="4" w:space="0" w:color="auto"/>
            </w:tcBorders>
            <w:shd w:val="clear" w:color="auto" w:fill="auto"/>
            <w:noWrap/>
            <w:vAlign w:val="bottom"/>
            <w:hideMark/>
          </w:tcPr>
          <w:p w14:paraId="14DE6EB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Китай</w:t>
            </w:r>
          </w:p>
        </w:tc>
        <w:tc>
          <w:tcPr>
            <w:tcW w:w="612" w:type="dxa"/>
            <w:tcBorders>
              <w:top w:val="nil"/>
              <w:left w:val="nil"/>
              <w:bottom w:val="single" w:sz="4" w:space="0" w:color="auto"/>
              <w:right w:val="single" w:sz="4" w:space="0" w:color="auto"/>
            </w:tcBorders>
            <w:shd w:val="clear" w:color="000000" w:fill="92D050"/>
            <w:noWrap/>
            <w:vAlign w:val="center"/>
            <w:hideMark/>
          </w:tcPr>
          <w:p w14:paraId="344AA45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608</w:t>
            </w:r>
          </w:p>
        </w:tc>
        <w:tc>
          <w:tcPr>
            <w:tcW w:w="1145" w:type="dxa"/>
            <w:tcBorders>
              <w:top w:val="nil"/>
              <w:left w:val="nil"/>
              <w:bottom w:val="single" w:sz="4" w:space="0" w:color="auto"/>
              <w:right w:val="single" w:sz="4" w:space="0" w:color="auto"/>
            </w:tcBorders>
            <w:shd w:val="clear" w:color="auto" w:fill="auto"/>
            <w:noWrap/>
            <w:vAlign w:val="center"/>
            <w:hideMark/>
          </w:tcPr>
          <w:p w14:paraId="2E8EB3F5"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China</w:t>
            </w:r>
          </w:p>
        </w:tc>
        <w:tc>
          <w:tcPr>
            <w:tcW w:w="612" w:type="dxa"/>
            <w:tcBorders>
              <w:top w:val="nil"/>
              <w:left w:val="nil"/>
              <w:bottom w:val="single" w:sz="4" w:space="0" w:color="auto"/>
              <w:right w:val="single" w:sz="4" w:space="0" w:color="auto"/>
            </w:tcBorders>
            <w:shd w:val="clear" w:color="auto" w:fill="auto"/>
            <w:noWrap/>
            <w:vAlign w:val="center"/>
            <w:hideMark/>
          </w:tcPr>
          <w:p w14:paraId="339A9380"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77,3</w:t>
            </w:r>
          </w:p>
        </w:tc>
        <w:tc>
          <w:tcPr>
            <w:tcW w:w="818" w:type="dxa"/>
            <w:tcBorders>
              <w:top w:val="nil"/>
              <w:left w:val="nil"/>
              <w:bottom w:val="single" w:sz="4" w:space="0" w:color="auto"/>
              <w:right w:val="single" w:sz="4" w:space="0" w:color="auto"/>
            </w:tcBorders>
            <w:shd w:val="clear" w:color="auto" w:fill="auto"/>
            <w:noWrap/>
            <w:vAlign w:val="center"/>
            <w:hideMark/>
          </w:tcPr>
          <w:p w14:paraId="4C1952A4"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92,6</w:t>
            </w:r>
          </w:p>
        </w:tc>
        <w:tc>
          <w:tcPr>
            <w:tcW w:w="931" w:type="dxa"/>
            <w:tcBorders>
              <w:top w:val="nil"/>
              <w:left w:val="nil"/>
              <w:bottom w:val="single" w:sz="4" w:space="0" w:color="auto"/>
              <w:right w:val="single" w:sz="4" w:space="0" w:color="auto"/>
            </w:tcBorders>
            <w:shd w:val="clear" w:color="auto" w:fill="auto"/>
            <w:vAlign w:val="center"/>
            <w:hideMark/>
          </w:tcPr>
          <w:p w14:paraId="02843FD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81,0</w:t>
            </w:r>
          </w:p>
        </w:tc>
        <w:tc>
          <w:tcPr>
            <w:tcW w:w="732" w:type="dxa"/>
            <w:tcBorders>
              <w:top w:val="nil"/>
              <w:left w:val="nil"/>
              <w:bottom w:val="single" w:sz="4" w:space="0" w:color="auto"/>
              <w:right w:val="single" w:sz="4" w:space="0" w:color="auto"/>
            </w:tcBorders>
            <w:shd w:val="clear" w:color="auto" w:fill="auto"/>
            <w:noWrap/>
            <w:vAlign w:val="center"/>
            <w:hideMark/>
          </w:tcPr>
          <w:p w14:paraId="2690C70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1B3162A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50A2166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70,1</w:t>
            </w:r>
          </w:p>
        </w:tc>
        <w:tc>
          <w:tcPr>
            <w:tcW w:w="1437" w:type="dxa"/>
            <w:tcBorders>
              <w:top w:val="nil"/>
              <w:left w:val="nil"/>
              <w:bottom w:val="single" w:sz="4" w:space="0" w:color="auto"/>
              <w:right w:val="single" w:sz="4" w:space="0" w:color="auto"/>
            </w:tcBorders>
            <w:shd w:val="clear" w:color="auto" w:fill="auto"/>
            <w:vAlign w:val="center"/>
            <w:hideMark/>
          </w:tcPr>
          <w:p w14:paraId="75424BA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86,5</w:t>
            </w:r>
          </w:p>
        </w:tc>
        <w:tc>
          <w:tcPr>
            <w:tcW w:w="1262" w:type="dxa"/>
            <w:tcBorders>
              <w:top w:val="nil"/>
              <w:left w:val="nil"/>
              <w:bottom w:val="single" w:sz="4" w:space="0" w:color="auto"/>
              <w:right w:val="single" w:sz="4" w:space="0" w:color="auto"/>
            </w:tcBorders>
            <w:shd w:val="clear" w:color="auto" w:fill="auto"/>
            <w:vAlign w:val="center"/>
            <w:hideMark/>
          </w:tcPr>
          <w:p w14:paraId="0B5E190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80,9</w:t>
            </w:r>
          </w:p>
        </w:tc>
        <w:tc>
          <w:tcPr>
            <w:tcW w:w="1085" w:type="dxa"/>
            <w:tcBorders>
              <w:top w:val="nil"/>
              <w:left w:val="nil"/>
              <w:bottom w:val="single" w:sz="4" w:space="0" w:color="auto"/>
              <w:right w:val="single" w:sz="4" w:space="0" w:color="auto"/>
            </w:tcBorders>
            <w:shd w:val="clear" w:color="auto" w:fill="auto"/>
            <w:vAlign w:val="center"/>
            <w:hideMark/>
          </w:tcPr>
          <w:p w14:paraId="33F2A15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62,1</w:t>
            </w:r>
          </w:p>
        </w:tc>
        <w:tc>
          <w:tcPr>
            <w:tcW w:w="916" w:type="dxa"/>
            <w:tcBorders>
              <w:top w:val="nil"/>
              <w:left w:val="nil"/>
              <w:bottom w:val="single" w:sz="4" w:space="0" w:color="auto"/>
              <w:right w:val="single" w:sz="4" w:space="0" w:color="auto"/>
            </w:tcBorders>
            <w:shd w:val="clear" w:color="auto" w:fill="auto"/>
            <w:vAlign w:val="center"/>
            <w:hideMark/>
          </w:tcPr>
          <w:p w14:paraId="7E238BB8"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77,3</w:t>
            </w:r>
          </w:p>
        </w:tc>
        <w:tc>
          <w:tcPr>
            <w:tcW w:w="871" w:type="dxa"/>
            <w:tcBorders>
              <w:top w:val="nil"/>
              <w:left w:val="nil"/>
              <w:bottom w:val="single" w:sz="4" w:space="0" w:color="auto"/>
              <w:right w:val="single" w:sz="4" w:space="0" w:color="auto"/>
            </w:tcBorders>
            <w:shd w:val="clear" w:color="auto" w:fill="auto"/>
            <w:vAlign w:val="center"/>
            <w:hideMark/>
          </w:tcPr>
          <w:p w14:paraId="34B4163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95,4</w:t>
            </w:r>
          </w:p>
        </w:tc>
      </w:tr>
      <w:tr w:rsidR="00457E80" w:rsidRPr="00036538" w14:paraId="59FDD760"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AE79E0A"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102</w:t>
            </w:r>
          </w:p>
        </w:tc>
        <w:tc>
          <w:tcPr>
            <w:tcW w:w="908" w:type="dxa"/>
            <w:tcBorders>
              <w:top w:val="nil"/>
              <w:left w:val="nil"/>
              <w:bottom w:val="single" w:sz="4" w:space="0" w:color="auto"/>
              <w:right w:val="single" w:sz="4" w:space="0" w:color="auto"/>
            </w:tcBorders>
            <w:shd w:val="clear" w:color="auto" w:fill="auto"/>
            <w:noWrap/>
            <w:vAlign w:val="bottom"/>
            <w:hideMark/>
          </w:tcPr>
          <w:p w14:paraId="22A6EB3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Далянь</w:t>
            </w:r>
          </w:p>
        </w:tc>
        <w:tc>
          <w:tcPr>
            <w:tcW w:w="1028" w:type="dxa"/>
            <w:tcBorders>
              <w:top w:val="nil"/>
              <w:left w:val="nil"/>
              <w:bottom w:val="single" w:sz="4" w:space="0" w:color="auto"/>
              <w:right w:val="single" w:sz="4" w:space="0" w:color="auto"/>
            </w:tcBorders>
            <w:shd w:val="clear" w:color="auto" w:fill="auto"/>
            <w:noWrap/>
            <w:vAlign w:val="bottom"/>
            <w:hideMark/>
          </w:tcPr>
          <w:p w14:paraId="789B0B2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Китай</w:t>
            </w:r>
          </w:p>
        </w:tc>
        <w:tc>
          <w:tcPr>
            <w:tcW w:w="612" w:type="dxa"/>
            <w:tcBorders>
              <w:top w:val="nil"/>
              <w:left w:val="nil"/>
              <w:bottom w:val="single" w:sz="4" w:space="0" w:color="auto"/>
              <w:right w:val="single" w:sz="4" w:space="0" w:color="auto"/>
            </w:tcBorders>
            <w:shd w:val="clear" w:color="000000" w:fill="92D050"/>
            <w:noWrap/>
            <w:vAlign w:val="center"/>
            <w:hideMark/>
          </w:tcPr>
          <w:p w14:paraId="6F08A7E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607</w:t>
            </w:r>
          </w:p>
        </w:tc>
        <w:tc>
          <w:tcPr>
            <w:tcW w:w="1145" w:type="dxa"/>
            <w:tcBorders>
              <w:top w:val="nil"/>
              <w:left w:val="nil"/>
              <w:bottom w:val="single" w:sz="4" w:space="0" w:color="auto"/>
              <w:right w:val="single" w:sz="4" w:space="0" w:color="auto"/>
            </w:tcBorders>
            <w:shd w:val="clear" w:color="auto" w:fill="auto"/>
            <w:noWrap/>
            <w:vAlign w:val="center"/>
            <w:hideMark/>
          </w:tcPr>
          <w:p w14:paraId="3A1DE16C"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China</w:t>
            </w:r>
          </w:p>
        </w:tc>
        <w:tc>
          <w:tcPr>
            <w:tcW w:w="612" w:type="dxa"/>
            <w:tcBorders>
              <w:top w:val="nil"/>
              <w:left w:val="nil"/>
              <w:bottom w:val="single" w:sz="4" w:space="0" w:color="auto"/>
              <w:right w:val="single" w:sz="4" w:space="0" w:color="auto"/>
            </w:tcBorders>
            <w:shd w:val="clear" w:color="auto" w:fill="auto"/>
            <w:noWrap/>
            <w:vAlign w:val="center"/>
            <w:hideMark/>
          </w:tcPr>
          <w:p w14:paraId="275DAEF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77,3</w:t>
            </w:r>
          </w:p>
        </w:tc>
        <w:tc>
          <w:tcPr>
            <w:tcW w:w="818" w:type="dxa"/>
            <w:tcBorders>
              <w:top w:val="nil"/>
              <w:left w:val="nil"/>
              <w:bottom w:val="single" w:sz="4" w:space="0" w:color="auto"/>
              <w:right w:val="single" w:sz="4" w:space="0" w:color="auto"/>
            </w:tcBorders>
            <w:shd w:val="clear" w:color="auto" w:fill="auto"/>
            <w:noWrap/>
            <w:vAlign w:val="center"/>
            <w:hideMark/>
          </w:tcPr>
          <w:p w14:paraId="500F406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92,6</w:t>
            </w:r>
          </w:p>
        </w:tc>
        <w:tc>
          <w:tcPr>
            <w:tcW w:w="931" w:type="dxa"/>
            <w:tcBorders>
              <w:top w:val="nil"/>
              <w:left w:val="nil"/>
              <w:bottom w:val="single" w:sz="4" w:space="0" w:color="auto"/>
              <w:right w:val="single" w:sz="4" w:space="0" w:color="auto"/>
            </w:tcBorders>
            <w:shd w:val="clear" w:color="auto" w:fill="auto"/>
            <w:vAlign w:val="center"/>
            <w:hideMark/>
          </w:tcPr>
          <w:p w14:paraId="7426B27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81,0</w:t>
            </w:r>
          </w:p>
        </w:tc>
        <w:tc>
          <w:tcPr>
            <w:tcW w:w="732" w:type="dxa"/>
            <w:tcBorders>
              <w:top w:val="nil"/>
              <w:left w:val="nil"/>
              <w:bottom w:val="single" w:sz="4" w:space="0" w:color="auto"/>
              <w:right w:val="single" w:sz="4" w:space="0" w:color="auto"/>
            </w:tcBorders>
            <w:shd w:val="clear" w:color="auto" w:fill="auto"/>
            <w:noWrap/>
            <w:vAlign w:val="center"/>
            <w:hideMark/>
          </w:tcPr>
          <w:p w14:paraId="0B997386"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18F18B9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72,0</w:t>
            </w:r>
          </w:p>
        </w:tc>
        <w:tc>
          <w:tcPr>
            <w:tcW w:w="997" w:type="dxa"/>
            <w:tcBorders>
              <w:top w:val="nil"/>
              <w:left w:val="nil"/>
              <w:bottom w:val="single" w:sz="4" w:space="0" w:color="auto"/>
              <w:right w:val="single" w:sz="4" w:space="0" w:color="auto"/>
            </w:tcBorders>
            <w:shd w:val="clear" w:color="auto" w:fill="auto"/>
            <w:vAlign w:val="center"/>
            <w:hideMark/>
          </w:tcPr>
          <w:p w14:paraId="0583C96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70,1</w:t>
            </w:r>
          </w:p>
        </w:tc>
        <w:tc>
          <w:tcPr>
            <w:tcW w:w="1437" w:type="dxa"/>
            <w:tcBorders>
              <w:top w:val="nil"/>
              <w:left w:val="nil"/>
              <w:bottom w:val="single" w:sz="4" w:space="0" w:color="auto"/>
              <w:right w:val="single" w:sz="4" w:space="0" w:color="auto"/>
            </w:tcBorders>
            <w:shd w:val="clear" w:color="auto" w:fill="auto"/>
            <w:vAlign w:val="center"/>
            <w:hideMark/>
          </w:tcPr>
          <w:p w14:paraId="2BD2A08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86,5</w:t>
            </w:r>
          </w:p>
        </w:tc>
        <w:tc>
          <w:tcPr>
            <w:tcW w:w="1262" w:type="dxa"/>
            <w:tcBorders>
              <w:top w:val="nil"/>
              <w:left w:val="nil"/>
              <w:bottom w:val="single" w:sz="4" w:space="0" w:color="auto"/>
              <w:right w:val="single" w:sz="4" w:space="0" w:color="auto"/>
            </w:tcBorders>
            <w:shd w:val="clear" w:color="auto" w:fill="auto"/>
            <w:vAlign w:val="center"/>
            <w:hideMark/>
          </w:tcPr>
          <w:p w14:paraId="4A653DA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80,9</w:t>
            </w:r>
          </w:p>
        </w:tc>
        <w:tc>
          <w:tcPr>
            <w:tcW w:w="1085" w:type="dxa"/>
            <w:tcBorders>
              <w:top w:val="nil"/>
              <w:left w:val="nil"/>
              <w:bottom w:val="single" w:sz="4" w:space="0" w:color="auto"/>
              <w:right w:val="single" w:sz="4" w:space="0" w:color="auto"/>
            </w:tcBorders>
            <w:shd w:val="clear" w:color="auto" w:fill="auto"/>
            <w:vAlign w:val="center"/>
            <w:hideMark/>
          </w:tcPr>
          <w:p w14:paraId="28FAE4A5"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62,1</w:t>
            </w:r>
          </w:p>
        </w:tc>
        <w:tc>
          <w:tcPr>
            <w:tcW w:w="916" w:type="dxa"/>
            <w:tcBorders>
              <w:top w:val="nil"/>
              <w:left w:val="nil"/>
              <w:bottom w:val="single" w:sz="4" w:space="0" w:color="auto"/>
              <w:right w:val="single" w:sz="4" w:space="0" w:color="auto"/>
            </w:tcBorders>
            <w:shd w:val="clear" w:color="auto" w:fill="auto"/>
            <w:vAlign w:val="center"/>
            <w:hideMark/>
          </w:tcPr>
          <w:p w14:paraId="3C225187"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77,3</w:t>
            </w:r>
          </w:p>
        </w:tc>
        <w:tc>
          <w:tcPr>
            <w:tcW w:w="871" w:type="dxa"/>
            <w:tcBorders>
              <w:top w:val="nil"/>
              <w:left w:val="nil"/>
              <w:bottom w:val="single" w:sz="4" w:space="0" w:color="auto"/>
              <w:right w:val="single" w:sz="4" w:space="0" w:color="auto"/>
            </w:tcBorders>
            <w:shd w:val="clear" w:color="auto" w:fill="auto"/>
            <w:vAlign w:val="center"/>
            <w:hideMark/>
          </w:tcPr>
          <w:p w14:paraId="0B9E7BBE"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95,4</w:t>
            </w:r>
          </w:p>
        </w:tc>
      </w:tr>
      <w:tr w:rsidR="00457E80" w:rsidRPr="00036538" w14:paraId="666D45B3"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A3C7648"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103</w:t>
            </w:r>
          </w:p>
        </w:tc>
        <w:tc>
          <w:tcPr>
            <w:tcW w:w="908" w:type="dxa"/>
            <w:tcBorders>
              <w:top w:val="nil"/>
              <w:left w:val="nil"/>
              <w:bottom w:val="single" w:sz="4" w:space="0" w:color="auto"/>
              <w:right w:val="single" w:sz="4" w:space="0" w:color="auto"/>
            </w:tcBorders>
            <w:shd w:val="clear" w:color="auto" w:fill="auto"/>
            <w:noWrap/>
            <w:vAlign w:val="bottom"/>
            <w:hideMark/>
          </w:tcPr>
          <w:p w14:paraId="7C92A462"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Манила</w:t>
            </w:r>
          </w:p>
        </w:tc>
        <w:tc>
          <w:tcPr>
            <w:tcW w:w="1028" w:type="dxa"/>
            <w:tcBorders>
              <w:top w:val="nil"/>
              <w:left w:val="nil"/>
              <w:bottom w:val="single" w:sz="4" w:space="0" w:color="auto"/>
              <w:right w:val="single" w:sz="4" w:space="0" w:color="auto"/>
            </w:tcBorders>
            <w:shd w:val="clear" w:color="auto" w:fill="auto"/>
            <w:noWrap/>
            <w:vAlign w:val="bottom"/>
            <w:hideMark/>
          </w:tcPr>
          <w:p w14:paraId="20B94A1A"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Филиппины</w:t>
            </w:r>
          </w:p>
        </w:tc>
        <w:tc>
          <w:tcPr>
            <w:tcW w:w="612" w:type="dxa"/>
            <w:tcBorders>
              <w:top w:val="nil"/>
              <w:left w:val="nil"/>
              <w:bottom w:val="single" w:sz="4" w:space="0" w:color="auto"/>
              <w:right w:val="single" w:sz="4" w:space="0" w:color="auto"/>
            </w:tcBorders>
            <w:shd w:val="clear" w:color="000000" w:fill="92D050"/>
            <w:noWrap/>
            <w:vAlign w:val="center"/>
            <w:hideMark/>
          </w:tcPr>
          <w:p w14:paraId="7F5C7CB7"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606</w:t>
            </w:r>
          </w:p>
        </w:tc>
        <w:tc>
          <w:tcPr>
            <w:tcW w:w="1145" w:type="dxa"/>
            <w:tcBorders>
              <w:top w:val="nil"/>
              <w:left w:val="nil"/>
              <w:bottom w:val="single" w:sz="4" w:space="0" w:color="auto"/>
              <w:right w:val="single" w:sz="4" w:space="0" w:color="auto"/>
            </w:tcBorders>
            <w:shd w:val="clear" w:color="auto" w:fill="auto"/>
            <w:noWrap/>
            <w:vAlign w:val="center"/>
            <w:hideMark/>
          </w:tcPr>
          <w:p w14:paraId="1A297E4E"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Philippines</w:t>
            </w:r>
          </w:p>
        </w:tc>
        <w:tc>
          <w:tcPr>
            <w:tcW w:w="612" w:type="dxa"/>
            <w:tcBorders>
              <w:top w:val="nil"/>
              <w:left w:val="nil"/>
              <w:bottom w:val="single" w:sz="4" w:space="0" w:color="auto"/>
              <w:right w:val="single" w:sz="4" w:space="0" w:color="auto"/>
            </w:tcBorders>
            <w:shd w:val="clear" w:color="auto" w:fill="auto"/>
            <w:noWrap/>
            <w:vAlign w:val="center"/>
            <w:hideMark/>
          </w:tcPr>
          <w:p w14:paraId="44DF39B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62,8</w:t>
            </w:r>
          </w:p>
        </w:tc>
        <w:tc>
          <w:tcPr>
            <w:tcW w:w="818" w:type="dxa"/>
            <w:tcBorders>
              <w:top w:val="nil"/>
              <w:left w:val="nil"/>
              <w:bottom w:val="single" w:sz="4" w:space="0" w:color="auto"/>
              <w:right w:val="single" w:sz="4" w:space="0" w:color="auto"/>
            </w:tcBorders>
            <w:shd w:val="clear" w:color="auto" w:fill="auto"/>
            <w:noWrap/>
            <w:vAlign w:val="center"/>
            <w:hideMark/>
          </w:tcPr>
          <w:p w14:paraId="42B546D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71,3</w:t>
            </w:r>
          </w:p>
        </w:tc>
        <w:tc>
          <w:tcPr>
            <w:tcW w:w="931" w:type="dxa"/>
            <w:tcBorders>
              <w:top w:val="nil"/>
              <w:left w:val="nil"/>
              <w:bottom w:val="single" w:sz="4" w:space="0" w:color="auto"/>
              <w:right w:val="single" w:sz="4" w:space="0" w:color="auto"/>
            </w:tcBorders>
            <w:shd w:val="clear" w:color="auto" w:fill="auto"/>
            <w:vAlign w:val="center"/>
            <w:hideMark/>
          </w:tcPr>
          <w:p w14:paraId="3F6AA20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57,6</w:t>
            </w:r>
          </w:p>
        </w:tc>
        <w:tc>
          <w:tcPr>
            <w:tcW w:w="732" w:type="dxa"/>
            <w:tcBorders>
              <w:top w:val="nil"/>
              <w:left w:val="nil"/>
              <w:bottom w:val="single" w:sz="4" w:space="0" w:color="auto"/>
              <w:right w:val="single" w:sz="4" w:space="0" w:color="auto"/>
            </w:tcBorders>
            <w:shd w:val="clear" w:color="auto" w:fill="auto"/>
            <w:noWrap/>
            <w:vAlign w:val="center"/>
            <w:hideMark/>
          </w:tcPr>
          <w:p w14:paraId="78D5F7A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40,0</w:t>
            </w:r>
          </w:p>
        </w:tc>
        <w:tc>
          <w:tcPr>
            <w:tcW w:w="1016" w:type="dxa"/>
            <w:tcBorders>
              <w:top w:val="nil"/>
              <w:left w:val="nil"/>
              <w:bottom w:val="single" w:sz="4" w:space="0" w:color="auto"/>
              <w:right w:val="single" w:sz="4" w:space="0" w:color="auto"/>
            </w:tcBorders>
            <w:shd w:val="clear" w:color="auto" w:fill="auto"/>
            <w:vAlign w:val="center"/>
            <w:hideMark/>
          </w:tcPr>
          <w:p w14:paraId="438A7BB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60,0</w:t>
            </w:r>
          </w:p>
        </w:tc>
        <w:tc>
          <w:tcPr>
            <w:tcW w:w="997" w:type="dxa"/>
            <w:tcBorders>
              <w:top w:val="nil"/>
              <w:left w:val="nil"/>
              <w:bottom w:val="single" w:sz="4" w:space="0" w:color="auto"/>
              <w:right w:val="single" w:sz="4" w:space="0" w:color="auto"/>
            </w:tcBorders>
            <w:shd w:val="clear" w:color="auto" w:fill="auto"/>
            <w:vAlign w:val="center"/>
            <w:hideMark/>
          </w:tcPr>
          <w:p w14:paraId="32B9D2C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72,6</w:t>
            </w:r>
          </w:p>
        </w:tc>
        <w:tc>
          <w:tcPr>
            <w:tcW w:w="1437" w:type="dxa"/>
            <w:tcBorders>
              <w:top w:val="nil"/>
              <w:left w:val="nil"/>
              <w:bottom w:val="single" w:sz="4" w:space="0" w:color="auto"/>
              <w:right w:val="single" w:sz="4" w:space="0" w:color="auto"/>
            </w:tcBorders>
            <w:shd w:val="clear" w:color="auto" w:fill="auto"/>
            <w:vAlign w:val="center"/>
            <w:hideMark/>
          </w:tcPr>
          <w:p w14:paraId="1DD91E2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68,4</w:t>
            </w:r>
          </w:p>
        </w:tc>
        <w:tc>
          <w:tcPr>
            <w:tcW w:w="1262" w:type="dxa"/>
            <w:tcBorders>
              <w:top w:val="nil"/>
              <w:left w:val="nil"/>
              <w:bottom w:val="single" w:sz="4" w:space="0" w:color="auto"/>
              <w:right w:val="single" w:sz="4" w:space="0" w:color="auto"/>
            </w:tcBorders>
            <w:shd w:val="clear" w:color="auto" w:fill="auto"/>
            <w:vAlign w:val="center"/>
            <w:hideMark/>
          </w:tcPr>
          <w:p w14:paraId="2D67690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46,0</w:t>
            </w:r>
          </w:p>
        </w:tc>
        <w:tc>
          <w:tcPr>
            <w:tcW w:w="1085" w:type="dxa"/>
            <w:tcBorders>
              <w:top w:val="nil"/>
              <w:left w:val="nil"/>
              <w:bottom w:val="single" w:sz="4" w:space="0" w:color="auto"/>
              <w:right w:val="single" w:sz="4" w:space="0" w:color="auto"/>
            </w:tcBorders>
            <w:shd w:val="clear" w:color="auto" w:fill="auto"/>
            <w:vAlign w:val="center"/>
            <w:hideMark/>
          </w:tcPr>
          <w:p w14:paraId="73362D94"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55,1</w:t>
            </w:r>
          </w:p>
        </w:tc>
        <w:tc>
          <w:tcPr>
            <w:tcW w:w="916" w:type="dxa"/>
            <w:tcBorders>
              <w:top w:val="nil"/>
              <w:left w:val="nil"/>
              <w:bottom w:val="single" w:sz="4" w:space="0" w:color="auto"/>
              <w:right w:val="single" w:sz="4" w:space="0" w:color="auto"/>
            </w:tcBorders>
            <w:shd w:val="clear" w:color="auto" w:fill="auto"/>
            <w:vAlign w:val="center"/>
            <w:hideMark/>
          </w:tcPr>
          <w:p w14:paraId="007F6B6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70,0</w:t>
            </w:r>
          </w:p>
        </w:tc>
        <w:tc>
          <w:tcPr>
            <w:tcW w:w="871" w:type="dxa"/>
            <w:tcBorders>
              <w:top w:val="nil"/>
              <w:left w:val="nil"/>
              <w:bottom w:val="single" w:sz="4" w:space="0" w:color="auto"/>
              <w:right w:val="single" w:sz="4" w:space="0" w:color="auto"/>
            </w:tcBorders>
            <w:shd w:val="clear" w:color="auto" w:fill="auto"/>
            <w:vAlign w:val="center"/>
            <w:hideMark/>
          </w:tcPr>
          <w:p w14:paraId="3347D96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87,4</w:t>
            </w:r>
          </w:p>
        </w:tc>
      </w:tr>
      <w:tr w:rsidR="00457E80" w:rsidRPr="00036538" w14:paraId="02403328"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917C939"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104</w:t>
            </w:r>
          </w:p>
        </w:tc>
        <w:tc>
          <w:tcPr>
            <w:tcW w:w="908" w:type="dxa"/>
            <w:tcBorders>
              <w:top w:val="nil"/>
              <w:left w:val="nil"/>
              <w:bottom w:val="single" w:sz="4" w:space="0" w:color="auto"/>
              <w:right w:val="single" w:sz="4" w:space="0" w:color="auto"/>
            </w:tcBorders>
            <w:shd w:val="clear" w:color="auto" w:fill="auto"/>
            <w:noWrap/>
            <w:vAlign w:val="bottom"/>
            <w:hideMark/>
          </w:tcPr>
          <w:p w14:paraId="708F3BC3"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Сантьяго</w:t>
            </w:r>
          </w:p>
        </w:tc>
        <w:tc>
          <w:tcPr>
            <w:tcW w:w="1028" w:type="dxa"/>
            <w:tcBorders>
              <w:top w:val="nil"/>
              <w:left w:val="nil"/>
              <w:bottom w:val="single" w:sz="4" w:space="0" w:color="auto"/>
              <w:right w:val="single" w:sz="4" w:space="0" w:color="auto"/>
            </w:tcBorders>
            <w:shd w:val="clear" w:color="auto" w:fill="auto"/>
            <w:noWrap/>
            <w:vAlign w:val="bottom"/>
            <w:hideMark/>
          </w:tcPr>
          <w:p w14:paraId="41F4A08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Чили</w:t>
            </w:r>
          </w:p>
        </w:tc>
        <w:tc>
          <w:tcPr>
            <w:tcW w:w="612" w:type="dxa"/>
            <w:tcBorders>
              <w:top w:val="nil"/>
              <w:left w:val="nil"/>
              <w:bottom w:val="single" w:sz="4" w:space="0" w:color="auto"/>
              <w:right w:val="single" w:sz="4" w:space="0" w:color="auto"/>
            </w:tcBorders>
            <w:shd w:val="clear" w:color="000000" w:fill="92D050"/>
            <w:noWrap/>
            <w:vAlign w:val="center"/>
            <w:hideMark/>
          </w:tcPr>
          <w:p w14:paraId="60C00CA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603</w:t>
            </w:r>
          </w:p>
        </w:tc>
        <w:tc>
          <w:tcPr>
            <w:tcW w:w="1145" w:type="dxa"/>
            <w:tcBorders>
              <w:top w:val="nil"/>
              <w:left w:val="nil"/>
              <w:bottom w:val="single" w:sz="4" w:space="0" w:color="auto"/>
              <w:right w:val="single" w:sz="4" w:space="0" w:color="auto"/>
            </w:tcBorders>
            <w:shd w:val="clear" w:color="auto" w:fill="auto"/>
            <w:noWrap/>
            <w:vAlign w:val="center"/>
            <w:hideMark/>
          </w:tcPr>
          <w:p w14:paraId="42B31F51"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Chile</w:t>
            </w:r>
          </w:p>
        </w:tc>
        <w:tc>
          <w:tcPr>
            <w:tcW w:w="612" w:type="dxa"/>
            <w:tcBorders>
              <w:top w:val="nil"/>
              <w:left w:val="nil"/>
              <w:bottom w:val="single" w:sz="4" w:space="0" w:color="auto"/>
              <w:right w:val="single" w:sz="4" w:space="0" w:color="auto"/>
            </w:tcBorders>
            <w:shd w:val="clear" w:color="auto" w:fill="auto"/>
            <w:noWrap/>
            <w:vAlign w:val="center"/>
            <w:hideMark/>
          </w:tcPr>
          <w:p w14:paraId="6CC5316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72,6</w:t>
            </w:r>
          </w:p>
        </w:tc>
        <w:tc>
          <w:tcPr>
            <w:tcW w:w="818" w:type="dxa"/>
            <w:tcBorders>
              <w:top w:val="nil"/>
              <w:left w:val="nil"/>
              <w:bottom w:val="single" w:sz="4" w:space="0" w:color="auto"/>
              <w:right w:val="single" w:sz="4" w:space="0" w:color="auto"/>
            </w:tcBorders>
            <w:shd w:val="clear" w:color="auto" w:fill="auto"/>
            <w:noWrap/>
            <w:vAlign w:val="center"/>
            <w:hideMark/>
          </w:tcPr>
          <w:p w14:paraId="64061BF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91,4</w:t>
            </w:r>
          </w:p>
        </w:tc>
        <w:tc>
          <w:tcPr>
            <w:tcW w:w="931" w:type="dxa"/>
            <w:tcBorders>
              <w:top w:val="nil"/>
              <w:left w:val="nil"/>
              <w:bottom w:val="single" w:sz="4" w:space="0" w:color="auto"/>
              <w:right w:val="single" w:sz="4" w:space="0" w:color="auto"/>
            </w:tcBorders>
            <w:shd w:val="clear" w:color="auto" w:fill="auto"/>
            <w:vAlign w:val="center"/>
            <w:hideMark/>
          </w:tcPr>
          <w:p w14:paraId="596C4FE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71,1</w:t>
            </w:r>
          </w:p>
        </w:tc>
        <w:tc>
          <w:tcPr>
            <w:tcW w:w="732" w:type="dxa"/>
            <w:tcBorders>
              <w:top w:val="nil"/>
              <w:left w:val="nil"/>
              <w:bottom w:val="single" w:sz="4" w:space="0" w:color="auto"/>
              <w:right w:val="single" w:sz="4" w:space="0" w:color="auto"/>
            </w:tcBorders>
            <w:shd w:val="clear" w:color="auto" w:fill="auto"/>
            <w:noWrap/>
            <w:vAlign w:val="center"/>
            <w:hideMark/>
          </w:tcPr>
          <w:p w14:paraId="2B4294C8"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55,0</w:t>
            </w:r>
          </w:p>
        </w:tc>
        <w:tc>
          <w:tcPr>
            <w:tcW w:w="1016" w:type="dxa"/>
            <w:tcBorders>
              <w:top w:val="nil"/>
              <w:left w:val="nil"/>
              <w:bottom w:val="single" w:sz="4" w:space="0" w:color="auto"/>
              <w:right w:val="single" w:sz="4" w:space="0" w:color="auto"/>
            </w:tcBorders>
            <w:shd w:val="clear" w:color="auto" w:fill="auto"/>
            <w:vAlign w:val="center"/>
            <w:hideMark/>
          </w:tcPr>
          <w:p w14:paraId="34528F27"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66,0</w:t>
            </w:r>
          </w:p>
        </w:tc>
        <w:tc>
          <w:tcPr>
            <w:tcW w:w="997" w:type="dxa"/>
            <w:tcBorders>
              <w:top w:val="nil"/>
              <w:left w:val="nil"/>
              <w:bottom w:val="single" w:sz="4" w:space="0" w:color="auto"/>
              <w:right w:val="single" w:sz="4" w:space="0" w:color="auto"/>
            </w:tcBorders>
            <w:shd w:val="clear" w:color="auto" w:fill="auto"/>
            <w:vAlign w:val="center"/>
            <w:hideMark/>
          </w:tcPr>
          <w:p w14:paraId="5E4AA47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75,3</w:t>
            </w:r>
          </w:p>
        </w:tc>
        <w:tc>
          <w:tcPr>
            <w:tcW w:w="1437" w:type="dxa"/>
            <w:tcBorders>
              <w:top w:val="nil"/>
              <w:left w:val="nil"/>
              <w:bottom w:val="single" w:sz="4" w:space="0" w:color="auto"/>
              <w:right w:val="single" w:sz="4" w:space="0" w:color="auto"/>
            </w:tcBorders>
            <w:shd w:val="clear" w:color="auto" w:fill="auto"/>
            <w:vAlign w:val="center"/>
            <w:hideMark/>
          </w:tcPr>
          <w:p w14:paraId="7094F04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80,6</w:t>
            </w:r>
          </w:p>
        </w:tc>
        <w:tc>
          <w:tcPr>
            <w:tcW w:w="1262" w:type="dxa"/>
            <w:tcBorders>
              <w:top w:val="nil"/>
              <w:left w:val="nil"/>
              <w:bottom w:val="single" w:sz="4" w:space="0" w:color="auto"/>
              <w:right w:val="single" w:sz="4" w:space="0" w:color="auto"/>
            </w:tcBorders>
            <w:shd w:val="clear" w:color="auto" w:fill="auto"/>
            <w:vAlign w:val="center"/>
            <w:hideMark/>
          </w:tcPr>
          <w:p w14:paraId="1CD3B03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64,7</w:t>
            </w:r>
          </w:p>
        </w:tc>
        <w:tc>
          <w:tcPr>
            <w:tcW w:w="1085" w:type="dxa"/>
            <w:tcBorders>
              <w:top w:val="nil"/>
              <w:left w:val="nil"/>
              <w:bottom w:val="single" w:sz="4" w:space="0" w:color="auto"/>
              <w:right w:val="single" w:sz="4" w:space="0" w:color="auto"/>
            </w:tcBorders>
            <w:shd w:val="clear" w:color="auto" w:fill="auto"/>
            <w:vAlign w:val="center"/>
            <w:hideMark/>
          </w:tcPr>
          <w:p w14:paraId="001BD36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60,1</w:t>
            </w:r>
          </w:p>
        </w:tc>
        <w:tc>
          <w:tcPr>
            <w:tcW w:w="916" w:type="dxa"/>
            <w:tcBorders>
              <w:top w:val="nil"/>
              <w:left w:val="nil"/>
              <w:bottom w:val="single" w:sz="4" w:space="0" w:color="auto"/>
              <w:right w:val="single" w:sz="4" w:space="0" w:color="auto"/>
            </w:tcBorders>
            <w:shd w:val="clear" w:color="auto" w:fill="auto"/>
            <w:vAlign w:val="center"/>
            <w:hideMark/>
          </w:tcPr>
          <w:p w14:paraId="4688AF7D"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75,9</w:t>
            </w:r>
          </w:p>
        </w:tc>
        <w:tc>
          <w:tcPr>
            <w:tcW w:w="871" w:type="dxa"/>
            <w:tcBorders>
              <w:top w:val="nil"/>
              <w:left w:val="nil"/>
              <w:bottom w:val="single" w:sz="4" w:space="0" w:color="auto"/>
              <w:right w:val="single" w:sz="4" w:space="0" w:color="auto"/>
            </w:tcBorders>
            <w:shd w:val="clear" w:color="auto" w:fill="auto"/>
            <w:vAlign w:val="center"/>
            <w:hideMark/>
          </w:tcPr>
          <w:p w14:paraId="04C12F4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85,7</w:t>
            </w:r>
          </w:p>
        </w:tc>
      </w:tr>
      <w:tr w:rsidR="00457E80" w:rsidRPr="00036538" w14:paraId="732B24EA"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73F73003"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105</w:t>
            </w:r>
          </w:p>
        </w:tc>
        <w:tc>
          <w:tcPr>
            <w:tcW w:w="908" w:type="dxa"/>
            <w:tcBorders>
              <w:top w:val="nil"/>
              <w:left w:val="nil"/>
              <w:bottom w:val="single" w:sz="4" w:space="0" w:color="auto"/>
              <w:right w:val="single" w:sz="4" w:space="0" w:color="auto"/>
            </w:tcBorders>
            <w:shd w:val="clear" w:color="auto" w:fill="auto"/>
            <w:noWrap/>
            <w:vAlign w:val="bottom"/>
            <w:hideMark/>
          </w:tcPr>
          <w:p w14:paraId="6CF9E2EB"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Багамы</w:t>
            </w:r>
          </w:p>
        </w:tc>
        <w:tc>
          <w:tcPr>
            <w:tcW w:w="1028" w:type="dxa"/>
            <w:tcBorders>
              <w:top w:val="nil"/>
              <w:left w:val="nil"/>
              <w:bottom w:val="single" w:sz="4" w:space="0" w:color="auto"/>
              <w:right w:val="single" w:sz="4" w:space="0" w:color="auto"/>
            </w:tcBorders>
            <w:shd w:val="clear" w:color="auto" w:fill="auto"/>
            <w:noWrap/>
            <w:vAlign w:val="bottom"/>
            <w:hideMark/>
          </w:tcPr>
          <w:p w14:paraId="49833DA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Багамы</w:t>
            </w:r>
          </w:p>
        </w:tc>
        <w:tc>
          <w:tcPr>
            <w:tcW w:w="612" w:type="dxa"/>
            <w:tcBorders>
              <w:top w:val="nil"/>
              <w:left w:val="nil"/>
              <w:bottom w:val="single" w:sz="4" w:space="0" w:color="auto"/>
              <w:right w:val="single" w:sz="4" w:space="0" w:color="auto"/>
            </w:tcBorders>
            <w:shd w:val="clear" w:color="000000" w:fill="92D050"/>
            <w:noWrap/>
            <w:vAlign w:val="center"/>
            <w:hideMark/>
          </w:tcPr>
          <w:p w14:paraId="4AE0A88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599</w:t>
            </w:r>
          </w:p>
        </w:tc>
        <w:tc>
          <w:tcPr>
            <w:tcW w:w="1145" w:type="dxa"/>
            <w:tcBorders>
              <w:top w:val="nil"/>
              <w:left w:val="nil"/>
              <w:bottom w:val="single" w:sz="4" w:space="0" w:color="auto"/>
              <w:right w:val="single" w:sz="4" w:space="0" w:color="auto"/>
            </w:tcBorders>
            <w:shd w:val="clear" w:color="auto" w:fill="auto"/>
            <w:noWrap/>
            <w:vAlign w:val="center"/>
            <w:hideMark/>
          </w:tcPr>
          <w:p w14:paraId="27AEF93F"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Bahamas, The</w:t>
            </w:r>
          </w:p>
        </w:tc>
        <w:tc>
          <w:tcPr>
            <w:tcW w:w="612" w:type="dxa"/>
            <w:tcBorders>
              <w:top w:val="nil"/>
              <w:left w:val="nil"/>
              <w:bottom w:val="single" w:sz="4" w:space="0" w:color="auto"/>
              <w:right w:val="single" w:sz="4" w:space="0" w:color="auto"/>
            </w:tcBorders>
            <w:shd w:val="clear" w:color="auto" w:fill="auto"/>
            <w:noWrap/>
            <w:vAlign w:val="center"/>
            <w:hideMark/>
          </w:tcPr>
          <w:p w14:paraId="7E9CBF6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59,9</w:t>
            </w:r>
          </w:p>
        </w:tc>
        <w:tc>
          <w:tcPr>
            <w:tcW w:w="818" w:type="dxa"/>
            <w:tcBorders>
              <w:top w:val="nil"/>
              <w:left w:val="nil"/>
              <w:bottom w:val="single" w:sz="4" w:space="0" w:color="auto"/>
              <w:right w:val="single" w:sz="4" w:space="0" w:color="auto"/>
            </w:tcBorders>
            <w:shd w:val="clear" w:color="auto" w:fill="auto"/>
            <w:noWrap/>
            <w:vAlign w:val="center"/>
            <w:hideMark/>
          </w:tcPr>
          <w:p w14:paraId="5E6894C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87,0</w:t>
            </w:r>
          </w:p>
        </w:tc>
        <w:tc>
          <w:tcPr>
            <w:tcW w:w="931" w:type="dxa"/>
            <w:tcBorders>
              <w:top w:val="nil"/>
              <w:left w:val="nil"/>
              <w:bottom w:val="single" w:sz="4" w:space="0" w:color="auto"/>
              <w:right w:val="single" w:sz="4" w:space="0" w:color="auto"/>
            </w:tcBorders>
            <w:shd w:val="clear" w:color="auto" w:fill="auto"/>
            <w:vAlign w:val="center"/>
            <w:hideMark/>
          </w:tcPr>
          <w:p w14:paraId="6D1FC07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30,8</w:t>
            </w:r>
          </w:p>
        </w:tc>
        <w:tc>
          <w:tcPr>
            <w:tcW w:w="732" w:type="dxa"/>
            <w:tcBorders>
              <w:top w:val="nil"/>
              <w:left w:val="nil"/>
              <w:bottom w:val="single" w:sz="4" w:space="0" w:color="auto"/>
              <w:right w:val="single" w:sz="4" w:space="0" w:color="auto"/>
            </w:tcBorders>
            <w:shd w:val="clear" w:color="auto" w:fill="auto"/>
            <w:noWrap/>
            <w:vAlign w:val="center"/>
            <w:hideMark/>
          </w:tcPr>
          <w:p w14:paraId="7628C92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30,0</w:t>
            </w:r>
          </w:p>
        </w:tc>
        <w:tc>
          <w:tcPr>
            <w:tcW w:w="1016" w:type="dxa"/>
            <w:tcBorders>
              <w:top w:val="nil"/>
              <w:left w:val="nil"/>
              <w:bottom w:val="single" w:sz="4" w:space="0" w:color="auto"/>
              <w:right w:val="single" w:sz="4" w:space="0" w:color="auto"/>
            </w:tcBorders>
            <w:shd w:val="clear" w:color="auto" w:fill="auto"/>
            <w:vAlign w:val="center"/>
            <w:hideMark/>
          </w:tcPr>
          <w:p w14:paraId="15BA2202"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56,0</w:t>
            </w:r>
          </w:p>
        </w:tc>
        <w:tc>
          <w:tcPr>
            <w:tcW w:w="997" w:type="dxa"/>
            <w:tcBorders>
              <w:top w:val="nil"/>
              <w:left w:val="nil"/>
              <w:bottom w:val="single" w:sz="4" w:space="0" w:color="auto"/>
              <w:right w:val="single" w:sz="4" w:space="0" w:color="auto"/>
            </w:tcBorders>
            <w:shd w:val="clear" w:color="auto" w:fill="auto"/>
            <w:vAlign w:val="center"/>
            <w:hideMark/>
          </w:tcPr>
          <w:p w14:paraId="20B760CC"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81,7</w:t>
            </w:r>
          </w:p>
        </w:tc>
        <w:tc>
          <w:tcPr>
            <w:tcW w:w="1437" w:type="dxa"/>
            <w:tcBorders>
              <w:top w:val="nil"/>
              <w:left w:val="nil"/>
              <w:bottom w:val="single" w:sz="4" w:space="0" w:color="auto"/>
              <w:right w:val="single" w:sz="4" w:space="0" w:color="auto"/>
            </w:tcBorders>
            <w:shd w:val="clear" w:color="auto" w:fill="auto"/>
            <w:vAlign w:val="center"/>
            <w:hideMark/>
          </w:tcPr>
          <w:p w14:paraId="3609432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53,1</w:t>
            </w:r>
          </w:p>
        </w:tc>
        <w:tc>
          <w:tcPr>
            <w:tcW w:w="1262" w:type="dxa"/>
            <w:tcBorders>
              <w:top w:val="nil"/>
              <w:left w:val="nil"/>
              <w:bottom w:val="single" w:sz="4" w:space="0" w:color="auto"/>
              <w:right w:val="single" w:sz="4" w:space="0" w:color="auto"/>
            </w:tcBorders>
            <w:shd w:val="clear" w:color="auto" w:fill="auto"/>
            <w:vAlign w:val="center"/>
            <w:hideMark/>
          </w:tcPr>
          <w:p w14:paraId="1C632A15"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59,1</w:t>
            </w:r>
          </w:p>
        </w:tc>
        <w:tc>
          <w:tcPr>
            <w:tcW w:w="1085" w:type="dxa"/>
            <w:tcBorders>
              <w:top w:val="nil"/>
              <w:left w:val="nil"/>
              <w:bottom w:val="single" w:sz="4" w:space="0" w:color="auto"/>
              <w:right w:val="single" w:sz="4" w:space="0" w:color="auto"/>
            </w:tcBorders>
            <w:shd w:val="clear" w:color="auto" w:fill="auto"/>
            <w:vAlign w:val="center"/>
            <w:hideMark/>
          </w:tcPr>
          <w:p w14:paraId="2352307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53,4</w:t>
            </w:r>
          </w:p>
        </w:tc>
        <w:tc>
          <w:tcPr>
            <w:tcW w:w="916" w:type="dxa"/>
            <w:tcBorders>
              <w:top w:val="nil"/>
              <w:left w:val="nil"/>
              <w:bottom w:val="single" w:sz="4" w:space="0" w:color="auto"/>
              <w:right w:val="single" w:sz="4" w:space="0" w:color="auto"/>
            </w:tcBorders>
            <w:shd w:val="clear" w:color="auto" w:fill="auto"/>
            <w:vAlign w:val="center"/>
            <w:hideMark/>
          </w:tcPr>
          <w:p w14:paraId="2319E7A0"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70,9</w:t>
            </w:r>
          </w:p>
        </w:tc>
        <w:tc>
          <w:tcPr>
            <w:tcW w:w="871" w:type="dxa"/>
            <w:tcBorders>
              <w:top w:val="nil"/>
              <w:left w:val="nil"/>
              <w:bottom w:val="single" w:sz="4" w:space="0" w:color="auto"/>
              <w:right w:val="single" w:sz="4" w:space="0" w:color="auto"/>
            </w:tcBorders>
            <w:shd w:val="clear" w:color="auto" w:fill="auto"/>
            <w:vAlign w:val="center"/>
            <w:hideMark/>
          </w:tcPr>
          <w:p w14:paraId="33D7A6E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76,7</w:t>
            </w:r>
          </w:p>
        </w:tc>
      </w:tr>
      <w:tr w:rsidR="00457E80" w:rsidRPr="00036538" w14:paraId="5BE587A3"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593410E7"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106</w:t>
            </w:r>
          </w:p>
        </w:tc>
        <w:tc>
          <w:tcPr>
            <w:tcW w:w="908" w:type="dxa"/>
            <w:tcBorders>
              <w:top w:val="nil"/>
              <w:left w:val="nil"/>
              <w:bottom w:val="single" w:sz="4" w:space="0" w:color="auto"/>
              <w:right w:val="single" w:sz="4" w:space="0" w:color="auto"/>
            </w:tcBorders>
            <w:shd w:val="clear" w:color="auto" w:fill="auto"/>
            <w:noWrap/>
            <w:vAlign w:val="bottom"/>
            <w:hideMark/>
          </w:tcPr>
          <w:p w14:paraId="3D795D5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Буэнос-Айрес</w:t>
            </w:r>
          </w:p>
        </w:tc>
        <w:tc>
          <w:tcPr>
            <w:tcW w:w="1028" w:type="dxa"/>
            <w:tcBorders>
              <w:top w:val="nil"/>
              <w:left w:val="nil"/>
              <w:bottom w:val="single" w:sz="4" w:space="0" w:color="auto"/>
              <w:right w:val="single" w:sz="4" w:space="0" w:color="auto"/>
            </w:tcBorders>
            <w:shd w:val="clear" w:color="auto" w:fill="auto"/>
            <w:noWrap/>
            <w:vAlign w:val="bottom"/>
            <w:hideMark/>
          </w:tcPr>
          <w:p w14:paraId="73FE89E6"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Аргентина</w:t>
            </w:r>
          </w:p>
        </w:tc>
        <w:tc>
          <w:tcPr>
            <w:tcW w:w="612" w:type="dxa"/>
            <w:tcBorders>
              <w:top w:val="nil"/>
              <w:left w:val="nil"/>
              <w:bottom w:val="single" w:sz="4" w:space="0" w:color="auto"/>
              <w:right w:val="single" w:sz="4" w:space="0" w:color="auto"/>
            </w:tcBorders>
            <w:shd w:val="clear" w:color="000000" w:fill="92D050"/>
            <w:noWrap/>
            <w:vAlign w:val="center"/>
            <w:hideMark/>
          </w:tcPr>
          <w:p w14:paraId="06FD3EB5"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592</w:t>
            </w:r>
          </w:p>
        </w:tc>
        <w:tc>
          <w:tcPr>
            <w:tcW w:w="1145" w:type="dxa"/>
            <w:tcBorders>
              <w:top w:val="nil"/>
              <w:left w:val="nil"/>
              <w:bottom w:val="single" w:sz="4" w:space="0" w:color="auto"/>
              <w:right w:val="single" w:sz="4" w:space="0" w:color="auto"/>
            </w:tcBorders>
            <w:shd w:val="clear" w:color="auto" w:fill="auto"/>
            <w:noWrap/>
            <w:vAlign w:val="center"/>
            <w:hideMark/>
          </w:tcPr>
          <w:p w14:paraId="3C5B6CDD"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Argentina</w:t>
            </w:r>
          </w:p>
        </w:tc>
        <w:tc>
          <w:tcPr>
            <w:tcW w:w="612" w:type="dxa"/>
            <w:tcBorders>
              <w:top w:val="nil"/>
              <w:left w:val="nil"/>
              <w:bottom w:val="single" w:sz="4" w:space="0" w:color="auto"/>
              <w:right w:val="single" w:sz="4" w:space="0" w:color="auto"/>
            </w:tcBorders>
            <w:shd w:val="clear" w:color="auto" w:fill="auto"/>
            <w:noWrap/>
            <w:vAlign w:val="center"/>
            <w:hideMark/>
          </w:tcPr>
          <w:p w14:paraId="1A6C1C3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59,0</w:t>
            </w:r>
          </w:p>
        </w:tc>
        <w:tc>
          <w:tcPr>
            <w:tcW w:w="818" w:type="dxa"/>
            <w:tcBorders>
              <w:top w:val="nil"/>
              <w:left w:val="nil"/>
              <w:bottom w:val="single" w:sz="4" w:space="0" w:color="auto"/>
              <w:right w:val="single" w:sz="4" w:space="0" w:color="auto"/>
            </w:tcBorders>
            <w:shd w:val="clear" w:color="auto" w:fill="auto"/>
            <w:noWrap/>
            <w:vAlign w:val="center"/>
            <w:hideMark/>
          </w:tcPr>
          <w:p w14:paraId="40838A8D"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80,4</w:t>
            </w:r>
          </w:p>
        </w:tc>
        <w:tc>
          <w:tcPr>
            <w:tcW w:w="931" w:type="dxa"/>
            <w:tcBorders>
              <w:top w:val="nil"/>
              <w:left w:val="nil"/>
              <w:bottom w:val="single" w:sz="4" w:space="0" w:color="auto"/>
              <w:right w:val="single" w:sz="4" w:space="0" w:color="auto"/>
            </w:tcBorders>
            <w:shd w:val="clear" w:color="auto" w:fill="auto"/>
            <w:vAlign w:val="center"/>
            <w:hideMark/>
          </w:tcPr>
          <w:p w14:paraId="116726E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56,7</w:t>
            </w:r>
          </w:p>
        </w:tc>
        <w:tc>
          <w:tcPr>
            <w:tcW w:w="732" w:type="dxa"/>
            <w:tcBorders>
              <w:top w:val="nil"/>
              <w:left w:val="nil"/>
              <w:bottom w:val="single" w:sz="4" w:space="0" w:color="auto"/>
              <w:right w:val="single" w:sz="4" w:space="0" w:color="auto"/>
            </w:tcBorders>
            <w:shd w:val="clear" w:color="auto" w:fill="auto"/>
            <w:noWrap/>
            <w:vAlign w:val="center"/>
            <w:hideMark/>
          </w:tcPr>
          <w:p w14:paraId="3D4B4F8B"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50,0</w:t>
            </w:r>
          </w:p>
        </w:tc>
        <w:tc>
          <w:tcPr>
            <w:tcW w:w="1016" w:type="dxa"/>
            <w:tcBorders>
              <w:top w:val="nil"/>
              <w:left w:val="nil"/>
              <w:bottom w:val="single" w:sz="4" w:space="0" w:color="auto"/>
              <w:right w:val="single" w:sz="4" w:space="0" w:color="auto"/>
            </w:tcBorders>
            <w:shd w:val="clear" w:color="auto" w:fill="auto"/>
            <w:vAlign w:val="center"/>
            <w:hideMark/>
          </w:tcPr>
          <w:p w14:paraId="0D375E1E"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62,0</w:t>
            </w:r>
          </w:p>
        </w:tc>
        <w:tc>
          <w:tcPr>
            <w:tcW w:w="997" w:type="dxa"/>
            <w:tcBorders>
              <w:top w:val="nil"/>
              <w:left w:val="nil"/>
              <w:bottom w:val="single" w:sz="4" w:space="0" w:color="auto"/>
              <w:right w:val="single" w:sz="4" w:space="0" w:color="auto"/>
            </w:tcBorders>
            <w:shd w:val="clear" w:color="auto" w:fill="auto"/>
            <w:vAlign w:val="center"/>
            <w:hideMark/>
          </w:tcPr>
          <w:p w14:paraId="2022577A"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49,3</w:t>
            </w:r>
          </w:p>
        </w:tc>
        <w:tc>
          <w:tcPr>
            <w:tcW w:w="1437" w:type="dxa"/>
            <w:tcBorders>
              <w:top w:val="nil"/>
              <w:left w:val="nil"/>
              <w:bottom w:val="single" w:sz="4" w:space="0" w:color="auto"/>
              <w:right w:val="single" w:sz="4" w:space="0" w:color="auto"/>
            </w:tcBorders>
            <w:shd w:val="clear" w:color="auto" w:fill="auto"/>
            <w:vAlign w:val="center"/>
            <w:hideMark/>
          </w:tcPr>
          <w:p w14:paraId="6082AE19"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67,1</w:t>
            </w:r>
          </w:p>
        </w:tc>
        <w:tc>
          <w:tcPr>
            <w:tcW w:w="1262" w:type="dxa"/>
            <w:tcBorders>
              <w:top w:val="nil"/>
              <w:left w:val="nil"/>
              <w:bottom w:val="single" w:sz="4" w:space="0" w:color="auto"/>
              <w:right w:val="single" w:sz="4" w:space="0" w:color="auto"/>
            </w:tcBorders>
            <w:shd w:val="clear" w:color="auto" w:fill="auto"/>
            <w:vAlign w:val="center"/>
            <w:hideMark/>
          </w:tcPr>
          <w:p w14:paraId="105DD99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57,5</w:t>
            </w:r>
          </w:p>
        </w:tc>
        <w:tc>
          <w:tcPr>
            <w:tcW w:w="1085" w:type="dxa"/>
            <w:tcBorders>
              <w:top w:val="nil"/>
              <w:left w:val="nil"/>
              <w:bottom w:val="single" w:sz="4" w:space="0" w:color="auto"/>
              <w:right w:val="single" w:sz="4" w:space="0" w:color="auto"/>
            </w:tcBorders>
            <w:shd w:val="clear" w:color="auto" w:fill="auto"/>
            <w:vAlign w:val="center"/>
            <w:hideMark/>
          </w:tcPr>
          <w:p w14:paraId="7B70330A"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40,0</w:t>
            </w:r>
          </w:p>
        </w:tc>
        <w:tc>
          <w:tcPr>
            <w:tcW w:w="916" w:type="dxa"/>
            <w:tcBorders>
              <w:top w:val="nil"/>
              <w:left w:val="nil"/>
              <w:bottom w:val="single" w:sz="4" w:space="0" w:color="auto"/>
              <w:right w:val="single" w:sz="4" w:space="0" w:color="auto"/>
            </w:tcBorders>
            <w:shd w:val="clear" w:color="auto" w:fill="auto"/>
            <w:vAlign w:val="center"/>
            <w:hideMark/>
          </w:tcPr>
          <w:p w14:paraId="1A62FCA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56,4</w:t>
            </w:r>
          </w:p>
        </w:tc>
        <w:tc>
          <w:tcPr>
            <w:tcW w:w="871" w:type="dxa"/>
            <w:tcBorders>
              <w:top w:val="nil"/>
              <w:left w:val="nil"/>
              <w:bottom w:val="single" w:sz="4" w:space="0" w:color="auto"/>
              <w:right w:val="single" w:sz="4" w:space="0" w:color="auto"/>
            </w:tcBorders>
            <w:shd w:val="clear" w:color="auto" w:fill="auto"/>
            <w:vAlign w:val="center"/>
            <w:hideMark/>
          </w:tcPr>
          <w:p w14:paraId="62832313"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70,0</w:t>
            </w:r>
          </w:p>
        </w:tc>
      </w:tr>
      <w:tr w:rsidR="00457E80" w:rsidRPr="00036538" w14:paraId="45F44296"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0F915C19"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107</w:t>
            </w:r>
          </w:p>
        </w:tc>
        <w:tc>
          <w:tcPr>
            <w:tcW w:w="908" w:type="dxa"/>
            <w:tcBorders>
              <w:top w:val="nil"/>
              <w:left w:val="nil"/>
              <w:bottom w:val="single" w:sz="4" w:space="0" w:color="auto"/>
              <w:right w:val="single" w:sz="4" w:space="0" w:color="auto"/>
            </w:tcBorders>
            <w:shd w:val="clear" w:color="auto" w:fill="auto"/>
            <w:noWrap/>
            <w:vAlign w:val="bottom"/>
            <w:hideMark/>
          </w:tcPr>
          <w:p w14:paraId="5686E36D"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Малта</w:t>
            </w:r>
          </w:p>
        </w:tc>
        <w:tc>
          <w:tcPr>
            <w:tcW w:w="1028" w:type="dxa"/>
            <w:tcBorders>
              <w:top w:val="nil"/>
              <w:left w:val="nil"/>
              <w:bottom w:val="single" w:sz="4" w:space="0" w:color="auto"/>
              <w:right w:val="single" w:sz="4" w:space="0" w:color="auto"/>
            </w:tcBorders>
            <w:shd w:val="clear" w:color="auto" w:fill="auto"/>
            <w:noWrap/>
            <w:vAlign w:val="bottom"/>
            <w:hideMark/>
          </w:tcPr>
          <w:p w14:paraId="0FCFBD3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Республика Малта</w:t>
            </w:r>
          </w:p>
        </w:tc>
        <w:tc>
          <w:tcPr>
            <w:tcW w:w="612" w:type="dxa"/>
            <w:tcBorders>
              <w:top w:val="nil"/>
              <w:left w:val="nil"/>
              <w:bottom w:val="single" w:sz="4" w:space="0" w:color="auto"/>
              <w:right w:val="single" w:sz="4" w:space="0" w:color="auto"/>
            </w:tcBorders>
            <w:shd w:val="clear" w:color="000000" w:fill="92D050"/>
            <w:noWrap/>
            <w:vAlign w:val="center"/>
            <w:hideMark/>
          </w:tcPr>
          <w:p w14:paraId="2F9AC10C"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588</w:t>
            </w:r>
          </w:p>
        </w:tc>
        <w:tc>
          <w:tcPr>
            <w:tcW w:w="1145" w:type="dxa"/>
            <w:tcBorders>
              <w:top w:val="nil"/>
              <w:left w:val="nil"/>
              <w:bottom w:val="single" w:sz="4" w:space="0" w:color="auto"/>
              <w:right w:val="single" w:sz="4" w:space="0" w:color="auto"/>
            </w:tcBorders>
            <w:shd w:val="clear" w:color="auto" w:fill="auto"/>
            <w:noWrap/>
            <w:vAlign w:val="center"/>
            <w:hideMark/>
          </w:tcPr>
          <w:p w14:paraId="5EECA992"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Malta</w:t>
            </w:r>
          </w:p>
        </w:tc>
        <w:tc>
          <w:tcPr>
            <w:tcW w:w="612" w:type="dxa"/>
            <w:tcBorders>
              <w:top w:val="nil"/>
              <w:left w:val="nil"/>
              <w:bottom w:val="single" w:sz="4" w:space="0" w:color="auto"/>
              <w:right w:val="single" w:sz="4" w:space="0" w:color="auto"/>
            </w:tcBorders>
            <w:shd w:val="clear" w:color="auto" w:fill="auto"/>
            <w:noWrap/>
            <w:vAlign w:val="center"/>
            <w:hideMark/>
          </w:tcPr>
          <w:p w14:paraId="3832396E"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66,1</w:t>
            </w:r>
          </w:p>
        </w:tc>
        <w:tc>
          <w:tcPr>
            <w:tcW w:w="818" w:type="dxa"/>
            <w:tcBorders>
              <w:top w:val="nil"/>
              <w:left w:val="nil"/>
              <w:bottom w:val="single" w:sz="4" w:space="0" w:color="auto"/>
              <w:right w:val="single" w:sz="4" w:space="0" w:color="auto"/>
            </w:tcBorders>
            <w:shd w:val="clear" w:color="auto" w:fill="auto"/>
            <w:noWrap/>
            <w:vAlign w:val="center"/>
            <w:hideMark/>
          </w:tcPr>
          <w:p w14:paraId="79D2004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88,2</w:t>
            </w:r>
          </w:p>
        </w:tc>
        <w:tc>
          <w:tcPr>
            <w:tcW w:w="931" w:type="dxa"/>
            <w:tcBorders>
              <w:top w:val="nil"/>
              <w:left w:val="nil"/>
              <w:bottom w:val="single" w:sz="4" w:space="0" w:color="auto"/>
              <w:right w:val="single" w:sz="4" w:space="0" w:color="auto"/>
            </w:tcBorders>
            <w:shd w:val="clear" w:color="auto" w:fill="auto"/>
            <w:vAlign w:val="center"/>
            <w:hideMark/>
          </w:tcPr>
          <w:p w14:paraId="0862BE41"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48,5</w:t>
            </w:r>
          </w:p>
        </w:tc>
        <w:tc>
          <w:tcPr>
            <w:tcW w:w="732" w:type="dxa"/>
            <w:tcBorders>
              <w:top w:val="nil"/>
              <w:left w:val="nil"/>
              <w:bottom w:val="single" w:sz="4" w:space="0" w:color="auto"/>
              <w:right w:val="single" w:sz="4" w:space="0" w:color="auto"/>
            </w:tcBorders>
            <w:shd w:val="clear" w:color="auto" w:fill="auto"/>
            <w:noWrap/>
            <w:vAlign w:val="center"/>
            <w:hideMark/>
          </w:tcPr>
          <w:p w14:paraId="4F29784A"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35,0</w:t>
            </w:r>
          </w:p>
        </w:tc>
        <w:tc>
          <w:tcPr>
            <w:tcW w:w="1016" w:type="dxa"/>
            <w:tcBorders>
              <w:top w:val="nil"/>
              <w:left w:val="nil"/>
              <w:bottom w:val="single" w:sz="4" w:space="0" w:color="auto"/>
              <w:right w:val="single" w:sz="4" w:space="0" w:color="auto"/>
            </w:tcBorders>
            <w:shd w:val="clear" w:color="auto" w:fill="auto"/>
            <w:vAlign w:val="center"/>
            <w:hideMark/>
          </w:tcPr>
          <w:p w14:paraId="04F87CF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66,0</w:t>
            </w:r>
          </w:p>
        </w:tc>
        <w:tc>
          <w:tcPr>
            <w:tcW w:w="997" w:type="dxa"/>
            <w:tcBorders>
              <w:top w:val="nil"/>
              <w:left w:val="nil"/>
              <w:bottom w:val="single" w:sz="4" w:space="0" w:color="auto"/>
              <w:right w:val="single" w:sz="4" w:space="0" w:color="auto"/>
            </w:tcBorders>
            <w:shd w:val="clear" w:color="auto" w:fill="auto"/>
            <w:vAlign w:val="center"/>
            <w:hideMark/>
          </w:tcPr>
          <w:p w14:paraId="4BDEA72F"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76,2</w:t>
            </w:r>
          </w:p>
        </w:tc>
        <w:tc>
          <w:tcPr>
            <w:tcW w:w="1437" w:type="dxa"/>
            <w:tcBorders>
              <w:top w:val="nil"/>
              <w:left w:val="nil"/>
              <w:bottom w:val="single" w:sz="4" w:space="0" w:color="auto"/>
              <w:right w:val="single" w:sz="4" w:space="0" w:color="auto"/>
            </w:tcBorders>
            <w:shd w:val="clear" w:color="auto" w:fill="auto"/>
            <w:vAlign w:val="center"/>
            <w:hideMark/>
          </w:tcPr>
          <w:p w14:paraId="37C08A4B"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88,9</w:t>
            </w:r>
          </w:p>
        </w:tc>
        <w:tc>
          <w:tcPr>
            <w:tcW w:w="1262" w:type="dxa"/>
            <w:tcBorders>
              <w:top w:val="nil"/>
              <w:left w:val="nil"/>
              <w:bottom w:val="single" w:sz="4" w:space="0" w:color="auto"/>
              <w:right w:val="single" w:sz="4" w:space="0" w:color="auto"/>
            </w:tcBorders>
            <w:shd w:val="clear" w:color="auto" w:fill="auto"/>
            <w:vAlign w:val="center"/>
            <w:hideMark/>
          </w:tcPr>
          <w:p w14:paraId="70863F6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67,6</w:t>
            </w:r>
          </w:p>
        </w:tc>
        <w:tc>
          <w:tcPr>
            <w:tcW w:w="1085" w:type="dxa"/>
            <w:tcBorders>
              <w:top w:val="nil"/>
              <w:left w:val="nil"/>
              <w:bottom w:val="single" w:sz="4" w:space="0" w:color="auto"/>
              <w:right w:val="single" w:sz="4" w:space="0" w:color="auto"/>
            </w:tcBorders>
            <w:shd w:val="clear" w:color="auto" w:fill="auto"/>
            <w:vAlign w:val="center"/>
            <w:hideMark/>
          </w:tcPr>
          <w:p w14:paraId="693A47C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38,3</w:t>
            </w:r>
          </w:p>
        </w:tc>
        <w:tc>
          <w:tcPr>
            <w:tcW w:w="916" w:type="dxa"/>
            <w:tcBorders>
              <w:top w:val="nil"/>
              <w:left w:val="nil"/>
              <w:bottom w:val="single" w:sz="4" w:space="0" w:color="auto"/>
              <w:right w:val="single" w:sz="4" w:space="0" w:color="auto"/>
            </w:tcBorders>
            <w:shd w:val="clear" w:color="auto" w:fill="auto"/>
            <w:vAlign w:val="center"/>
            <w:hideMark/>
          </w:tcPr>
          <w:p w14:paraId="7BE15C1C"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73,5</w:t>
            </w:r>
          </w:p>
        </w:tc>
        <w:tc>
          <w:tcPr>
            <w:tcW w:w="871" w:type="dxa"/>
            <w:tcBorders>
              <w:top w:val="nil"/>
              <w:left w:val="nil"/>
              <w:bottom w:val="single" w:sz="4" w:space="0" w:color="auto"/>
              <w:right w:val="single" w:sz="4" w:space="0" w:color="auto"/>
            </w:tcBorders>
            <w:shd w:val="clear" w:color="auto" w:fill="auto"/>
            <w:vAlign w:val="center"/>
            <w:hideMark/>
          </w:tcPr>
          <w:p w14:paraId="0F9799CF"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79,3</w:t>
            </w:r>
          </w:p>
        </w:tc>
      </w:tr>
      <w:tr w:rsidR="00457E80" w:rsidRPr="00036538" w14:paraId="0DF6DD68" w14:textId="77777777" w:rsidTr="00576F59">
        <w:trPr>
          <w:trHeight w:val="300"/>
        </w:trPr>
        <w:tc>
          <w:tcPr>
            <w:tcW w:w="615" w:type="dxa"/>
            <w:tcBorders>
              <w:top w:val="nil"/>
              <w:left w:val="single" w:sz="4" w:space="0" w:color="auto"/>
              <w:bottom w:val="single" w:sz="4" w:space="0" w:color="auto"/>
              <w:right w:val="single" w:sz="4" w:space="0" w:color="auto"/>
            </w:tcBorders>
            <w:shd w:val="clear" w:color="auto" w:fill="auto"/>
            <w:noWrap/>
            <w:vAlign w:val="bottom"/>
            <w:hideMark/>
          </w:tcPr>
          <w:p w14:paraId="46AB4AA9" w14:textId="77777777" w:rsidR="00457E80" w:rsidRPr="00036538" w:rsidRDefault="00457E80" w:rsidP="00576F59">
            <w:pPr>
              <w:spacing w:after="0" w:line="240" w:lineRule="auto"/>
              <w:jc w:val="right"/>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108</w:t>
            </w:r>
          </w:p>
        </w:tc>
        <w:tc>
          <w:tcPr>
            <w:tcW w:w="908" w:type="dxa"/>
            <w:tcBorders>
              <w:top w:val="nil"/>
              <w:left w:val="nil"/>
              <w:bottom w:val="single" w:sz="4" w:space="0" w:color="auto"/>
              <w:right w:val="single" w:sz="4" w:space="0" w:color="auto"/>
            </w:tcBorders>
            <w:shd w:val="clear" w:color="auto" w:fill="auto"/>
            <w:noWrap/>
            <w:vAlign w:val="bottom"/>
            <w:hideMark/>
          </w:tcPr>
          <w:p w14:paraId="345C0AE4"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Барбадос</w:t>
            </w:r>
          </w:p>
        </w:tc>
        <w:tc>
          <w:tcPr>
            <w:tcW w:w="1028" w:type="dxa"/>
            <w:tcBorders>
              <w:top w:val="nil"/>
              <w:left w:val="nil"/>
              <w:bottom w:val="single" w:sz="4" w:space="0" w:color="auto"/>
              <w:right w:val="single" w:sz="4" w:space="0" w:color="auto"/>
            </w:tcBorders>
            <w:shd w:val="clear" w:color="auto" w:fill="auto"/>
            <w:noWrap/>
            <w:vAlign w:val="bottom"/>
            <w:hideMark/>
          </w:tcPr>
          <w:p w14:paraId="4A1A89F8" w14:textId="77777777" w:rsidR="00457E80" w:rsidRPr="00036538" w:rsidRDefault="00457E80" w:rsidP="00576F59">
            <w:pPr>
              <w:spacing w:after="0" w:line="240" w:lineRule="auto"/>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Барбадос</w:t>
            </w:r>
          </w:p>
        </w:tc>
        <w:tc>
          <w:tcPr>
            <w:tcW w:w="612" w:type="dxa"/>
            <w:tcBorders>
              <w:top w:val="nil"/>
              <w:left w:val="nil"/>
              <w:bottom w:val="single" w:sz="4" w:space="0" w:color="auto"/>
              <w:right w:val="single" w:sz="4" w:space="0" w:color="auto"/>
            </w:tcBorders>
            <w:shd w:val="clear" w:color="000000" w:fill="92D050"/>
            <w:noWrap/>
            <w:vAlign w:val="center"/>
            <w:hideMark/>
          </w:tcPr>
          <w:p w14:paraId="772BD152"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583</w:t>
            </w:r>
          </w:p>
        </w:tc>
        <w:tc>
          <w:tcPr>
            <w:tcW w:w="1145" w:type="dxa"/>
            <w:tcBorders>
              <w:top w:val="nil"/>
              <w:left w:val="nil"/>
              <w:bottom w:val="single" w:sz="4" w:space="0" w:color="auto"/>
              <w:right w:val="single" w:sz="4" w:space="0" w:color="auto"/>
            </w:tcBorders>
            <w:shd w:val="clear" w:color="auto" w:fill="auto"/>
            <w:noWrap/>
            <w:vAlign w:val="center"/>
            <w:hideMark/>
          </w:tcPr>
          <w:p w14:paraId="670A3C02" w14:textId="77777777" w:rsidR="00457E80" w:rsidRPr="00036538" w:rsidRDefault="00457E80" w:rsidP="00576F59">
            <w:pPr>
              <w:spacing w:after="0" w:line="240" w:lineRule="auto"/>
              <w:jc w:val="center"/>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Barbados</w:t>
            </w:r>
          </w:p>
        </w:tc>
        <w:tc>
          <w:tcPr>
            <w:tcW w:w="612" w:type="dxa"/>
            <w:tcBorders>
              <w:top w:val="nil"/>
              <w:left w:val="nil"/>
              <w:bottom w:val="single" w:sz="4" w:space="0" w:color="auto"/>
              <w:right w:val="single" w:sz="4" w:space="0" w:color="auto"/>
            </w:tcBorders>
            <w:shd w:val="clear" w:color="auto" w:fill="auto"/>
            <w:noWrap/>
            <w:vAlign w:val="center"/>
            <w:hideMark/>
          </w:tcPr>
          <w:p w14:paraId="0EAD176F"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57,9</w:t>
            </w:r>
          </w:p>
        </w:tc>
        <w:tc>
          <w:tcPr>
            <w:tcW w:w="818" w:type="dxa"/>
            <w:tcBorders>
              <w:top w:val="nil"/>
              <w:left w:val="nil"/>
              <w:bottom w:val="single" w:sz="4" w:space="0" w:color="auto"/>
              <w:right w:val="single" w:sz="4" w:space="0" w:color="auto"/>
            </w:tcBorders>
            <w:shd w:val="clear" w:color="auto" w:fill="auto"/>
            <w:noWrap/>
            <w:vAlign w:val="center"/>
            <w:hideMark/>
          </w:tcPr>
          <w:p w14:paraId="2168B6B9"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86,4</w:t>
            </w:r>
          </w:p>
        </w:tc>
        <w:tc>
          <w:tcPr>
            <w:tcW w:w="931" w:type="dxa"/>
            <w:tcBorders>
              <w:top w:val="nil"/>
              <w:left w:val="nil"/>
              <w:bottom w:val="single" w:sz="4" w:space="0" w:color="auto"/>
              <w:right w:val="single" w:sz="4" w:space="0" w:color="auto"/>
            </w:tcBorders>
            <w:shd w:val="clear" w:color="auto" w:fill="auto"/>
            <w:vAlign w:val="center"/>
            <w:hideMark/>
          </w:tcPr>
          <w:p w14:paraId="49368FED"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58,0</w:t>
            </w:r>
          </w:p>
        </w:tc>
        <w:tc>
          <w:tcPr>
            <w:tcW w:w="732" w:type="dxa"/>
            <w:tcBorders>
              <w:top w:val="nil"/>
              <w:left w:val="nil"/>
              <w:bottom w:val="single" w:sz="4" w:space="0" w:color="auto"/>
              <w:right w:val="single" w:sz="4" w:space="0" w:color="auto"/>
            </w:tcBorders>
            <w:shd w:val="clear" w:color="auto" w:fill="auto"/>
            <w:noWrap/>
            <w:vAlign w:val="center"/>
            <w:hideMark/>
          </w:tcPr>
          <w:p w14:paraId="4D3C6431" w14:textId="77777777" w:rsidR="00457E80" w:rsidRPr="00036538" w:rsidRDefault="00457E80" w:rsidP="00576F59">
            <w:pPr>
              <w:spacing w:after="0" w:line="240" w:lineRule="auto"/>
              <w:jc w:val="center"/>
              <w:rPr>
                <w:rFonts w:ascii="Times New Roman" w:eastAsia="Times New Roman" w:hAnsi="Times New Roman" w:cs="Times New Roman"/>
                <w:color w:val="000000"/>
                <w:sz w:val="20"/>
                <w:szCs w:val="20"/>
                <w:lang w:val="ru-RU" w:eastAsia="ru-RU" w:bidi="ar-SA"/>
              </w:rPr>
            </w:pPr>
            <w:r w:rsidRPr="00036538">
              <w:rPr>
                <w:rFonts w:ascii="Times New Roman" w:eastAsia="Times New Roman" w:hAnsi="Times New Roman" w:cs="Times New Roman"/>
                <w:color w:val="000000"/>
                <w:sz w:val="20"/>
                <w:szCs w:val="20"/>
                <w:lang w:val="ru-RU" w:eastAsia="ru-RU" w:bidi="ar-SA"/>
              </w:rPr>
              <w:t>30,0</w:t>
            </w:r>
          </w:p>
        </w:tc>
        <w:tc>
          <w:tcPr>
            <w:tcW w:w="1016" w:type="dxa"/>
            <w:tcBorders>
              <w:top w:val="nil"/>
              <w:left w:val="nil"/>
              <w:bottom w:val="single" w:sz="4" w:space="0" w:color="auto"/>
              <w:right w:val="single" w:sz="4" w:space="0" w:color="auto"/>
            </w:tcBorders>
            <w:shd w:val="clear" w:color="auto" w:fill="auto"/>
            <w:vAlign w:val="center"/>
            <w:hideMark/>
          </w:tcPr>
          <w:p w14:paraId="20DC97A0"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38,0</w:t>
            </w:r>
          </w:p>
        </w:tc>
        <w:tc>
          <w:tcPr>
            <w:tcW w:w="997" w:type="dxa"/>
            <w:tcBorders>
              <w:top w:val="nil"/>
              <w:left w:val="nil"/>
              <w:bottom w:val="single" w:sz="4" w:space="0" w:color="auto"/>
              <w:right w:val="single" w:sz="4" w:space="0" w:color="auto"/>
            </w:tcBorders>
            <w:shd w:val="clear" w:color="auto" w:fill="auto"/>
            <w:vAlign w:val="center"/>
            <w:hideMark/>
          </w:tcPr>
          <w:p w14:paraId="49B1973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72,3</w:t>
            </w:r>
          </w:p>
        </w:tc>
        <w:tc>
          <w:tcPr>
            <w:tcW w:w="1437" w:type="dxa"/>
            <w:tcBorders>
              <w:top w:val="nil"/>
              <w:left w:val="nil"/>
              <w:bottom w:val="single" w:sz="4" w:space="0" w:color="auto"/>
              <w:right w:val="single" w:sz="4" w:space="0" w:color="auto"/>
            </w:tcBorders>
            <w:shd w:val="clear" w:color="auto" w:fill="auto"/>
            <w:vAlign w:val="center"/>
            <w:hideMark/>
          </w:tcPr>
          <w:p w14:paraId="3D02D466"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62,8</w:t>
            </w:r>
          </w:p>
        </w:tc>
        <w:tc>
          <w:tcPr>
            <w:tcW w:w="1262" w:type="dxa"/>
            <w:tcBorders>
              <w:top w:val="nil"/>
              <w:left w:val="nil"/>
              <w:bottom w:val="single" w:sz="4" w:space="0" w:color="auto"/>
              <w:right w:val="single" w:sz="4" w:space="0" w:color="auto"/>
            </w:tcBorders>
            <w:shd w:val="clear" w:color="auto" w:fill="auto"/>
            <w:vAlign w:val="center"/>
            <w:hideMark/>
          </w:tcPr>
          <w:p w14:paraId="309B2878" w14:textId="77777777" w:rsidR="00457E80" w:rsidRPr="00036538" w:rsidRDefault="00457E80" w:rsidP="00576F59">
            <w:pPr>
              <w:spacing w:after="0" w:line="240" w:lineRule="auto"/>
              <w:jc w:val="center"/>
              <w:rPr>
                <w:rFonts w:ascii="Times New Roman" w:eastAsia="Times New Roman" w:hAnsi="Times New Roman" w:cs="Times New Roman"/>
                <w:sz w:val="20"/>
                <w:szCs w:val="20"/>
                <w:lang w:val="ru-RU" w:eastAsia="ru-RU" w:bidi="ar-SA"/>
              </w:rPr>
            </w:pPr>
            <w:r w:rsidRPr="00036538">
              <w:rPr>
                <w:rFonts w:ascii="Times New Roman" w:eastAsia="Times New Roman" w:hAnsi="Times New Roman" w:cs="Times New Roman"/>
                <w:sz w:val="20"/>
                <w:szCs w:val="20"/>
                <w:lang w:val="ru-RU" w:eastAsia="ru-RU" w:bidi="ar-SA"/>
              </w:rPr>
              <w:t>38,9</w:t>
            </w:r>
          </w:p>
        </w:tc>
        <w:tc>
          <w:tcPr>
            <w:tcW w:w="1085" w:type="dxa"/>
            <w:tcBorders>
              <w:top w:val="nil"/>
              <w:left w:val="nil"/>
              <w:bottom w:val="single" w:sz="4" w:space="0" w:color="auto"/>
              <w:right w:val="single" w:sz="4" w:space="0" w:color="auto"/>
            </w:tcBorders>
            <w:shd w:val="clear" w:color="auto" w:fill="auto"/>
            <w:vAlign w:val="center"/>
            <w:hideMark/>
          </w:tcPr>
          <w:p w14:paraId="4B6C4E2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69,8</w:t>
            </w:r>
          </w:p>
        </w:tc>
        <w:tc>
          <w:tcPr>
            <w:tcW w:w="916" w:type="dxa"/>
            <w:tcBorders>
              <w:top w:val="nil"/>
              <w:left w:val="nil"/>
              <w:bottom w:val="single" w:sz="4" w:space="0" w:color="auto"/>
              <w:right w:val="single" w:sz="4" w:space="0" w:color="auto"/>
            </w:tcBorders>
            <w:shd w:val="clear" w:color="auto" w:fill="auto"/>
            <w:vAlign w:val="center"/>
            <w:hideMark/>
          </w:tcPr>
          <w:p w14:paraId="14FED762"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56,6</w:t>
            </w:r>
          </w:p>
        </w:tc>
        <w:tc>
          <w:tcPr>
            <w:tcW w:w="871" w:type="dxa"/>
            <w:tcBorders>
              <w:top w:val="nil"/>
              <w:left w:val="nil"/>
              <w:bottom w:val="single" w:sz="4" w:space="0" w:color="auto"/>
              <w:right w:val="single" w:sz="4" w:space="0" w:color="auto"/>
            </w:tcBorders>
            <w:shd w:val="clear" w:color="auto" w:fill="auto"/>
            <w:vAlign w:val="center"/>
            <w:hideMark/>
          </w:tcPr>
          <w:p w14:paraId="0F997A56" w14:textId="77777777" w:rsidR="00457E80" w:rsidRPr="00036538" w:rsidRDefault="00457E80" w:rsidP="00576F59">
            <w:pPr>
              <w:spacing w:after="0" w:line="240" w:lineRule="auto"/>
              <w:jc w:val="center"/>
              <w:rPr>
                <w:rFonts w:ascii="Times New Roman" w:eastAsia="Times New Roman" w:hAnsi="Times New Roman" w:cs="Times New Roman"/>
                <w:sz w:val="16"/>
                <w:szCs w:val="16"/>
                <w:lang w:val="ru-RU" w:eastAsia="ru-RU" w:bidi="ar-SA"/>
              </w:rPr>
            </w:pPr>
            <w:r w:rsidRPr="00036538">
              <w:rPr>
                <w:rFonts w:ascii="Times New Roman" w:eastAsia="Times New Roman" w:hAnsi="Times New Roman" w:cs="Times New Roman"/>
                <w:sz w:val="16"/>
                <w:szCs w:val="16"/>
                <w:lang w:val="ru-RU" w:eastAsia="ru-RU" w:bidi="ar-SA"/>
              </w:rPr>
              <w:t>66,2</w:t>
            </w:r>
          </w:p>
        </w:tc>
      </w:tr>
    </w:tbl>
    <w:p w14:paraId="5298A00B" w14:textId="77777777" w:rsidR="00457E80" w:rsidRPr="00094154" w:rsidRDefault="00457E80" w:rsidP="00457E80">
      <w:pPr>
        <w:spacing w:after="0" w:line="360" w:lineRule="auto"/>
        <w:contextualSpacing/>
        <w:rPr>
          <w:rFonts w:ascii="Times New Roman" w:hAnsi="Times New Roman" w:cs="Times New Roman"/>
          <w:sz w:val="24"/>
          <w:szCs w:val="24"/>
          <w:lang w:val="ru-RU" w:eastAsia="zh-CN"/>
        </w:rPr>
      </w:pPr>
    </w:p>
    <w:p w14:paraId="4440A7DA" w14:textId="6E240957" w:rsidR="00457E80" w:rsidRDefault="00457E80" w:rsidP="00457E80">
      <w:pPr>
        <w:pStyle w:val="af3"/>
        <w:spacing w:after="0" w:line="360" w:lineRule="auto"/>
        <w:ind w:left="0"/>
        <w:rPr>
          <w:rFonts w:ascii="Times New Roman" w:hAnsi="Times New Roman" w:cs="Times New Roman"/>
          <w:sz w:val="24"/>
          <w:szCs w:val="24"/>
          <w:lang w:val="ru-RU"/>
        </w:rPr>
      </w:pPr>
      <w:r>
        <w:rPr>
          <w:rFonts w:ascii="Times New Roman" w:hAnsi="Times New Roman" w:cs="Times New Roman"/>
          <w:sz w:val="24"/>
          <w:szCs w:val="24"/>
          <w:lang w:val="ru-RU"/>
        </w:rPr>
        <w:t>Источник: [</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_Ref130564109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233</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xml:space="preserve">; </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_Ref135397695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45</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xml:space="preserve">] </w:t>
      </w:r>
    </w:p>
    <w:p w14:paraId="20BD8A07" w14:textId="2264EF48" w:rsidR="00457E80" w:rsidRDefault="00457E80" w:rsidP="00E01178">
      <w:pPr>
        <w:pStyle w:val="aff6"/>
        <w:spacing w:before="0" w:beforeAutospacing="0" w:after="0"/>
      </w:pPr>
    </w:p>
    <w:p w14:paraId="153C749A" w14:textId="7F743893" w:rsidR="00457E80" w:rsidRDefault="00457E80" w:rsidP="00E01178">
      <w:pPr>
        <w:pStyle w:val="aff6"/>
        <w:spacing w:before="0" w:beforeAutospacing="0" w:after="0"/>
      </w:pPr>
    </w:p>
    <w:p w14:paraId="28AB4C33" w14:textId="4E97107A" w:rsidR="00457E80" w:rsidRDefault="00457E80" w:rsidP="00E01178">
      <w:pPr>
        <w:pStyle w:val="aff6"/>
        <w:spacing w:before="0" w:beforeAutospacing="0" w:after="0"/>
      </w:pPr>
    </w:p>
    <w:p w14:paraId="145FEAE5" w14:textId="3EC30D1D" w:rsidR="00457E80" w:rsidRDefault="00457E80" w:rsidP="00E01178">
      <w:pPr>
        <w:pStyle w:val="aff6"/>
        <w:spacing w:before="0" w:beforeAutospacing="0" w:after="0"/>
      </w:pPr>
    </w:p>
    <w:p w14:paraId="5BDAD4AB" w14:textId="751D9ABB" w:rsidR="00457E80" w:rsidRDefault="00457E80" w:rsidP="00E01178">
      <w:pPr>
        <w:pStyle w:val="aff6"/>
        <w:spacing w:before="0" w:beforeAutospacing="0" w:after="0"/>
      </w:pPr>
    </w:p>
    <w:p w14:paraId="0BC5E662" w14:textId="4223E730" w:rsidR="00457E80" w:rsidRDefault="00457E80" w:rsidP="00E01178">
      <w:pPr>
        <w:pStyle w:val="aff6"/>
        <w:spacing w:before="0" w:beforeAutospacing="0" w:after="0"/>
      </w:pPr>
    </w:p>
    <w:p w14:paraId="7668EF01" w14:textId="77777777" w:rsidR="00457E80" w:rsidRDefault="00457E80" w:rsidP="00E01178">
      <w:pPr>
        <w:pStyle w:val="aff6"/>
        <w:spacing w:before="0" w:beforeAutospacing="0" w:after="0"/>
      </w:pPr>
    </w:p>
    <w:p w14:paraId="014A1959" w14:textId="00C69CD1" w:rsidR="00FC1AEF" w:rsidRPr="00E01178" w:rsidRDefault="002023F4" w:rsidP="00E01178">
      <w:pPr>
        <w:pStyle w:val="aff6"/>
        <w:spacing w:before="0" w:beforeAutospacing="0" w:after="0"/>
        <w:rPr>
          <w:lang w:eastAsia="zh-CN"/>
        </w:rPr>
      </w:pPr>
      <w:r>
        <w:lastRenderedPageBreak/>
        <w:t xml:space="preserve">Таблица </w:t>
      </w:r>
      <w:r w:rsidR="006978F8">
        <w:t>5</w:t>
      </w:r>
      <w:r>
        <w:t xml:space="preserve">. Корреляция рейтингов </w:t>
      </w:r>
      <w:r w:rsidRPr="004A0184">
        <w:rPr>
          <w:lang w:eastAsia="zh-CN"/>
        </w:rPr>
        <w:t xml:space="preserve">Doing Business </w:t>
      </w:r>
      <w:r w:rsidR="000451EC" w:rsidRPr="004A0184">
        <w:rPr>
          <w:lang w:eastAsia="zh-CN"/>
        </w:rPr>
        <w:t xml:space="preserve">2020 </w:t>
      </w:r>
      <w:r w:rsidRPr="004A0184">
        <w:rPr>
          <w:lang w:eastAsia="zh-CN"/>
        </w:rPr>
        <w:t xml:space="preserve">и </w:t>
      </w:r>
      <w:bookmarkEnd w:id="210"/>
      <w:r w:rsidR="000451EC" w:rsidRPr="004A0184">
        <w:rPr>
          <w:lang w:eastAsia="zh-CN"/>
        </w:rPr>
        <w:t xml:space="preserve">GFCI, </w:t>
      </w:r>
      <w:r w:rsidR="00FC1AEF" w:rsidRPr="004A0184">
        <w:rPr>
          <w:lang w:eastAsia="zh-CN"/>
        </w:rPr>
        <w:t>сентябрь</w:t>
      </w:r>
      <w:r w:rsidR="000451EC" w:rsidRPr="004A0184">
        <w:rPr>
          <w:lang w:eastAsia="zh-CN"/>
        </w:rPr>
        <w:t xml:space="preserve"> 2020</w:t>
      </w:r>
    </w:p>
    <w:tbl>
      <w:tblPr>
        <w:tblW w:w="14985" w:type="dxa"/>
        <w:tblLook w:val="04A0" w:firstRow="1" w:lastRow="0" w:firstColumn="1" w:lastColumn="0" w:noHBand="0" w:noVBand="1"/>
      </w:tblPr>
      <w:tblGrid>
        <w:gridCol w:w="625"/>
        <w:gridCol w:w="925"/>
        <w:gridCol w:w="1048"/>
        <w:gridCol w:w="661"/>
        <w:gridCol w:w="848"/>
        <w:gridCol w:w="622"/>
        <w:gridCol w:w="832"/>
        <w:gridCol w:w="948"/>
        <w:gridCol w:w="744"/>
        <w:gridCol w:w="1036"/>
        <w:gridCol w:w="1016"/>
        <w:gridCol w:w="1467"/>
        <w:gridCol w:w="1287"/>
        <w:gridCol w:w="1106"/>
        <w:gridCol w:w="933"/>
        <w:gridCol w:w="887"/>
      </w:tblGrid>
      <w:tr w:rsidR="004A0184" w:rsidRPr="00A546AD" w14:paraId="4A16A37B" w14:textId="77777777" w:rsidTr="004A0184">
        <w:trPr>
          <w:trHeight w:val="1181"/>
        </w:trPr>
        <w:tc>
          <w:tcPr>
            <w:tcW w:w="6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3321FF" w14:textId="4EA65651"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Рэнкинг</w:t>
            </w:r>
          </w:p>
        </w:tc>
        <w:tc>
          <w:tcPr>
            <w:tcW w:w="925" w:type="dxa"/>
            <w:tcBorders>
              <w:top w:val="single" w:sz="4" w:space="0" w:color="auto"/>
              <w:left w:val="nil"/>
              <w:bottom w:val="single" w:sz="4" w:space="0" w:color="auto"/>
              <w:right w:val="single" w:sz="4" w:space="0" w:color="auto"/>
            </w:tcBorders>
            <w:shd w:val="clear" w:color="auto" w:fill="auto"/>
            <w:vAlign w:val="bottom"/>
            <w:hideMark/>
          </w:tcPr>
          <w:p w14:paraId="0DAC223C" w14:textId="28DB5823"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 xml:space="preserve">Рейтинг GFCI, </w:t>
            </w:r>
            <w:r>
              <w:rPr>
                <w:rFonts w:ascii="Times New Roman" w:eastAsia="Times New Roman" w:hAnsi="Times New Roman" w:cs="Times New Roman"/>
                <w:color w:val="000000"/>
                <w:sz w:val="16"/>
                <w:szCs w:val="16"/>
                <w:lang w:val="ru-RU" w:eastAsia="ru-RU" w:bidi="ar-SA"/>
              </w:rPr>
              <w:t>сентябрь</w:t>
            </w:r>
            <w:r w:rsidRPr="00036538">
              <w:rPr>
                <w:rFonts w:ascii="Times New Roman" w:eastAsia="Times New Roman" w:hAnsi="Times New Roman" w:cs="Times New Roman"/>
                <w:color w:val="000000"/>
                <w:sz w:val="16"/>
                <w:szCs w:val="16"/>
                <w:lang w:val="ru-RU" w:eastAsia="ru-RU" w:bidi="ar-SA"/>
              </w:rPr>
              <w:t xml:space="preserve"> 2020</w:t>
            </w:r>
          </w:p>
        </w:tc>
        <w:tc>
          <w:tcPr>
            <w:tcW w:w="1048" w:type="dxa"/>
            <w:tcBorders>
              <w:top w:val="single" w:sz="4" w:space="0" w:color="auto"/>
              <w:left w:val="nil"/>
              <w:bottom w:val="single" w:sz="4" w:space="0" w:color="auto"/>
              <w:right w:val="single" w:sz="4" w:space="0" w:color="auto"/>
            </w:tcBorders>
            <w:shd w:val="clear" w:color="auto" w:fill="auto"/>
            <w:noWrap/>
            <w:vAlign w:val="bottom"/>
            <w:hideMark/>
          </w:tcPr>
          <w:p w14:paraId="1FAA0F2C" w14:textId="431AF3EC"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036538">
              <w:rPr>
                <w:rFonts w:ascii="Times New Roman" w:eastAsia="Times New Roman" w:hAnsi="Times New Roman" w:cs="Times New Roman"/>
                <w:color w:val="000000"/>
                <w:sz w:val="16"/>
                <w:szCs w:val="16"/>
                <w:lang w:val="ru-RU" w:eastAsia="ru-RU" w:bidi="ar-SA"/>
              </w:rPr>
              <w:t> </w:t>
            </w:r>
            <w:r>
              <w:rPr>
                <w:rFonts w:ascii="Times New Roman" w:eastAsia="Times New Roman" w:hAnsi="Times New Roman" w:cs="Times New Roman"/>
                <w:color w:val="000000"/>
                <w:sz w:val="16"/>
                <w:szCs w:val="16"/>
                <w:lang w:val="ru-RU" w:eastAsia="ru-RU" w:bidi="ar-SA"/>
              </w:rPr>
              <w:t xml:space="preserve">Страна по </w:t>
            </w:r>
            <w:r>
              <w:rPr>
                <w:rFonts w:ascii="Times New Roman" w:eastAsia="Times New Roman" w:hAnsi="Times New Roman" w:cs="Times New Roman"/>
                <w:color w:val="000000"/>
                <w:sz w:val="16"/>
                <w:szCs w:val="16"/>
                <w:lang w:eastAsia="ru-RU" w:bidi="ar-SA"/>
              </w:rPr>
              <w:t>GFCI,</w:t>
            </w:r>
            <w:r>
              <w:rPr>
                <w:rFonts w:ascii="Times New Roman" w:eastAsia="Times New Roman" w:hAnsi="Times New Roman" w:cs="Times New Roman"/>
                <w:color w:val="000000"/>
                <w:sz w:val="16"/>
                <w:szCs w:val="16"/>
                <w:lang w:val="ru-RU" w:eastAsia="ru-RU" w:bidi="ar-SA"/>
              </w:rPr>
              <w:t xml:space="preserve"> сентябрь 2020</w:t>
            </w:r>
          </w:p>
        </w:tc>
        <w:tc>
          <w:tcPr>
            <w:tcW w:w="661" w:type="dxa"/>
            <w:tcBorders>
              <w:top w:val="single" w:sz="4" w:space="0" w:color="auto"/>
              <w:left w:val="nil"/>
              <w:bottom w:val="single" w:sz="4" w:space="0" w:color="auto"/>
              <w:right w:val="single" w:sz="4" w:space="0" w:color="auto"/>
            </w:tcBorders>
            <w:shd w:val="clear" w:color="auto" w:fill="auto"/>
            <w:vAlign w:val="bottom"/>
            <w:hideMark/>
          </w:tcPr>
          <w:p w14:paraId="5A14C760" w14:textId="52DF7633"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eastAsia="ru-RU" w:bidi="ar-SA"/>
              </w:rPr>
            </w:pPr>
            <w:r w:rsidRPr="00036538">
              <w:rPr>
                <w:rFonts w:ascii="Times New Roman" w:eastAsia="Times New Roman" w:hAnsi="Times New Roman" w:cs="Times New Roman"/>
                <w:color w:val="000000"/>
                <w:sz w:val="16"/>
                <w:szCs w:val="16"/>
                <w:lang w:val="ru-RU" w:eastAsia="ru-RU" w:bidi="ar-SA"/>
              </w:rPr>
              <w:t>Рейтинг</w:t>
            </w:r>
            <w:r>
              <w:rPr>
                <w:rFonts w:ascii="Times New Roman" w:eastAsia="Times New Roman" w:hAnsi="Times New Roman" w:cs="Times New Roman"/>
                <w:color w:val="000000"/>
                <w:sz w:val="16"/>
                <w:szCs w:val="16"/>
                <w:lang w:val="ru-RU" w:eastAsia="ru-RU" w:bidi="ar-SA"/>
              </w:rPr>
              <w:t xml:space="preserve">, </w:t>
            </w:r>
            <w:r>
              <w:rPr>
                <w:rFonts w:ascii="Times New Roman" w:eastAsia="Times New Roman" w:hAnsi="Times New Roman" w:cs="Times New Roman"/>
                <w:color w:val="000000"/>
                <w:sz w:val="16"/>
                <w:szCs w:val="16"/>
                <w:lang w:eastAsia="ru-RU" w:bidi="ar-SA"/>
              </w:rPr>
              <w:t>GFCI,</w:t>
            </w:r>
            <w:r>
              <w:rPr>
                <w:rFonts w:ascii="Times New Roman" w:eastAsia="Times New Roman" w:hAnsi="Times New Roman" w:cs="Times New Roman"/>
                <w:color w:val="000000"/>
                <w:sz w:val="16"/>
                <w:szCs w:val="16"/>
                <w:lang w:val="ru-RU" w:eastAsia="ru-RU" w:bidi="ar-SA"/>
              </w:rPr>
              <w:t xml:space="preserve"> сентябрь 2020</w:t>
            </w:r>
          </w:p>
        </w:tc>
        <w:tc>
          <w:tcPr>
            <w:tcW w:w="848" w:type="dxa"/>
            <w:tcBorders>
              <w:top w:val="single" w:sz="4" w:space="0" w:color="auto"/>
              <w:left w:val="nil"/>
              <w:bottom w:val="single" w:sz="4" w:space="0" w:color="auto"/>
              <w:right w:val="single" w:sz="4" w:space="0" w:color="auto"/>
            </w:tcBorders>
            <w:shd w:val="clear" w:color="auto" w:fill="auto"/>
            <w:vAlign w:val="bottom"/>
            <w:hideMark/>
          </w:tcPr>
          <w:p w14:paraId="6A319726" w14:textId="316AE2E8"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Pr>
                <w:rFonts w:ascii="Times New Roman" w:eastAsia="Times New Roman" w:hAnsi="Times New Roman" w:cs="Times New Roman"/>
                <w:color w:val="000000"/>
                <w:sz w:val="16"/>
                <w:szCs w:val="16"/>
                <w:lang w:val="ru-RU" w:eastAsia="ru-RU" w:bidi="ar-SA"/>
              </w:rPr>
              <w:t xml:space="preserve">Страна / Город по рейтингу </w:t>
            </w:r>
            <w:r>
              <w:rPr>
                <w:rFonts w:ascii="Times New Roman" w:eastAsia="Times New Roman" w:hAnsi="Times New Roman" w:cs="Times New Roman"/>
                <w:color w:val="000000"/>
                <w:sz w:val="16"/>
                <w:szCs w:val="16"/>
                <w:lang w:eastAsia="ru-RU" w:bidi="ar-SA"/>
              </w:rPr>
              <w:t>Doing</w:t>
            </w:r>
            <w:r w:rsidRPr="00BE1496">
              <w:rPr>
                <w:rFonts w:ascii="Times New Roman" w:eastAsia="Times New Roman" w:hAnsi="Times New Roman" w:cs="Times New Roman"/>
                <w:color w:val="000000"/>
                <w:sz w:val="16"/>
                <w:szCs w:val="16"/>
                <w:lang w:val="ru-RU" w:eastAsia="ru-RU" w:bidi="ar-SA"/>
              </w:rPr>
              <w:t xml:space="preserve"> </w:t>
            </w:r>
            <w:r>
              <w:rPr>
                <w:rFonts w:ascii="Times New Roman" w:eastAsia="Times New Roman" w:hAnsi="Times New Roman" w:cs="Times New Roman"/>
                <w:color w:val="000000"/>
                <w:sz w:val="16"/>
                <w:szCs w:val="16"/>
                <w:lang w:eastAsia="ru-RU" w:bidi="ar-SA"/>
              </w:rPr>
              <w:t>Business</w:t>
            </w:r>
          </w:p>
        </w:tc>
        <w:tc>
          <w:tcPr>
            <w:tcW w:w="622" w:type="dxa"/>
            <w:tcBorders>
              <w:top w:val="single" w:sz="4" w:space="0" w:color="auto"/>
              <w:left w:val="nil"/>
              <w:bottom w:val="single" w:sz="4" w:space="0" w:color="auto"/>
              <w:right w:val="single" w:sz="4" w:space="0" w:color="auto"/>
            </w:tcBorders>
            <w:shd w:val="clear" w:color="auto" w:fill="auto"/>
            <w:hideMark/>
          </w:tcPr>
          <w:p w14:paraId="591C6C08" w14:textId="77777777"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Рейтинг Doing business 2020: общий</w:t>
            </w:r>
          </w:p>
        </w:tc>
        <w:tc>
          <w:tcPr>
            <w:tcW w:w="832" w:type="dxa"/>
            <w:tcBorders>
              <w:top w:val="single" w:sz="4" w:space="0" w:color="auto"/>
              <w:left w:val="nil"/>
              <w:bottom w:val="single" w:sz="4" w:space="0" w:color="auto"/>
              <w:right w:val="single" w:sz="4" w:space="0" w:color="auto"/>
            </w:tcBorders>
            <w:shd w:val="clear" w:color="auto" w:fill="auto"/>
            <w:hideMark/>
          </w:tcPr>
          <w:p w14:paraId="326963F2" w14:textId="77777777"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Рейтинг-регистрация компании</w:t>
            </w:r>
          </w:p>
        </w:tc>
        <w:tc>
          <w:tcPr>
            <w:tcW w:w="948" w:type="dxa"/>
            <w:tcBorders>
              <w:top w:val="single" w:sz="4" w:space="0" w:color="auto"/>
              <w:left w:val="nil"/>
              <w:bottom w:val="single" w:sz="4" w:space="0" w:color="auto"/>
              <w:right w:val="single" w:sz="4" w:space="0" w:color="auto"/>
            </w:tcBorders>
            <w:shd w:val="clear" w:color="auto" w:fill="auto"/>
            <w:hideMark/>
          </w:tcPr>
          <w:p w14:paraId="102C0A1E" w14:textId="77777777"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Рейтинг-регистрация собственности</w:t>
            </w:r>
          </w:p>
        </w:tc>
        <w:tc>
          <w:tcPr>
            <w:tcW w:w="744" w:type="dxa"/>
            <w:tcBorders>
              <w:top w:val="single" w:sz="4" w:space="0" w:color="auto"/>
              <w:left w:val="nil"/>
              <w:bottom w:val="single" w:sz="4" w:space="0" w:color="auto"/>
              <w:right w:val="single" w:sz="4" w:space="0" w:color="auto"/>
            </w:tcBorders>
            <w:shd w:val="clear" w:color="auto" w:fill="auto"/>
            <w:hideMark/>
          </w:tcPr>
          <w:p w14:paraId="048CD427" w14:textId="77777777"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Рейтинг-получение кредита</w:t>
            </w:r>
          </w:p>
        </w:tc>
        <w:tc>
          <w:tcPr>
            <w:tcW w:w="1036" w:type="dxa"/>
            <w:tcBorders>
              <w:top w:val="single" w:sz="4" w:space="0" w:color="auto"/>
              <w:left w:val="nil"/>
              <w:bottom w:val="single" w:sz="4" w:space="0" w:color="auto"/>
              <w:right w:val="single" w:sz="4" w:space="0" w:color="auto"/>
            </w:tcBorders>
            <w:shd w:val="clear" w:color="auto" w:fill="auto"/>
            <w:hideMark/>
          </w:tcPr>
          <w:p w14:paraId="29B398F0" w14:textId="77777777"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Рейтинг_защита миноритариев</w:t>
            </w:r>
          </w:p>
        </w:tc>
        <w:tc>
          <w:tcPr>
            <w:tcW w:w="1016" w:type="dxa"/>
            <w:tcBorders>
              <w:top w:val="single" w:sz="4" w:space="0" w:color="auto"/>
              <w:left w:val="nil"/>
              <w:bottom w:val="single" w:sz="4" w:space="0" w:color="auto"/>
              <w:right w:val="single" w:sz="4" w:space="0" w:color="auto"/>
            </w:tcBorders>
            <w:shd w:val="clear" w:color="auto" w:fill="auto"/>
            <w:hideMark/>
          </w:tcPr>
          <w:p w14:paraId="69FEEE93" w14:textId="77777777"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Рейтинг_оплата налогов</w:t>
            </w:r>
          </w:p>
        </w:tc>
        <w:tc>
          <w:tcPr>
            <w:tcW w:w="1467" w:type="dxa"/>
            <w:tcBorders>
              <w:top w:val="single" w:sz="4" w:space="0" w:color="auto"/>
              <w:left w:val="nil"/>
              <w:bottom w:val="single" w:sz="4" w:space="0" w:color="auto"/>
              <w:right w:val="single" w:sz="4" w:space="0" w:color="auto"/>
            </w:tcBorders>
            <w:shd w:val="clear" w:color="auto" w:fill="auto"/>
            <w:hideMark/>
          </w:tcPr>
          <w:p w14:paraId="741370DD" w14:textId="77777777"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Рейтинг_международная торговля</w:t>
            </w:r>
          </w:p>
        </w:tc>
        <w:tc>
          <w:tcPr>
            <w:tcW w:w="1287" w:type="dxa"/>
            <w:tcBorders>
              <w:top w:val="single" w:sz="4" w:space="0" w:color="auto"/>
              <w:left w:val="nil"/>
              <w:bottom w:val="single" w:sz="4" w:space="0" w:color="auto"/>
              <w:right w:val="single" w:sz="4" w:space="0" w:color="auto"/>
            </w:tcBorders>
            <w:shd w:val="clear" w:color="auto" w:fill="auto"/>
            <w:hideMark/>
          </w:tcPr>
          <w:p w14:paraId="28DDCAF8" w14:textId="77777777"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Рейтинг_выполнение контракта</w:t>
            </w:r>
          </w:p>
        </w:tc>
        <w:tc>
          <w:tcPr>
            <w:tcW w:w="1106" w:type="dxa"/>
            <w:tcBorders>
              <w:top w:val="single" w:sz="4" w:space="0" w:color="auto"/>
              <w:left w:val="nil"/>
              <w:bottom w:val="single" w:sz="4" w:space="0" w:color="auto"/>
              <w:right w:val="single" w:sz="4" w:space="0" w:color="auto"/>
            </w:tcBorders>
            <w:shd w:val="clear" w:color="auto" w:fill="auto"/>
            <w:hideMark/>
          </w:tcPr>
          <w:p w14:paraId="5FC04929" w14:textId="77777777"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Рейтинг_вопросы банкротства</w:t>
            </w:r>
          </w:p>
        </w:tc>
        <w:tc>
          <w:tcPr>
            <w:tcW w:w="933" w:type="dxa"/>
            <w:tcBorders>
              <w:top w:val="single" w:sz="4" w:space="0" w:color="auto"/>
              <w:left w:val="nil"/>
              <w:bottom w:val="single" w:sz="4" w:space="0" w:color="auto"/>
              <w:right w:val="single" w:sz="4" w:space="0" w:color="auto"/>
            </w:tcBorders>
            <w:shd w:val="clear" w:color="auto" w:fill="auto"/>
            <w:hideMark/>
          </w:tcPr>
          <w:p w14:paraId="6EC38528" w14:textId="77777777"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Рейтинг-разрешение на строительство</w:t>
            </w:r>
          </w:p>
        </w:tc>
        <w:tc>
          <w:tcPr>
            <w:tcW w:w="887" w:type="dxa"/>
            <w:tcBorders>
              <w:top w:val="single" w:sz="4" w:space="0" w:color="auto"/>
              <w:left w:val="nil"/>
              <w:bottom w:val="single" w:sz="4" w:space="0" w:color="auto"/>
              <w:right w:val="single" w:sz="4" w:space="0" w:color="auto"/>
            </w:tcBorders>
            <w:shd w:val="clear" w:color="auto" w:fill="auto"/>
            <w:hideMark/>
          </w:tcPr>
          <w:p w14:paraId="5DD83283" w14:textId="77777777" w:rsidR="00A546AD" w:rsidRPr="00A546AD" w:rsidRDefault="00A546AD" w:rsidP="00E01178">
            <w:pPr>
              <w:spacing w:after="0" w:line="360" w:lineRule="auto"/>
              <w:contextualSpacing/>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Рейтинг - доступ к электросетям</w:t>
            </w:r>
          </w:p>
        </w:tc>
      </w:tr>
      <w:tr w:rsidR="004A0184" w:rsidRPr="00A546AD" w14:paraId="338B9C08" w14:textId="77777777" w:rsidTr="004A0184">
        <w:trPr>
          <w:trHeight w:val="675"/>
        </w:trPr>
        <w:tc>
          <w:tcPr>
            <w:tcW w:w="4107" w:type="dxa"/>
            <w:gridSpan w:val="5"/>
            <w:tcBorders>
              <w:top w:val="nil"/>
              <w:left w:val="single" w:sz="4" w:space="0" w:color="auto"/>
              <w:bottom w:val="single" w:sz="4" w:space="0" w:color="auto"/>
              <w:right w:val="single" w:sz="4" w:space="0" w:color="auto"/>
            </w:tcBorders>
            <w:shd w:val="clear" w:color="auto" w:fill="auto"/>
            <w:noWrap/>
            <w:vAlign w:val="center"/>
          </w:tcPr>
          <w:p w14:paraId="61BFFFC6" w14:textId="5330A013" w:rsidR="004A0184" w:rsidRPr="00A546AD" w:rsidRDefault="004A0184" w:rsidP="004A0184">
            <w:pPr>
              <w:spacing w:after="0" w:line="240" w:lineRule="auto"/>
              <w:jc w:val="right"/>
              <w:rPr>
                <w:rFonts w:ascii="Times New Roman" w:eastAsia="Times New Roman" w:hAnsi="Times New Roman" w:cs="Times New Roman"/>
                <w:color w:val="000000"/>
                <w:sz w:val="16"/>
                <w:szCs w:val="16"/>
                <w:lang w:val="ru-RU" w:eastAsia="ru-RU" w:bidi="ar-SA"/>
              </w:rPr>
            </w:pPr>
            <w:r>
              <w:rPr>
                <w:rFonts w:ascii="Times New Roman" w:eastAsia="Times New Roman" w:hAnsi="Times New Roman" w:cs="Times New Roman"/>
                <w:color w:val="000000"/>
                <w:sz w:val="16"/>
                <w:szCs w:val="16"/>
                <w:lang w:val="ru-RU" w:eastAsia="ru-RU" w:bidi="ar-SA"/>
              </w:rPr>
              <w:t xml:space="preserve">Уровень корреляции с рейтингом </w:t>
            </w:r>
            <w:r>
              <w:rPr>
                <w:rFonts w:ascii="Times New Roman" w:eastAsia="Times New Roman" w:hAnsi="Times New Roman" w:cs="Times New Roman"/>
                <w:color w:val="000000"/>
                <w:sz w:val="16"/>
                <w:szCs w:val="16"/>
                <w:lang w:eastAsia="ru-RU" w:bidi="ar-SA"/>
              </w:rPr>
              <w:t>GFCI</w:t>
            </w:r>
          </w:p>
        </w:tc>
        <w:tc>
          <w:tcPr>
            <w:tcW w:w="622" w:type="dxa"/>
            <w:tcBorders>
              <w:top w:val="single" w:sz="4" w:space="0" w:color="auto"/>
              <w:left w:val="nil"/>
              <w:bottom w:val="single" w:sz="4" w:space="0" w:color="auto"/>
              <w:right w:val="single" w:sz="4" w:space="0" w:color="auto"/>
            </w:tcBorders>
            <w:shd w:val="clear" w:color="auto" w:fill="auto"/>
            <w:vAlign w:val="center"/>
          </w:tcPr>
          <w:p w14:paraId="1DC43390" w14:textId="52E849F3" w:rsidR="004A0184" w:rsidRPr="004A0184" w:rsidRDefault="004A0184" w:rsidP="004A0184">
            <w:pPr>
              <w:spacing w:after="0" w:line="240" w:lineRule="auto"/>
              <w:jc w:val="center"/>
              <w:rPr>
                <w:rFonts w:ascii="Times New Roman" w:eastAsia="Times New Roman" w:hAnsi="Times New Roman" w:cs="Times New Roman"/>
                <w:color w:val="000000"/>
                <w:sz w:val="20"/>
                <w:szCs w:val="20"/>
                <w:lang w:val="ru-RU" w:eastAsia="ru-RU" w:bidi="ar-SA"/>
              </w:rPr>
            </w:pPr>
            <w:r w:rsidRPr="004A0184">
              <w:rPr>
                <w:rFonts w:ascii="Times New Roman" w:hAnsi="Times New Roman" w:cs="Times New Roman"/>
                <w:color w:val="000000"/>
                <w:sz w:val="20"/>
                <w:szCs w:val="20"/>
              </w:rPr>
              <w:t>0,3</w:t>
            </w:r>
            <w:r>
              <w:rPr>
                <w:rFonts w:ascii="Times New Roman" w:hAnsi="Times New Roman" w:cs="Times New Roman"/>
                <w:color w:val="000000"/>
                <w:sz w:val="20"/>
                <w:szCs w:val="20"/>
              </w:rPr>
              <w:t>9</w:t>
            </w:r>
          </w:p>
        </w:tc>
        <w:tc>
          <w:tcPr>
            <w:tcW w:w="832" w:type="dxa"/>
            <w:tcBorders>
              <w:top w:val="single" w:sz="4" w:space="0" w:color="auto"/>
              <w:left w:val="nil"/>
              <w:bottom w:val="single" w:sz="4" w:space="0" w:color="auto"/>
              <w:right w:val="single" w:sz="4" w:space="0" w:color="auto"/>
            </w:tcBorders>
            <w:shd w:val="clear" w:color="auto" w:fill="auto"/>
            <w:vAlign w:val="center"/>
          </w:tcPr>
          <w:p w14:paraId="0AFACC9E" w14:textId="349E8759" w:rsidR="004A0184" w:rsidRPr="004A0184" w:rsidRDefault="004A0184" w:rsidP="004A0184">
            <w:pPr>
              <w:spacing w:after="0" w:line="240" w:lineRule="auto"/>
              <w:jc w:val="center"/>
              <w:rPr>
                <w:rFonts w:ascii="Times New Roman" w:eastAsia="Times New Roman" w:hAnsi="Times New Roman" w:cs="Times New Roman"/>
                <w:color w:val="000000"/>
                <w:sz w:val="20"/>
                <w:szCs w:val="20"/>
                <w:lang w:val="ru-RU" w:eastAsia="ru-RU" w:bidi="ar-SA"/>
              </w:rPr>
            </w:pPr>
            <w:r w:rsidRPr="004A0184">
              <w:rPr>
                <w:rFonts w:ascii="Times New Roman" w:hAnsi="Times New Roman" w:cs="Times New Roman"/>
                <w:color w:val="000000"/>
                <w:sz w:val="20"/>
                <w:szCs w:val="20"/>
              </w:rPr>
              <w:t>0,21</w:t>
            </w:r>
          </w:p>
        </w:tc>
        <w:tc>
          <w:tcPr>
            <w:tcW w:w="948" w:type="dxa"/>
            <w:tcBorders>
              <w:top w:val="single" w:sz="4" w:space="0" w:color="auto"/>
              <w:left w:val="nil"/>
              <w:bottom w:val="single" w:sz="4" w:space="0" w:color="auto"/>
              <w:right w:val="single" w:sz="4" w:space="0" w:color="auto"/>
            </w:tcBorders>
            <w:shd w:val="clear" w:color="auto" w:fill="auto"/>
            <w:vAlign w:val="center"/>
          </w:tcPr>
          <w:p w14:paraId="528890CE" w14:textId="3469E00C" w:rsidR="004A0184" w:rsidRPr="004A0184" w:rsidRDefault="004A0184" w:rsidP="004A0184">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0,12</w:t>
            </w:r>
          </w:p>
        </w:tc>
        <w:tc>
          <w:tcPr>
            <w:tcW w:w="744" w:type="dxa"/>
            <w:tcBorders>
              <w:top w:val="single" w:sz="4" w:space="0" w:color="auto"/>
              <w:left w:val="nil"/>
              <w:bottom w:val="single" w:sz="4" w:space="0" w:color="auto"/>
              <w:right w:val="single" w:sz="4" w:space="0" w:color="auto"/>
            </w:tcBorders>
            <w:shd w:val="clear" w:color="000000" w:fill="FFFFFF"/>
            <w:vAlign w:val="center"/>
          </w:tcPr>
          <w:p w14:paraId="5C280CA5" w14:textId="0D5DA646" w:rsidR="004A0184" w:rsidRPr="004A0184" w:rsidRDefault="004A0184" w:rsidP="004A0184">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0,1</w:t>
            </w:r>
            <w:r>
              <w:rPr>
                <w:rFonts w:ascii="Times New Roman" w:hAnsi="Times New Roman" w:cs="Times New Roman"/>
                <w:color w:val="000000"/>
                <w:sz w:val="20"/>
                <w:szCs w:val="20"/>
              </w:rPr>
              <w:t>9</w:t>
            </w:r>
          </w:p>
        </w:tc>
        <w:tc>
          <w:tcPr>
            <w:tcW w:w="1036" w:type="dxa"/>
            <w:tcBorders>
              <w:top w:val="single" w:sz="4" w:space="0" w:color="auto"/>
              <w:left w:val="nil"/>
              <w:bottom w:val="single" w:sz="4" w:space="0" w:color="auto"/>
              <w:right w:val="single" w:sz="4" w:space="0" w:color="auto"/>
            </w:tcBorders>
            <w:shd w:val="clear" w:color="000000" w:fill="FFFFFF"/>
            <w:vAlign w:val="center"/>
          </w:tcPr>
          <w:p w14:paraId="0779FFAB" w14:textId="5E222F5A" w:rsidR="004A0184" w:rsidRPr="004A0184" w:rsidRDefault="004A0184" w:rsidP="004A0184">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0,3</w:t>
            </w:r>
            <w:r>
              <w:rPr>
                <w:rFonts w:ascii="Times New Roman" w:hAnsi="Times New Roman" w:cs="Times New Roman"/>
                <w:color w:val="000000"/>
                <w:sz w:val="20"/>
                <w:szCs w:val="20"/>
              </w:rPr>
              <w:t>1</w:t>
            </w:r>
          </w:p>
        </w:tc>
        <w:tc>
          <w:tcPr>
            <w:tcW w:w="1016" w:type="dxa"/>
            <w:tcBorders>
              <w:top w:val="single" w:sz="4" w:space="0" w:color="auto"/>
              <w:left w:val="nil"/>
              <w:bottom w:val="single" w:sz="4" w:space="0" w:color="auto"/>
              <w:right w:val="single" w:sz="4" w:space="0" w:color="auto"/>
            </w:tcBorders>
            <w:shd w:val="clear" w:color="000000" w:fill="FFFFFF"/>
            <w:vAlign w:val="center"/>
          </w:tcPr>
          <w:p w14:paraId="6E5201E9" w14:textId="1395F7B8" w:rsidR="004A0184" w:rsidRPr="004A0184" w:rsidRDefault="004A0184" w:rsidP="004A0184">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0,3</w:t>
            </w:r>
            <w:r>
              <w:rPr>
                <w:rFonts w:ascii="Times New Roman" w:hAnsi="Times New Roman" w:cs="Times New Roman"/>
                <w:color w:val="000000"/>
                <w:sz w:val="20"/>
                <w:szCs w:val="20"/>
              </w:rPr>
              <w:t>1</w:t>
            </w:r>
          </w:p>
        </w:tc>
        <w:tc>
          <w:tcPr>
            <w:tcW w:w="1467" w:type="dxa"/>
            <w:tcBorders>
              <w:top w:val="single" w:sz="4" w:space="0" w:color="auto"/>
              <w:left w:val="nil"/>
              <w:bottom w:val="single" w:sz="4" w:space="0" w:color="auto"/>
              <w:right w:val="single" w:sz="4" w:space="0" w:color="auto"/>
            </w:tcBorders>
            <w:shd w:val="clear" w:color="000000" w:fill="FFFFFF"/>
            <w:vAlign w:val="center"/>
          </w:tcPr>
          <w:p w14:paraId="5B2029B9" w14:textId="56889DD2" w:rsidR="004A0184" w:rsidRPr="004A0184" w:rsidRDefault="004A0184" w:rsidP="004A0184">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w:t>
            </w:r>
            <w:r>
              <w:rPr>
                <w:rFonts w:ascii="Times New Roman" w:hAnsi="Times New Roman" w:cs="Times New Roman"/>
                <w:color w:val="000000"/>
                <w:sz w:val="20"/>
                <w:szCs w:val="20"/>
              </w:rPr>
              <w:t>3</w:t>
            </w:r>
          </w:p>
        </w:tc>
        <w:tc>
          <w:tcPr>
            <w:tcW w:w="1287" w:type="dxa"/>
            <w:tcBorders>
              <w:top w:val="single" w:sz="4" w:space="0" w:color="auto"/>
              <w:left w:val="nil"/>
              <w:bottom w:val="single" w:sz="4" w:space="0" w:color="auto"/>
              <w:right w:val="single" w:sz="4" w:space="0" w:color="auto"/>
            </w:tcBorders>
            <w:shd w:val="clear" w:color="000000" w:fill="FFFFFF"/>
            <w:vAlign w:val="center"/>
          </w:tcPr>
          <w:p w14:paraId="7BED9591" w14:textId="521B55BC" w:rsidR="004A0184" w:rsidRPr="004A0184" w:rsidRDefault="004A0184" w:rsidP="004A0184">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0,14</w:t>
            </w:r>
          </w:p>
        </w:tc>
        <w:tc>
          <w:tcPr>
            <w:tcW w:w="1106" w:type="dxa"/>
            <w:tcBorders>
              <w:top w:val="single" w:sz="4" w:space="0" w:color="auto"/>
              <w:left w:val="nil"/>
              <w:bottom w:val="single" w:sz="4" w:space="0" w:color="auto"/>
              <w:right w:val="single" w:sz="4" w:space="0" w:color="auto"/>
            </w:tcBorders>
            <w:shd w:val="clear" w:color="000000" w:fill="FFFFFF"/>
            <w:vAlign w:val="center"/>
          </w:tcPr>
          <w:p w14:paraId="648FC313" w14:textId="1E67AEA9" w:rsidR="004A0184" w:rsidRPr="004A0184" w:rsidRDefault="004A0184" w:rsidP="004A0184">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0,4</w:t>
            </w:r>
          </w:p>
        </w:tc>
        <w:tc>
          <w:tcPr>
            <w:tcW w:w="933" w:type="dxa"/>
            <w:tcBorders>
              <w:top w:val="single" w:sz="4" w:space="0" w:color="auto"/>
              <w:left w:val="nil"/>
              <w:bottom w:val="single" w:sz="4" w:space="0" w:color="auto"/>
              <w:right w:val="single" w:sz="4" w:space="0" w:color="auto"/>
            </w:tcBorders>
            <w:shd w:val="clear" w:color="auto" w:fill="auto"/>
            <w:vAlign w:val="center"/>
          </w:tcPr>
          <w:p w14:paraId="7A3BA337" w14:textId="0AA43CB9" w:rsidR="004A0184" w:rsidRPr="004A0184" w:rsidRDefault="004A0184" w:rsidP="004A0184">
            <w:pPr>
              <w:spacing w:after="0" w:line="240" w:lineRule="auto"/>
              <w:jc w:val="center"/>
              <w:rPr>
                <w:rFonts w:ascii="Times New Roman" w:eastAsia="Times New Roman" w:hAnsi="Times New Roman" w:cs="Times New Roman"/>
                <w:color w:val="000000"/>
                <w:sz w:val="20"/>
                <w:szCs w:val="20"/>
                <w:lang w:val="ru-RU" w:eastAsia="ru-RU" w:bidi="ar-SA"/>
              </w:rPr>
            </w:pPr>
            <w:r w:rsidRPr="004A0184">
              <w:rPr>
                <w:rFonts w:ascii="Times New Roman" w:hAnsi="Times New Roman" w:cs="Times New Roman"/>
                <w:color w:val="000000"/>
                <w:sz w:val="20"/>
                <w:szCs w:val="20"/>
              </w:rPr>
              <w:t>0,34</w:t>
            </w:r>
          </w:p>
        </w:tc>
        <w:tc>
          <w:tcPr>
            <w:tcW w:w="887" w:type="dxa"/>
            <w:tcBorders>
              <w:top w:val="single" w:sz="4" w:space="0" w:color="auto"/>
              <w:left w:val="nil"/>
              <w:bottom w:val="single" w:sz="4" w:space="0" w:color="auto"/>
              <w:right w:val="single" w:sz="4" w:space="0" w:color="auto"/>
            </w:tcBorders>
            <w:shd w:val="clear" w:color="auto" w:fill="auto"/>
            <w:vAlign w:val="center"/>
          </w:tcPr>
          <w:p w14:paraId="5CF163B9" w14:textId="59BA48F1" w:rsidR="004A0184" w:rsidRPr="004A0184" w:rsidRDefault="004A0184" w:rsidP="004A0184">
            <w:pPr>
              <w:spacing w:after="0" w:line="240" w:lineRule="auto"/>
              <w:jc w:val="center"/>
              <w:rPr>
                <w:rFonts w:ascii="Times New Roman" w:eastAsia="Times New Roman" w:hAnsi="Times New Roman" w:cs="Times New Roman"/>
                <w:sz w:val="20"/>
                <w:szCs w:val="20"/>
                <w:lang w:val="ru-RU" w:eastAsia="ru-RU" w:bidi="ar-SA"/>
              </w:rPr>
            </w:pPr>
            <w:r w:rsidRPr="004A0184">
              <w:rPr>
                <w:rFonts w:ascii="Times New Roman" w:hAnsi="Times New Roman" w:cs="Times New Roman"/>
                <w:color w:val="000000"/>
                <w:sz w:val="20"/>
                <w:szCs w:val="20"/>
              </w:rPr>
              <w:t>0,12</w:t>
            </w:r>
          </w:p>
        </w:tc>
      </w:tr>
      <w:tr w:rsidR="004A0184" w:rsidRPr="00A546AD" w14:paraId="54591505" w14:textId="77777777" w:rsidTr="00F5756A">
        <w:trPr>
          <w:trHeight w:val="7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18A81FE"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w:t>
            </w:r>
          </w:p>
        </w:tc>
        <w:tc>
          <w:tcPr>
            <w:tcW w:w="925" w:type="dxa"/>
            <w:tcBorders>
              <w:top w:val="nil"/>
              <w:left w:val="nil"/>
              <w:bottom w:val="single" w:sz="4" w:space="0" w:color="auto"/>
              <w:right w:val="single" w:sz="4" w:space="0" w:color="auto"/>
            </w:tcBorders>
            <w:shd w:val="clear" w:color="auto" w:fill="auto"/>
            <w:vAlign w:val="bottom"/>
            <w:hideMark/>
          </w:tcPr>
          <w:p w14:paraId="19A9E51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Нью-Йорк</w:t>
            </w:r>
          </w:p>
        </w:tc>
        <w:tc>
          <w:tcPr>
            <w:tcW w:w="1048" w:type="dxa"/>
            <w:tcBorders>
              <w:top w:val="nil"/>
              <w:left w:val="nil"/>
              <w:bottom w:val="single" w:sz="4" w:space="0" w:color="auto"/>
              <w:right w:val="single" w:sz="4" w:space="0" w:color="auto"/>
            </w:tcBorders>
            <w:shd w:val="clear" w:color="auto" w:fill="auto"/>
            <w:vAlign w:val="bottom"/>
            <w:hideMark/>
          </w:tcPr>
          <w:p w14:paraId="25C6417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США</w:t>
            </w:r>
          </w:p>
        </w:tc>
        <w:tc>
          <w:tcPr>
            <w:tcW w:w="661" w:type="dxa"/>
            <w:tcBorders>
              <w:top w:val="nil"/>
              <w:left w:val="nil"/>
              <w:bottom w:val="single" w:sz="4" w:space="0" w:color="auto"/>
              <w:right w:val="single" w:sz="4" w:space="0" w:color="auto"/>
            </w:tcBorders>
            <w:shd w:val="clear" w:color="000000" w:fill="92D050"/>
            <w:vAlign w:val="center"/>
            <w:hideMark/>
          </w:tcPr>
          <w:p w14:paraId="41CABFE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770</w:t>
            </w:r>
          </w:p>
        </w:tc>
        <w:tc>
          <w:tcPr>
            <w:tcW w:w="848" w:type="dxa"/>
            <w:tcBorders>
              <w:top w:val="nil"/>
              <w:left w:val="nil"/>
              <w:bottom w:val="single" w:sz="4" w:space="0" w:color="auto"/>
              <w:right w:val="single" w:sz="4" w:space="0" w:color="auto"/>
            </w:tcBorders>
            <w:shd w:val="clear" w:color="auto" w:fill="auto"/>
            <w:vAlign w:val="center"/>
            <w:hideMark/>
          </w:tcPr>
          <w:p w14:paraId="1A31184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eastAsia="ru-RU" w:bidi="ar-SA"/>
              </w:rPr>
            </w:pPr>
            <w:r w:rsidRPr="00A546AD">
              <w:rPr>
                <w:rFonts w:ascii="Times New Roman" w:eastAsia="Times New Roman" w:hAnsi="Times New Roman" w:cs="Times New Roman"/>
                <w:color w:val="000000"/>
                <w:sz w:val="16"/>
                <w:szCs w:val="16"/>
                <w:lang w:eastAsia="ru-RU" w:bidi="ar-SA"/>
              </w:rPr>
              <w:t>United States New York City</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2041216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85,2</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7DAC47D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91,6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54DA70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76,8</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F0D84C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4AC4400" w14:textId="5D8D8C4D"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FB98F3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85,8</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4CB7007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39917B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32F9C7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491C0D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80,1</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6A0DD5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91,2</w:t>
            </w:r>
          </w:p>
        </w:tc>
      </w:tr>
      <w:tr w:rsidR="004A0184" w:rsidRPr="00A546AD" w14:paraId="1304F498" w14:textId="77777777" w:rsidTr="00F5756A">
        <w:trPr>
          <w:trHeight w:val="345"/>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88851A8"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2</w:t>
            </w:r>
          </w:p>
        </w:tc>
        <w:tc>
          <w:tcPr>
            <w:tcW w:w="925" w:type="dxa"/>
            <w:tcBorders>
              <w:top w:val="nil"/>
              <w:left w:val="nil"/>
              <w:bottom w:val="single" w:sz="4" w:space="0" w:color="auto"/>
              <w:right w:val="single" w:sz="4" w:space="0" w:color="auto"/>
            </w:tcBorders>
            <w:shd w:val="clear" w:color="auto" w:fill="auto"/>
            <w:vAlign w:val="bottom"/>
            <w:hideMark/>
          </w:tcPr>
          <w:p w14:paraId="20B1890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Лондон</w:t>
            </w:r>
          </w:p>
        </w:tc>
        <w:tc>
          <w:tcPr>
            <w:tcW w:w="1048" w:type="dxa"/>
            <w:tcBorders>
              <w:top w:val="nil"/>
              <w:left w:val="nil"/>
              <w:bottom w:val="single" w:sz="4" w:space="0" w:color="auto"/>
              <w:right w:val="single" w:sz="4" w:space="0" w:color="auto"/>
            </w:tcBorders>
            <w:shd w:val="clear" w:color="auto" w:fill="auto"/>
            <w:vAlign w:val="bottom"/>
            <w:hideMark/>
          </w:tcPr>
          <w:p w14:paraId="55E19F4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Великобритания</w:t>
            </w:r>
          </w:p>
        </w:tc>
        <w:tc>
          <w:tcPr>
            <w:tcW w:w="661" w:type="dxa"/>
            <w:tcBorders>
              <w:top w:val="nil"/>
              <w:left w:val="nil"/>
              <w:bottom w:val="single" w:sz="4" w:space="0" w:color="auto"/>
              <w:right w:val="single" w:sz="4" w:space="0" w:color="auto"/>
            </w:tcBorders>
            <w:shd w:val="clear" w:color="000000" w:fill="92D050"/>
            <w:vAlign w:val="center"/>
            <w:hideMark/>
          </w:tcPr>
          <w:p w14:paraId="4BA8AF0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766</w:t>
            </w:r>
          </w:p>
        </w:tc>
        <w:tc>
          <w:tcPr>
            <w:tcW w:w="848" w:type="dxa"/>
            <w:tcBorders>
              <w:top w:val="nil"/>
              <w:left w:val="nil"/>
              <w:bottom w:val="single" w:sz="4" w:space="0" w:color="auto"/>
              <w:right w:val="single" w:sz="4" w:space="0" w:color="auto"/>
            </w:tcBorders>
            <w:shd w:val="clear" w:color="auto" w:fill="auto"/>
            <w:vAlign w:val="center"/>
            <w:hideMark/>
          </w:tcPr>
          <w:p w14:paraId="214E7A0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Kingdom</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A94897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F69777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C19BC2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2549B9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2E1746E" w14:textId="1A4C3E51"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E3C568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BCF9C0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6A2B55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3B13351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AE8FB4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6FC2AD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96,9</w:t>
            </w:r>
          </w:p>
        </w:tc>
      </w:tr>
      <w:tr w:rsidR="004A0184" w:rsidRPr="00A546AD" w14:paraId="1426194B" w14:textId="77777777" w:rsidTr="00F5756A">
        <w:trPr>
          <w:trHeight w:val="394"/>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0282750"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3</w:t>
            </w:r>
          </w:p>
        </w:tc>
        <w:tc>
          <w:tcPr>
            <w:tcW w:w="925" w:type="dxa"/>
            <w:tcBorders>
              <w:top w:val="nil"/>
              <w:left w:val="nil"/>
              <w:bottom w:val="single" w:sz="4" w:space="0" w:color="auto"/>
              <w:right w:val="single" w:sz="4" w:space="0" w:color="auto"/>
            </w:tcBorders>
            <w:shd w:val="clear" w:color="auto" w:fill="auto"/>
            <w:vAlign w:val="bottom"/>
            <w:hideMark/>
          </w:tcPr>
          <w:p w14:paraId="5F78F57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Шанхай</w:t>
            </w:r>
          </w:p>
        </w:tc>
        <w:tc>
          <w:tcPr>
            <w:tcW w:w="1048" w:type="dxa"/>
            <w:tcBorders>
              <w:top w:val="nil"/>
              <w:left w:val="nil"/>
              <w:bottom w:val="single" w:sz="4" w:space="0" w:color="auto"/>
              <w:right w:val="single" w:sz="4" w:space="0" w:color="auto"/>
            </w:tcBorders>
            <w:shd w:val="clear" w:color="auto" w:fill="auto"/>
            <w:vAlign w:val="bottom"/>
            <w:hideMark/>
          </w:tcPr>
          <w:p w14:paraId="3E6DA20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single" w:sz="4" w:space="0" w:color="auto"/>
              <w:right w:val="single" w:sz="4" w:space="0" w:color="auto"/>
            </w:tcBorders>
            <w:shd w:val="clear" w:color="000000" w:fill="92D050"/>
            <w:vAlign w:val="center"/>
            <w:hideMark/>
          </w:tcPr>
          <w:p w14:paraId="0EEEEC6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748</w:t>
            </w:r>
          </w:p>
        </w:tc>
        <w:tc>
          <w:tcPr>
            <w:tcW w:w="848" w:type="dxa"/>
            <w:tcBorders>
              <w:top w:val="nil"/>
              <w:left w:val="nil"/>
              <w:bottom w:val="single" w:sz="4" w:space="0" w:color="auto"/>
              <w:right w:val="single" w:sz="4" w:space="0" w:color="auto"/>
            </w:tcBorders>
            <w:shd w:val="clear" w:color="auto" w:fill="auto"/>
            <w:vAlign w:val="center"/>
            <w:hideMark/>
          </w:tcPr>
          <w:p w14:paraId="7EEFBB73"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 Shanghai</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D7AF97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1C12E0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91,8</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B0FE70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C1E2C7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5C9CAAEB" w14:textId="79FF62D1"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0155E38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707341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87,2</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4A666C7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81,6</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65AE35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77CFAA6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4CA68D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r w:rsidR="004A0184" w:rsidRPr="00A546AD" w14:paraId="5BA00FBF" w14:textId="77777777" w:rsidTr="00F5756A">
        <w:trPr>
          <w:trHeight w:val="271"/>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4A5037A"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4</w:t>
            </w:r>
          </w:p>
        </w:tc>
        <w:tc>
          <w:tcPr>
            <w:tcW w:w="925" w:type="dxa"/>
            <w:tcBorders>
              <w:top w:val="nil"/>
              <w:left w:val="nil"/>
              <w:bottom w:val="single" w:sz="4" w:space="0" w:color="auto"/>
              <w:right w:val="single" w:sz="4" w:space="0" w:color="auto"/>
            </w:tcBorders>
            <w:shd w:val="clear" w:color="auto" w:fill="auto"/>
            <w:vAlign w:val="bottom"/>
            <w:hideMark/>
          </w:tcPr>
          <w:p w14:paraId="19831FC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Токио</w:t>
            </w:r>
          </w:p>
        </w:tc>
        <w:tc>
          <w:tcPr>
            <w:tcW w:w="1048" w:type="dxa"/>
            <w:tcBorders>
              <w:top w:val="nil"/>
              <w:left w:val="nil"/>
              <w:bottom w:val="single" w:sz="4" w:space="0" w:color="auto"/>
              <w:right w:val="single" w:sz="4" w:space="0" w:color="auto"/>
            </w:tcBorders>
            <w:shd w:val="clear" w:color="auto" w:fill="auto"/>
            <w:vAlign w:val="bottom"/>
            <w:hideMark/>
          </w:tcPr>
          <w:p w14:paraId="5666376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Япония</w:t>
            </w:r>
          </w:p>
        </w:tc>
        <w:tc>
          <w:tcPr>
            <w:tcW w:w="661" w:type="dxa"/>
            <w:tcBorders>
              <w:top w:val="nil"/>
              <w:left w:val="nil"/>
              <w:bottom w:val="single" w:sz="4" w:space="0" w:color="auto"/>
              <w:right w:val="single" w:sz="4" w:space="0" w:color="auto"/>
            </w:tcBorders>
            <w:shd w:val="clear" w:color="000000" w:fill="92D050"/>
            <w:vAlign w:val="center"/>
            <w:hideMark/>
          </w:tcPr>
          <w:p w14:paraId="2A687A2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747</w:t>
            </w:r>
          </w:p>
        </w:tc>
        <w:tc>
          <w:tcPr>
            <w:tcW w:w="848" w:type="dxa"/>
            <w:tcBorders>
              <w:top w:val="nil"/>
              <w:left w:val="nil"/>
              <w:bottom w:val="single" w:sz="4" w:space="0" w:color="auto"/>
              <w:right w:val="single" w:sz="4" w:space="0" w:color="auto"/>
            </w:tcBorders>
            <w:shd w:val="clear" w:color="auto" w:fill="auto"/>
            <w:vAlign w:val="center"/>
            <w:hideMark/>
          </w:tcPr>
          <w:p w14:paraId="05222CA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Japan Tokyo</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D4562A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77,8</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9E778E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86,0</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01587D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50901B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594D089" w14:textId="557EF15F"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81,6</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910CA9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81,6</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43822B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898EB5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65,3</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D889A0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90,0</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C8903D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83,1</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F64085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90,7</w:t>
            </w:r>
          </w:p>
        </w:tc>
      </w:tr>
      <w:tr w:rsidR="004A0184" w:rsidRPr="00A546AD" w14:paraId="02D5A58F" w14:textId="77777777" w:rsidTr="00F5756A">
        <w:trPr>
          <w:trHeight w:val="45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6890A0D"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5</w:t>
            </w:r>
          </w:p>
        </w:tc>
        <w:tc>
          <w:tcPr>
            <w:tcW w:w="925" w:type="dxa"/>
            <w:tcBorders>
              <w:top w:val="nil"/>
              <w:left w:val="nil"/>
              <w:bottom w:val="single" w:sz="4" w:space="0" w:color="auto"/>
              <w:right w:val="single" w:sz="4" w:space="0" w:color="auto"/>
            </w:tcBorders>
            <w:shd w:val="clear" w:color="auto" w:fill="auto"/>
            <w:vAlign w:val="bottom"/>
            <w:hideMark/>
          </w:tcPr>
          <w:p w14:paraId="72534B4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Гонконг</w:t>
            </w:r>
          </w:p>
        </w:tc>
        <w:tc>
          <w:tcPr>
            <w:tcW w:w="1048" w:type="dxa"/>
            <w:tcBorders>
              <w:top w:val="nil"/>
              <w:left w:val="nil"/>
              <w:bottom w:val="single" w:sz="4" w:space="0" w:color="auto"/>
              <w:right w:val="single" w:sz="4" w:space="0" w:color="auto"/>
            </w:tcBorders>
            <w:shd w:val="clear" w:color="auto" w:fill="auto"/>
            <w:vAlign w:val="bottom"/>
            <w:hideMark/>
          </w:tcPr>
          <w:p w14:paraId="007B78E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Гонконг</w:t>
            </w:r>
          </w:p>
        </w:tc>
        <w:tc>
          <w:tcPr>
            <w:tcW w:w="661" w:type="dxa"/>
            <w:tcBorders>
              <w:top w:val="nil"/>
              <w:left w:val="nil"/>
              <w:bottom w:val="single" w:sz="4" w:space="0" w:color="auto"/>
              <w:right w:val="single" w:sz="4" w:space="0" w:color="auto"/>
            </w:tcBorders>
            <w:shd w:val="clear" w:color="000000" w:fill="92D050"/>
            <w:vAlign w:val="center"/>
            <w:hideMark/>
          </w:tcPr>
          <w:p w14:paraId="1BD9D98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743</w:t>
            </w:r>
          </w:p>
        </w:tc>
        <w:tc>
          <w:tcPr>
            <w:tcW w:w="848" w:type="dxa"/>
            <w:tcBorders>
              <w:top w:val="nil"/>
              <w:left w:val="nil"/>
              <w:bottom w:val="single" w:sz="4" w:space="0" w:color="auto"/>
              <w:right w:val="single" w:sz="4" w:space="0" w:color="auto"/>
            </w:tcBorders>
            <w:shd w:val="clear" w:color="auto" w:fill="auto"/>
            <w:vAlign w:val="center"/>
            <w:hideMark/>
          </w:tcPr>
          <w:p w14:paraId="0F7A34C9"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Hong Kong SAR, China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08B83B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85,3</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349A11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98,2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AB6728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454BC1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41BF6537" w14:textId="01FEB6B0"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669AB9A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8D24C1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16BDB5D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06F5EEB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65,7</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3D4CF9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62D4C5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99,3</w:t>
            </w:r>
          </w:p>
        </w:tc>
      </w:tr>
      <w:tr w:rsidR="004A0184" w:rsidRPr="00A546AD" w14:paraId="2B73FFF2" w14:textId="77777777" w:rsidTr="00F5756A">
        <w:trPr>
          <w:trHeight w:val="287"/>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93D022A"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6</w:t>
            </w:r>
          </w:p>
        </w:tc>
        <w:tc>
          <w:tcPr>
            <w:tcW w:w="925" w:type="dxa"/>
            <w:tcBorders>
              <w:top w:val="nil"/>
              <w:left w:val="nil"/>
              <w:bottom w:val="single" w:sz="4" w:space="0" w:color="auto"/>
              <w:right w:val="single" w:sz="4" w:space="0" w:color="auto"/>
            </w:tcBorders>
            <w:shd w:val="clear" w:color="auto" w:fill="auto"/>
            <w:vAlign w:val="bottom"/>
            <w:hideMark/>
          </w:tcPr>
          <w:p w14:paraId="1488ED5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Сингапур</w:t>
            </w:r>
          </w:p>
        </w:tc>
        <w:tc>
          <w:tcPr>
            <w:tcW w:w="1048" w:type="dxa"/>
            <w:tcBorders>
              <w:top w:val="nil"/>
              <w:left w:val="nil"/>
              <w:bottom w:val="single" w:sz="4" w:space="0" w:color="auto"/>
              <w:right w:val="single" w:sz="4" w:space="0" w:color="auto"/>
            </w:tcBorders>
            <w:shd w:val="clear" w:color="auto" w:fill="auto"/>
            <w:vAlign w:val="bottom"/>
            <w:hideMark/>
          </w:tcPr>
          <w:p w14:paraId="6405D22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Сингапур</w:t>
            </w:r>
          </w:p>
        </w:tc>
        <w:tc>
          <w:tcPr>
            <w:tcW w:w="661" w:type="dxa"/>
            <w:tcBorders>
              <w:top w:val="nil"/>
              <w:left w:val="nil"/>
              <w:bottom w:val="single" w:sz="4" w:space="0" w:color="auto"/>
              <w:right w:val="single" w:sz="4" w:space="0" w:color="auto"/>
            </w:tcBorders>
            <w:shd w:val="clear" w:color="000000" w:fill="92D050"/>
            <w:vAlign w:val="center"/>
            <w:hideMark/>
          </w:tcPr>
          <w:p w14:paraId="4E5D3C0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742</w:t>
            </w:r>
          </w:p>
        </w:tc>
        <w:tc>
          <w:tcPr>
            <w:tcW w:w="848" w:type="dxa"/>
            <w:tcBorders>
              <w:top w:val="nil"/>
              <w:left w:val="nil"/>
              <w:bottom w:val="single" w:sz="4" w:space="0" w:color="auto"/>
              <w:right w:val="single" w:sz="4" w:space="0" w:color="auto"/>
            </w:tcBorders>
            <w:shd w:val="clear" w:color="auto" w:fill="auto"/>
            <w:vAlign w:val="center"/>
            <w:hideMark/>
          </w:tcPr>
          <w:p w14:paraId="69D4A20C"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Singapore</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EAEC9A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86,2</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27AFB4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98,2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307F84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3CC182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47C67225" w14:textId="23B32401"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91,6</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315CC3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91,6</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647F42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89,6</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616D7EE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84,5</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0A9AFB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8C6025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87,9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F55037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91,8</w:t>
            </w:r>
          </w:p>
        </w:tc>
      </w:tr>
      <w:tr w:rsidR="004A0184" w:rsidRPr="00A546AD" w14:paraId="01D4F645" w14:textId="77777777" w:rsidTr="00F5756A">
        <w:trPr>
          <w:trHeight w:val="675"/>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C2EB478"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7</w:t>
            </w:r>
          </w:p>
        </w:tc>
        <w:tc>
          <w:tcPr>
            <w:tcW w:w="925" w:type="dxa"/>
            <w:tcBorders>
              <w:top w:val="nil"/>
              <w:left w:val="nil"/>
              <w:bottom w:val="single" w:sz="4" w:space="0" w:color="auto"/>
              <w:right w:val="single" w:sz="4" w:space="0" w:color="auto"/>
            </w:tcBorders>
            <w:shd w:val="clear" w:color="auto" w:fill="auto"/>
            <w:vAlign w:val="bottom"/>
            <w:hideMark/>
          </w:tcPr>
          <w:p w14:paraId="46CE12F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Пекин</w:t>
            </w:r>
          </w:p>
        </w:tc>
        <w:tc>
          <w:tcPr>
            <w:tcW w:w="1048" w:type="dxa"/>
            <w:tcBorders>
              <w:top w:val="nil"/>
              <w:left w:val="nil"/>
              <w:bottom w:val="single" w:sz="4" w:space="0" w:color="auto"/>
              <w:right w:val="single" w:sz="4" w:space="0" w:color="auto"/>
            </w:tcBorders>
            <w:shd w:val="clear" w:color="auto" w:fill="auto"/>
            <w:vAlign w:val="bottom"/>
            <w:hideMark/>
          </w:tcPr>
          <w:p w14:paraId="6ABB8B5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single" w:sz="4" w:space="0" w:color="auto"/>
              <w:right w:val="single" w:sz="4" w:space="0" w:color="auto"/>
            </w:tcBorders>
            <w:shd w:val="clear" w:color="000000" w:fill="92D050"/>
            <w:vAlign w:val="center"/>
            <w:hideMark/>
          </w:tcPr>
          <w:p w14:paraId="37DD661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741</w:t>
            </w:r>
          </w:p>
        </w:tc>
        <w:tc>
          <w:tcPr>
            <w:tcW w:w="848" w:type="dxa"/>
            <w:tcBorders>
              <w:top w:val="nil"/>
              <w:left w:val="nil"/>
              <w:bottom w:val="single" w:sz="4" w:space="0" w:color="auto"/>
              <w:right w:val="single" w:sz="4" w:space="0" w:color="auto"/>
            </w:tcBorders>
            <w:shd w:val="clear" w:color="auto" w:fill="auto"/>
            <w:vAlign w:val="center"/>
            <w:hideMark/>
          </w:tcPr>
          <w:p w14:paraId="43A35AC0"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 Beijing</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7FFA91C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AB6C4E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0AD7EE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AEA56B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B0D4216" w14:textId="2A78F855"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6AD01D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62D33C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85,7</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F2857D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80,0</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9BEF1A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D497AF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77,8</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7004E9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r w:rsidR="004A0184" w:rsidRPr="00A546AD" w14:paraId="03E2948E" w14:textId="77777777" w:rsidTr="00F5756A">
        <w:trPr>
          <w:trHeight w:val="49"/>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1F853A3"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8</w:t>
            </w:r>
          </w:p>
        </w:tc>
        <w:tc>
          <w:tcPr>
            <w:tcW w:w="925" w:type="dxa"/>
            <w:tcBorders>
              <w:top w:val="nil"/>
              <w:left w:val="nil"/>
              <w:bottom w:val="single" w:sz="4" w:space="0" w:color="auto"/>
              <w:right w:val="single" w:sz="4" w:space="0" w:color="auto"/>
            </w:tcBorders>
            <w:shd w:val="clear" w:color="auto" w:fill="auto"/>
            <w:vAlign w:val="bottom"/>
            <w:hideMark/>
          </w:tcPr>
          <w:p w14:paraId="0EAD724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Сан-Франциско</w:t>
            </w:r>
          </w:p>
        </w:tc>
        <w:tc>
          <w:tcPr>
            <w:tcW w:w="1048" w:type="dxa"/>
            <w:tcBorders>
              <w:top w:val="nil"/>
              <w:left w:val="nil"/>
              <w:bottom w:val="single" w:sz="4" w:space="0" w:color="auto"/>
              <w:right w:val="single" w:sz="4" w:space="0" w:color="auto"/>
            </w:tcBorders>
            <w:shd w:val="clear" w:color="auto" w:fill="auto"/>
            <w:vAlign w:val="bottom"/>
            <w:hideMark/>
          </w:tcPr>
          <w:p w14:paraId="2F04F08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США</w:t>
            </w:r>
          </w:p>
        </w:tc>
        <w:tc>
          <w:tcPr>
            <w:tcW w:w="661" w:type="dxa"/>
            <w:tcBorders>
              <w:top w:val="nil"/>
              <w:left w:val="nil"/>
              <w:bottom w:val="single" w:sz="4" w:space="0" w:color="auto"/>
              <w:right w:val="single" w:sz="4" w:space="0" w:color="auto"/>
            </w:tcBorders>
            <w:shd w:val="clear" w:color="000000" w:fill="92D050"/>
            <w:vAlign w:val="center"/>
            <w:hideMark/>
          </w:tcPr>
          <w:p w14:paraId="6B8BEE0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738</w:t>
            </w:r>
          </w:p>
        </w:tc>
        <w:tc>
          <w:tcPr>
            <w:tcW w:w="848" w:type="dxa"/>
            <w:tcBorders>
              <w:top w:val="nil"/>
              <w:left w:val="nil"/>
              <w:bottom w:val="single" w:sz="4" w:space="0" w:color="auto"/>
              <w:right w:val="single" w:sz="4" w:space="0" w:color="auto"/>
            </w:tcBorders>
            <w:shd w:val="clear" w:color="auto" w:fill="auto"/>
            <w:vAlign w:val="center"/>
            <w:hideMark/>
          </w:tcPr>
          <w:p w14:paraId="7237D9A9"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States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7584E8F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6E9B64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91,6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F0383E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76,9</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4E8569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04F9E1F" w14:textId="7DDBA7AC"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9720A5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86,8</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70387D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D7F33F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73,4</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3F8B9E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7FFED5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0400A9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r>
      <w:tr w:rsidR="004A0184" w:rsidRPr="00A546AD" w14:paraId="5547DC1B" w14:textId="77777777" w:rsidTr="00F5756A">
        <w:trPr>
          <w:trHeight w:val="27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669B553"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9</w:t>
            </w:r>
          </w:p>
        </w:tc>
        <w:tc>
          <w:tcPr>
            <w:tcW w:w="925" w:type="dxa"/>
            <w:tcBorders>
              <w:top w:val="nil"/>
              <w:left w:val="nil"/>
              <w:bottom w:val="single" w:sz="4" w:space="0" w:color="auto"/>
              <w:right w:val="single" w:sz="4" w:space="0" w:color="auto"/>
            </w:tcBorders>
            <w:shd w:val="clear" w:color="auto" w:fill="auto"/>
            <w:vAlign w:val="bottom"/>
            <w:hideMark/>
          </w:tcPr>
          <w:p w14:paraId="405DEB4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Шэньчжэнь</w:t>
            </w:r>
          </w:p>
        </w:tc>
        <w:tc>
          <w:tcPr>
            <w:tcW w:w="1048" w:type="dxa"/>
            <w:tcBorders>
              <w:top w:val="nil"/>
              <w:left w:val="nil"/>
              <w:bottom w:val="single" w:sz="4" w:space="0" w:color="auto"/>
              <w:right w:val="single" w:sz="4" w:space="0" w:color="auto"/>
            </w:tcBorders>
            <w:shd w:val="clear" w:color="auto" w:fill="auto"/>
            <w:vAlign w:val="bottom"/>
            <w:hideMark/>
          </w:tcPr>
          <w:p w14:paraId="6E189AA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single" w:sz="4" w:space="0" w:color="auto"/>
              <w:right w:val="single" w:sz="4" w:space="0" w:color="auto"/>
            </w:tcBorders>
            <w:shd w:val="clear" w:color="000000" w:fill="92D050"/>
            <w:vAlign w:val="center"/>
            <w:hideMark/>
          </w:tcPr>
          <w:p w14:paraId="40F1BC8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732</w:t>
            </w:r>
          </w:p>
        </w:tc>
        <w:tc>
          <w:tcPr>
            <w:tcW w:w="848" w:type="dxa"/>
            <w:tcBorders>
              <w:top w:val="nil"/>
              <w:left w:val="nil"/>
              <w:bottom w:val="single" w:sz="4" w:space="0" w:color="auto"/>
              <w:right w:val="single" w:sz="4" w:space="0" w:color="auto"/>
            </w:tcBorders>
            <w:shd w:val="clear" w:color="auto" w:fill="auto"/>
            <w:vAlign w:val="center"/>
            <w:hideMark/>
          </w:tcPr>
          <w:p w14:paraId="14DB5CF2"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6B6F08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3359A1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A666A8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610CF8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DF525E8" w14:textId="6EBC66AB"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70BC2F4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E6E127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FC6C26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71C062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924531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19391A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r w:rsidR="004A0184" w:rsidRPr="00A546AD" w14:paraId="7C743FAC" w14:textId="77777777" w:rsidTr="00F5756A">
        <w:trPr>
          <w:trHeight w:val="326"/>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0D3DE3C"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lastRenderedPageBreak/>
              <w:t>10</w:t>
            </w:r>
          </w:p>
        </w:tc>
        <w:tc>
          <w:tcPr>
            <w:tcW w:w="925" w:type="dxa"/>
            <w:tcBorders>
              <w:top w:val="nil"/>
              <w:left w:val="nil"/>
              <w:bottom w:val="single" w:sz="4" w:space="0" w:color="auto"/>
              <w:right w:val="single" w:sz="4" w:space="0" w:color="auto"/>
            </w:tcBorders>
            <w:shd w:val="clear" w:color="auto" w:fill="auto"/>
            <w:vAlign w:val="bottom"/>
            <w:hideMark/>
          </w:tcPr>
          <w:p w14:paraId="1B01894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Цюрих</w:t>
            </w:r>
          </w:p>
        </w:tc>
        <w:tc>
          <w:tcPr>
            <w:tcW w:w="1048" w:type="dxa"/>
            <w:tcBorders>
              <w:top w:val="nil"/>
              <w:left w:val="nil"/>
              <w:bottom w:val="single" w:sz="4" w:space="0" w:color="auto"/>
              <w:right w:val="single" w:sz="4" w:space="0" w:color="auto"/>
            </w:tcBorders>
            <w:shd w:val="clear" w:color="auto" w:fill="auto"/>
            <w:vAlign w:val="bottom"/>
            <w:hideMark/>
          </w:tcPr>
          <w:p w14:paraId="24FB33D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Швейцария</w:t>
            </w:r>
          </w:p>
        </w:tc>
        <w:tc>
          <w:tcPr>
            <w:tcW w:w="661" w:type="dxa"/>
            <w:tcBorders>
              <w:top w:val="nil"/>
              <w:left w:val="nil"/>
              <w:bottom w:val="single" w:sz="4" w:space="0" w:color="auto"/>
              <w:right w:val="single" w:sz="4" w:space="0" w:color="auto"/>
            </w:tcBorders>
            <w:shd w:val="clear" w:color="000000" w:fill="92D050"/>
            <w:vAlign w:val="center"/>
            <w:hideMark/>
          </w:tcPr>
          <w:p w14:paraId="5400A5E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724</w:t>
            </w:r>
          </w:p>
        </w:tc>
        <w:tc>
          <w:tcPr>
            <w:tcW w:w="848" w:type="dxa"/>
            <w:tcBorders>
              <w:top w:val="nil"/>
              <w:left w:val="nil"/>
              <w:bottom w:val="single" w:sz="4" w:space="0" w:color="auto"/>
              <w:right w:val="single" w:sz="4" w:space="0" w:color="auto"/>
            </w:tcBorders>
            <w:shd w:val="clear" w:color="auto" w:fill="auto"/>
            <w:vAlign w:val="center"/>
            <w:hideMark/>
          </w:tcPr>
          <w:p w14:paraId="37E9973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Switzerland</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3B57B6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44C151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88,4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5D27BD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6E6729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1C742F4" w14:textId="4CBBB19F"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4606FA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2A7E11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96,1</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D72E22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2B5AF85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62,6</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BF6EDD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71,8</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B0F13B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94,4</w:t>
            </w:r>
          </w:p>
        </w:tc>
      </w:tr>
      <w:tr w:rsidR="004A0184" w:rsidRPr="00A546AD" w14:paraId="1EB7B537" w14:textId="77777777" w:rsidTr="00F5756A">
        <w:trPr>
          <w:trHeight w:val="233"/>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2BBB4C7"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11</w:t>
            </w:r>
          </w:p>
        </w:tc>
        <w:tc>
          <w:tcPr>
            <w:tcW w:w="925" w:type="dxa"/>
            <w:tcBorders>
              <w:top w:val="nil"/>
              <w:left w:val="nil"/>
              <w:bottom w:val="single" w:sz="4" w:space="0" w:color="auto"/>
              <w:right w:val="single" w:sz="4" w:space="0" w:color="auto"/>
            </w:tcBorders>
            <w:shd w:val="clear" w:color="auto" w:fill="auto"/>
            <w:vAlign w:val="bottom"/>
            <w:hideMark/>
          </w:tcPr>
          <w:p w14:paraId="4613038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Лос-Анжелес</w:t>
            </w:r>
          </w:p>
        </w:tc>
        <w:tc>
          <w:tcPr>
            <w:tcW w:w="1048" w:type="dxa"/>
            <w:tcBorders>
              <w:top w:val="nil"/>
              <w:left w:val="nil"/>
              <w:bottom w:val="single" w:sz="4" w:space="0" w:color="auto"/>
              <w:right w:val="single" w:sz="4" w:space="0" w:color="auto"/>
            </w:tcBorders>
            <w:shd w:val="clear" w:color="auto" w:fill="auto"/>
            <w:vAlign w:val="bottom"/>
            <w:hideMark/>
          </w:tcPr>
          <w:p w14:paraId="627BCFC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США</w:t>
            </w:r>
          </w:p>
        </w:tc>
        <w:tc>
          <w:tcPr>
            <w:tcW w:w="661" w:type="dxa"/>
            <w:tcBorders>
              <w:top w:val="nil"/>
              <w:left w:val="nil"/>
              <w:bottom w:val="single" w:sz="4" w:space="0" w:color="auto"/>
              <w:right w:val="single" w:sz="4" w:space="0" w:color="auto"/>
            </w:tcBorders>
            <w:shd w:val="clear" w:color="000000" w:fill="92D050"/>
            <w:vAlign w:val="center"/>
            <w:hideMark/>
          </w:tcPr>
          <w:p w14:paraId="42DDD3F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720</w:t>
            </w:r>
          </w:p>
        </w:tc>
        <w:tc>
          <w:tcPr>
            <w:tcW w:w="848" w:type="dxa"/>
            <w:tcBorders>
              <w:top w:val="nil"/>
              <w:left w:val="nil"/>
              <w:bottom w:val="single" w:sz="4" w:space="0" w:color="auto"/>
              <w:right w:val="single" w:sz="4" w:space="0" w:color="auto"/>
            </w:tcBorders>
            <w:shd w:val="clear" w:color="auto" w:fill="auto"/>
            <w:vAlign w:val="center"/>
            <w:hideMark/>
          </w:tcPr>
          <w:p w14:paraId="53187A33"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States Los Angeles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52DAF43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82,2</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4D721C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91,6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C3742D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F0C9F8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1251D5D1" w14:textId="5799F235"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88,3</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6884747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88,3</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C75B6C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AF1C23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65,0</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7B399B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01D832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73D88D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68,5</w:t>
            </w:r>
          </w:p>
        </w:tc>
      </w:tr>
      <w:tr w:rsidR="004A0184" w:rsidRPr="00A546AD" w14:paraId="76A177C4" w14:textId="77777777" w:rsidTr="00F5756A">
        <w:trPr>
          <w:trHeight w:val="59"/>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8AFC44B"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12</w:t>
            </w:r>
          </w:p>
        </w:tc>
        <w:tc>
          <w:tcPr>
            <w:tcW w:w="925" w:type="dxa"/>
            <w:tcBorders>
              <w:top w:val="nil"/>
              <w:left w:val="nil"/>
              <w:bottom w:val="single" w:sz="4" w:space="0" w:color="auto"/>
              <w:right w:val="single" w:sz="4" w:space="0" w:color="auto"/>
            </w:tcBorders>
            <w:shd w:val="clear" w:color="auto" w:fill="auto"/>
            <w:vAlign w:val="bottom"/>
            <w:hideMark/>
          </w:tcPr>
          <w:p w14:paraId="5A0A256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Люксембург</w:t>
            </w:r>
          </w:p>
        </w:tc>
        <w:tc>
          <w:tcPr>
            <w:tcW w:w="1048" w:type="dxa"/>
            <w:tcBorders>
              <w:top w:val="nil"/>
              <w:left w:val="nil"/>
              <w:bottom w:val="single" w:sz="4" w:space="0" w:color="auto"/>
              <w:right w:val="single" w:sz="4" w:space="0" w:color="auto"/>
            </w:tcBorders>
            <w:shd w:val="clear" w:color="auto" w:fill="auto"/>
            <w:vAlign w:val="bottom"/>
            <w:hideMark/>
          </w:tcPr>
          <w:p w14:paraId="52497DB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Люксембург</w:t>
            </w:r>
          </w:p>
        </w:tc>
        <w:tc>
          <w:tcPr>
            <w:tcW w:w="661" w:type="dxa"/>
            <w:tcBorders>
              <w:top w:val="nil"/>
              <w:left w:val="nil"/>
              <w:bottom w:val="single" w:sz="4" w:space="0" w:color="auto"/>
              <w:right w:val="single" w:sz="4" w:space="0" w:color="auto"/>
            </w:tcBorders>
            <w:shd w:val="clear" w:color="000000" w:fill="92D050"/>
            <w:vAlign w:val="center"/>
            <w:hideMark/>
          </w:tcPr>
          <w:p w14:paraId="6868B02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719</w:t>
            </w:r>
          </w:p>
        </w:tc>
        <w:tc>
          <w:tcPr>
            <w:tcW w:w="848" w:type="dxa"/>
            <w:tcBorders>
              <w:top w:val="nil"/>
              <w:left w:val="nil"/>
              <w:bottom w:val="single" w:sz="4" w:space="0" w:color="auto"/>
              <w:right w:val="single" w:sz="4" w:space="0" w:color="auto"/>
            </w:tcBorders>
            <w:shd w:val="clear" w:color="auto" w:fill="auto"/>
            <w:vAlign w:val="center"/>
            <w:hideMark/>
          </w:tcPr>
          <w:p w14:paraId="133A4D0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Luxembourg</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260E2A6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69,6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87EAFB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88,8</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7F275BE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63,9</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3FD08F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D4D4B49" w14:textId="47EDC61A"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87,4</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594E16C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87,4</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3CC68F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3E2DC8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73,3</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1335EB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0AC48DF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185D74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84,3</w:t>
            </w:r>
          </w:p>
        </w:tc>
      </w:tr>
      <w:tr w:rsidR="004A0184" w:rsidRPr="00A546AD" w14:paraId="558F8975"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B7C8F64"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13</w:t>
            </w:r>
          </w:p>
        </w:tc>
        <w:tc>
          <w:tcPr>
            <w:tcW w:w="925" w:type="dxa"/>
            <w:tcBorders>
              <w:top w:val="nil"/>
              <w:left w:val="nil"/>
              <w:bottom w:val="single" w:sz="4" w:space="0" w:color="auto"/>
              <w:right w:val="single" w:sz="4" w:space="0" w:color="auto"/>
            </w:tcBorders>
            <w:shd w:val="clear" w:color="auto" w:fill="auto"/>
            <w:vAlign w:val="bottom"/>
            <w:hideMark/>
          </w:tcPr>
          <w:p w14:paraId="6495CC7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Эдинбург</w:t>
            </w:r>
          </w:p>
        </w:tc>
        <w:tc>
          <w:tcPr>
            <w:tcW w:w="1048" w:type="dxa"/>
            <w:tcBorders>
              <w:top w:val="nil"/>
              <w:left w:val="nil"/>
              <w:bottom w:val="single" w:sz="4" w:space="0" w:color="auto"/>
              <w:right w:val="single" w:sz="4" w:space="0" w:color="auto"/>
            </w:tcBorders>
            <w:shd w:val="clear" w:color="auto" w:fill="auto"/>
            <w:vAlign w:val="bottom"/>
            <w:hideMark/>
          </w:tcPr>
          <w:p w14:paraId="61D1C29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Великобритания</w:t>
            </w:r>
          </w:p>
        </w:tc>
        <w:tc>
          <w:tcPr>
            <w:tcW w:w="661" w:type="dxa"/>
            <w:tcBorders>
              <w:top w:val="nil"/>
              <w:left w:val="nil"/>
              <w:bottom w:val="single" w:sz="4" w:space="0" w:color="auto"/>
              <w:right w:val="single" w:sz="4" w:space="0" w:color="auto"/>
            </w:tcBorders>
            <w:shd w:val="clear" w:color="000000" w:fill="92D050"/>
            <w:vAlign w:val="center"/>
            <w:hideMark/>
          </w:tcPr>
          <w:p w14:paraId="472371D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718</w:t>
            </w:r>
          </w:p>
        </w:tc>
        <w:tc>
          <w:tcPr>
            <w:tcW w:w="848" w:type="dxa"/>
            <w:tcBorders>
              <w:top w:val="nil"/>
              <w:left w:val="nil"/>
              <w:bottom w:val="single" w:sz="4" w:space="0" w:color="auto"/>
              <w:right w:val="single" w:sz="4" w:space="0" w:color="auto"/>
            </w:tcBorders>
            <w:shd w:val="clear" w:color="auto" w:fill="auto"/>
            <w:vAlign w:val="center"/>
            <w:hideMark/>
          </w:tcPr>
          <w:p w14:paraId="35D28A5D"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Kingdom</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39045B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0CEA43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27FAB8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6E50F9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C933B96" w14:textId="07D5AE0A"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761EAB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4277619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8E81DF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BD2A8C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BA2CE7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FD766C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96,9</w:t>
            </w:r>
          </w:p>
        </w:tc>
      </w:tr>
      <w:tr w:rsidR="004A0184" w:rsidRPr="00A546AD" w14:paraId="5FC561E0"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E99362D"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14</w:t>
            </w:r>
          </w:p>
        </w:tc>
        <w:tc>
          <w:tcPr>
            <w:tcW w:w="925" w:type="dxa"/>
            <w:tcBorders>
              <w:top w:val="nil"/>
              <w:left w:val="nil"/>
              <w:bottom w:val="single" w:sz="4" w:space="0" w:color="auto"/>
              <w:right w:val="single" w:sz="4" w:space="0" w:color="auto"/>
            </w:tcBorders>
            <w:shd w:val="clear" w:color="auto" w:fill="auto"/>
            <w:vAlign w:val="bottom"/>
            <w:hideMark/>
          </w:tcPr>
          <w:p w14:paraId="56C0530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Женева</w:t>
            </w:r>
          </w:p>
        </w:tc>
        <w:tc>
          <w:tcPr>
            <w:tcW w:w="1048" w:type="dxa"/>
            <w:tcBorders>
              <w:top w:val="nil"/>
              <w:left w:val="nil"/>
              <w:bottom w:val="single" w:sz="4" w:space="0" w:color="auto"/>
              <w:right w:val="single" w:sz="4" w:space="0" w:color="auto"/>
            </w:tcBorders>
            <w:shd w:val="clear" w:color="auto" w:fill="auto"/>
            <w:vAlign w:val="bottom"/>
            <w:hideMark/>
          </w:tcPr>
          <w:p w14:paraId="2B3E4F52"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Швейцария</w:t>
            </w:r>
          </w:p>
        </w:tc>
        <w:tc>
          <w:tcPr>
            <w:tcW w:w="661" w:type="dxa"/>
            <w:tcBorders>
              <w:top w:val="nil"/>
              <w:left w:val="nil"/>
              <w:bottom w:val="single" w:sz="4" w:space="0" w:color="auto"/>
              <w:right w:val="single" w:sz="4" w:space="0" w:color="auto"/>
            </w:tcBorders>
            <w:shd w:val="clear" w:color="000000" w:fill="92D050"/>
            <w:vAlign w:val="center"/>
            <w:hideMark/>
          </w:tcPr>
          <w:p w14:paraId="1075C87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717</w:t>
            </w:r>
          </w:p>
        </w:tc>
        <w:tc>
          <w:tcPr>
            <w:tcW w:w="848" w:type="dxa"/>
            <w:tcBorders>
              <w:top w:val="nil"/>
              <w:left w:val="nil"/>
              <w:bottom w:val="single" w:sz="4" w:space="0" w:color="auto"/>
              <w:right w:val="single" w:sz="4" w:space="0" w:color="auto"/>
            </w:tcBorders>
            <w:shd w:val="clear" w:color="auto" w:fill="auto"/>
            <w:vAlign w:val="center"/>
            <w:hideMark/>
          </w:tcPr>
          <w:p w14:paraId="1198689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Switzerland</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B83FE6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51C44E6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88,4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73007EB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50AF0C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FC3CD26" w14:textId="2B8259E6"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55A1EFF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407FA34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96,1</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BA8D99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7B0C2D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62,6</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73304A8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71,8</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EA94B9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94,4</w:t>
            </w:r>
          </w:p>
        </w:tc>
      </w:tr>
      <w:tr w:rsidR="004A0184" w:rsidRPr="00A546AD" w14:paraId="2FCB0E49"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248CAE8"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15</w:t>
            </w:r>
          </w:p>
        </w:tc>
        <w:tc>
          <w:tcPr>
            <w:tcW w:w="925" w:type="dxa"/>
            <w:tcBorders>
              <w:top w:val="nil"/>
              <w:left w:val="nil"/>
              <w:bottom w:val="single" w:sz="4" w:space="0" w:color="auto"/>
              <w:right w:val="single" w:sz="4" w:space="0" w:color="auto"/>
            </w:tcBorders>
            <w:shd w:val="clear" w:color="auto" w:fill="auto"/>
            <w:vAlign w:val="bottom"/>
            <w:hideMark/>
          </w:tcPr>
          <w:p w14:paraId="2D9CFBC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Бостон</w:t>
            </w:r>
          </w:p>
        </w:tc>
        <w:tc>
          <w:tcPr>
            <w:tcW w:w="1048" w:type="dxa"/>
            <w:tcBorders>
              <w:top w:val="nil"/>
              <w:left w:val="nil"/>
              <w:bottom w:val="single" w:sz="4" w:space="0" w:color="auto"/>
              <w:right w:val="single" w:sz="4" w:space="0" w:color="auto"/>
            </w:tcBorders>
            <w:shd w:val="clear" w:color="auto" w:fill="auto"/>
            <w:vAlign w:val="bottom"/>
            <w:hideMark/>
          </w:tcPr>
          <w:p w14:paraId="7A73BE6E"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США</w:t>
            </w:r>
          </w:p>
        </w:tc>
        <w:tc>
          <w:tcPr>
            <w:tcW w:w="661" w:type="dxa"/>
            <w:tcBorders>
              <w:top w:val="nil"/>
              <w:left w:val="nil"/>
              <w:bottom w:val="single" w:sz="4" w:space="0" w:color="auto"/>
              <w:right w:val="single" w:sz="4" w:space="0" w:color="auto"/>
            </w:tcBorders>
            <w:shd w:val="clear" w:color="000000" w:fill="92D050"/>
            <w:vAlign w:val="center"/>
            <w:hideMark/>
          </w:tcPr>
          <w:p w14:paraId="455D8A8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716</w:t>
            </w:r>
          </w:p>
        </w:tc>
        <w:tc>
          <w:tcPr>
            <w:tcW w:w="848" w:type="dxa"/>
            <w:tcBorders>
              <w:top w:val="nil"/>
              <w:left w:val="nil"/>
              <w:bottom w:val="single" w:sz="4" w:space="0" w:color="auto"/>
              <w:right w:val="single" w:sz="4" w:space="0" w:color="auto"/>
            </w:tcBorders>
            <w:shd w:val="clear" w:color="auto" w:fill="auto"/>
            <w:vAlign w:val="center"/>
            <w:hideMark/>
          </w:tcPr>
          <w:p w14:paraId="30994885"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States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5EF9170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4F5028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91,6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66E6AC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76,9</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503328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6B73866" w14:textId="42BFA319"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DFB471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86,8</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BE42E3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BCE493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73,4</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23DC0E1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C16326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A99227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r>
      <w:tr w:rsidR="004A0184" w:rsidRPr="00A546AD" w14:paraId="57A71588" w14:textId="77777777" w:rsidTr="00F5756A">
        <w:trPr>
          <w:trHeight w:val="236"/>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BEFDA11"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16</w:t>
            </w:r>
          </w:p>
        </w:tc>
        <w:tc>
          <w:tcPr>
            <w:tcW w:w="925" w:type="dxa"/>
            <w:tcBorders>
              <w:top w:val="nil"/>
              <w:left w:val="nil"/>
              <w:bottom w:val="single" w:sz="4" w:space="0" w:color="auto"/>
              <w:right w:val="single" w:sz="4" w:space="0" w:color="auto"/>
            </w:tcBorders>
            <w:shd w:val="clear" w:color="auto" w:fill="auto"/>
            <w:vAlign w:val="bottom"/>
            <w:hideMark/>
          </w:tcPr>
          <w:p w14:paraId="5B8D85F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Франфурт-на-Майне</w:t>
            </w:r>
          </w:p>
        </w:tc>
        <w:tc>
          <w:tcPr>
            <w:tcW w:w="1048" w:type="dxa"/>
            <w:tcBorders>
              <w:top w:val="nil"/>
              <w:left w:val="nil"/>
              <w:bottom w:val="single" w:sz="4" w:space="0" w:color="auto"/>
              <w:right w:val="single" w:sz="4" w:space="0" w:color="auto"/>
            </w:tcBorders>
            <w:shd w:val="clear" w:color="auto" w:fill="auto"/>
            <w:vAlign w:val="bottom"/>
            <w:hideMark/>
          </w:tcPr>
          <w:p w14:paraId="5F58E24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Германия</w:t>
            </w:r>
          </w:p>
        </w:tc>
        <w:tc>
          <w:tcPr>
            <w:tcW w:w="661" w:type="dxa"/>
            <w:tcBorders>
              <w:top w:val="nil"/>
              <w:left w:val="nil"/>
              <w:bottom w:val="single" w:sz="4" w:space="0" w:color="auto"/>
              <w:right w:val="single" w:sz="4" w:space="0" w:color="auto"/>
            </w:tcBorders>
            <w:shd w:val="clear" w:color="000000" w:fill="92D050"/>
            <w:vAlign w:val="center"/>
            <w:hideMark/>
          </w:tcPr>
          <w:p w14:paraId="6FEE2C5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715</w:t>
            </w:r>
          </w:p>
        </w:tc>
        <w:tc>
          <w:tcPr>
            <w:tcW w:w="848" w:type="dxa"/>
            <w:tcBorders>
              <w:top w:val="nil"/>
              <w:left w:val="nil"/>
              <w:bottom w:val="single" w:sz="4" w:space="0" w:color="auto"/>
              <w:right w:val="single" w:sz="4" w:space="0" w:color="auto"/>
            </w:tcBorders>
            <w:shd w:val="clear" w:color="auto" w:fill="auto"/>
            <w:vAlign w:val="center"/>
            <w:hideMark/>
          </w:tcPr>
          <w:p w14:paraId="1F28D2D0"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Germany</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498A842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79,7</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1FBA57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83,7</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E07273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37814D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0C3535D" w14:textId="4CE0C80E"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06214E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DC83D4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5E3AD7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2A81FAC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89,8</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77DA01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9748F3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98,8</w:t>
            </w:r>
          </w:p>
        </w:tc>
      </w:tr>
      <w:tr w:rsidR="004A0184" w:rsidRPr="00A546AD" w14:paraId="6DAA6621"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FF1F978"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17</w:t>
            </w:r>
          </w:p>
        </w:tc>
        <w:tc>
          <w:tcPr>
            <w:tcW w:w="925" w:type="dxa"/>
            <w:tcBorders>
              <w:top w:val="nil"/>
              <w:left w:val="nil"/>
              <w:bottom w:val="single" w:sz="4" w:space="0" w:color="auto"/>
              <w:right w:val="single" w:sz="4" w:space="0" w:color="auto"/>
            </w:tcBorders>
            <w:shd w:val="clear" w:color="auto" w:fill="auto"/>
            <w:vAlign w:val="bottom"/>
            <w:hideMark/>
          </w:tcPr>
          <w:p w14:paraId="40FC3C1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Дубай</w:t>
            </w:r>
          </w:p>
        </w:tc>
        <w:tc>
          <w:tcPr>
            <w:tcW w:w="1048" w:type="dxa"/>
            <w:tcBorders>
              <w:top w:val="nil"/>
              <w:left w:val="nil"/>
              <w:bottom w:val="single" w:sz="4" w:space="0" w:color="auto"/>
              <w:right w:val="single" w:sz="4" w:space="0" w:color="auto"/>
            </w:tcBorders>
            <w:shd w:val="clear" w:color="auto" w:fill="auto"/>
            <w:vAlign w:val="bottom"/>
            <w:hideMark/>
          </w:tcPr>
          <w:p w14:paraId="279B4EB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ОАЭ</w:t>
            </w:r>
          </w:p>
        </w:tc>
        <w:tc>
          <w:tcPr>
            <w:tcW w:w="661" w:type="dxa"/>
            <w:tcBorders>
              <w:top w:val="nil"/>
              <w:left w:val="nil"/>
              <w:bottom w:val="single" w:sz="4" w:space="0" w:color="auto"/>
              <w:right w:val="single" w:sz="4" w:space="0" w:color="auto"/>
            </w:tcBorders>
            <w:shd w:val="clear" w:color="000000" w:fill="92D050"/>
            <w:vAlign w:val="center"/>
            <w:hideMark/>
          </w:tcPr>
          <w:p w14:paraId="0C26EFE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714</w:t>
            </w:r>
          </w:p>
        </w:tc>
        <w:tc>
          <w:tcPr>
            <w:tcW w:w="848" w:type="dxa"/>
            <w:tcBorders>
              <w:top w:val="nil"/>
              <w:left w:val="nil"/>
              <w:bottom w:val="single" w:sz="4" w:space="0" w:color="auto"/>
              <w:right w:val="single" w:sz="4" w:space="0" w:color="auto"/>
            </w:tcBorders>
            <w:shd w:val="clear" w:color="auto" w:fill="auto"/>
            <w:vAlign w:val="center"/>
            <w:hideMark/>
          </w:tcPr>
          <w:p w14:paraId="4CCE910A"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Arab Emirates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FBC76A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80,8</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C201F9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94,8</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768853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FCAC8D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1880613" w14:textId="66678FFC"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A5DC73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AAF76C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74,1</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86D3B5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18A3A2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0EE65AF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89,8</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63D6DC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r>
      <w:tr w:rsidR="004A0184" w:rsidRPr="00A546AD" w14:paraId="5F35AF48"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D1CE837"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18</w:t>
            </w:r>
          </w:p>
        </w:tc>
        <w:tc>
          <w:tcPr>
            <w:tcW w:w="925" w:type="dxa"/>
            <w:tcBorders>
              <w:top w:val="nil"/>
              <w:left w:val="nil"/>
              <w:bottom w:val="single" w:sz="4" w:space="0" w:color="auto"/>
              <w:right w:val="single" w:sz="4" w:space="0" w:color="auto"/>
            </w:tcBorders>
            <w:shd w:val="clear" w:color="auto" w:fill="auto"/>
            <w:vAlign w:val="bottom"/>
            <w:hideMark/>
          </w:tcPr>
          <w:p w14:paraId="190552E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Париж</w:t>
            </w:r>
          </w:p>
        </w:tc>
        <w:tc>
          <w:tcPr>
            <w:tcW w:w="1048" w:type="dxa"/>
            <w:tcBorders>
              <w:top w:val="nil"/>
              <w:left w:val="nil"/>
              <w:bottom w:val="single" w:sz="4" w:space="0" w:color="auto"/>
              <w:right w:val="single" w:sz="4" w:space="0" w:color="auto"/>
            </w:tcBorders>
            <w:shd w:val="clear" w:color="auto" w:fill="auto"/>
            <w:vAlign w:val="bottom"/>
            <w:hideMark/>
          </w:tcPr>
          <w:p w14:paraId="7C4B6334"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Франция</w:t>
            </w:r>
          </w:p>
        </w:tc>
        <w:tc>
          <w:tcPr>
            <w:tcW w:w="661" w:type="dxa"/>
            <w:tcBorders>
              <w:top w:val="nil"/>
              <w:left w:val="nil"/>
              <w:bottom w:val="single" w:sz="4" w:space="0" w:color="auto"/>
              <w:right w:val="single" w:sz="4" w:space="0" w:color="auto"/>
            </w:tcBorders>
            <w:shd w:val="clear" w:color="000000" w:fill="92D050"/>
            <w:vAlign w:val="center"/>
            <w:hideMark/>
          </w:tcPr>
          <w:p w14:paraId="7329AD8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713</w:t>
            </w:r>
          </w:p>
        </w:tc>
        <w:tc>
          <w:tcPr>
            <w:tcW w:w="848" w:type="dxa"/>
            <w:tcBorders>
              <w:top w:val="nil"/>
              <w:left w:val="nil"/>
              <w:bottom w:val="single" w:sz="4" w:space="0" w:color="auto"/>
              <w:right w:val="single" w:sz="4" w:space="0" w:color="auto"/>
            </w:tcBorders>
            <w:shd w:val="clear" w:color="auto" w:fill="auto"/>
            <w:vAlign w:val="center"/>
            <w:hideMark/>
          </w:tcPr>
          <w:p w14:paraId="20F447E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France</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604384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76,8</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5AEFA34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93,1</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657D06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63,3</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1E3EC8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FF66F80" w14:textId="2E0B9AA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C208DF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7F412E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6986FD2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73,5</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AAA2F6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74,6</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DE9A71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74,3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7BCC09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92,0</w:t>
            </w:r>
          </w:p>
        </w:tc>
      </w:tr>
      <w:tr w:rsidR="004A0184" w:rsidRPr="00A546AD" w14:paraId="4EE30A72"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992471B"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19</w:t>
            </w:r>
          </w:p>
        </w:tc>
        <w:tc>
          <w:tcPr>
            <w:tcW w:w="925" w:type="dxa"/>
            <w:tcBorders>
              <w:top w:val="nil"/>
              <w:left w:val="nil"/>
              <w:bottom w:val="single" w:sz="4" w:space="0" w:color="auto"/>
              <w:right w:val="single" w:sz="4" w:space="0" w:color="auto"/>
            </w:tcBorders>
            <w:shd w:val="clear" w:color="auto" w:fill="auto"/>
            <w:vAlign w:val="bottom"/>
            <w:hideMark/>
          </w:tcPr>
          <w:p w14:paraId="6BBEAA8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Вашингтон</w:t>
            </w:r>
          </w:p>
        </w:tc>
        <w:tc>
          <w:tcPr>
            <w:tcW w:w="1048" w:type="dxa"/>
            <w:tcBorders>
              <w:top w:val="nil"/>
              <w:left w:val="nil"/>
              <w:bottom w:val="single" w:sz="4" w:space="0" w:color="auto"/>
              <w:right w:val="single" w:sz="4" w:space="0" w:color="auto"/>
            </w:tcBorders>
            <w:shd w:val="clear" w:color="auto" w:fill="auto"/>
            <w:vAlign w:val="bottom"/>
            <w:hideMark/>
          </w:tcPr>
          <w:p w14:paraId="0C9FEC9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США</w:t>
            </w:r>
          </w:p>
        </w:tc>
        <w:tc>
          <w:tcPr>
            <w:tcW w:w="661" w:type="dxa"/>
            <w:tcBorders>
              <w:top w:val="nil"/>
              <w:left w:val="nil"/>
              <w:bottom w:val="single" w:sz="4" w:space="0" w:color="auto"/>
              <w:right w:val="single" w:sz="4" w:space="0" w:color="auto"/>
            </w:tcBorders>
            <w:shd w:val="clear" w:color="000000" w:fill="92D050"/>
            <w:vAlign w:val="center"/>
            <w:hideMark/>
          </w:tcPr>
          <w:p w14:paraId="6E43E22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712</w:t>
            </w:r>
          </w:p>
        </w:tc>
        <w:tc>
          <w:tcPr>
            <w:tcW w:w="848" w:type="dxa"/>
            <w:tcBorders>
              <w:top w:val="nil"/>
              <w:left w:val="nil"/>
              <w:bottom w:val="single" w:sz="4" w:space="0" w:color="auto"/>
              <w:right w:val="single" w:sz="4" w:space="0" w:color="auto"/>
            </w:tcBorders>
            <w:shd w:val="clear" w:color="auto" w:fill="auto"/>
            <w:vAlign w:val="center"/>
            <w:hideMark/>
          </w:tcPr>
          <w:p w14:paraId="3D48AE3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States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2CB7B81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F1E6F9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91,6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DAB21B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76,9</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93A002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1242CA3" w14:textId="0E38C5EC"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03D12E9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86,8</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AF5851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7FE9CB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73,4</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DCEF38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761036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FCBF78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r>
      <w:tr w:rsidR="004A0184" w:rsidRPr="00A546AD" w14:paraId="47226974"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714978B"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20</w:t>
            </w:r>
          </w:p>
        </w:tc>
        <w:tc>
          <w:tcPr>
            <w:tcW w:w="925" w:type="dxa"/>
            <w:tcBorders>
              <w:top w:val="nil"/>
              <w:left w:val="nil"/>
              <w:bottom w:val="single" w:sz="4" w:space="0" w:color="auto"/>
              <w:right w:val="single" w:sz="4" w:space="0" w:color="auto"/>
            </w:tcBorders>
            <w:shd w:val="clear" w:color="auto" w:fill="auto"/>
            <w:vAlign w:val="bottom"/>
            <w:hideMark/>
          </w:tcPr>
          <w:p w14:paraId="6C06B16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Чикаго</w:t>
            </w:r>
          </w:p>
        </w:tc>
        <w:tc>
          <w:tcPr>
            <w:tcW w:w="1048" w:type="dxa"/>
            <w:tcBorders>
              <w:top w:val="nil"/>
              <w:left w:val="nil"/>
              <w:bottom w:val="single" w:sz="4" w:space="0" w:color="auto"/>
              <w:right w:val="single" w:sz="4" w:space="0" w:color="auto"/>
            </w:tcBorders>
            <w:shd w:val="clear" w:color="auto" w:fill="auto"/>
            <w:vAlign w:val="bottom"/>
            <w:hideMark/>
          </w:tcPr>
          <w:p w14:paraId="57D154E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США</w:t>
            </w:r>
          </w:p>
        </w:tc>
        <w:tc>
          <w:tcPr>
            <w:tcW w:w="661" w:type="dxa"/>
            <w:tcBorders>
              <w:top w:val="nil"/>
              <w:left w:val="nil"/>
              <w:bottom w:val="single" w:sz="4" w:space="0" w:color="auto"/>
              <w:right w:val="single" w:sz="4" w:space="0" w:color="auto"/>
            </w:tcBorders>
            <w:shd w:val="clear" w:color="000000" w:fill="92D050"/>
            <w:vAlign w:val="center"/>
            <w:hideMark/>
          </w:tcPr>
          <w:p w14:paraId="14B1EAB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711</w:t>
            </w:r>
          </w:p>
        </w:tc>
        <w:tc>
          <w:tcPr>
            <w:tcW w:w="848" w:type="dxa"/>
            <w:tcBorders>
              <w:top w:val="nil"/>
              <w:left w:val="nil"/>
              <w:bottom w:val="single" w:sz="4" w:space="0" w:color="auto"/>
              <w:right w:val="single" w:sz="4" w:space="0" w:color="auto"/>
            </w:tcBorders>
            <w:shd w:val="clear" w:color="auto" w:fill="auto"/>
            <w:vAlign w:val="center"/>
            <w:hideMark/>
          </w:tcPr>
          <w:p w14:paraId="08866A6A"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States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8FC138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985417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91,6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82D208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76,9</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6460B5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482E3E88" w14:textId="330DACA0"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121C22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86,8</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721DE0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694EC10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73,4</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0D4FFC5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090646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E69AD1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r>
      <w:tr w:rsidR="004A0184" w:rsidRPr="00A546AD" w14:paraId="67D07E1F"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E346B06"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21</w:t>
            </w:r>
          </w:p>
        </w:tc>
        <w:tc>
          <w:tcPr>
            <w:tcW w:w="925" w:type="dxa"/>
            <w:tcBorders>
              <w:top w:val="nil"/>
              <w:left w:val="nil"/>
              <w:bottom w:val="single" w:sz="4" w:space="0" w:color="auto"/>
              <w:right w:val="single" w:sz="4" w:space="0" w:color="auto"/>
            </w:tcBorders>
            <w:shd w:val="clear" w:color="auto" w:fill="auto"/>
            <w:vAlign w:val="bottom"/>
            <w:hideMark/>
          </w:tcPr>
          <w:p w14:paraId="0BFA7D8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Гуанчжоу</w:t>
            </w:r>
          </w:p>
        </w:tc>
        <w:tc>
          <w:tcPr>
            <w:tcW w:w="1048" w:type="dxa"/>
            <w:tcBorders>
              <w:top w:val="nil"/>
              <w:left w:val="nil"/>
              <w:bottom w:val="single" w:sz="4" w:space="0" w:color="auto"/>
              <w:right w:val="single" w:sz="4" w:space="0" w:color="auto"/>
            </w:tcBorders>
            <w:shd w:val="clear" w:color="auto" w:fill="auto"/>
            <w:vAlign w:val="bottom"/>
            <w:hideMark/>
          </w:tcPr>
          <w:p w14:paraId="23AE6E4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single" w:sz="4" w:space="0" w:color="auto"/>
              <w:right w:val="single" w:sz="4" w:space="0" w:color="auto"/>
            </w:tcBorders>
            <w:shd w:val="clear" w:color="000000" w:fill="92D050"/>
            <w:vAlign w:val="center"/>
            <w:hideMark/>
          </w:tcPr>
          <w:p w14:paraId="75CA33A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710</w:t>
            </w:r>
          </w:p>
        </w:tc>
        <w:tc>
          <w:tcPr>
            <w:tcW w:w="848" w:type="dxa"/>
            <w:tcBorders>
              <w:top w:val="nil"/>
              <w:left w:val="nil"/>
              <w:bottom w:val="single" w:sz="4" w:space="0" w:color="auto"/>
              <w:right w:val="single" w:sz="4" w:space="0" w:color="auto"/>
            </w:tcBorders>
            <w:shd w:val="clear" w:color="auto" w:fill="auto"/>
            <w:vAlign w:val="center"/>
            <w:hideMark/>
          </w:tcPr>
          <w:p w14:paraId="692D340F"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7102E55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724849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EFF237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D00762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5C2968F" w14:textId="2EA45150"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516A93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4167795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9A6622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3F0F8B4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25F870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5CBD5A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r w:rsidR="004A0184" w:rsidRPr="00A546AD" w14:paraId="60BF6D1D"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4836146"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22</w:t>
            </w:r>
          </w:p>
        </w:tc>
        <w:tc>
          <w:tcPr>
            <w:tcW w:w="925" w:type="dxa"/>
            <w:tcBorders>
              <w:top w:val="nil"/>
              <w:left w:val="nil"/>
              <w:bottom w:val="single" w:sz="4" w:space="0" w:color="auto"/>
              <w:right w:val="single" w:sz="4" w:space="0" w:color="auto"/>
            </w:tcBorders>
            <w:shd w:val="clear" w:color="auto" w:fill="auto"/>
            <w:vAlign w:val="bottom"/>
            <w:hideMark/>
          </w:tcPr>
          <w:p w14:paraId="7F37977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Амстердам</w:t>
            </w:r>
          </w:p>
        </w:tc>
        <w:tc>
          <w:tcPr>
            <w:tcW w:w="1048" w:type="dxa"/>
            <w:tcBorders>
              <w:top w:val="nil"/>
              <w:left w:val="nil"/>
              <w:bottom w:val="single" w:sz="4" w:space="0" w:color="auto"/>
              <w:right w:val="single" w:sz="4" w:space="0" w:color="auto"/>
            </w:tcBorders>
            <w:shd w:val="clear" w:color="auto" w:fill="auto"/>
            <w:vAlign w:val="bottom"/>
            <w:hideMark/>
          </w:tcPr>
          <w:p w14:paraId="12BB872E"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Нидерланды</w:t>
            </w:r>
          </w:p>
        </w:tc>
        <w:tc>
          <w:tcPr>
            <w:tcW w:w="661" w:type="dxa"/>
            <w:tcBorders>
              <w:top w:val="nil"/>
              <w:left w:val="nil"/>
              <w:bottom w:val="single" w:sz="4" w:space="0" w:color="auto"/>
              <w:right w:val="single" w:sz="4" w:space="0" w:color="auto"/>
            </w:tcBorders>
            <w:shd w:val="clear" w:color="000000" w:fill="92D050"/>
            <w:vAlign w:val="center"/>
            <w:hideMark/>
          </w:tcPr>
          <w:p w14:paraId="3F3DB16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701</w:t>
            </w:r>
          </w:p>
        </w:tc>
        <w:tc>
          <w:tcPr>
            <w:tcW w:w="848" w:type="dxa"/>
            <w:tcBorders>
              <w:top w:val="nil"/>
              <w:left w:val="nil"/>
              <w:bottom w:val="single" w:sz="4" w:space="0" w:color="auto"/>
              <w:right w:val="single" w:sz="4" w:space="0" w:color="auto"/>
            </w:tcBorders>
            <w:shd w:val="clear" w:color="auto" w:fill="auto"/>
            <w:vAlign w:val="center"/>
            <w:hideMark/>
          </w:tcPr>
          <w:p w14:paraId="3CCC618A"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Netherlands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D12721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76,1</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77AEB0F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94,3</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C8F0B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EC8753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B46017E" w14:textId="70D04612"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87,4</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7B42D4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87,4</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63A6D1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6A77D2D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1E0408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84,4</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31813E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69,4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DC103E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82,5</w:t>
            </w:r>
          </w:p>
        </w:tc>
      </w:tr>
      <w:tr w:rsidR="004A0184" w:rsidRPr="00A546AD" w14:paraId="04B4610B"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AC9D438"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23</w:t>
            </w:r>
          </w:p>
        </w:tc>
        <w:tc>
          <w:tcPr>
            <w:tcW w:w="925" w:type="dxa"/>
            <w:tcBorders>
              <w:top w:val="nil"/>
              <w:left w:val="nil"/>
              <w:bottom w:val="single" w:sz="4" w:space="0" w:color="auto"/>
              <w:right w:val="single" w:sz="4" w:space="0" w:color="auto"/>
            </w:tcBorders>
            <w:shd w:val="clear" w:color="auto" w:fill="auto"/>
            <w:vAlign w:val="bottom"/>
            <w:hideMark/>
          </w:tcPr>
          <w:p w14:paraId="1BDF244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Стокгольм</w:t>
            </w:r>
          </w:p>
        </w:tc>
        <w:tc>
          <w:tcPr>
            <w:tcW w:w="1048" w:type="dxa"/>
            <w:tcBorders>
              <w:top w:val="nil"/>
              <w:left w:val="nil"/>
              <w:bottom w:val="single" w:sz="4" w:space="0" w:color="auto"/>
              <w:right w:val="single" w:sz="4" w:space="0" w:color="auto"/>
            </w:tcBorders>
            <w:shd w:val="clear" w:color="auto" w:fill="auto"/>
            <w:vAlign w:val="bottom"/>
            <w:hideMark/>
          </w:tcPr>
          <w:p w14:paraId="5A7FEA59"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Швеция</w:t>
            </w:r>
          </w:p>
        </w:tc>
        <w:tc>
          <w:tcPr>
            <w:tcW w:w="661" w:type="dxa"/>
            <w:tcBorders>
              <w:top w:val="nil"/>
              <w:left w:val="nil"/>
              <w:bottom w:val="single" w:sz="4" w:space="0" w:color="auto"/>
              <w:right w:val="single" w:sz="4" w:space="0" w:color="auto"/>
            </w:tcBorders>
            <w:shd w:val="clear" w:color="000000" w:fill="92D050"/>
            <w:vAlign w:val="center"/>
            <w:hideMark/>
          </w:tcPr>
          <w:p w14:paraId="784E2C6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700</w:t>
            </w:r>
          </w:p>
        </w:tc>
        <w:tc>
          <w:tcPr>
            <w:tcW w:w="848" w:type="dxa"/>
            <w:tcBorders>
              <w:top w:val="nil"/>
              <w:left w:val="nil"/>
              <w:bottom w:val="single" w:sz="4" w:space="0" w:color="auto"/>
              <w:right w:val="single" w:sz="4" w:space="0" w:color="auto"/>
            </w:tcBorders>
            <w:shd w:val="clear" w:color="auto" w:fill="auto"/>
            <w:vAlign w:val="center"/>
            <w:hideMark/>
          </w:tcPr>
          <w:p w14:paraId="6A0A3D9D"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Sweden</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33956B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82,0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9C09B1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93,1</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D0AE82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678BA0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0851ED8" w14:textId="011D22D8"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85,3</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7DFD13D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85,3</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0EE207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A60C35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67,6</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D336E9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925C24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89A5B7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96,2</w:t>
            </w:r>
          </w:p>
        </w:tc>
      </w:tr>
      <w:tr w:rsidR="004A0184" w:rsidRPr="00A546AD" w14:paraId="4CF753E5"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6FB90EE"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24</w:t>
            </w:r>
          </w:p>
        </w:tc>
        <w:tc>
          <w:tcPr>
            <w:tcW w:w="925" w:type="dxa"/>
            <w:tcBorders>
              <w:top w:val="nil"/>
              <w:left w:val="nil"/>
              <w:bottom w:val="single" w:sz="4" w:space="0" w:color="auto"/>
              <w:right w:val="single" w:sz="4" w:space="0" w:color="auto"/>
            </w:tcBorders>
            <w:shd w:val="clear" w:color="auto" w:fill="auto"/>
            <w:vAlign w:val="bottom"/>
            <w:hideMark/>
          </w:tcPr>
          <w:p w14:paraId="4BF3BB3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Ванкувер</w:t>
            </w:r>
          </w:p>
        </w:tc>
        <w:tc>
          <w:tcPr>
            <w:tcW w:w="1048" w:type="dxa"/>
            <w:tcBorders>
              <w:top w:val="nil"/>
              <w:left w:val="nil"/>
              <w:bottom w:val="single" w:sz="4" w:space="0" w:color="auto"/>
              <w:right w:val="single" w:sz="4" w:space="0" w:color="auto"/>
            </w:tcBorders>
            <w:shd w:val="clear" w:color="auto" w:fill="auto"/>
            <w:vAlign w:val="bottom"/>
            <w:hideMark/>
          </w:tcPr>
          <w:p w14:paraId="60616AF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Канада</w:t>
            </w:r>
          </w:p>
        </w:tc>
        <w:tc>
          <w:tcPr>
            <w:tcW w:w="661" w:type="dxa"/>
            <w:tcBorders>
              <w:top w:val="nil"/>
              <w:left w:val="nil"/>
              <w:bottom w:val="single" w:sz="4" w:space="0" w:color="auto"/>
              <w:right w:val="single" w:sz="4" w:space="0" w:color="auto"/>
            </w:tcBorders>
            <w:shd w:val="clear" w:color="000000" w:fill="92D050"/>
            <w:vAlign w:val="center"/>
            <w:hideMark/>
          </w:tcPr>
          <w:p w14:paraId="145184F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698</w:t>
            </w:r>
          </w:p>
        </w:tc>
        <w:tc>
          <w:tcPr>
            <w:tcW w:w="848" w:type="dxa"/>
            <w:tcBorders>
              <w:top w:val="nil"/>
              <w:left w:val="nil"/>
              <w:bottom w:val="single" w:sz="4" w:space="0" w:color="auto"/>
              <w:right w:val="single" w:sz="4" w:space="0" w:color="auto"/>
            </w:tcBorders>
            <w:shd w:val="clear" w:color="auto" w:fill="auto"/>
            <w:vAlign w:val="center"/>
            <w:hideMark/>
          </w:tcPr>
          <w:p w14:paraId="1666952E"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Canada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59847EA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AFAE01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98,2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573F15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77,8</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BFEF47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1EF57337" w14:textId="55CE6726"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951D3B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334831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09651F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1D247B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0B15338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766C74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63,8</w:t>
            </w:r>
          </w:p>
        </w:tc>
      </w:tr>
      <w:tr w:rsidR="004A0184" w:rsidRPr="00A546AD" w14:paraId="6E5BD95B"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75A4A03"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25</w:t>
            </w:r>
          </w:p>
        </w:tc>
        <w:tc>
          <w:tcPr>
            <w:tcW w:w="925" w:type="dxa"/>
            <w:tcBorders>
              <w:top w:val="nil"/>
              <w:left w:val="nil"/>
              <w:bottom w:val="single" w:sz="4" w:space="0" w:color="auto"/>
              <w:right w:val="single" w:sz="4" w:space="0" w:color="auto"/>
            </w:tcBorders>
            <w:shd w:val="clear" w:color="auto" w:fill="auto"/>
            <w:vAlign w:val="bottom"/>
            <w:hideMark/>
          </w:tcPr>
          <w:p w14:paraId="6DD63C6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Сеул</w:t>
            </w:r>
          </w:p>
        </w:tc>
        <w:tc>
          <w:tcPr>
            <w:tcW w:w="1048" w:type="dxa"/>
            <w:tcBorders>
              <w:top w:val="nil"/>
              <w:left w:val="nil"/>
              <w:bottom w:val="single" w:sz="4" w:space="0" w:color="auto"/>
              <w:right w:val="single" w:sz="4" w:space="0" w:color="auto"/>
            </w:tcBorders>
            <w:shd w:val="clear" w:color="auto" w:fill="auto"/>
            <w:vAlign w:val="bottom"/>
            <w:hideMark/>
          </w:tcPr>
          <w:p w14:paraId="4ED89AD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Республика Корея</w:t>
            </w:r>
          </w:p>
        </w:tc>
        <w:tc>
          <w:tcPr>
            <w:tcW w:w="661" w:type="dxa"/>
            <w:tcBorders>
              <w:top w:val="nil"/>
              <w:left w:val="nil"/>
              <w:bottom w:val="single" w:sz="4" w:space="0" w:color="auto"/>
              <w:right w:val="single" w:sz="4" w:space="0" w:color="auto"/>
            </w:tcBorders>
            <w:shd w:val="clear" w:color="000000" w:fill="92D050"/>
            <w:vAlign w:val="center"/>
            <w:hideMark/>
          </w:tcPr>
          <w:p w14:paraId="66B9903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695</w:t>
            </w:r>
          </w:p>
        </w:tc>
        <w:tc>
          <w:tcPr>
            <w:tcW w:w="848" w:type="dxa"/>
            <w:tcBorders>
              <w:top w:val="nil"/>
              <w:left w:val="nil"/>
              <w:bottom w:val="single" w:sz="4" w:space="0" w:color="auto"/>
              <w:right w:val="single" w:sz="4" w:space="0" w:color="auto"/>
            </w:tcBorders>
            <w:shd w:val="clear" w:color="auto" w:fill="auto"/>
            <w:vAlign w:val="center"/>
            <w:hideMark/>
          </w:tcPr>
          <w:p w14:paraId="77DE3A7C"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Korea, Rep.</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95FDAF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D60A7E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015FEC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76,3</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6DC7C3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39685AE" w14:textId="6A57FCDD"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87,4</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093182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87,4</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611CBD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3C5916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D68134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82,9</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7CB7819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6F3B46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99,9</w:t>
            </w:r>
          </w:p>
        </w:tc>
      </w:tr>
      <w:tr w:rsidR="004A0184" w:rsidRPr="00A546AD" w14:paraId="1C814DF1"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4AE7C62"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26</w:t>
            </w:r>
          </w:p>
        </w:tc>
        <w:tc>
          <w:tcPr>
            <w:tcW w:w="925" w:type="dxa"/>
            <w:tcBorders>
              <w:top w:val="nil"/>
              <w:left w:val="nil"/>
              <w:bottom w:val="single" w:sz="4" w:space="0" w:color="auto"/>
              <w:right w:val="single" w:sz="4" w:space="0" w:color="auto"/>
            </w:tcBorders>
            <w:shd w:val="clear" w:color="auto" w:fill="auto"/>
            <w:vAlign w:val="bottom"/>
            <w:hideMark/>
          </w:tcPr>
          <w:p w14:paraId="44E68D0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Монреаль</w:t>
            </w:r>
          </w:p>
        </w:tc>
        <w:tc>
          <w:tcPr>
            <w:tcW w:w="1048" w:type="dxa"/>
            <w:tcBorders>
              <w:top w:val="nil"/>
              <w:left w:val="nil"/>
              <w:bottom w:val="single" w:sz="4" w:space="0" w:color="auto"/>
              <w:right w:val="single" w:sz="4" w:space="0" w:color="auto"/>
            </w:tcBorders>
            <w:shd w:val="clear" w:color="auto" w:fill="auto"/>
            <w:vAlign w:val="bottom"/>
            <w:hideMark/>
          </w:tcPr>
          <w:p w14:paraId="5BBDF03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Канада</w:t>
            </w:r>
          </w:p>
        </w:tc>
        <w:tc>
          <w:tcPr>
            <w:tcW w:w="661" w:type="dxa"/>
            <w:tcBorders>
              <w:top w:val="nil"/>
              <w:left w:val="nil"/>
              <w:bottom w:val="single" w:sz="4" w:space="0" w:color="auto"/>
              <w:right w:val="single" w:sz="4" w:space="0" w:color="auto"/>
            </w:tcBorders>
            <w:shd w:val="clear" w:color="000000" w:fill="92D050"/>
            <w:vAlign w:val="center"/>
            <w:hideMark/>
          </w:tcPr>
          <w:p w14:paraId="20B4FBD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694</w:t>
            </w:r>
          </w:p>
        </w:tc>
        <w:tc>
          <w:tcPr>
            <w:tcW w:w="848" w:type="dxa"/>
            <w:tcBorders>
              <w:top w:val="nil"/>
              <w:left w:val="nil"/>
              <w:bottom w:val="single" w:sz="4" w:space="0" w:color="auto"/>
              <w:right w:val="single" w:sz="4" w:space="0" w:color="auto"/>
            </w:tcBorders>
            <w:shd w:val="clear" w:color="auto" w:fill="auto"/>
            <w:vAlign w:val="center"/>
            <w:hideMark/>
          </w:tcPr>
          <w:p w14:paraId="5A2E5819"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Canada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3A4051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6645EF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98,2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39CA74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77,8</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BCA8F2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4E1EF9B" w14:textId="4C8C8A58"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5AB1E87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6312C2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77789B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FEC131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EA4533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119F96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63,8</w:t>
            </w:r>
          </w:p>
        </w:tc>
      </w:tr>
      <w:tr w:rsidR="004A0184" w:rsidRPr="00A546AD" w14:paraId="1A24EBDB"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797DD82"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27</w:t>
            </w:r>
          </w:p>
        </w:tc>
        <w:tc>
          <w:tcPr>
            <w:tcW w:w="925" w:type="dxa"/>
            <w:tcBorders>
              <w:top w:val="nil"/>
              <w:left w:val="nil"/>
              <w:bottom w:val="single" w:sz="4" w:space="0" w:color="auto"/>
              <w:right w:val="single" w:sz="4" w:space="0" w:color="auto"/>
            </w:tcBorders>
            <w:shd w:val="clear" w:color="auto" w:fill="auto"/>
            <w:vAlign w:val="bottom"/>
            <w:hideMark/>
          </w:tcPr>
          <w:p w14:paraId="08199E9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Мельбурн</w:t>
            </w:r>
          </w:p>
        </w:tc>
        <w:tc>
          <w:tcPr>
            <w:tcW w:w="1048" w:type="dxa"/>
            <w:tcBorders>
              <w:top w:val="nil"/>
              <w:left w:val="nil"/>
              <w:bottom w:val="single" w:sz="4" w:space="0" w:color="auto"/>
              <w:right w:val="single" w:sz="4" w:space="0" w:color="auto"/>
            </w:tcBorders>
            <w:shd w:val="clear" w:color="auto" w:fill="auto"/>
            <w:vAlign w:val="bottom"/>
            <w:hideMark/>
          </w:tcPr>
          <w:p w14:paraId="59E5E2F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Австралия</w:t>
            </w:r>
          </w:p>
        </w:tc>
        <w:tc>
          <w:tcPr>
            <w:tcW w:w="661" w:type="dxa"/>
            <w:tcBorders>
              <w:top w:val="nil"/>
              <w:left w:val="nil"/>
              <w:bottom w:val="single" w:sz="4" w:space="0" w:color="auto"/>
              <w:right w:val="single" w:sz="4" w:space="0" w:color="auto"/>
            </w:tcBorders>
            <w:shd w:val="clear" w:color="000000" w:fill="92D050"/>
            <w:vAlign w:val="center"/>
            <w:hideMark/>
          </w:tcPr>
          <w:p w14:paraId="63401A7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693</w:t>
            </w:r>
          </w:p>
        </w:tc>
        <w:tc>
          <w:tcPr>
            <w:tcW w:w="848" w:type="dxa"/>
            <w:tcBorders>
              <w:top w:val="nil"/>
              <w:left w:val="nil"/>
              <w:bottom w:val="single" w:sz="4" w:space="0" w:color="auto"/>
              <w:right w:val="single" w:sz="4" w:space="0" w:color="auto"/>
            </w:tcBorders>
            <w:shd w:val="clear" w:color="auto" w:fill="auto"/>
            <w:vAlign w:val="center"/>
            <w:hideMark/>
          </w:tcPr>
          <w:p w14:paraId="2D43CB5A"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Australia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8819B1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81,2</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F2788F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96,6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ABF1E4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0F8CDB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3F8324D" w14:textId="46A42690"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3AEB1D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FE9D80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9116A9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79,0</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C33323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78,9</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03196E0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19DB49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82,3</w:t>
            </w:r>
          </w:p>
        </w:tc>
      </w:tr>
      <w:tr w:rsidR="004A0184" w:rsidRPr="00A546AD" w14:paraId="0475383D"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578FE7B"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28</w:t>
            </w:r>
          </w:p>
        </w:tc>
        <w:tc>
          <w:tcPr>
            <w:tcW w:w="925" w:type="dxa"/>
            <w:tcBorders>
              <w:top w:val="nil"/>
              <w:left w:val="nil"/>
              <w:bottom w:val="single" w:sz="4" w:space="0" w:color="auto"/>
              <w:right w:val="single" w:sz="4" w:space="0" w:color="auto"/>
            </w:tcBorders>
            <w:shd w:val="clear" w:color="auto" w:fill="auto"/>
            <w:vAlign w:val="bottom"/>
            <w:hideMark/>
          </w:tcPr>
          <w:p w14:paraId="5DC777C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Мадрид</w:t>
            </w:r>
          </w:p>
        </w:tc>
        <w:tc>
          <w:tcPr>
            <w:tcW w:w="1048" w:type="dxa"/>
            <w:tcBorders>
              <w:top w:val="nil"/>
              <w:left w:val="nil"/>
              <w:bottom w:val="single" w:sz="4" w:space="0" w:color="auto"/>
              <w:right w:val="single" w:sz="4" w:space="0" w:color="auto"/>
            </w:tcBorders>
            <w:shd w:val="clear" w:color="auto" w:fill="auto"/>
            <w:vAlign w:val="bottom"/>
            <w:hideMark/>
          </w:tcPr>
          <w:p w14:paraId="484BCB92"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Испания</w:t>
            </w:r>
          </w:p>
        </w:tc>
        <w:tc>
          <w:tcPr>
            <w:tcW w:w="661" w:type="dxa"/>
            <w:tcBorders>
              <w:top w:val="nil"/>
              <w:left w:val="nil"/>
              <w:bottom w:val="single" w:sz="4" w:space="0" w:color="auto"/>
              <w:right w:val="single" w:sz="4" w:space="0" w:color="auto"/>
            </w:tcBorders>
            <w:shd w:val="clear" w:color="000000" w:fill="92D050"/>
            <w:vAlign w:val="center"/>
            <w:hideMark/>
          </w:tcPr>
          <w:p w14:paraId="1ECD72C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692</w:t>
            </w:r>
          </w:p>
        </w:tc>
        <w:tc>
          <w:tcPr>
            <w:tcW w:w="848" w:type="dxa"/>
            <w:tcBorders>
              <w:top w:val="nil"/>
              <w:left w:val="nil"/>
              <w:bottom w:val="single" w:sz="4" w:space="0" w:color="auto"/>
              <w:right w:val="single" w:sz="4" w:space="0" w:color="auto"/>
            </w:tcBorders>
            <w:shd w:val="clear" w:color="auto" w:fill="auto"/>
            <w:vAlign w:val="center"/>
            <w:hideMark/>
          </w:tcPr>
          <w:p w14:paraId="4AB86AB2"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Spain</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E89A1B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77,9</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10E6A5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86,9</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112323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21C708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816702A" w14:textId="22683EED"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FD9FC2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8AA8E6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224D38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9D426B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79,2</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ADEA65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70,8</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AA0C36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83,0</w:t>
            </w:r>
          </w:p>
        </w:tc>
      </w:tr>
      <w:tr w:rsidR="004A0184" w:rsidRPr="00A546AD" w14:paraId="4C50A96B"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FFB2C57"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29</w:t>
            </w:r>
          </w:p>
        </w:tc>
        <w:tc>
          <w:tcPr>
            <w:tcW w:w="925" w:type="dxa"/>
            <w:tcBorders>
              <w:top w:val="nil"/>
              <w:left w:val="nil"/>
              <w:bottom w:val="single" w:sz="4" w:space="0" w:color="auto"/>
              <w:right w:val="single" w:sz="4" w:space="0" w:color="auto"/>
            </w:tcBorders>
            <w:shd w:val="clear" w:color="auto" w:fill="auto"/>
            <w:vAlign w:val="bottom"/>
            <w:hideMark/>
          </w:tcPr>
          <w:p w14:paraId="01E0D79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Гамбург</w:t>
            </w:r>
          </w:p>
        </w:tc>
        <w:tc>
          <w:tcPr>
            <w:tcW w:w="1048" w:type="dxa"/>
            <w:tcBorders>
              <w:top w:val="nil"/>
              <w:left w:val="nil"/>
              <w:bottom w:val="single" w:sz="4" w:space="0" w:color="auto"/>
              <w:right w:val="single" w:sz="4" w:space="0" w:color="auto"/>
            </w:tcBorders>
            <w:shd w:val="clear" w:color="auto" w:fill="auto"/>
            <w:vAlign w:val="bottom"/>
            <w:hideMark/>
          </w:tcPr>
          <w:p w14:paraId="29BB17A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Германия</w:t>
            </w:r>
          </w:p>
        </w:tc>
        <w:tc>
          <w:tcPr>
            <w:tcW w:w="661" w:type="dxa"/>
            <w:tcBorders>
              <w:top w:val="nil"/>
              <w:left w:val="nil"/>
              <w:bottom w:val="single" w:sz="4" w:space="0" w:color="auto"/>
              <w:right w:val="single" w:sz="4" w:space="0" w:color="auto"/>
            </w:tcBorders>
            <w:shd w:val="clear" w:color="000000" w:fill="92D050"/>
            <w:vAlign w:val="center"/>
            <w:hideMark/>
          </w:tcPr>
          <w:p w14:paraId="0987B8D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690</w:t>
            </w:r>
          </w:p>
        </w:tc>
        <w:tc>
          <w:tcPr>
            <w:tcW w:w="848" w:type="dxa"/>
            <w:tcBorders>
              <w:top w:val="nil"/>
              <w:left w:val="nil"/>
              <w:bottom w:val="single" w:sz="4" w:space="0" w:color="auto"/>
              <w:right w:val="single" w:sz="4" w:space="0" w:color="auto"/>
            </w:tcBorders>
            <w:shd w:val="clear" w:color="auto" w:fill="auto"/>
            <w:vAlign w:val="center"/>
            <w:hideMark/>
          </w:tcPr>
          <w:p w14:paraId="36CBDA8A"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Germany</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C9E14C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79,7</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7790D86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83,7</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ACB091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A2976C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13BE7096" w14:textId="1442D10F"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0BF1D82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7FD0ED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22FA91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977E1A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89,8</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717AF6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2B030E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98,8</w:t>
            </w:r>
          </w:p>
        </w:tc>
      </w:tr>
      <w:tr w:rsidR="004A0184" w:rsidRPr="00A546AD" w14:paraId="767AF6EC"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D803ABF"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30</w:t>
            </w:r>
          </w:p>
        </w:tc>
        <w:tc>
          <w:tcPr>
            <w:tcW w:w="925" w:type="dxa"/>
            <w:tcBorders>
              <w:top w:val="nil"/>
              <w:left w:val="nil"/>
              <w:bottom w:val="single" w:sz="4" w:space="0" w:color="auto"/>
              <w:right w:val="single" w:sz="4" w:space="0" w:color="auto"/>
            </w:tcBorders>
            <w:shd w:val="clear" w:color="auto" w:fill="auto"/>
            <w:vAlign w:val="bottom"/>
            <w:hideMark/>
          </w:tcPr>
          <w:p w14:paraId="4B5A9929"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Брюссель</w:t>
            </w:r>
          </w:p>
        </w:tc>
        <w:tc>
          <w:tcPr>
            <w:tcW w:w="1048" w:type="dxa"/>
            <w:tcBorders>
              <w:top w:val="nil"/>
              <w:left w:val="nil"/>
              <w:bottom w:val="single" w:sz="4" w:space="0" w:color="auto"/>
              <w:right w:val="single" w:sz="4" w:space="0" w:color="auto"/>
            </w:tcBorders>
            <w:shd w:val="clear" w:color="auto" w:fill="auto"/>
            <w:vAlign w:val="bottom"/>
            <w:hideMark/>
          </w:tcPr>
          <w:p w14:paraId="6DB2A9A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Бельгия</w:t>
            </w:r>
          </w:p>
        </w:tc>
        <w:tc>
          <w:tcPr>
            <w:tcW w:w="661" w:type="dxa"/>
            <w:tcBorders>
              <w:top w:val="nil"/>
              <w:left w:val="nil"/>
              <w:bottom w:val="single" w:sz="4" w:space="0" w:color="auto"/>
              <w:right w:val="single" w:sz="4" w:space="0" w:color="auto"/>
            </w:tcBorders>
            <w:shd w:val="clear" w:color="000000" w:fill="92D050"/>
            <w:vAlign w:val="center"/>
            <w:hideMark/>
          </w:tcPr>
          <w:p w14:paraId="7A249F1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686</w:t>
            </w:r>
          </w:p>
        </w:tc>
        <w:tc>
          <w:tcPr>
            <w:tcW w:w="848" w:type="dxa"/>
            <w:tcBorders>
              <w:top w:val="nil"/>
              <w:left w:val="nil"/>
              <w:bottom w:val="single" w:sz="4" w:space="0" w:color="auto"/>
              <w:right w:val="single" w:sz="4" w:space="0" w:color="auto"/>
            </w:tcBorders>
            <w:shd w:val="clear" w:color="auto" w:fill="auto"/>
            <w:vAlign w:val="center"/>
            <w:hideMark/>
          </w:tcPr>
          <w:p w14:paraId="69F78985"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Belgium</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26F581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75,0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49217B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92,3</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73A54A6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51,8</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7256B9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19C6FEB" w14:textId="625AE073"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78,4</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97E66D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78,4</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13BD8C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FF7937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64,3</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7E057C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4934AB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75,5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1A588B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70,6</w:t>
            </w:r>
          </w:p>
        </w:tc>
      </w:tr>
      <w:tr w:rsidR="004A0184" w:rsidRPr="00A546AD" w14:paraId="47275498"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65FB424"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31</w:t>
            </w:r>
          </w:p>
        </w:tc>
        <w:tc>
          <w:tcPr>
            <w:tcW w:w="925" w:type="dxa"/>
            <w:tcBorders>
              <w:top w:val="nil"/>
              <w:left w:val="nil"/>
              <w:bottom w:val="single" w:sz="4" w:space="0" w:color="auto"/>
              <w:right w:val="single" w:sz="4" w:space="0" w:color="auto"/>
            </w:tcBorders>
            <w:shd w:val="clear" w:color="auto" w:fill="auto"/>
            <w:vAlign w:val="bottom"/>
            <w:hideMark/>
          </w:tcPr>
          <w:p w14:paraId="008EC56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Торонто</w:t>
            </w:r>
          </w:p>
        </w:tc>
        <w:tc>
          <w:tcPr>
            <w:tcW w:w="1048" w:type="dxa"/>
            <w:tcBorders>
              <w:top w:val="nil"/>
              <w:left w:val="nil"/>
              <w:bottom w:val="single" w:sz="4" w:space="0" w:color="auto"/>
              <w:right w:val="single" w:sz="4" w:space="0" w:color="auto"/>
            </w:tcBorders>
            <w:shd w:val="clear" w:color="auto" w:fill="auto"/>
            <w:vAlign w:val="bottom"/>
            <w:hideMark/>
          </w:tcPr>
          <w:p w14:paraId="0037278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Канада</w:t>
            </w:r>
          </w:p>
        </w:tc>
        <w:tc>
          <w:tcPr>
            <w:tcW w:w="661" w:type="dxa"/>
            <w:tcBorders>
              <w:top w:val="nil"/>
              <w:left w:val="nil"/>
              <w:bottom w:val="single" w:sz="4" w:space="0" w:color="auto"/>
              <w:right w:val="single" w:sz="4" w:space="0" w:color="auto"/>
            </w:tcBorders>
            <w:shd w:val="clear" w:color="000000" w:fill="92D050"/>
            <w:vAlign w:val="center"/>
            <w:hideMark/>
          </w:tcPr>
          <w:p w14:paraId="5EF53C1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684</w:t>
            </w:r>
          </w:p>
        </w:tc>
        <w:tc>
          <w:tcPr>
            <w:tcW w:w="848" w:type="dxa"/>
            <w:tcBorders>
              <w:top w:val="nil"/>
              <w:left w:val="nil"/>
              <w:bottom w:val="single" w:sz="4" w:space="0" w:color="auto"/>
              <w:right w:val="single" w:sz="4" w:space="0" w:color="auto"/>
            </w:tcBorders>
            <w:shd w:val="clear" w:color="auto" w:fill="auto"/>
            <w:vAlign w:val="center"/>
            <w:hideMark/>
          </w:tcPr>
          <w:p w14:paraId="010F2AF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Canada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BBC467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0E83B3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98,2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833993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77,8</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E89F20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D17CE76" w14:textId="536177DD"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5587AB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E69272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30F1CF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05D712D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6FB67A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5C524F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63,8</w:t>
            </w:r>
          </w:p>
        </w:tc>
      </w:tr>
      <w:tr w:rsidR="004A0184" w:rsidRPr="00A546AD" w14:paraId="20E49F4E"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AE52EA6"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lastRenderedPageBreak/>
              <w:t>32</w:t>
            </w:r>
          </w:p>
        </w:tc>
        <w:tc>
          <w:tcPr>
            <w:tcW w:w="925" w:type="dxa"/>
            <w:tcBorders>
              <w:top w:val="nil"/>
              <w:left w:val="nil"/>
              <w:bottom w:val="single" w:sz="4" w:space="0" w:color="auto"/>
              <w:right w:val="single" w:sz="4" w:space="0" w:color="auto"/>
            </w:tcBorders>
            <w:shd w:val="clear" w:color="auto" w:fill="auto"/>
            <w:vAlign w:val="bottom"/>
            <w:hideMark/>
          </w:tcPr>
          <w:p w14:paraId="553B719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Сидней</w:t>
            </w:r>
          </w:p>
        </w:tc>
        <w:tc>
          <w:tcPr>
            <w:tcW w:w="1048" w:type="dxa"/>
            <w:tcBorders>
              <w:top w:val="nil"/>
              <w:left w:val="nil"/>
              <w:bottom w:val="single" w:sz="4" w:space="0" w:color="auto"/>
              <w:right w:val="single" w:sz="4" w:space="0" w:color="auto"/>
            </w:tcBorders>
            <w:shd w:val="clear" w:color="auto" w:fill="auto"/>
            <w:vAlign w:val="bottom"/>
            <w:hideMark/>
          </w:tcPr>
          <w:p w14:paraId="6480AAA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Австралия</w:t>
            </w:r>
          </w:p>
        </w:tc>
        <w:tc>
          <w:tcPr>
            <w:tcW w:w="661" w:type="dxa"/>
            <w:tcBorders>
              <w:top w:val="nil"/>
              <w:left w:val="nil"/>
              <w:bottom w:val="single" w:sz="4" w:space="0" w:color="auto"/>
              <w:right w:val="single" w:sz="4" w:space="0" w:color="auto"/>
            </w:tcBorders>
            <w:shd w:val="clear" w:color="000000" w:fill="92D050"/>
            <w:vAlign w:val="center"/>
            <w:hideMark/>
          </w:tcPr>
          <w:p w14:paraId="371FC6D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682</w:t>
            </w:r>
          </w:p>
        </w:tc>
        <w:tc>
          <w:tcPr>
            <w:tcW w:w="848" w:type="dxa"/>
            <w:tcBorders>
              <w:top w:val="nil"/>
              <w:left w:val="nil"/>
              <w:bottom w:val="single" w:sz="4" w:space="0" w:color="auto"/>
              <w:right w:val="single" w:sz="4" w:space="0" w:color="auto"/>
            </w:tcBorders>
            <w:shd w:val="clear" w:color="auto" w:fill="auto"/>
            <w:vAlign w:val="center"/>
            <w:hideMark/>
          </w:tcPr>
          <w:p w14:paraId="591C482D"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Australia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97AEA7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81,2</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B824EC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96,6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115A0F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5CD91D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A613BC6" w14:textId="5D403C30"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F3F043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F91209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1D9C620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79,0</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369753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78,9</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FC2B48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B95121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82,3</w:t>
            </w:r>
          </w:p>
        </w:tc>
      </w:tr>
      <w:tr w:rsidR="004A0184" w:rsidRPr="00A546AD" w14:paraId="5B4E45C7"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DC032CC"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33</w:t>
            </w:r>
          </w:p>
        </w:tc>
        <w:tc>
          <w:tcPr>
            <w:tcW w:w="925" w:type="dxa"/>
            <w:tcBorders>
              <w:top w:val="nil"/>
              <w:left w:val="nil"/>
              <w:bottom w:val="single" w:sz="4" w:space="0" w:color="auto"/>
              <w:right w:val="single" w:sz="4" w:space="0" w:color="auto"/>
            </w:tcBorders>
            <w:shd w:val="clear" w:color="auto" w:fill="auto"/>
            <w:vAlign w:val="bottom"/>
            <w:hideMark/>
          </w:tcPr>
          <w:p w14:paraId="5169B68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Абу-Даби</w:t>
            </w:r>
          </w:p>
        </w:tc>
        <w:tc>
          <w:tcPr>
            <w:tcW w:w="1048" w:type="dxa"/>
            <w:tcBorders>
              <w:top w:val="nil"/>
              <w:left w:val="nil"/>
              <w:bottom w:val="single" w:sz="4" w:space="0" w:color="auto"/>
              <w:right w:val="single" w:sz="4" w:space="0" w:color="auto"/>
            </w:tcBorders>
            <w:shd w:val="clear" w:color="auto" w:fill="auto"/>
            <w:vAlign w:val="bottom"/>
            <w:hideMark/>
          </w:tcPr>
          <w:p w14:paraId="5F8CC4D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ОАЭ</w:t>
            </w:r>
          </w:p>
        </w:tc>
        <w:tc>
          <w:tcPr>
            <w:tcW w:w="661" w:type="dxa"/>
            <w:tcBorders>
              <w:top w:val="nil"/>
              <w:left w:val="nil"/>
              <w:bottom w:val="single" w:sz="4" w:space="0" w:color="auto"/>
              <w:right w:val="single" w:sz="4" w:space="0" w:color="auto"/>
            </w:tcBorders>
            <w:shd w:val="clear" w:color="000000" w:fill="92D050"/>
            <w:vAlign w:val="center"/>
            <w:hideMark/>
          </w:tcPr>
          <w:p w14:paraId="36685DD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681</w:t>
            </w:r>
          </w:p>
        </w:tc>
        <w:tc>
          <w:tcPr>
            <w:tcW w:w="848" w:type="dxa"/>
            <w:tcBorders>
              <w:top w:val="nil"/>
              <w:left w:val="nil"/>
              <w:bottom w:val="single" w:sz="4" w:space="0" w:color="auto"/>
              <w:right w:val="single" w:sz="4" w:space="0" w:color="auto"/>
            </w:tcBorders>
            <w:shd w:val="clear" w:color="auto" w:fill="auto"/>
            <w:vAlign w:val="center"/>
            <w:hideMark/>
          </w:tcPr>
          <w:p w14:paraId="5CE51D54"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Arab Emirates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77699A0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80,8</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94625F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94,8</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2BCD5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271ADE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1E28E683" w14:textId="0451F4A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220028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410E1E8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74,1</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5B61C4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668881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339DD8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89,8</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DF56C7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r>
      <w:tr w:rsidR="004A0184" w:rsidRPr="00A546AD" w14:paraId="752C7582"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4D7C080"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34</w:t>
            </w:r>
          </w:p>
        </w:tc>
        <w:tc>
          <w:tcPr>
            <w:tcW w:w="925" w:type="dxa"/>
            <w:tcBorders>
              <w:top w:val="nil"/>
              <w:left w:val="nil"/>
              <w:bottom w:val="single" w:sz="4" w:space="0" w:color="auto"/>
              <w:right w:val="single" w:sz="4" w:space="0" w:color="auto"/>
            </w:tcBorders>
            <w:shd w:val="clear" w:color="auto" w:fill="auto"/>
            <w:vAlign w:val="bottom"/>
            <w:hideMark/>
          </w:tcPr>
          <w:p w14:paraId="4400ED34"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Дублин</w:t>
            </w:r>
          </w:p>
        </w:tc>
        <w:tc>
          <w:tcPr>
            <w:tcW w:w="1048" w:type="dxa"/>
            <w:tcBorders>
              <w:top w:val="nil"/>
              <w:left w:val="nil"/>
              <w:bottom w:val="single" w:sz="4" w:space="0" w:color="auto"/>
              <w:right w:val="single" w:sz="4" w:space="0" w:color="auto"/>
            </w:tcBorders>
            <w:shd w:val="clear" w:color="auto" w:fill="auto"/>
            <w:vAlign w:val="bottom"/>
            <w:hideMark/>
          </w:tcPr>
          <w:p w14:paraId="7298C3A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Ирландия</w:t>
            </w:r>
          </w:p>
        </w:tc>
        <w:tc>
          <w:tcPr>
            <w:tcW w:w="661" w:type="dxa"/>
            <w:tcBorders>
              <w:top w:val="nil"/>
              <w:left w:val="nil"/>
              <w:bottom w:val="single" w:sz="4" w:space="0" w:color="auto"/>
              <w:right w:val="single" w:sz="4" w:space="0" w:color="auto"/>
            </w:tcBorders>
            <w:shd w:val="clear" w:color="000000" w:fill="92D050"/>
            <w:vAlign w:val="center"/>
            <w:hideMark/>
          </w:tcPr>
          <w:p w14:paraId="6996966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679</w:t>
            </w:r>
          </w:p>
        </w:tc>
        <w:tc>
          <w:tcPr>
            <w:tcW w:w="848" w:type="dxa"/>
            <w:tcBorders>
              <w:top w:val="nil"/>
              <w:left w:val="nil"/>
              <w:bottom w:val="single" w:sz="4" w:space="0" w:color="auto"/>
              <w:right w:val="single" w:sz="4" w:space="0" w:color="auto"/>
            </w:tcBorders>
            <w:shd w:val="clear" w:color="auto" w:fill="auto"/>
            <w:vAlign w:val="center"/>
            <w:hideMark/>
          </w:tcPr>
          <w:p w14:paraId="51144122"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Ireland</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A26516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B0DE4E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F14A31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5C112A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AF56915" w14:textId="57235DC5"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94,6</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3CD315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94,6</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1EB4B1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87,2</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1AACCC2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220FEB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79,2</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76D8605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76,6</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5F4A36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84,2</w:t>
            </w:r>
          </w:p>
        </w:tc>
      </w:tr>
      <w:tr w:rsidR="004A0184" w:rsidRPr="00A546AD" w14:paraId="710F263D"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5A5020C"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35</w:t>
            </w:r>
          </w:p>
        </w:tc>
        <w:tc>
          <w:tcPr>
            <w:tcW w:w="925" w:type="dxa"/>
            <w:tcBorders>
              <w:top w:val="nil"/>
              <w:left w:val="nil"/>
              <w:bottom w:val="single" w:sz="4" w:space="0" w:color="auto"/>
              <w:right w:val="single" w:sz="4" w:space="0" w:color="auto"/>
            </w:tcBorders>
            <w:shd w:val="clear" w:color="auto" w:fill="auto"/>
            <w:vAlign w:val="bottom"/>
            <w:hideMark/>
          </w:tcPr>
          <w:p w14:paraId="664C701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Мумбай</w:t>
            </w:r>
          </w:p>
        </w:tc>
        <w:tc>
          <w:tcPr>
            <w:tcW w:w="1048" w:type="dxa"/>
            <w:tcBorders>
              <w:top w:val="nil"/>
              <w:left w:val="nil"/>
              <w:bottom w:val="single" w:sz="4" w:space="0" w:color="auto"/>
              <w:right w:val="single" w:sz="4" w:space="0" w:color="auto"/>
            </w:tcBorders>
            <w:shd w:val="clear" w:color="auto" w:fill="auto"/>
            <w:vAlign w:val="bottom"/>
            <w:hideMark/>
          </w:tcPr>
          <w:p w14:paraId="1D74BAC9"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Индия</w:t>
            </w:r>
          </w:p>
        </w:tc>
        <w:tc>
          <w:tcPr>
            <w:tcW w:w="661" w:type="dxa"/>
            <w:tcBorders>
              <w:top w:val="nil"/>
              <w:left w:val="nil"/>
              <w:bottom w:val="single" w:sz="4" w:space="0" w:color="auto"/>
              <w:right w:val="single" w:sz="4" w:space="0" w:color="auto"/>
            </w:tcBorders>
            <w:shd w:val="clear" w:color="000000" w:fill="92D050"/>
            <w:vAlign w:val="center"/>
            <w:hideMark/>
          </w:tcPr>
          <w:p w14:paraId="222E6CB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678</w:t>
            </w:r>
          </w:p>
        </w:tc>
        <w:tc>
          <w:tcPr>
            <w:tcW w:w="848" w:type="dxa"/>
            <w:tcBorders>
              <w:top w:val="nil"/>
              <w:left w:val="nil"/>
              <w:bottom w:val="single" w:sz="4" w:space="0" w:color="auto"/>
              <w:right w:val="single" w:sz="4" w:space="0" w:color="auto"/>
            </w:tcBorders>
            <w:shd w:val="clear" w:color="auto" w:fill="auto"/>
            <w:vAlign w:val="center"/>
            <w:hideMark/>
          </w:tcPr>
          <w:p w14:paraId="6A0E5F95"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India Mumbai</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730FE06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70,1</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31FFDF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81,2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D5F025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0EA798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E445442" w14:textId="02D123C4"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5E612E4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1388DD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1A55DB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41,2</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009510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62,0</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0767D0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72,4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CA7EBD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85,7</w:t>
            </w:r>
          </w:p>
        </w:tc>
      </w:tr>
      <w:tr w:rsidR="004A0184" w:rsidRPr="00A546AD" w14:paraId="3BB20C0F"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D3AE685"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36</w:t>
            </w:r>
          </w:p>
        </w:tc>
        <w:tc>
          <w:tcPr>
            <w:tcW w:w="925" w:type="dxa"/>
            <w:tcBorders>
              <w:top w:val="nil"/>
              <w:left w:val="nil"/>
              <w:bottom w:val="single" w:sz="4" w:space="0" w:color="auto"/>
              <w:right w:val="single" w:sz="4" w:space="0" w:color="auto"/>
            </w:tcBorders>
            <w:shd w:val="clear" w:color="auto" w:fill="auto"/>
            <w:vAlign w:val="bottom"/>
            <w:hideMark/>
          </w:tcPr>
          <w:p w14:paraId="07AA7FF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Копенгаген</w:t>
            </w:r>
          </w:p>
        </w:tc>
        <w:tc>
          <w:tcPr>
            <w:tcW w:w="1048" w:type="dxa"/>
            <w:tcBorders>
              <w:top w:val="nil"/>
              <w:left w:val="nil"/>
              <w:bottom w:val="single" w:sz="4" w:space="0" w:color="auto"/>
              <w:right w:val="single" w:sz="4" w:space="0" w:color="auto"/>
            </w:tcBorders>
            <w:shd w:val="clear" w:color="auto" w:fill="auto"/>
            <w:vAlign w:val="bottom"/>
            <w:hideMark/>
          </w:tcPr>
          <w:p w14:paraId="32FC061E"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Дания</w:t>
            </w:r>
          </w:p>
        </w:tc>
        <w:tc>
          <w:tcPr>
            <w:tcW w:w="661" w:type="dxa"/>
            <w:tcBorders>
              <w:top w:val="nil"/>
              <w:left w:val="nil"/>
              <w:bottom w:val="single" w:sz="4" w:space="0" w:color="auto"/>
              <w:right w:val="single" w:sz="4" w:space="0" w:color="auto"/>
            </w:tcBorders>
            <w:shd w:val="clear" w:color="000000" w:fill="92D050"/>
            <w:vAlign w:val="center"/>
            <w:hideMark/>
          </w:tcPr>
          <w:p w14:paraId="0983692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674</w:t>
            </w:r>
          </w:p>
        </w:tc>
        <w:tc>
          <w:tcPr>
            <w:tcW w:w="848" w:type="dxa"/>
            <w:tcBorders>
              <w:top w:val="nil"/>
              <w:left w:val="nil"/>
              <w:bottom w:val="single" w:sz="4" w:space="0" w:color="auto"/>
              <w:right w:val="single" w:sz="4" w:space="0" w:color="auto"/>
            </w:tcBorders>
            <w:shd w:val="clear" w:color="auto" w:fill="auto"/>
            <w:vAlign w:val="center"/>
            <w:hideMark/>
          </w:tcPr>
          <w:p w14:paraId="1165656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Denmark</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A09C53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85,3</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3DF0B5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92,7</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EC221C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89,9</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897AD9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DEB0D7D" w14:textId="2C55B779"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0D713E8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4C781A1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68D601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8ABF84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860457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87,9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05583E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90,2</w:t>
            </w:r>
          </w:p>
        </w:tc>
      </w:tr>
      <w:tr w:rsidR="004A0184" w:rsidRPr="00A546AD" w14:paraId="35197719"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8857ECE"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37</w:t>
            </w:r>
          </w:p>
        </w:tc>
        <w:tc>
          <w:tcPr>
            <w:tcW w:w="925" w:type="dxa"/>
            <w:tcBorders>
              <w:top w:val="nil"/>
              <w:left w:val="nil"/>
              <w:bottom w:val="single" w:sz="4" w:space="0" w:color="auto"/>
              <w:right w:val="single" w:sz="4" w:space="0" w:color="auto"/>
            </w:tcBorders>
            <w:shd w:val="clear" w:color="auto" w:fill="auto"/>
            <w:vAlign w:val="bottom"/>
            <w:hideMark/>
          </w:tcPr>
          <w:p w14:paraId="745E792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Штутгарт</w:t>
            </w:r>
          </w:p>
        </w:tc>
        <w:tc>
          <w:tcPr>
            <w:tcW w:w="1048" w:type="dxa"/>
            <w:tcBorders>
              <w:top w:val="nil"/>
              <w:left w:val="nil"/>
              <w:bottom w:val="single" w:sz="4" w:space="0" w:color="auto"/>
              <w:right w:val="single" w:sz="4" w:space="0" w:color="auto"/>
            </w:tcBorders>
            <w:shd w:val="clear" w:color="auto" w:fill="auto"/>
            <w:vAlign w:val="bottom"/>
            <w:hideMark/>
          </w:tcPr>
          <w:p w14:paraId="6759CE1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Германия</w:t>
            </w:r>
          </w:p>
        </w:tc>
        <w:tc>
          <w:tcPr>
            <w:tcW w:w="661" w:type="dxa"/>
            <w:tcBorders>
              <w:top w:val="nil"/>
              <w:left w:val="nil"/>
              <w:bottom w:val="single" w:sz="4" w:space="0" w:color="auto"/>
              <w:right w:val="single" w:sz="4" w:space="0" w:color="auto"/>
            </w:tcBorders>
            <w:shd w:val="clear" w:color="000000" w:fill="92D050"/>
            <w:vAlign w:val="center"/>
            <w:hideMark/>
          </w:tcPr>
          <w:p w14:paraId="7B441FC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672</w:t>
            </w:r>
          </w:p>
        </w:tc>
        <w:tc>
          <w:tcPr>
            <w:tcW w:w="848" w:type="dxa"/>
            <w:tcBorders>
              <w:top w:val="nil"/>
              <w:left w:val="nil"/>
              <w:bottom w:val="single" w:sz="4" w:space="0" w:color="auto"/>
              <w:right w:val="single" w:sz="4" w:space="0" w:color="auto"/>
            </w:tcBorders>
            <w:shd w:val="clear" w:color="auto" w:fill="auto"/>
            <w:vAlign w:val="center"/>
            <w:hideMark/>
          </w:tcPr>
          <w:p w14:paraId="7F84ADF9"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Germany</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6EAAFE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79,7</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46B1F5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83,7</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C9F029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B32F92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4D8C2926" w14:textId="6F6C694F"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5137F8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81141E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9191FA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3E0AF2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89,8</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DAD12D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3B86C2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98,8</w:t>
            </w:r>
          </w:p>
        </w:tc>
      </w:tr>
      <w:tr w:rsidR="004A0184" w:rsidRPr="00A546AD" w14:paraId="229F711E"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CFAC1A4"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38</w:t>
            </w:r>
          </w:p>
        </w:tc>
        <w:tc>
          <w:tcPr>
            <w:tcW w:w="925" w:type="dxa"/>
            <w:tcBorders>
              <w:top w:val="nil"/>
              <w:left w:val="nil"/>
              <w:bottom w:val="single" w:sz="4" w:space="0" w:color="auto"/>
              <w:right w:val="single" w:sz="4" w:space="0" w:color="auto"/>
            </w:tcBorders>
            <w:shd w:val="clear" w:color="auto" w:fill="auto"/>
            <w:vAlign w:val="bottom"/>
            <w:hideMark/>
          </w:tcPr>
          <w:p w14:paraId="2AE375F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Милан</w:t>
            </w:r>
          </w:p>
        </w:tc>
        <w:tc>
          <w:tcPr>
            <w:tcW w:w="1048" w:type="dxa"/>
            <w:tcBorders>
              <w:top w:val="nil"/>
              <w:left w:val="nil"/>
              <w:bottom w:val="single" w:sz="4" w:space="0" w:color="auto"/>
              <w:right w:val="single" w:sz="4" w:space="0" w:color="auto"/>
            </w:tcBorders>
            <w:shd w:val="clear" w:color="auto" w:fill="auto"/>
            <w:vAlign w:val="bottom"/>
            <w:hideMark/>
          </w:tcPr>
          <w:p w14:paraId="73313FD9"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Италия</w:t>
            </w:r>
          </w:p>
        </w:tc>
        <w:tc>
          <w:tcPr>
            <w:tcW w:w="661" w:type="dxa"/>
            <w:tcBorders>
              <w:top w:val="nil"/>
              <w:left w:val="nil"/>
              <w:bottom w:val="single" w:sz="4" w:space="0" w:color="auto"/>
              <w:right w:val="single" w:sz="4" w:space="0" w:color="auto"/>
            </w:tcBorders>
            <w:shd w:val="clear" w:color="000000" w:fill="92D050"/>
            <w:vAlign w:val="center"/>
            <w:hideMark/>
          </w:tcPr>
          <w:p w14:paraId="436B4DB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670</w:t>
            </w:r>
          </w:p>
        </w:tc>
        <w:tc>
          <w:tcPr>
            <w:tcW w:w="848" w:type="dxa"/>
            <w:tcBorders>
              <w:top w:val="nil"/>
              <w:left w:val="nil"/>
              <w:bottom w:val="single" w:sz="4" w:space="0" w:color="auto"/>
              <w:right w:val="single" w:sz="4" w:space="0" w:color="auto"/>
            </w:tcBorders>
            <w:shd w:val="clear" w:color="auto" w:fill="auto"/>
            <w:vAlign w:val="center"/>
            <w:hideMark/>
          </w:tcPr>
          <w:p w14:paraId="0692005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Italy</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656549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72,9</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8F8928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86,8</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31A252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D110AE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11DC6523" w14:textId="2D10F010"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64,0</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F20B71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64,0</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51DFE1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AA8E24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BFD097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56208D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CFA8A7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86,1</w:t>
            </w:r>
          </w:p>
        </w:tc>
      </w:tr>
      <w:tr w:rsidR="004A0184" w:rsidRPr="00A546AD" w14:paraId="0131A5F4"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9C35CF8"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39</w:t>
            </w:r>
          </w:p>
        </w:tc>
        <w:tc>
          <w:tcPr>
            <w:tcW w:w="925" w:type="dxa"/>
            <w:tcBorders>
              <w:top w:val="nil"/>
              <w:left w:val="nil"/>
              <w:bottom w:val="single" w:sz="4" w:space="0" w:color="auto"/>
              <w:right w:val="single" w:sz="4" w:space="0" w:color="auto"/>
            </w:tcBorders>
            <w:shd w:val="clear" w:color="auto" w:fill="auto"/>
            <w:vAlign w:val="bottom"/>
            <w:hideMark/>
          </w:tcPr>
          <w:p w14:paraId="36D2847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Осака</w:t>
            </w:r>
          </w:p>
        </w:tc>
        <w:tc>
          <w:tcPr>
            <w:tcW w:w="1048" w:type="dxa"/>
            <w:tcBorders>
              <w:top w:val="nil"/>
              <w:left w:val="nil"/>
              <w:bottom w:val="single" w:sz="4" w:space="0" w:color="auto"/>
              <w:right w:val="single" w:sz="4" w:space="0" w:color="auto"/>
            </w:tcBorders>
            <w:shd w:val="clear" w:color="auto" w:fill="auto"/>
            <w:vAlign w:val="bottom"/>
            <w:hideMark/>
          </w:tcPr>
          <w:p w14:paraId="4530921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Япония</w:t>
            </w:r>
          </w:p>
        </w:tc>
        <w:tc>
          <w:tcPr>
            <w:tcW w:w="661" w:type="dxa"/>
            <w:tcBorders>
              <w:top w:val="nil"/>
              <w:left w:val="nil"/>
              <w:bottom w:val="single" w:sz="4" w:space="0" w:color="auto"/>
              <w:right w:val="single" w:sz="4" w:space="0" w:color="auto"/>
            </w:tcBorders>
            <w:shd w:val="clear" w:color="000000" w:fill="92D050"/>
            <w:vAlign w:val="center"/>
            <w:hideMark/>
          </w:tcPr>
          <w:p w14:paraId="7360389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665</w:t>
            </w:r>
          </w:p>
        </w:tc>
        <w:tc>
          <w:tcPr>
            <w:tcW w:w="848" w:type="dxa"/>
            <w:tcBorders>
              <w:top w:val="nil"/>
              <w:left w:val="nil"/>
              <w:bottom w:val="single" w:sz="4" w:space="0" w:color="auto"/>
              <w:right w:val="single" w:sz="4" w:space="0" w:color="auto"/>
            </w:tcBorders>
            <w:shd w:val="clear" w:color="auto" w:fill="auto"/>
            <w:vAlign w:val="center"/>
            <w:hideMark/>
          </w:tcPr>
          <w:p w14:paraId="4D66FAD3"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Japan Osaka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94C755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78,4</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53FA4B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86,3</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59DE95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60DED5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F5840E3" w14:textId="7DD67318"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81,6</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7BE032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81,6</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F8CD6D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91A31B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65,3</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3CF159B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90,6</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20BE2C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D08AF1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97,8</w:t>
            </w:r>
          </w:p>
        </w:tc>
      </w:tr>
      <w:tr w:rsidR="004A0184" w:rsidRPr="00A546AD" w14:paraId="0797B179"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8B835B7"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40</w:t>
            </w:r>
          </w:p>
        </w:tc>
        <w:tc>
          <w:tcPr>
            <w:tcW w:w="925" w:type="dxa"/>
            <w:tcBorders>
              <w:top w:val="nil"/>
              <w:left w:val="nil"/>
              <w:bottom w:val="single" w:sz="4" w:space="0" w:color="auto"/>
              <w:right w:val="single" w:sz="4" w:space="0" w:color="auto"/>
            </w:tcBorders>
            <w:shd w:val="clear" w:color="auto" w:fill="auto"/>
            <w:vAlign w:val="bottom"/>
            <w:hideMark/>
          </w:tcPr>
          <w:p w14:paraId="7DF19089"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Пусан</w:t>
            </w:r>
          </w:p>
        </w:tc>
        <w:tc>
          <w:tcPr>
            <w:tcW w:w="1048" w:type="dxa"/>
            <w:tcBorders>
              <w:top w:val="nil"/>
              <w:left w:val="nil"/>
              <w:bottom w:val="single" w:sz="4" w:space="0" w:color="auto"/>
              <w:right w:val="single" w:sz="4" w:space="0" w:color="auto"/>
            </w:tcBorders>
            <w:shd w:val="clear" w:color="auto" w:fill="auto"/>
            <w:vAlign w:val="bottom"/>
            <w:hideMark/>
          </w:tcPr>
          <w:p w14:paraId="3742C20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Республика Корея</w:t>
            </w:r>
          </w:p>
        </w:tc>
        <w:tc>
          <w:tcPr>
            <w:tcW w:w="661" w:type="dxa"/>
            <w:tcBorders>
              <w:top w:val="nil"/>
              <w:left w:val="nil"/>
              <w:bottom w:val="single" w:sz="4" w:space="0" w:color="auto"/>
              <w:right w:val="single" w:sz="4" w:space="0" w:color="auto"/>
            </w:tcBorders>
            <w:shd w:val="clear" w:color="000000" w:fill="92D050"/>
            <w:vAlign w:val="center"/>
            <w:hideMark/>
          </w:tcPr>
          <w:p w14:paraId="171A032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664</w:t>
            </w:r>
          </w:p>
        </w:tc>
        <w:tc>
          <w:tcPr>
            <w:tcW w:w="848" w:type="dxa"/>
            <w:tcBorders>
              <w:top w:val="nil"/>
              <w:left w:val="nil"/>
              <w:bottom w:val="single" w:sz="4" w:space="0" w:color="auto"/>
              <w:right w:val="single" w:sz="4" w:space="0" w:color="auto"/>
            </w:tcBorders>
            <w:shd w:val="clear" w:color="auto" w:fill="auto"/>
            <w:vAlign w:val="center"/>
            <w:hideMark/>
          </w:tcPr>
          <w:p w14:paraId="5BF8822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Korea, Rep.</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6EDF14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514DDDA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33E081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76,3</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DCA51A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5AC071C" w14:textId="270A6565"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87,4</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399658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87,4</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ED9F51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A9D556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0E1C0D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82,9</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FAF8D9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CD8789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99,9</w:t>
            </w:r>
          </w:p>
        </w:tc>
      </w:tr>
      <w:tr w:rsidR="004A0184" w:rsidRPr="00A546AD" w14:paraId="5254032B" w14:textId="77777777" w:rsidTr="00F5756A">
        <w:trPr>
          <w:trHeight w:val="6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180164B"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41</w:t>
            </w:r>
          </w:p>
        </w:tc>
        <w:tc>
          <w:tcPr>
            <w:tcW w:w="925" w:type="dxa"/>
            <w:tcBorders>
              <w:top w:val="nil"/>
              <w:left w:val="nil"/>
              <w:bottom w:val="single" w:sz="4" w:space="0" w:color="auto"/>
              <w:right w:val="single" w:sz="4" w:space="0" w:color="auto"/>
            </w:tcBorders>
            <w:shd w:val="clear" w:color="auto" w:fill="auto"/>
            <w:vAlign w:val="bottom"/>
            <w:hideMark/>
          </w:tcPr>
          <w:p w14:paraId="09E422F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Куала-Лумпур</w:t>
            </w:r>
          </w:p>
        </w:tc>
        <w:tc>
          <w:tcPr>
            <w:tcW w:w="1048" w:type="dxa"/>
            <w:tcBorders>
              <w:top w:val="nil"/>
              <w:left w:val="nil"/>
              <w:bottom w:val="single" w:sz="4" w:space="0" w:color="auto"/>
              <w:right w:val="single" w:sz="4" w:space="0" w:color="auto"/>
            </w:tcBorders>
            <w:shd w:val="clear" w:color="auto" w:fill="auto"/>
            <w:vAlign w:val="bottom"/>
            <w:hideMark/>
          </w:tcPr>
          <w:p w14:paraId="101D86BE"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Малайзия</w:t>
            </w:r>
          </w:p>
        </w:tc>
        <w:tc>
          <w:tcPr>
            <w:tcW w:w="661" w:type="dxa"/>
            <w:tcBorders>
              <w:top w:val="nil"/>
              <w:left w:val="nil"/>
              <w:bottom w:val="single" w:sz="4" w:space="0" w:color="auto"/>
              <w:right w:val="single" w:sz="4" w:space="0" w:color="auto"/>
            </w:tcBorders>
            <w:shd w:val="clear" w:color="000000" w:fill="92D050"/>
            <w:vAlign w:val="center"/>
            <w:hideMark/>
          </w:tcPr>
          <w:p w14:paraId="57C6DEE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663</w:t>
            </w:r>
          </w:p>
        </w:tc>
        <w:tc>
          <w:tcPr>
            <w:tcW w:w="848" w:type="dxa"/>
            <w:tcBorders>
              <w:top w:val="nil"/>
              <w:left w:val="nil"/>
              <w:bottom w:val="single" w:sz="4" w:space="0" w:color="auto"/>
              <w:right w:val="single" w:sz="4" w:space="0" w:color="auto"/>
            </w:tcBorders>
            <w:shd w:val="clear" w:color="auto" w:fill="auto"/>
            <w:vAlign w:val="center"/>
            <w:hideMark/>
          </w:tcPr>
          <w:p w14:paraId="0362CA8C"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Malaysia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41D9FC1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81,5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2A7D3F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83,3</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B7BB6D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79,5</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34226FE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82CFA25" w14:textId="54E088F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76,0</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60851A8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76,0</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D56C87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556466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68,2</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9D7423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67,0</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2143AA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89,9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D1B107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99,3</w:t>
            </w:r>
          </w:p>
        </w:tc>
      </w:tr>
      <w:tr w:rsidR="004A0184" w:rsidRPr="00A546AD" w14:paraId="06A321DB"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C0A6335"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42</w:t>
            </w:r>
          </w:p>
        </w:tc>
        <w:tc>
          <w:tcPr>
            <w:tcW w:w="925" w:type="dxa"/>
            <w:tcBorders>
              <w:top w:val="nil"/>
              <w:left w:val="nil"/>
              <w:bottom w:val="single" w:sz="4" w:space="0" w:color="auto"/>
              <w:right w:val="single" w:sz="4" w:space="0" w:color="auto"/>
            </w:tcBorders>
            <w:shd w:val="clear" w:color="auto" w:fill="auto"/>
            <w:vAlign w:val="bottom"/>
            <w:hideMark/>
          </w:tcPr>
          <w:p w14:paraId="358CD93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Тайпей</w:t>
            </w:r>
          </w:p>
        </w:tc>
        <w:tc>
          <w:tcPr>
            <w:tcW w:w="1048" w:type="dxa"/>
            <w:tcBorders>
              <w:top w:val="nil"/>
              <w:left w:val="nil"/>
              <w:bottom w:val="single" w:sz="4" w:space="0" w:color="auto"/>
              <w:right w:val="single" w:sz="4" w:space="0" w:color="auto"/>
            </w:tcBorders>
            <w:shd w:val="clear" w:color="auto" w:fill="auto"/>
            <w:vAlign w:val="bottom"/>
            <w:hideMark/>
          </w:tcPr>
          <w:p w14:paraId="77771C6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Тайвань</w:t>
            </w:r>
          </w:p>
        </w:tc>
        <w:tc>
          <w:tcPr>
            <w:tcW w:w="661" w:type="dxa"/>
            <w:tcBorders>
              <w:top w:val="nil"/>
              <w:left w:val="nil"/>
              <w:bottom w:val="single" w:sz="4" w:space="0" w:color="auto"/>
              <w:right w:val="single" w:sz="4" w:space="0" w:color="auto"/>
            </w:tcBorders>
            <w:shd w:val="clear" w:color="000000" w:fill="92D050"/>
            <w:vAlign w:val="center"/>
            <w:hideMark/>
          </w:tcPr>
          <w:p w14:paraId="2F8A79E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662</w:t>
            </w:r>
          </w:p>
        </w:tc>
        <w:tc>
          <w:tcPr>
            <w:tcW w:w="848" w:type="dxa"/>
            <w:tcBorders>
              <w:top w:val="nil"/>
              <w:left w:val="nil"/>
              <w:bottom w:val="single" w:sz="4" w:space="0" w:color="auto"/>
              <w:right w:val="single" w:sz="4" w:space="0" w:color="auto"/>
            </w:tcBorders>
            <w:shd w:val="clear" w:color="auto" w:fill="auto"/>
            <w:vAlign w:val="center"/>
            <w:hideMark/>
          </w:tcPr>
          <w:p w14:paraId="6E7494DF"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Taiwan, China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380DB3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80,9</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5167CC7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61BBD2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83,9</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1339B4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3D85857" w14:textId="44F34B30"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84,3</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DC1FD3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84,3</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61CDBE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84,9</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C2D4FD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315BB40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617609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87,1</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9E1631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96,3</w:t>
            </w:r>
          </w:p>
        </w:tc>
      </w:tr>
      <w:tr w:rsidR="004A0184" w:rsidRPr="00A546AD" w14:paraId="5CDBD381"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B568063"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43</w:t>
            </w:r>
          </w:p>
        </w:tc>
        <w:tc>
          <w:tcPr>
            <w:tcW w:w="925" w:type="dxa"/>
            <w:tcBorders>
              <w:top w:val="nil"/>
              <w:left w:val="nil"/>
              <w:bottom w:val="single" w:sz="4" w:space="0" w:color="auto"/>
              <w:right w:val="single" w:sz="4" w:space="0" w:color="auto"/>
            </w:tcBorders>
            <w:shd w:val="clear" w:color="auto" w:fill="auto"/>
            <w:vAlign w:val="bottom"/>
            <w:hideMark/>
          </w:tcPr>
          <w:p w14:paraId="008827C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Чэнду</w:t>
            </w:r>
          </w:p>
        </w:tc>
        <w:tc>
          <w:tcPr>
            <w:tcW w:w="1048" w:type="dxa"/>
            <w:tcBorders>
              <w:top w:val="nil"/>
              <w:left w:val="nil"/>
              <w:bottom w:val="single" w:sz="4" w:space="0" w:color="auto"/>
              <w:right w:val="single" w:sz="4" w:space="0" w:color="auto"/>
            </w:tcBorders>
            <w:shd w:val="clear" w:color="auto" w:fill="auto"/>
            <w:vAlign w:val="bottom"/>
            <w:hideMark/>
          </w:tcPr>
          <w:p w14:paraId="026B315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single" w:sz="4" w:space="0" w:color="auto"/>
              <w:right w:val="single" w:sz="4" w:space="0" w:color="auto"/>
            </w:tcBorders>
            <w:shd w:val="clear" w:color="000000" w:fill="92D050"/>
            <w:vAlign w:val="center"/>
            <w:hideMark/>
          </w:tcPr>
          <w:p w14:paraId="6550E95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659</w:t>
            </w:r>
          </w:p>
        </w:tc>
        <w:tc>
          <w:tcPr>
            <w:tcW w:w="848" w:type="dxa"/>
            <w:tcBorders>
              <w:top w:val="nil"/>
              <w:left w:val="nil"/>
              <w:bottom w:val="single" w:sz="4" w:space="0" w:color="auto"/>
              <w:right w:val="single" w:sz="4" w:space="0" w:color="auto"/>
            </w:tcBorders>
            <w:shd w:val="clear" w:color="auto" w:fill="auto"/>
            <w:vAlign w:val="center"/>
            <w:hideMark/>
          </w:tcPr>
          <w:p w14:paraId="6C13A06D"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398FDA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F47F25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628EB6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ADC2C5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B9E79A6" w14:textId="44985A03"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9AD9FE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4DD6A5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D466A1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161F62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62D66F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6D5384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r w:rsidR="004A0184" w:rsidRPr="00A546AD" w14:paraId="01578E24"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84DD70C"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44</w:t>
            </w:r>
          </w:p>
        </w:tc>
        <w:tc>
          <w:tcPr>
            <w:tcW w:w="925" w:type="dxa"/>
            <w:tcBorders>
              <w:top w:val="nil"/>
              <w:left w:val="nil"/>
              <w:bottom w:val="single" w:sz="4" w:space="0" w:color="auto"/>
              <w:right w:val="single" w:sz="4" w:space="0" w:color="auto"/>
            </w:tcBorders>
            <w:shd w:val="clear" w:color="auto" w:fill="auto"/>
            <w:vAlign w:val="bottom"/>
            <w:hideMark/>
          </w:tcPr>
          <w:p w14:paraId="5D3FE9B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Веллингтон</w:t>
            </w:r>
          </w:p>
        </w:tc>
        <w:tc>
          <w:tcPr>
            <w:tcW w:w="1048" w:type="dxa"/>
            <w:tcBorders>
              <w:top w:val="nil"/>
              <w:left w:val="nil"/>
              <w:bottom w:val="single" w:sz="4" w:space="0" w:color="auto"/>
              <w:right w:val="single" w:sz="4" w:space="0" w:color="auto"/>
            </w:tcBorders>
            <w:shd w:val="clear" w:color="auto" w:fill="auto"/>
            <w:vAlign w:val="bottom"/>
            <w:hideMark/>
          </w:tcPr>
          <w:p w14:paraId="77F6AD3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Новая Зеландия</w:t>
            </w:r>
          </w:p>
        </w:tc>
        <w:tc>
          <w:tcPr>
            <w:tcW w:w="661" w:type="dxa"/>
            <w:tcBorders>
              <w:top w:val="nil"/>
              <w:left w:val="nil"/>
              <w:bottom w:val="single" w:sz="4" w:space="0" w:color="auto"/>
              <w:right w:val="single" w:sz="4" w:space="0" w:color="auto"/>
            </w:tcBorders>
            <w:shd w:val="clear" w:color="000000" w:fill="92D050"/>
            <w:vAlign w:val="center"/>
            <w:hideMark/>
          </w:tcPr>
          <w:p w14:paraId="4D60ABC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657</w:t>
            </w:r>
          </w:p>
        </w:tc>
        <w:tc>
          <w:tcPr>
            <w:tcW w:w="848" w:type="dxa"/>
            <w:tcBorders>
              <w:top w:val="nil"/>
              <w:left w:val="nil"/>
              <w:bottom w:val="single" w:sz="4" w:space="0" w:color="auto"/>
              <w:right w:val="single" w:sz="4" w:space="0" w:color="auto"/>
            </w:tcBorders>
            <w:shd w:val="clear" w:color="auto" w:fill="auto"/>
            <w:vAlign w:val="center"/>
            <w:hideMark/>
          </w:tcPr>
          <w:p w14:paraId="10AA5772"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New Zealand</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23957D6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86,8</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8F80A4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100,0</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EAEC19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3145DDD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05BE049" w14:textId="23C1FC4F"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91,0</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FB83B4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91,0</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9C77FD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84,6</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1581366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71,5</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910BD3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238093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86,5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AC5CD0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84,0</w:t>
            </w:r>
          </w:p>
        </w:tc>
      </w:tr>
      <w:tr w:rsidR="004A0184" w:rsidRPr="00A546AD" w14:paraId="1E1661A9"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6F4B394"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45</w:t>
            </w:r>
          </w:p>
        </w:tc>
        <w:tc>
          <w:tcPr>
            <w:tcW w:w="925" w:type="dxa"/>
            <w:tcBorders>
              <w:top w:val="nil"/>
              <w:left w:val="nil"/>
              <w:bottom w:val="single" w:sz="4" w:space="0" w:color="auto"/>
              <w:right w:val="single" w:sz="4" w:space="0" w:color="auto"/>
            </w:tcBorders>
            <w:shd w:val="clear" w:color="auto" w:fill="auto"/>
            <w:vAlign w:val="bottom"/>
            <w:hideMark/>
          </w:tcPr>
          <w:p w14:paraId="4499E69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Тель-Авив</w:t>
            </w:r>
          </w:p>
        </w:tc>
        <w:tc>
          <w:tcPr>
            <w:tcW w:w="1048" w:type="dxa"/>
            <w:tcBorders>
              <w:top w:val="nil"/>
              <w:left w:val="nil"/>
              <w:bottom w:val="single" w:sz="4" w:space="0" w:color="auto"/>
              <w:right w:val="single" w:sz="4" w:space="0" w:color="auto"/>
            </w:tcBorders>
            <w:shd w:val="clear" w:color="auto" w:fill="auto"/>
            <w:vAlign w:val="bottom"/>
            <w:hideMark/>
          </w:tcPr>
          <w:p w14:paraId="5F30328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Израиль</w:t>
            </w:r>
          </w:p>
        </w:tc>
        <w:tc>
          <w:tcPr>
            <w:tcW w:w="661" w:type="dxa"/>
            <w:tcBorders>
              <w:top w:val="nil"/>
              <w:left w:val="nil"/>
              <w:bottom w:val="single" w:sz="4" w:space="0" w:color="auto"/>
              <w:right w:val="single" w:sz="4" w:space="0" w:color="auto"/>
            </w:tcBorders>
            <w:shd w:val="clear" w:color="000000" w:fill="92D050"/>
            <w:vAlign w:val="center"/>
            <w:hideMark/>
          </w:tcPr>
          <w:p w14:paraId="570FCE1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656</w:t>
            </w:r>
          </w:p>
        </w:tc>
        <w:tc>
          <w:tcPr>
            <w:tcW w:w="848" w:type="dxa"/>
            <w:tcBorders>
              <w:top w:val="nil"/>
              <w:left w:val="nil"/>
              <w:bottom w:val="single" w:sz="4" w:space="0" w:color="auto"/>
              <w:right w:val="single" w:sz="4" w:space="0" w:color="auto"/>
            </w:tcBorders>
            <w:shd w:val="clear" w:color="auto" w:fill="auto"/>
            <w:vAlign w:val="center"/>
            <w:hideMark/>
          </w:tcPr>
          <w:p w14:paraId="14615EA2"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Israel</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7D8AB97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76,7</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DFB456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94,1</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BA3766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9017D4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192EA617" w14:textId="63F926A8"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89,6</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DA68FC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89,6</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9E6B3C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28D095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07ABC26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72,7</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34D5F3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A4B194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76,2</w:t>
            </w:r>
          </w:p>
        </w:tc>
      </w:tr>
      <w:tr w:rsidR="004A0184" w:rsidRPr="00A546AD" w14:paraId="7C6765CF"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BAD5D32"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46</w:t>
            </w:r>
          </w:p>
        </w:tc>
        <w:tc>
          <w:tcPr>
            <w:tcW w:w="925" w:type="dxa"/>
            <w:tcBorders>
              <w:top w:val="nil"/>
              <w:left w:val="nil"/>
              <w:bottom w:val="single" w:sz="4" w:space="0" w:color="auto"/>
              <w:right w:val="single" w:sz="4" w:space="0" w:color="auto"/>
            </w:tcBorders>
            <w:shd w:val="clear" w:color="auto" w:fill="auto"/>
            <w:vAlign w:val="bottom"/>
            <w:hideMark/>
          </w:tcPr>
          <w:p w14:paraId="24DD27F9"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Касабланка</w:t>
            </w:r>
          </w:p>
        </w:tc>
        <w:tc>
          <w:tcPr>
            <w:tcW w:w="1048" w:type="dxa"/>
            <w:tcBorders>
              <w:top w:val="nil"/>
              <w:left w:val="nil"/>
              <w:bottom w:val="single" w:sz="4" w:space="0" w:color="auto"/>
              <w:right w:val="single" w:sz="4" w:space="0" w:color="auto"/>
            </w:tcBorders>
            <w:shd w:val="clear" w:color="auto" w:fill="auto"/>
            <w:vAlign w:val="bottom"/>
            <w:hideMark/>
          </w:tcPr>
          <w:p w14:paraId="53534902"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Марокко</w:t>
            </w:r>
          </w:p>
        </w:tc>
        <w:tc>
          <w:tcPr>
            <w:tcW w:w="661" w:type="dxa"/>
            <w:tcBorders>
              <w:top w:val="nil"/>
              <w:left w:val="nil"/>
              <w:bottom w:val="single" w:sz="4" w:space="0" w:color="auto"/>
              <w:right w:val="single" w:sz="4" w:space="0" w:color="auto"/>
            </w:tcBorders>
            <w:shd w:val="clear" w:color="000000" w:fill="92D050"/>
            <w:vAlign w:val="center"/>
            <w:hideMark/>
          </w:tcPr>
          <w:p w14:paraId="3D24AB7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655</w:t>
            </w:r>
          </w:p>
        </w:tc>
        <w:tc>
          <w:tcPr>
            <w:tcW w:w="848" w:type="dxa"/>
            <w:tcBorders>
              <w:top w:val="nil"/>
              <w:left w:val="nil"/>
              <w:bottom w:val="single" w:sz="4" w:space="0" w:color="auto"/>
              <w:right w:val="single" w:sz="4" w:space="0" w:color="auto"/>
            </w:tcBorders>
            <w:shd w:val="clear" w:color="auto" w:fill="auto"/>
            <w:vAlign w:val="center"/>
            <w:hideMark/>
          </w:tcPr>
          <w:p w14:paraId="42D3CB7A"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Morocco</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5F248D3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73,4</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84ADFB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93,0</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B75035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65,8</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30DD94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5545260" w14:textId="684CF191"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6EE91CD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003660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85,6</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1D6CF36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7C1A0D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52,9</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A4510A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69D523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87,3</w:t>
            </w:r>
          </w:p>
        </w:tc>
      </w:tr>
      <w:tr w:rsidR="004A0184" w:rsidRPr="00A546AD" w14:paraId="00F6C511"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5B9BCFF"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47</w:t>
            </w:r>
          </w:p>
        </w:tc>
        <w:tc>
          <w:tcPr>
            <w:tcW w:w="925" w:type="dxa"/>
            <w:tcBorders>
              <w:top w:val="nil"/>
              <w:left w:val="nil"/>
              <w:bottom w:val="single" w:sz="4" w:space="0" w:color="auto"/>
              <w:right w:val="single" w:sz="4" w:space="0" w:color="auto"/>
            </w:tcBorders>
            <w:shd w:val="clear" w:color="auto" w:fill="auto"/>
            <w:vAlign w:val="bottom"/>
            <w:hideMark/>
          </w:tcPr>
          <w:p w14:paraId="619453C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Циндао</w:t>
            </w:r>
          </w:p>
        </w:tc>
        <w:tc>
          <w:tcPr>
            <w:tcW w:w="1048" w:type="dxa"/>
            <w:tcBorders>
              <w:top w:val="nil"/>
              <w:left w:val="nil"/>
              <w:bottom w:val="single" w:sz="4" w:space="0" w:color="auto"/>
              <w:right w:val="single" w:sz="4" w:space="0" w:color="auto"/>
            </w:tcBorders>
            <w:shd w:val="clear" w:color="auto" w:fill="auto"/>
            <w:vAlign w:val="bottom"/>
            <w:hideMark/>
          </w:tcPr>
          <w:p w14:paraId="125F14F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single" w:sz="4" w:space="0" w:color="auto"/>
              <w:right w:val="single" w:sz="4" w:space="0" w:color="auto"/>
            </w:tcBorders>
            <w:shd w:val="clear" w:color="000000" w:fill="92D050"/>
            <w:vAlign w:val="center"/>
            <w:hideMark/>
          </w:tcPr>
          <w:p w14:paraId="64B53F5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654</w:t>
            </w:r>
          </w:p>
        </w:tc>
        <w:tc>
          <w:tcPr>
            <w:tcW w:w="848" w:type="dxa"/>
            <w:tcBorders>
              <w:top w:val="nil"/>
              <w:left w:val="nil"/>
              <w:bottom w:val="single" w:sz="4" w:space="0" w:color="auto"/>
              <w:right w:val="single" w:sz="4" w:space="0" w:color="auto"/>
            </w:tcBorders>
            <w:shd w:val="clear" w:color="auto" w:fill="auto"/>
            <w:vAlign w:val="center"/>
            <w:hideMark/>
          </w:tcPr>
          <w:p w14:paraId="184C027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2E34D8C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C6E1E3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78B0E5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CB1BC9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99D451A" w14:textId="6ADC2F26"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170B22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B6FC62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A12B32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3A6F638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E49871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5D113F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r w:rsidR="004A0184" w:rsidRPr="00A546AD" w14:paraId="215DD09B"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5F2DFB7"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48</w:t>
            </w:r>
          </w:p>
        </w:tc>
        <w:tc>
          <w:tcPr>
            <w:tcW w:w="925" w:type="dxa"/>
            <w:tcBorders>
              <w:top w:val="nil"/>
              <w:left w:val="nil"/>
              <w:bottom w:val="single" w:sz="4" w:space="0" w:color="auto"/>
              <w:right w:val="single" w:sz="4" w:space="0" w:color="auto"/>
            </w:tcBorders>
            <w:shd w:val="clear" w:color="auto" w:fill="auto"/>
            <w:vAlign w:val="bottom"/>
            <w:hideMark/>
          </w:tcPr>
          <w:p w14:paraId="217D2E59"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Мюнхен</w:t>
            </w:r>
          </w:p>
        </w:tc>
        <w:tc>
          <w:tcPr>
            <w:tcW w:w="1048" w:type="dxa"/>
            <w:tcBorders>
              <w:top w:val="nil"/>
              <w:left w:val="nil"/>
              <w:bottom w:val="single" w:sz="4" w:space="0" w:color="auto"/>
              <w:right w:val="single" w:sz="4" w:space="0" w:color="auto"/>
            </w:tcBorders>
            <w:shd w:val="clear" w:color="auto" w:fill="auto"/>
            <w:vAlign w:val="bottom"/>
            <w:hideMark/>
          </w:tcPr>
          <w:p w14:paraId="5A67DA8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Германия</w:t>
            </w:r>
          </w:p>
        </w:tc>
        <w:tc>
          <w:tcPr>
            <w:tcW w:w="661" w:type="dxa"/>
            <w:tcBorders>
              <w:top w:val="nil"/>
              <w:left w:val="nil"/>
              <w:bottom w:val="single" w:sz="4" w:space="0" w:color="auto"/>
              <w:right w:val="single" w:sz="4" w:space="0" w:color="auto"/>
            </w:tcBorders>
            <w:shd w:val="clear" w:color="000000" w:fill="92D050"/>
            <w:vAlign w:val="center"/>
            <w:hideMark/>
          </w:tcPr>
          <w:p w14:paraId="5D36FBC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653</w:t>
            </w:r>
          </w:p>
        </w:tc>
        <w:tc>
          <w:tcPr>
            <w:tcW w:w="848" w:type="dxa"/>
            <w:tcBorders>
              <w:top w:val="nil"/>
              <w:left w:val="nil"/>
              <w:bottom w:val="single" w:sz="4" w:space="0" w:color="auto"/>
              <w:right w:val="single" w:sz="4" w:space="0" w:color="auto"/>
            </w:tcBorders>
            <w:shd w:val="clear" w:color="auto" w:fill="auto"/>
            <w:vAlign w:val="center"/>
            <w:hideMark/>
          </w:tcPr>
          <w:p w14:paraId="21656F76"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Germany</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8B34FA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79,7</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204DFE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83,7</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00DF63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2AB3AE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E00709D" w14:textId="1C09BF1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1ECFAB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B5A595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421BD1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D60D40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89,8</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6B3103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E8221F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98,8</w:t>
            </w:r>
          </w:p>
        </w:tc>
      </w:tr>
      <w:tr w:rsidR="004A0184" w:rsidRPr="00A546AD" w14:paraId="5E6B687D"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71895EA"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49</w:t>
            </w:r>
          </w:p>
        </w:tc>
        <w:tc>
          <w:tcPr>
            <w:tcW w:w="925" w:type="dxa"/>
            <w:tcBorders>
              <w:top w:val="nil"/>
              <w:left w:val="nil"/>
              <w:bottom w:val="single" w:sz="4" w:space="0" w:color="auto"/>
              <w:right w:val="single" w:sz="4" w:space="0" w:color="auto"/>
            </w:tcBorders>
            <w:shd w:val="clear" w:color="auto" w:fill="auto"/>
            <w:vAlign w:val="bottom"/>
            <w:hideMark/>
          </w:tcPr>
          <w:p w14:paraId="753BF00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Нью-Дели</w:t>
            </w:r>
          </w:p>
        </w:tc>
        <w:tc>
          <w:tcPr>
            <w:tcW w:w="1048" w:type="dxa"/>
            <w:tcBorders>
              <w:top w:val="nil"/>
              <w:left w:val="nil"/>
              <w:bottom w:val="single" w:sz="4" w:space="0" w:color="auto"/>
              <w:right w:val="single" w:sz="4" w:space="0" w:color="auto"/>
            </w:tcBorders>
            <w:shd w:val="clear" w:color="auto" w:fill="auto"/>
            <w:vAlign w:val="bottom"/>
            <w:hideMark/>
          </w:tcPr>
          <w:p w14:paraId="1774E57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Индия</w:t>
            </w:r>
          </w:p>
        </w:tc>
        <w:tc>
          <w:tcPr>
            <w:tcW w:w="661" w:type="dxa"/>
            <w:tcBorders>
              <w:top w:val="nil"/>
              <w:left w:val="nil"/>
              <w:bottom w:val="single" w:sz="4" w:space="0" w:color="auto"/>
              <w:right w:val="single" w:sz="4" w:space="0" w:color="auto"/>
            </w:tcBorders>
            <w:shd w:val="clear" w:color="000000" w:fill="92D050"/>
            <w:vAlign w:val="center"/>
            <w:hideMark/>
          </w:tcPr>
          <w:p w14:paraId="7A9499E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652</w:t>
            </w:r>
          </w:p>
        </w:tc>
        <w:tc>
          <w:tcPr>
            <w:tcW w:w="848" w:type="dxa"/>
            <w:tcBorders>
              <w:top w:val="nil"/>
              <w:left w:val="nil"/>
              <w:bottom w:val="single" w:sz="4" w:space="0" w:color="auto"/>
              <w:right w:val="single" w:sz="4" w:space="0" w:color="auto"/>
            </w:tcBorders>
            <w:shd w:val="clear" w:color="auto" w:fill="auto"/>
            <w:vAlign w:val="center"/>
            <w:hideMark/>
          </w:tcPr>
          <w:p w14:paraId="31E0A37C"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India Delhi</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C43628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71,9</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028B24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82,0</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44C660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45,8</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1F3B7C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DDEE261" w14:textId="3CF4999E"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5A9F71F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1E4CD1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82,7</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19C4DC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41,2</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45FEEF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62,0</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7F5FF56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F56C25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92,6</w:t>
            </w:r>
          </w:p>
        </w:tc>
      </w:tr>
      <w:tr w:rsidR="004A0184" w:rsidRPr="00A546AD" w14:paraId="314909A4"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994632B"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50</w:t>
            </w:r>
          </w:p>
        </w:tc>
        <w:tc>
          <w:tcPr>
            <w:tcW w:w="925" w:type="dxa"/>
            <w:tcBorders>
              <w:top w:val="nil"/>
              <w:left w:val="nil"/>
              <w:bottom w:val="single" w:sz="4" w:space="0" w:color="auto"/>
              <w:right w:val="single" w:sz="4" w:space="0" w:color="auto"/>
            </w:tcBorders>
            <w:shd w:val="clear" w:color="auto" w:fill="auto"/>
            <w:vAlign w:val="bottom"/>
            <w:hideMark/>
          </w:tcPr>
          <w:p w14:paraId="2CAD47B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Осло</w:t>
            </w:r>
          </w:p>
        </w:tc>
        <w:tc>
          <w:tcPr>
            <w:tcW w:w="1048" w:type="dxa"/>
            <w:tcBorders>
              <w:top w:val="nil"/>
              <w:left w:val="nil"/>
              <w:bottom w:val="single" w:sz="4" w:space="0" w:color="auto"/>
              <w:right w:val="single" w:sz="4" w:space="0" w:color="auto"/>
            </w:tcBorders>
            <w:shd w:val="clear" w:color="auto" w:fill="auto"/>
            <w:vAlign w:val="bottom"/>
            <w:hideMark/>
          </w:tcPr>
          <w:p w14:paraId="0EA4B17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Норвегия</w:t>
            </w:r>
          </w:p>
        </w:tc>
        <w:tc>
          <w:tcPr>
            <w:tcW w:w="661" w:type="dxa"/>
            <w:tcBorders>
              <w:top w:val="nil"/>
              <w:left w:val="nil"/>
              <w:bottom w:val="single" w:sz="4" w:space="0" w:color="auto"/>
              <w:right w:val="single" w:sz="4" w:space="0" w:color="auto"/>
            </w:tcBorders>
            <w:shd w:val="clear" w:color="000000" w:fill="92D050"/>
            <w:vAlign w:val="center"/>
            <w:hideMark/>
          </w:tcPr>
          <w:p w14:paraId="5F39CDD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651</w:t>
            </w:r>
          </w:p>
        </w:tc>
        <w:tc>
          <w:tcPr>
            <w:tcW w:w="848" w:type="dxa"/>
            <w:tcBorders>
              <w:top w:val="nil"/>
              <w:left w:val="nil"/>
              <w:bottom w:val="single" w:sz="4" w:space="0" w:color="auto"/>
              <w:right w:val="single" w:sz="4" w:space="0" w:color="auto"/>
            </w:tcBorders>
            <w:shd w:val="clear" w:color="auto" w:fill="auto"/>
            <w:vAlign w:val="center"/>
            <w:hideMark/>
          </w:tcPr>
          <w:p w14:paraId="479BA619"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Norway</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4BB6FB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82,6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5B8F09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94,3</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2F253B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87,3</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581F67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5D9C193" w14:textId="0EB60816"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DE3E5A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AEE8C9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4C95456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81,3</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594E04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85,4</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0B6DE04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80,6</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142231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84,3</w:t>
            </w:r>
          </w:p>
        </w:tc>
      </w:tr>
      <w:tr w:rsidR="004A0184" w:rsidRPr="00A546AD" w14:paraId="594E970C"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A039BB6"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51</w:t>
            </w:r>
          </w:p>
        </w:tc>
        <w:tc>
          <w:tcPr>
            <w:tcW w:w="925" w:type="dxa"/>
            <w:tcBorders>
              <w:top w:val="nil"/>
              <w:left w:val="nil"/>
              <w:bottom w:val="single" w:sz="4" w:space="0" w:color="auto"/>
              <w:right w:val="single" w:sz="4" w:space="0" w:color="auto"/>
            </w:tcBorders>
            <w:shd w:val="clear" w:color="auto" w:fill="auto"/>
            <w:vAlign w:val="bottom"/>
            <w:hideMark/>
          </w:tcPr>
          <w:p w14:paraId="57798BB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Калгари</w:t>
            </w:r>
          </w:p>
        </w:tc>
        <w:tc>
          <w:tcPr>
            <w:tcW w:w="1048" w:type="dxa"/>
            <w:tcBorders>
              <w:top w:val="nil"/>
              <w:left w:val="nil"/>
              <w:bottom w:val="single" w:sz="4" w:space="0" w:color="auto"/>
              <w:right w:val="single" w:sz="4" w:space="0" w:color="auto"/>
            </w:tcBorders>
            <w:shd w:val="clear" w:color="auto" w:fill="auto"/>
            <w:vAlign w:val="bottom"/>
            <w:hideMark/>
          </w:tcPr>
          <w:p w14:paraId="6CF24D0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Канада</w:t>
            </w:r>
          </w:p>
        </w:tc>
        <w:tc>
          <w:tcPr>
            <w:tcW w:w="661" w:type="dxa"/>
            <w:tcBorders>
              <w:top w:val="nil"/>
              <w:left w:val="nil"/>
              <w:bottom w:val="single" w:sz="4" w:space="0" w:color="auto"/>
              <w:right w:val="single" w:sz="4" w:space="0" w:color="auto"/>
            </w:tcBorders>
            <w:shd w:val="clear" w:color="000000" w:fill="92D050"/>
            <w:vAlign w:val="center"/>
            <w:hideMark/>
          </w:tcPr>
          <w:p w14:paraId="2681624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649</w:t>
            </w:r>
          </w:p>
        </w:tc>
        <w:tc>
          <w:tcPr>
            <w:tcW w:w="848" w:type="dxa"/>
            <w:tcBorders>
              <w:top w:val="nil"/>
              <w:left w:val="nil"/>
              <w:bottom w:val="single" w:sz="4" w:space="0" w:color="auto"/>
              <w:right w:val="single" w:sz="4" w:space="0" w:color="auto"/>
            </w:tcBorders>
            <w:shd w:val="clear" w:color="auto" w:fill="auto"/>
            <w:vAlign w:val="center"/>
            <w:hideMark/>
          </w:tcPr>
          <w:p w14:paraId="4CA31C52"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Canada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2D745FC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48B79A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98,2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5C81C5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77,8</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8F439C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4C597104" w14:textId="7860E49E"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E518BA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9687B4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84D862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11FF3E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1DC190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3B8883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63,8</w:t>
            </w:r>
          </w:p>
        </w:tc>
      </w:tr>
      <w:tr w:rsidR="004A0184" w:rsidRPr="00A546AD" w14:paraId="7A57BE08"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70584DF"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52</w:t>
            </w:r>
          </w:p>
        </w:tc>
        <w:tc>
          <w:tcPr>
            <w:tcW w:w="925" w:type="dxa"/>
            <w:tcBorders>
              <w:top w:val="nil"/>
              <w:left w:val="nil"/>
              <w:bottom w:val="single" w:sz="4" w:space="0" w:color="auto"/>
              <w:right w:val="single" w:sz="4" w:space="0" w:color="auto"/>
            </w:tcBorders>
            <w:shd w:val="clear" w:color="auto" w:fill="auto"/>
            <w:vAlign w:val="bottom"/>
            <w:hideMark/>
          </w:tcPr>
          <w:p w14:paraId="69C72CD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Глазго</w:t>
            </w:r>
          </w:p>
        </w:tc>
        <w:tc>
          <w:tcPr>
            <w:tcW w:w="1048" w:type="dxa"/>
            <w:tcBorders>
              <w:top w:val="nil"/>
              <w:left w:val="nil"/>
              <w:bottom w:val="single" w:sz="4" w:space="0" w:color="auto"/>
              <w:right w:val="single" w:sz="4" w:space="0" w:color="auto"/>
            </w:tcBorders>
            <w:shd w:val="clear" w:color="auto" w:fill="auto"/>
            <w:vAlign w:val="bottom"/>
            <w:hideMark/>
          </w:tcPr>
          <w:p w14:paraId="1910E99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Великобритания</w:t>
            </w:r>
          </w:p>
        </w:tc>
        <w:tc>
          <w:tcPr>
            <w:tcW w:w="661" w:type="dxa"/>
            <w:tcBorders>
              <w:top w:val="nil"/>
              <w:left w:val="nil"/>
              <w:bottom w:val="single" w:sz="4" w:space="0" w:color="auto"/>
              <w:right w:val="single" w:sz="4" w:space="0" w:color="auto"/>
            </w:tcBorders>
            <w:shd w:val="clear" w:color="000000" w:fill="92D050"/>
            <w:vAlign w:val="center"/>
            <w:hideMark/>
          </w:tcPr>
          <w:p w14:paraId="38DCF38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648</w:t>
            </w:r>
          </w:p>
        </w:tc>
        <w:tc>
          <w:tcPr>
            <w:tcW w:w="848" w:type="dxa"/>
            <w:tcBorders>
              <w:top w:val="nil"/>
              <w:left w:val="nil"/>
              <w:bottom w:val="single" w:sz="4" w:space="0" w:color="auto"/>
              <w:right w:val="single" w:sz="4" w:space="0" w:color="auto"/>
            </w:tcBorders>
            <w:shd w:val="clear" w:color="auto" w:fill="auto"/>
            <w:vAlign w:val="center"/>
            <w:hideMark/>
          </w:tcPr>
          <w:p w14:paraId="0F77876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Kingdom</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56CDDDC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2C29CF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F0CC95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894A9A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5A3D5B89" w14:textId="382F7D2E"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7EED77E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71CB5C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37742D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314B924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B36E69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439D97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96,9</w:t>
            </w:r>
          </w:p>
        </w:tc>
      </w:tr>
      <w:tr w:rsidR="004A0184" w:rsidRPr="00A546AD" w14:paraId="7DE2EF40"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3222E06"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53</w:t>
            </w:r>
          </w:p>
        </w:tc>
        <w:tc>
          <w:tcPr>
            <w:tcW w:w="925" w:type="dxa"/>
            <w:tcBorders>
              <w:top w:val="nil"/>
              <w:left w:val="nil"/>
              <w:bottom w:val="single" w:sz="4" w:space="0" w:color="auto"/>
              <w:right w:val="single" w:sz="4" w:space="0" w:color="auto"/>
            </w:tcBorders>
            <w:shd w:val="clear" w:color="auto" w:fill="auto"/>
            <w:vAlign w:val="bottom"/>
            <w:hideMark/>
          </w:tcPr>
          <w:p w14:paraId="214C4C1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Рим</w:t>
            </w:r>
          </w:p>
        </w:tc>
        <w:tc>
          <w:tcPr>
            <w:tcW w:w="1048" w:type="dxa"/>
            <w:tcBorders>
              <w:top w:val="nil"/>
              <w:left w:val="nil"/>
              <w:bottom w:val="single" w:sz="4" w:space="0" w:color="auto"/>
              <w:right w:val="single" w:sz="4" w:space="0" w:color="auto"/>
            </w:tcBorders>
            <w:shd w:val="clear" w:color="auto" w:fill="auto"/>
            <w:vAlign w:val="bottom"/>
            <w:hideMark/>
          </w:tcPr>
          <w:p w14:paraId="070EB7E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Италия</w:t>
            </w:r>
          </w:p>
        </w:tc>
        <w:tc>
          <w:tcPr>
            <w:tcW w:w="661" w:type="dxa"/>
            <w:tcBorders>
              <w:top w:val="nil"/>
              <w:left w:val="nil"/>
              <w:bottom w:val="single" w:sz="4" w:space="0" w:color="auto"/>
              <w:right w:val="single" w:sz="4" w:space="0" w:color="auto"/>
            </w:tcBorders>
            <w:shd w:val="clear" w:color="000000" w:fill="92D050"/>
            <w:vAlign w:val="center"/>
            <w:hideMark/>
          </w:tcPr>
          <w:p w14:paraId="5AB2450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643</w:t>
            </w:r>
          </w:p>
        </w:tc>
        <w:tc>
          <w:tcPr>
            <w:tcW w:w="848" w:type="dxa"/>
            <w:tcBorders>
              <w:top w:val="nil"/>
              <w:left w:val="nil"/>
              <w:bottom w:val="single" w:sz="4" w:space="0" w:color="auto"/>
              <w:right w:val="single" w:sz="4" w:space="0" w:color="auto"/>
            </w:tcBorders>
            <w:shd w:val="clear" w:color="auto" w:fill="auto"/>
            <w:vAlign w:val="center"/>
            <w:hideMark/>
          </w:tcPr>
          <w:p w14:paraId="040F002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Italy</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7484880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72,9</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B63483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86,8</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AD721F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3A3E66A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6F50CC8" w14:textId="10E22A40"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64,0</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01F80EA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64,0</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456E6C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4E0060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1554CE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07449D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8422DC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86,1</w:t>
            </w:r>
          </w:p>
        </w:tc>
      </w:tr>
      <w:tr w:rsidR="004A0184" w:rsidRPr="00A546AD" w14:paraId="6F20C42B"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60160CA"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54</w:t>
            </w:r>
          </w:p>
        </w:tc>
        <w:tc>
          <w:tcPr>
            <w:tcW w:w="925" w:type="dxa"/>
            <w:tcBorders>
              <w:top w:val="nil"/>
              <w:left w:val="nil"/>
              <w:bottom w:val="single" w:sz="4" w:space="0" w:color="auto"/>
              <w:right w:val="single" w:sz="4" w:space="0" w:color="auto"/>
            </w:tcBorders>
            <w:shd w:val="clear" w:color="auto" w:fill="auto"/>
            <w:vAlign w:val="bottom"/>
            <w:hideMark/>
          </w:tcPr>
          <w:p w14:paraId="7DEAE6A4"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Вена</w:t>
            </w:r>
          </w:p>
        </w:tc>
        <w:tc>
          <w:tcPr>
            <w:tcW w:w="1048" w:type="dxa"/>
            <w:tcBorders>
              <w:top w:val="nil"/>
              <w:left w:val="nil"/>
              <w:bottom w:val="single" w:sz="4" w:space="0" w:color="auto"/>
              <w:right w:val="single" w:sz="4" w:space="0" w:color="auto"/>
            </w:tcBorders>
            <w:shd w:val="clear" w:color="auto" w:fill="auto"/>
            <w:vAlign w:val="bottom"/>
            <w:hideMark/>
          </w:tcPr>
          <w:p w14:paraId="379F29C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Австрия</w:t>
            </w:r>
          </w:p>
        </w:tc>
        <w:tc>
          <w:tcPr>
            <w:tcW w:w="661" w:type="dxa"/>
            <w:tcBorders>
              <w:top w:val="nil"/>
              <w:left w:val="nil"/>
              <w:bottom w:val="single" w:sz="4" w:space="0" w:color="auto"/>
              <w:right w:val="single" w:sz="4" w:space="0" w:color="auto"/>
            </w:tcBorders>
            <w:shd w:val="clear" w:color="000000" w:fill="92D050"/>
            <w:vAlign w:val="center"/>
            <w:hideMark/>
          </w:tcPr>
          <w:p w14:paraId="701359A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640</w:t>
            </w:r>
          </w:p>
        </w:tc>
        <w:tc>
          <w:tcPr>
            <w:tcW w:w="848" w:type="dxa"/>
            <w:tcBorders>
              <w:top w:val="nil"/>
              <w:left w:val="nil"/>
              <w:bottom w:val="single" w:sz="4" w:space="0" w:color="auto"/>
              <w:right w:val="single" w:sz="4" w:space="0" w:color="auto"/>
            </w:tcBorders>
            <w:shd w:val="clear" w:color="auto" w:fill="auto"/>
            <w:vAlign w:val="center"/>
            <w:hideMark/>
          </w:tcPr>
          <w:p w14:paraId="3162BCF3"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Austria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8AEBF9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78,7</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2F994A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BC94B8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46320A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9E7AF3B" w14:textId="4F7B993D"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83,5</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83A561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83,5</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106246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63AF27A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75,5</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1923B1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77,4</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71F2CB5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75,1</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A6F692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87,7</w:t>
            </w:r>
          </w:p>
        </w:tc>
      </w:tr>
      <w:tr w:rsidR="004A0184" w:rsidRPr="00A546AD" w14:paraId="44249CD1"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71293C4"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lastRenderedPageBreak/>
              <w:t>55</w:t>
            </w:r>
          </w:p>
        </w:tc>
        <w:tc>
          <w:tcPr>
            <w:tcW w:w="925" w:type="dxa"/>
            <w:tcBorders>
              <w:top w:val="nil"/>
              <w:left w:val="nil"/>
              <w:bottom w:val="single" w:sz="4" w:space="0" w:color="auto"/>
              <w:right w:val="single" w:sz="4" w:space="0" w:color="auto"/>
            </w:tcBorders>
            <w:shd w:val="clear" w:color="auto" w:fill="auto"/>
            <w:vAlign w:val="bottom"/>
            <w:hideMark/>
          </w:tcPr>
          <w:p w14:paraId="7EBBA0A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Джерси</w:t>
            </w:r>
          </w:p>
        </w:tc>
        <w:tc>
          <w:tcPr>
            <w:tcW w:w="1048" w:type="dxa"/>
            <w:tcBorders>
              <w:top w:val="nil"/>
              <w:left w:val="nil"/>
              <w:bottom w:val="single" w:sz="4" w:space="0" w:color="auto"/>
              <w:right w:val="single" w:sz="4" w:space="0" w:color="auto"/>
            </w:tcBorders>
            <w:shd w:val="clear" w:color="auto" w:fill="auto"/>
            <w:vAlign w:val="bottom"/>
            <w:hideMark/>
          </w:tcPr>
          <w:p w14:paraId="7F0E96A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Великобритания</w:t>
            </w:r>
          </w:p>
        </w:tc>
        <w:tc>
          <w:tcPr>
            <w:tcW w:w="661" w:type="dxa"/>
            <w:tcBorders>
              <w:top w:val="nil"/>
              <w:left w:val="nil"/>
              <w:bottom w:val="single" w:sz="4" w:space="0" w:color="auto"/>
              <w:right w:val="single" w:sz="4" w:space="0" w:color="auto"/>
            </w:tcBorders>
            <w:shd w:val="clear" w:color="000000" w:fill="92D050"/>
            <w:vAlign w:val="center"/>
            <w:hideMark/>
          </w:tcPr>
          <w:p w14:paraId="6DB5A3C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437</w:t>
            </w:r>
          </w:p>
        </w:tc>
        <w:tc>
          <w:tcPr>
            <w:tcW w:w="848" w:type="dxa"/>
            <w:tcBorders>
              <w:top w:val="nil"/>
              <w:left w:val="nil"/>
              <w:bottom w:val="single" w:sz="4" w:space="0" w:color="auto"/>
              <w:right w:val="single" w:sz="4" w:space="0" w:color="auto"/>
            </w:tcBorders>
            <w:shd w:val="clear" w:color="auto" w:fill="auto"/>
            <w:vAlign w:val="center"/>
            <w:hideMark/>
          </w:tcPr>
          <w:p w14:paraId="6C593540"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Kingdom</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452534A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F62E34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FB531F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54ACC8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51949A20" w14:textId="53B297A5"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CE9A40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A476C2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610DD1F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A3BCAF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2E72DD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9D67A7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96,9</w:t>
            </w:r>
          </w:p>
        </w:tc>
      </w:tr>
      <w:tr w:rsidR="004A0184" w:rsidRPr="00A546AD" w14:paraId="414CFFBF"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BA0CE40"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56</w:t>
            </w:r>
          </w:p>
        </w:tc>
        <w:tc>
          <w:tcPr>
            <w:tcW w:w="925" w:type="dxa"/>
            <w:tcBorders>
              <w:top w:val="nil"/>
              <w:left w:val="nil"/>
              <w:bottom w:val="single" w:sz="4" w:space="0" w:color="auto"/>
              <w:right w:val="single" w:sz="4" w:space="0" w:color="auto"/>
            </w:tcBorders>
            <w:shd w:val="clear" w:color="auto" w:fill="auto"/>
            <w:vAlign w:val="bottom"/>
            <w:hideMark/>
          </w:tcPr>
          <w:p w14:paraId="73153C4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Доха</w:t>
            </w:r>
          </w:p>
        </w:tc>
        <w:tc>
          <w:tcPr>
            <w:tcW w:w="1048" w:type="dxa"/>
            <w:tcBorders>
              <w:top w:val="nil"/>
              <w:left w:val="nil"/>
              <w:bottom w:val="single" w:sz="4" w:space="0" w:color="auto"/>
              <w:right w:val="single" w:sz="4" w:space="0" w:color="auto"/>
            </w:tcBorders>
            <w:shd w:val="clear" w:color="auto" w:fill="auto"/>
            <w:vAlign w:val="bottom"/>
            <w:hideMark/>
          </w:tcPr>
          <w:p w14:paraId="10B721A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Катар</w:t>
            </w:r>
          </w:p>
        </w:tc>
        <w:tc>
          <w:tcPr>
            <w:tcW w:w="661" w:type="dxa"/>
            <w:tcBorders>
              <w:top w:val="nil"/>
              <w:left w:val="nil"/>
              <w:bottom w:val="single" w:sz="4" w:space="0" w:color="auto"/>
              <w:right w:val="single" w:sz="4" w:space="0" w:color="auto"/>
            </w:tcBorders>
            <w:shd w:val="clear" w:color="000000" w:fill="92D050"/>
            <w:vAlign w:val="center"/>
            <w:hideMark/>
          </w:tcPr>
          <w:p w14:paraId="5C92C8D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627</w:t>
            </w:r>
          </w:p>
        </w:tc>
        <w:tc>
          <w:tcPr>
            <w:tcW w:w="848" w:type="dxa"/>
            <w:tcBorders>
              <w:top w:val="nil"/>
              <w:left w:val="nil"/>
              <w:bottom w:val="single" w:sz="4" w:space="0" w:color="auto"/>
              <w:right w:val="single" w:sz="4" w:space="0" w:color="auto"/>
            </w:tcBorders>
            <w:shd w:val="clear" w:color="auto" w:fill="auto"/>
            <w:vAlign w:val="center"/>
            <w:hideMark/>
          </w:tcPr>
          <w:p w14:paraId="062F3999"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Qatar</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7DF8A72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68,7</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73241F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86,1</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E1A5C4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96,2</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451FF2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58B77255" w14:textId="057070A8"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99,4</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0AA12E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99,4</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7A4E51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BF578C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54,6</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327207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38,0</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F155B9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167419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83,6</w:t>
            </w:r>
          </w:p>
        </w:tc>
      </w:tr>
      <w:tr w:rsidR="004A0184" w:rsidRPr="00A546AD" w14:paraId="44FBD112"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1FC28D0"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57</w:t>
            </w:r>
          </w:p>
        </w:tc>
        <w:tc>
          <w:tcPr>
            <w:tcW w:w="925" w:type="dxa"/>
            <w:tcBorders>
              <w:top w:val="nil"/>
              <w:left w:val="nil"/>
              <w:bottom w:val="single" w:sz="4" w:space="0" w:color="auto"/>
              <w:right w:val="single" w:sz="4" w:space="0" w:color="auto"/>
            </w:tcBorders>
            <w:shd w:val="clear" w:color="auto" w:fill="auto"/>
            <w:vAlign w:val="bottom"/>
            <w:hideMark/>
          </w:tcPr>
          <w:p w14:paraId="01B6990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Варшава</w:t>
            </w:r>
          </w:p>
        </w:tc>
        <w:tc>
          <w:tcPr>
            <w:tcW w:w="1048" w:type="dxa"/>
            <w:tcBorders>
              <w:top w:val="nil"/>
              <w:left w:val="nil"/>
              <w:bottom w:val="single" w:sz="4" w:space="0" w:color="auto"/>
              <w:right w:val="single" w:sz="4" w:space="0" w:color="auto"/>
            </w:tcBorders>
            <w:shd w:val="clear" w:color="auto" w:fill="auto"/>
            <w:vAlign w:val="bottom"/>
            <w:hideMark/>
          </w:tcPr>
          <w:p w14:paraId="5519060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Польша</w:t>
            </w:r>
          </w:p>
        </w:tc>
        <w:tc>
          <w:tcPr>
            <w:tcW w:w="661" w:type="dxa"/>
            <w:tcBorders>
              <w:top w:val="nil"/>
              <w:left w:val="nil"/>
              <w:bottom w:val="single" w:sz="4" w:space="0" w:color="auto"/>
              <w:right w:val="single" w:sz="4" w:space="0" w:color="auto"/>
            </w:tcBorders>
            <w:shd w:val="clear" w:color="000000" w:fill="92D050"/>
            <w:vAlign w:val="center"/>
            <w:hideMark/>
          </w:tcPr>
          <w:p w14:paraId="3C09BAC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618</w:t>
            </w:r>
          </w:p>
        </w:tc>
        <w:tc>
          <w:tcPr>
            <w:tcW w:w="848" w:type="dxa"/>
            <w:tcBorders>
              <w:top w:val="nil"/>
              <w:left w:val="nil"/>
              <w:bottom w:val="single" w:sz="4" w:space="0" w:color="auto"/>
              <w:right w:val="single" w:sz="4" w:space="0" w:color="auto"/>
            </w:tcBorders>
            <w:shd w:val="clear" w:color="auto" w:fill="auto"/>
            <w:vAlign w:val="center"/>
            <w:hideMark/>
          </w:tcPr>
          <w:p w14:paraId="5C501D0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Poland</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5A92004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76,4</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E220D7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82,9</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B6C893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63,9</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3DD8F92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47DAC527" w14:textId="459E9D18"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76,4</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ECA324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76,4</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DF8723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F4365D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64,4</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37A63D6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7F8F360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4192DB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82,3</w:t>
            </w:r>
          </w:p>
        </w:tc>
      </w:tr>
      <w:tr w:rsidR="004A0184" w:rsidRPr="00A546AD" w14:paraId="4B85A4C4"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B908898"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58</w:t>
            </w:r>
          </w:p>
        </w:tc>
        <w:tc>
          <w:tcPr>
            <w:tcW w:w="925" w:type="dxa"/>
            <w:tcBorders>
              <w:top w:val="nil"/>
              <w:left w:val="nil"/>
              <w:bottom w:val="single" w:sz="4" w:space="0" w:color="auto"/>
              <w:right w:val="single" w:sz="4" w:space="0" w:color="auto"/>
            </w:tcBorders>
            <w:shd w:val="clear" w:color="auto" w:fill="auto"/>
            <w:vAlign w:val="bottom"/>
            <w:hideMark/>
          </w:tcPr>
          <w:p w14:paraId="42D4D5A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Бангкок</w:t>
            </w:r>
          </w:p>
        </w:tc>
        <w:tc>
          <w:tcPr>
            <w:tcW w:w="1048" w:type="dxa"/>
            <w:tcBorders>
              <w:top w:val="nil"/>
              <w:left w:val="nil"/>
              <w:bottom w:val="single" w:sz="4" w:space="0" w:color="auto"/>
              <w:right w:val="single" w:sz="4" w:space="0" w:color="auto"/>
            </w:tcBorders>
            <w:shd w:val="clear" w:color="auto" w:fill="auto"/>
            <w:vAlign w:val="bottom"/>
            <w:hideMark/>
          </w:tcPr>
          <w:p w14:paraId="7A156ED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Таиланд</w:t>
            </w:r>
          </w:p>
        </w:tc>
        <w:tc>
          <w:tcPr>
            <w:tcW w:w="661" w:type="dxa"/>
            <w:tcBorders>
              <w:top w:val="nil"/>
              <w:left w:val="nil"/>
              <w:bottom w:val="single" w:sz="4" w:space="0" w:color="auto"/>
              <w:right w:val="single" w:sz="4" w:space="0" w:color="auto"/>
            </w:tcBorders>
            <w:shd w:val="clear" w:color="000000" w:fill="92D050"/>
            <w:vAlign w:val="center"/>
            <w:hideMark/>
          </w:tcPr>
          <w:p w14:paraId="2349FBA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617</w:t>
            </w:r>
          </w:p>
        </w:tc>
        <w:tc>
          <w:tcPr>
            <w:tcW w:w="848" w:type="dxa"/>
            <w:tcBorders>
              <w:top w:val="nil"/>
              <w:left w:val="nil"/>
              <w:bottom w:val="single" w:sz="4" w:space="0" w:color="auto"/>
              <w:right w:val="single" w:sz="4" w:space="0" w:color="auto"/>
            </w:tcBorders>
            <w:shd w:val="clear" w:color="auto" w:fill="auto"/>
            <w:vAlign w:val="center"/>
            <w:hideMark/>
          </w:tcPr>
          <w:p w14:paraId="684835DE"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Thailand</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2AD7BF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80,1</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47980F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45502C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69,5</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C57987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7807B06" w14:textId="70FD872B"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56FC69B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C6FCDA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84,6</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8320A9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2CC104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76,8</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99A399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C9FDA4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98,7</w:t>
            </w:r>
          </w:p>
        </w:tc>
      </w:tr>
      <w:tr w:rsidR="004A0184" w:rsidRPr="00A546AD" w14:paraId="3EC9C7E3"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10EDE6C"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59</w:t>
            </w:r>
          </w:p>
        </w:tc>
        <w:tc>
          <w:tcPr>
            <w:tcW w:w="925" w:type="dxa"/>
            <w:tcBorders>
              <w:top w:val="nil"/>
              <w:left w:val="nil"/>
              <w:bottom w:val="single" w:sz="4" w:space="0" w:color="auto"/>
              <w:right w:val="single" w:sz="4" w:space="0" w:color="auto"/>
            </w:tcBorders>
            <w:shd w:val="clear" w:color="auto" w:fill="auto"/>
            <w:vAlign w:val="bottom"/>
            <w:hideMark/>
          </w:tcPr>
          <w:p w14:paraId="1277D2A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Лиссабон</w:t>
            </w:r>
          </w:p>
        </w:tc>
        <w:tc>
          <w:tcPr>
            <w:tcW w:w="1048" w:type="dxa"/>
            <w:tcBorders>
              <w:top w:val="nil"/>
              <w:left w:val="nil"/>
              <w:bottom w:val="single" w:sz="4" w:space="0" w:color="auto"/>
              <w:right w:val="single" w:sz="4" w:space="0" w:color="auto"/>
            </w:tcBorders>
            <w:shd w:val="clear" w:color="auto" w:fill="auto"/>
            <w:vAlign w:val="bottom"/>
            <w:hideMark/>
          </w:tcPr>
          <w:p w14:paraId="19D9A02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Португалия</w:t>
            </w:r>
          </w:p>
        </w:tc>
        <w:tc>
          <w:tcPr>
            <w:tcW w:w="661" w:type="dxa"/>
            <w:tcBorders>
              <w:top w:val="nil"/>
              <w:left w:val="nil"/>
              <w:bottom w:val="single" w:sz="4" w:space="0" w:color="auto"/>
              <w:right w:val="single" w:sz="4" w:space="0" w:color="auto"/>
            </w:tcBorders>
            <w:shd w:val="clear" w:color="000000" w:fill="92D050"/>
            <w:vAlign w:val="center"/>
            <w:hideMark/>
          </w:tcPr>
          <w:p w14:paraId="4CE183D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608</w:t>
            </w:r>
          </w:p>
        </w:tc>
        <w:tc>
          <w:tcPr>
            <w:tcW w:w="848" w:type="dxa"/>
            <w:tcBorders>
              <w:top w:val="nil"/>
              <w:left w:val="nil"/>
              <w:bottom w:val="single" w:sz="4" w:space="0" w:color="auto"/>
              <w:right w:val="single" w:sz="4" w:space="0" w:color="auto"/>
            </w:tcBorders>
            <w:shd w:val="clear" w:color="auto" w:fill="auto"/>
            <w:vAlign w:val="center"/>
            <w:hideMark/>
          </w:tcPr>
          <w:p w14:paraId="028C4F4A"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Portugal</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263222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022317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90,9</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AD0B9B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78,4</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4725CC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525E2552" w14:textId="49377A93"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00CA8B4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54D665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55B67F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0EAFCCF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80,2</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0955F01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0E8D1E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83,3</w:t>
            </w:r>
          </w:p>
        </w:tc>
      </w:tr>
      <w:tr w:rsidR="004A0184" w:rsidRPr="00A546AD" w14:paraId="43891C6E"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E062D0C"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60</w:t>
            </w:r>
          </w:p>
        </w:tc>
        <w:tc>
          <w:tcPr>
            <w:tcW w:w="925" w:type="dxa"/>
            <w:tcBorders>
              <w:top w:val="nil"/>
              <w:left w:val="nil"/>
              <w:bottom w:val="single" w:sz="4" w:space="0" w:color="auto"/>
              <w:right w:val="single" w:sz="4" w:space="0" w:color="auto"/>
            </w:tcBorders>
            <w:shd w:val="clear" w:color="auto" w:fill="auto"/>
            <w:vAlign w:val="bottom"/>
            <w:hideMark/>
          </w:tcPr>
          <w:p w14:paraId="2DFB208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Сан-Диего</w:t>
            </w:r>
          </w:p>
        </w:tc>
        <w:tc>
          <w:tcPr>
            <w:tcW w:w="1048" w:type="dxa"/>
            <w:tcBorders>
              <w:top w:val="nil"/>
              <w:left w:val="nil"/>
              <w:bottom w:val="single" w:sz="4" w:space="0" w:color="auto"/>
              <w:right w:val="single" w:sz="4" w:space="0" w:color="auto"/>
            </w:tcBorders>
            <w:shd w:val="clear" w:color="auto" w:fill="auto"/>
            <w:vAlign w:val="bottom"/>
            <w:hideMark/>
          </w:tcPr>
          <w:p w14:paraId="161C3FA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США</w:t>
            </w:r>
          </w:p>
        </w:tc>
        <w:tc>
          <w:tcPr>
            <w:tcW w:w="661" w:type="dxa"/>
            <w:tcBorders>
              <w:top w:val="nil"/>
              <w:left w:val="nil"/>
              <w:bottom w:val="single" w:sz="4" w:space="0" w:color="auto"/>
              <w:right w:val="single" w:sz="4" w:space="0" w:color="auto"/>
            </w:tcBorders>
            <w:shd w:val="clear" w:color="000000" w:fill="92D050"/>
            <w:vAlign w:val="center"/>
            <w:hideMark/>
          </w:tcPr>
          <w:p w14:paraId="54C2A44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605</w:t>
            </w:r>
          </w:p>
        </w:tc>
        <w:tc>
          <w:tcPr>
            <w:tcW w:w="848" w:type="dxa"/>
            <w:tcBorders>
              <w:top w:val="nil"/>
              <w:left w:val="nil"/>
              <w:bottom w:val="single" w:sz="4" w:space="0" w:color="auto"/>
              <w:right w:val="single" w:sz="4" w:space="0" w:color="auto"/>
            </w:tcBorders>
            <w:shd w:val="clear" w:color="auto" w:fill="auto"/>
            <w:vAlign w:val="center"/>
            <w:hideMark/>
          </w:tcPr>
          <w:p w14:paraId="4A2479D4"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States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38FF89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540690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91,6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30A503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76,9</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DB5296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A02F857" w14:textId="7066404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EFDEED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86,8</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EC12BD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3BAA5C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73,4</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A7592C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B8C1EC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9858D4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82,2</w:t>
            </w:r>
          </w:p>
        </w:tc>
      </w:tr>
      <w:tr w:rsidR="004A0184" w:rsidRPr="00A546AD" w14:paraId="5908297B"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E1480AC"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61</w:t>
            </w:r>
          </w:p>
        </w:tc>
        <w:tc>
          <w:tcPr>
            <w:tcW w:w="925" w:type="dxa"/>
            <w:tcBorders>
              <w:top w:val="nil"/>
              <w:left w:val="nil"/>
              <w:bottom w:val="single" w:sz="4" w:space="0" w:color="auto"/>
              <w:right w:val="single" w:sz="4" w:space="0" w:color="auto"/>
            </w:tcBorders>
            <w:shd w:val="clear" w:color="auto" w:fill="auto"/>
            <w:vAlign w:val="bottom"/>
            <w:hideMark/>
          </w:tcPr>
          <w:p w14:paraId="7399491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Бермуды</w:t>
            </w:r>
          </w:p>
        </w:tc>
        <w:tc>
          <w:tcPr>
            <w:tcW w:w="1048" w:type="dxa"/>
            <w:tcBorders>
              <w:top w:val="nil"/>
              <w:left w:val="nil"/>
              <w:bottom w:val="single" w:sz="4" w:space="0" w:color="auto"/>
              <w:right w:val="single" w:sz="4" w:space="0" w:color="auto"/>
            </w:tcBorders>
            <w:shd w:val="clear" w:color="auto" w:fill="auto"/>
            <w:vAlign w:val="bottom"/>
            <w:hideMark/>
          </w:tcPr>
          <w:p w14:paraId="5A959B8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Великобритания</w:t>
            </w:r>
          </w:p>
        </w:tc>
        <w:tc>
          <w:tcPr>
            <w:tcW w:w="661" w:type="dxa"/>
            <w:tcBorders>
              <w:top w:val="nil"/>
              <w:left w:val="nil"/>
              <w:bottom w:val="single" w:sz="4" w:space="0" w:color="auto"/>
              <w:right w:val="single" w:sz="4" w:space="0" w:color="auto"/>
            </w:tcBorders>
            <w:shd w:val="clear" w:color="000000" w:fill="92D050"/>
            <w:vAlign w:val="center"/>
            <w:hideMark/>
          </w:tcPr>
          <w:p w14:paraId="387D198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601</w:t>
            </w:r>
          </w:p>
        </w:tc>
        <w:tc>
          <w:tcPr>
            <w:tcW w:w="848" w:type="dxa"/>
            <w:tcBorders>
              <w:top w:val="nil"/>
              <w:left w:val="nil"/>
              <w:bottom w:val="single" w:sz="4" w:space="0" w:color="auto"/>
              <w:right w:val="single" w:sz="4" w:space="0" w:color="auto"/>
            </w:tcBorders>
            <w:shd w:val="clear" w:color="auto" w:fill="auto"/>
            <w:vAlign w:val="center"/>
            <w:hideMark/>
          </w:tcPr>
          <w:p w14:paraId="32486D4A"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Kingdom</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44812A8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A490EA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FC3EA7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A05DFB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E647A8C" w14:textId="1DBCCCB2"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FBE2B7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D976A6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4DA8F6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FBCE21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C39C37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F0BF6C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96,9</w:t>
            </w:r>
          </w:p>
        </w:tc>
      </w:tr>
      <w:tr w:rsidR="004A0184" w:rsidRPr="00A546AD" w14:paraId="7D12DBD8" w14:textId="77777777" w:rsidTr="00F5756A">
        <w:trPr>
          <w:trHeight w:val="465"/>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92C3C0F"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62</w:t>
            </w:r>
          </w:p>
        </w:tc>
        <w:tc>
          <w:tcPr>
            <w:tcW w:w="925" w:type="dxa"/>
            <w:tcBorders>
              <w:top w:val="nil"/>
              <w:left w:val="nil"/>
              <w:bottom w:val="single" w:sz="4" w:space="0" w:color="auto"/>
              <w:right w:val="single" w:sz="4" w:space="0" w:color="auto"/>
            </w:tcBorders>
            <w:shd w:val="clear" w:color="auto" w:fill="auto"/>
            <w:vAlign w:val="bottom"/>
            <w:hideMark/>
          </w:tcPr>
          <w:p w14:paraId="2108E644"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Москва</w:t>
            </w:r>
          </w:p>
        </w:tc>
        <w:tc>
          <w:tcPr>
            <w:tcW w:w="1048" w:type="dxa"/>
            <w:tcBorders>
              <w:top w:val="nil"/>
              <w:left w:val="nil"/>
              <w:bottom w:val="single" w:sz="4" w:space="0" w:color="auto"/>
              <w:right w:val="single" w:sz="4" w:space="0" w:color="auto"/>
            </w:tcBorders>
            <w:shd w:val="clear" w:color="auto" w:fill="auto"/>
            <w:vAlign w:val="bottom"/>
            <w:hideMark/>
          </w:tcPr>
          <w:p w14:paraId="6D7677D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Россия</w:t>
            </w:r>
          </w:p>
        </w:tc>
        <w:tc>
          <w:tcPr>
            <w:tcW w:w="661" w:type="dxa"/>
            <w:tcBorders>
              <w:top w:val="nil"/>
              <w:left w:val="nil"/>
              <w:bottom w:val="single" w:sz="4" w:space="0" w:color="auto"/>
              <w:right w:val="single" w:sz="4" w:space="0" w:color="auto"/>
            </w:tcBorders>
            <w:shd w:val="clear" w:color="000000" w:fill="92D050"/>
            <w:vAlign w:val="center"/>
            <w:hideMark/>
          </w:tcPr>
          <w:p w14:paraId="74E1968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600</w:t>
            </w:r>
          </w:p>
        </w:tc>
        <w:tc>
          <w:tcPr>
            <w:tcW w:w="848" w:type="dxa"/>
            <w:tcBorders>
              <w:top w:val="nil"/>
              <w:left w:val="nil"/>
              <w:bottom w:val="single" w:sz="4" w:space="0" w:color="auto"/>
              <w:right w:val="single" w:sz="4" w:space="0" w:color="auto"/>
            </w:tcBorders>
            <w:shd w:val="clear" w:color="auto" w:fill="auto"/>
            <w:vAlign w:val="center"/>
            <w:hideMark/>
          </w:tcPr>
          <w:p w14:paraId="0D5998D6"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Russian Federation Moscow</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2707ABF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78,3</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C5C58C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92,8</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DC6996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36F8708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4015F34" w14:textId="6F05878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79,4</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73AE334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79,4</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CF1AEC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ECA60C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4F0A35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EB6242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C95E22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97,8</w:t>
            </w:r>
          </w:p>
        </w:tc>
      </w:tr>
      <w:tr w:rsidR="004A0184" w:rsidRPr="00A546AD" w14:paraId="2774E379"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788E534"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63</w:t>
            </w:r>
          </w:p>
        </w:tc>
        <w:tc>
          <w:tcPr>
            <w:tcW w:w="925" w:type="dxa"/>
            <w:tcBorders>
              <w:top w:val="nil"/>
              <w:left w:val="nil"/>
              <w:bottom w:val="single" w:sz="4" w:space="0" w:color="auto"/>
              <w:right w:val="single" w:sz="4" w:space="0" w:color="auto"/>
            </w:tcBorders>
            <w:shd w:val="clear" w:color="auto" w:fill="auto"/>
            <w:vAlign w:val="bottom"/>
            <w:hideMark/>
          </w:tcPr>
          <w:p w14:paraId="39CDDFE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Маврикий</w:t>
            </w:r>
          </w:p>
        </w:tc>
        <w:tc>
          <w:tcPr>
            <w:tcW w:w="1048" w:type="dxa"/>
            <w:tcBorders>
              <w:top w:val="nil"/>
              <w:left w:val="nil"/>
              <w:bottom w:val="single" w:sz="4" w:space="0" w:color="auto"/>
              <w:right w:val="single" w:sz="4" w:space="0" w:color="auto"/>
            </w:tcBorders>
            <w:shd w:val="clear" w:color="auto" w:fill="auto"/>
            <w:vAlign w:val="bottom"/>
            <w:hideMark/>
          </w:tcPr>
          <w:p w14:paraId="2A14270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Маврикий</w:t>
            </w:r>
          </w:p>
        </w:tc>
        <w:tc>
          <w:tcPr>
            <w:tcW w:w="661" w:type="dxa"/>
            <w:tcBorders>
              <w:top w:val="nil"/>
              <w:left w:val="nil"/>
              <w:bottom w:val="single" w:sz="4" w:space="0" w:color="auto"/>
              <w:right w:val="single" w:sz="4" w:space="0" w:color="auto"/>
            </w:tcBorders>
            <w:shd w:val="clear" w:color="000000" w:fill="92D050"/>
            <w:vAlign w:val="center"/>
            <w:hideMark/>
          </w:tcPr>
          <w:p w14:paraId="6229ACD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598</w:t>
            </w:r>
          </w:p>
        </w:tc>
        <w:tc>
          <w:tcPr>
            <w:tcW w:w="848" w:type="dxa"/>
            <w:tcBorders>
              <w:top w:val="nil"/>
              <w:left w:val="nil"/>
              <w:bottom w:val="single" w:sz="4" w:space="0" w:color="auto"/>
              <w:right w:val="single" w:sz="4" w:space="0" w:color="auto"/>
            </w:tcBorders>
            <w:shd w:val="clear" w:color="auto" w:fill="auto"/>
            <w:vAlign w:val="center"/>
            <w:hideMark/>
          </w:tcPr>
          <w:p w14:paraId="73D81BD3"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Mauritius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404DB27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81,5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7FC4CC6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94,5</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BE1B22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82,5</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C7D5BD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503810E1" w14:textId="422D2F18"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94,0</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1EC6B2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94,0</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5D82BE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4118601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72,2</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F2ADD7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73,8</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0A7E33C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85,8</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6946F0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88,0</w:t>
            </w:r>
          </w:p>
        </w:tc>
      </w:tr>
      <w:tr w:rsidR="004A0184" w:rsidRPr="00A546AD" w14:paraId="1ED1FA81"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A4750B4"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64</w:t>
            </w:r>
          </w:p>
        </w:tc>
        <w:tc>
          <w:tcPr>
            <w:tcW w:w="925" w:type="dxa"/>
            <w:tcBorders>
              <w:top w:val="nil"/>
              <w:left w:val="nil"/>
              <w:bottom w:val="single" w:sz="4" w:space="0" w:color="auto"/>
              <w:right w:val="single" w:sz="4" w:space="0" w:color="auto"/>
            </w:tcBorders>
            <w:shd w:val="clear" w:color="auto" w:fill="auto"/>
            <w:vAlign w:val="bottom"/>
            <w:hideMark/>
          </w:tcPr>
          <w:p w14:paraId="2CEFE8A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Стамбул</w:t>
            </w:r>
          </w:p>
        </w:tc>
        <w:tc>
          <w:tcPr>
            <w:tcW w:w="1048" w:type="dxa"/>
            <w:tcBorders>
              <w:top w:val="nil"/>
              <w:left w:val="nil"/>
              <w:bottom w:val="single" w:sz="4" w:space="0" w:color="auto"/>
              <w:right w:val="single" w:sz="4" w:space="0" w:color="auto"/>
            </w:tcBorders>
            <w:shd w:val="clear" w:color="auto" w:fill="auto"/>
            <w:vAlign w:val="bottom"/>
            <w:hideMark/>
          </w:tcPr>
          <w:p w14:paraId="0ABC16C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Турция</w:t>
            </w:r>
          </w:p>
        </w:tc>
        <w:tc>
          <w:tcPr>
            <w:tcW w:w="661" w:type="dxa"/>
            <w:tcBorders>
              <w:top w:val="nil"/>
              <w:left w:val="nil"/>
              <w:bottom w:val="single" w:sz="4" w:space="0" w:color="auto"/>
              <w:right w:val="single" w:sz="4" w:space="0" w:color="auto"/>
            </w:tcBorders>
            <w:shd w:val="clear" w:color="000000" w:fill="92D050"/>
            <w:vAlign w:val="center"/>
            <w:hideMark/>
          </w:tcPr>
          <w:p w14:paraId="6CC34D5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595</w:t>
            </w:r>
          </w:p>
        </w:tc>
        <w:tc>
          <w:tcPr>
            <w:tcW w:w="848" w:type="dxa"/>
            <w:tcBorders>
              <w:top w:val="nil"/>
              <w:left w:val="nil"/>
              <w:bottom w:val="single" w:sz="4" w:space="0" w:color="auto"/>
              <w:right w:val="single" w:sz="4" w:space="0" w:color="auto"/>
            </w:tcBorders>
            <w:shd w:val="clear" w:color="auto" w:fill="auto"/>
            <w:vAlign w:val="center"/>
            <w:hideMark/>
          </w:tcPr>
          <w:p w14:paraId="1B7A525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Turkey</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C2D77E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76,8</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75D342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88,8</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DA5A8C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748F5D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50C3C9A" w14:textId="5A7478AB"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86,6</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17DD7A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86,6</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3C8121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91,6</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D6ADB1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71,4</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762E56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808870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73,8</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A30D7C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84,5</w:t>
            </w:r>
          </w:p>
        </w:tc>
      </w:tr>
      <w:tr w:rsidR="004A0184" w:rsidRPr="00A546AD" w14:paraId="53644D4A"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883F636"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65</w:t>
            </w:r>
          </w:p>
        </w:tc>
        <w:tc>
          <w:tcPr>
            <w:tcW w:w="925" w:type="dxa"/>
            <w:tcBorders>
              <w:top w:val="nil"/>
              <w:left w:val="nil"/>
              <w:bottom w:val="single" w:sz="4" w:space="0" w:color="auto"/>
              <w:right w:val="single" w:sz="4" w:space="0" w:color="auto"/>
            </w:tcBorders>
            <w:shd w:val="clear" w:color="auto" w:fill="auto"/>
            <w:vAlign w:val="bottom"/>
            <w:hideMark/>
          </w:tcPr>
          <w:p w14:paraId="79895D2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Хельсинки</w:t>
            </w:r>
          </w:p>
        </w:tc>
        <w:tc>
          <w:tcPr>
            <w:tcW w:w="1048" w:type="dxa"/>
            <w:tcBorders>
              <w:top w:val="nil"/>
              <w:left w:val="nil"/>
              <w:bottom w:val="single" w:sz="4" w:space="0" w:color="auto"/>
              <w:right w:val="single" w:sz="4" w:space="0" w:color="auto"/>
            </w:tcBorders>
            <w:shd w:val="clear" w:color="auto" w:fill="auto"/>
            <w:vAlign w:val="bottom"/>
            <w:hideMark/>
          </w:tcPr>
          <w:p w14:paraId="25C815A9"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Финляндия</w:t>
            </w:r>
          </w:p>
        </w:tc>
        <w:tc>
          <w:tcPr>
            <w:tcW w:w="661" w:type="dxa"/>
            <w:tcBorders>
              <w:top w:val="nil"/>
              <w:left w:val="nil"/>
              <w:bottom w:val="single" w:sz="4" w:space="0" w:color="auto"/>
              <w:right w:val="single" w:sz="4" w:space="0" w:color="auto"/>
            </w:tcBorders>
            <w:shd w:val="clear" w:color="000000" w:fill="92D050"/>
            <w:vAlign w:val="center"/>
            <w:hideMark/>
          </w:tcPr>
          <w:p w14:paraId="07F3C28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594</w:t>
            </w:r>
          </w:p>
        </w:tc>
        <w:tc>
          <w:tcPr>
            <w:tcW w:w="848" w:type="dxa"/>
            <w:tcBorders>
              <w:top w:val="nil"/>
              <w:left w:val="nil"/>
              <w:bottom w:val="single" w:sz="4" w:space="0" w:color="auto"/>
              <w:right w:val="single" w:sz="4" w:space="0" w:color="auto"/>
            </w:tcBorders>
            <w:shd w:val="clear" w:color="auto" w:fill="auto"/>
            <w:vAlign w:val="center"/>
            <w:hideMark/>
          </w:tcPr>
          <w:p w14:paraId="2D7B39A5"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Finland</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4002432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80,2</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1D6941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93,5</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FFD2D2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EB9D40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A073C53" w14:textId="414626DE"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90,9</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2A20FB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90,9</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E410DC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0BB987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66,4</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37D5C88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92,7</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F7ACA1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75,9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4A6F07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89,0</w:t>
            </w:r>
          </w:p>
        </w:tc>
      </w:tr>
      <w:tr w:rsidR="004A0184" w:rsidRPr="00A546AD" w14:paraId="183F67EB"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9F5E8F9"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66</w:t>
            </w:r>
          </w:p>
        </w:tc>
        <w:tc>
          <w:tcPr>
            <w:tcW w:w="925" w:type="dxa"/>
            <w:tcBorders>
              <w:top w:val="nil"/>
              <w:left w:val="nil"/>
              <w:bottom w:val="single" w:sz="4" w:space="0" w:color="auto"/>
              <w:right w:val="single" w:sz="4" w:space="0" w:color="auto"/>
            </w:tcBorders>
            <w:shd w:val="clear" w:color="auto" w:fill="auto"/>
            <w:vAlign w:val="bottom"/>
            <w:hideMark/>
          </w:tcPr>
          <w:p w14:paraId="79F7712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Прага</w:t>
            </w:r>
          </w:p>
        </w:tc>
        <w:tc>
          <w:tcPr>
            <w:tcW w:w="1048" w:type="dxa"/>
            <w:tcBorders>
              <w:top w:val="nil"/>
              <w:left w:val="nil"/>
              <w:bottom w:val="single" w:sz="4" w:space="0" w:color="auto"/>
              <w:right w:val="single" w:sz="4" w:space="0" w:color="auto"/>
            </w:tcBorders>
            <w:shd w:val="clear" w:color="auto" w:fill="auto"/>
            <w:vAlign w:val="bottom"/>
            <w:hideMark/>
          </w:tcPr>
          <w:p w14:paraId="24BD8139"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Чехия</w:t>
            </w:r>
          </w:p>
        </w:tc>
        <w:tc>
          <w:tcPr>
            <w:tcW w:w="661" w:type="dxa"/>
            <w:tcBorders>
              <w:top w:val="nil"/>
              <w:left w:val="nil"/>
              <w:bottom w:val="single" w:sz="4" w:space="0" w:color="auto"/>
              <w:right w:val="single" w:sz="4" w:space="0" w:color="auto"/>
            </w:tcBorders>
            <w:shd w:val="clear" w:color="000000" w:fill="92D050"/>
            <w:vAlign w:val="center"/>
            <w:hideMark/>
          </w:tcPr>
          <w:p w14:paraId="1513324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593</w:t>
            </w:r>
          </w:p>
        </w:tc>
        <w:tc>
          <w:tcPr>
            <w:tcW w:w="848" w:type="dxa"/>
            <w:tcBorders>
              <w:top w:val="nil"/>
              <w:left w:val="nil"/>
              <w:bottom w:val="single" w:sz="4" w:space="0" w:color="auto"/>
              <w:right w:val="single" w:sz="4" w:space="0" w:color="auto"/>
            </w:tcBorders>
            <w:shd w:val="clear" w:color="auto" w:fill="auto"/>
            <w:vAlign w:val="center"/>
            <w:hideMark/>
          </w:tcPr>
          <w:p w14:paraId="1C7C03E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Czech Republic</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4056F9F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76,3</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3C086B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82,1</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BFD22B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9290F6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740F5A6" w14:textId="3B4DD7F5"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81,4</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21CDE9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81,4</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893EEF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E42743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56,4</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2670FB3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80,1</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762E87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56,2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87C010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95,6</w:t>
            </w:r>
          </w:p>
        </w:tc>
      </w:tr>
      <w:tr w:rsidR="004A0184" w:rsidRPr="00A546AD" w14:paraId="5BF54B3E"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3827311"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67</w:t>
            </w:r>
          </w:p>
        </w:tc>
        <w:tc>
          <w:tcPr>
            <w:tcW w:w="925" w:type="dxa"/>
            <w:tcBorders>
              <w:top w:val="nil"/>
              <w:left w:val="nil"/>
              <w:bottom w:val="single" w:sz="4" w:space="0" w:color="auto"/>
              <w:right w:val="single" w:sz="4" w:space="0" w:color="auto"/>
            </w:tcBorders>
            <w:shd w:val="clear" w:color="auto" w:fill="auto"/>
            <w:vAlign w:val="bottom"/>
            <w:hideMark/>
          </w:tcPr>
          <w:p w14:paraId="4E85451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Кейптаун</w:t>
            </w:r>
          </w:p>
        </w:tc>
        <w:tc>
          <w:tcPr>
            <w:tcW w:w="1048" w:type="dxa"/>
            <w:tcBorders>
              <w:top w:val="nil"/>
              <w:left w:val="nil"/>
              <w:bottom w:val="single" w:sz="4" w:space="0" w:color="auto"/>
              <w:right w:val="single" w:sz="4" w:space="0" w:color="auto"/>
            </w:tcBorders>
            <w:shd w:val="clear" w:color="auto" w:fill="auto"/>
            <w:vAlign w:val="bottom"/>
            <w:hideMark/>
          </w:tcPr>
          <w:p w14:paraId="69B77A9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ЮАР</w:t>
            </w:r>
          </w:p>
        </w:tc>
        <w:tc>
          <w:tcPr>
            <w:tcW w:w="661" w:type="dxa"/>
            <w:tcBorders>
              <w:top w:val="nil"/>
              <w:left w:val="nil"/>
              <w:bottom w:val="single" w:sz="4" w:space="0" w:color="auto"/>
              <w:right w:val="single" w:sz="4" w:space="0" w:color="auto"/>
            </w:tcBorders>
            <w:shd w:val="clear" w:color="000000" w:fill="92D050"/>
            <w:vAlign w:val="center"/>
            <w:hideMark/>
          </w:tcPr>
          <w:p w14:paraId="3EE79FE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592</w:t>
            </w:r>
          </w:p>
        </w:tc>
        <w:tc>
          <w:tcPr>
            <w:tcW w:w="848" w:type="dxa"/>
            <w:tcBorders>
              <w:top w:val="nil"/>
              <w:left w:val="nil"/>
              <w:bottom w:val="single" w:sz="4" w:space="0" w:color="auto"/>
              <w:right w:val="single" w:sz="4" w:space="0" w:color="auto"/>
            </w:tcBorders>
            <w:shd w:val="clear" w:color="auto" w:fill="auto"/>
            <w:vAlign w:val="center"/>
            <w:hideMark/>
          </w:tcPr>
          <w:p w14:paraId="56EECDC4"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South Africa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40A776A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73809F3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81,2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868EF0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59,5</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CA7991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4A9F41C" w14:textId="3462AC85"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706925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4228E7F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59,6</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658298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F3DF35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54,6</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6AE100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EA99CE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68,8</w:t>
            </w:r>
          </w:p>
        </w:tc>
      </w:tr>
      <w:tr w:rsidR="004A0184" w:rsidRPr="00A546AD" w14:paraId="7EF62514"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C5476FE"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68</w:t>
            </w:r>
          </w:p>
        </w:tc>
        <w:tc>
          <w:tcPr>
            <w:tcW w:w="925" w:type="dxa"/>
            <w:tcBorders>
              <w:top w:val="nil"/>
              <w:left w:val="nil"/>
              <w:bottom w:val="single" w:sz="4" w:space="0" w:color="auto"/>
              <w:right w:val="single" w:sz="4" w:space="0" w:color="auto"/>
            </w:tcBorders>
            <w:shd w:val="clear" w:color="auto" w:fill="auto"/>
            <w:vAlign w:val="bottom"/>
            <w:hideMark/>
          </w:tcPr>
          <w:p w14:paraId="7F65D692"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Лихтенштейн</w:t>
            </w:r>
          </w:p>
        </w:tc>
        <w:tc>
          <w:tcPr>
            <w:tcW w:w="1048" w:type="dxa"/>
            <w:tcBorders>
              <w:top w:val="nil"/>
              <w:left w:val="nil"/>
              <w:bottom w:val="single" w:sz="4" w:space="0" w:color="auto"/>
              <w:right w:val="single" w:sz="4" w:space="0" w:color="auto"/>
            </w:tcBorders>
            <w:shd w:val="clear" w:color="auto" w:fill="auto"/>
            <w:vAlign w:val="bottom"/>
            <w:hideMark/>
          </w:tcPr>
          <w:p w14:paraId="00E5994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Лихтенштейн</w:t>
            </w:r>
          </w:p>
        </w:tc>
        <w:tc>
          <w:tcPr>
            <w:tcW w:w="661" w:type="dxa"/>
            <w:tcBorders>
              <w:top w:val="nil"/>
              <w:left w:val="nil"/>
              <w:bottom w:val="single" w:sz="4" w:space="0" w:color="auto"/>
              <w:right w:val="single" w:sz="4" w:space="0" w:color="auto"/>
            </w:tcBorders>
            <w:shd w:val="clear" w:color="000000" w:fill="92D050"/>
            <w:vAlign w:val="center"/>
            <w:hideMark/>
          </w:tcPr>
          <w:p w14:paraId="0334E99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591</w:t>
            </w:r>
          </w:p>
        </w:tc>
        <w:tc>
          <w:tcPr>
            <w:tcW w:w="848" w:type="dxa"/>
            <w:tcBorders>
              <w:top w:val="nil"/>
              <w:left w:val="nil"/>
              <w:bottom w:val="single" w:sz="4" w:space="0" w:color="auto"/>
              <w:right w:val="single" w:sz="4" w:space="0" w:color="auto"/>
            </w:tcBorders>
            <w:shd w:val="clear" w:color="auto" w:fill="auto"/>
            <w:vAlign w:val="center"/>
            <w:hideMark/>
          </w:tcPr>
          <w:p w14:paraId="1FF3232D"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Liechtenstein</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85F6A2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64,8</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F77DE3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73,0</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494B67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8293FA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17B177A" w14:textId="48812DFA"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79,0</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6A404CD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79,0</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FD052F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96,1</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60C570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59,8</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2746ED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7CCA47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0CD4C5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96,3</w:t>
            </w:r>
          </w:p>
        </w:tc>
      </w:tr>
      <w:tr w:rsidR="004A0184" w:rsidRPr="00A546AD" w14:paraId="59F7C0ED"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3F9660E"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69</w:t>
            </w:r>
          </w:p>
        </w:tc>
        <w:tc>
          <w:tcPr>
            <w:tcW w:w="925" w:type="dxa"/>
            <w:tcBorders>
              <w:top w:val="nil"/>
              <w:left w:val="nil"/>
              <w:bottom w:val="single" w:sz="4" w:space="0" w:color="auto"/>
              <w:right w:val="single" w:sz="4" w:space="0" w:color="auto"/>
            </w:tcBorders>
            <w:shd w:val="clear" w:color="auto" w:fill="auto"/>
            <w:vAlign w:val="bottom"/>
            <w:hideMark/>
          </w:tcPr>
          <w:p w14:paraId="51CCEF3E"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Багамы</w:t>
            </w:r>
          </w:p>
        </w:tc>
        <w:tc>
          <w:tcPr>
            <w:tcW w:w="1048" w:type="dxa"/>
            <w:tcBorders>
              <w:top w:val="nil"/>
              <w:left w:val="nil"/>
              <w:bottom w:val="single" w:sz="4" w:space="0" w:color="auto"/>
              <w:right w:val="single" w:sz="4" w:space="0" w:color="auto"/>
            </w:tcBorders>
            <w:shd w:val="clear" w:color="auto" w:fill="auto"/>
            <w:vAlign w:val="bottom"/>
            <w:hideMark/>
          </w:tcPr>
          <w:p w14:paraId="3E02F44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Багамы</w:t>
            </w:r>
          </w:p>
        </w:tc>
        <w:tc>
          <w:tcPr>
            <w:tcW w:w="661" w:type="dxa"/>
            <w:tcBorders>
              <w:top w:val="nil"/>
              <w:left w:val="nil"/>
              <w:bottom w:val="single" w:sz="4" w:space="0" w:color="auto"/>
              <w:right w:val="single" w:sz="4" w:space="0" w:color="auto"/>
            </w:tcBorders>
            <w:shd w:val="clear" w:color="000000" w:fill="92D050"/>
            <w:vAlign w:val="center"/>
            <w:hideMark/>
          </w:tcPr>
          <w:p w14:paraId="1262A1C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590</w:t>
            </w:r>
          </w:p>
        </w:tc>
        <w:tc>
          <w:tcPr>
            <w:tcW w:w="848" w:type="dxa"/>
            <w:tcBorders>
              <w:top w:val="nil"/>
              <w:left w:val="nil"/>
              <w:bottom w:val="single" w:sz="4" w:space="0" w:color="auto"/>
              <w:right w:val="single" w:sz="4" w:space="0" w:color="auto"/>
            </w:tcBorders>
            <w:shd w:val="clear" w:color="auto" w:fill="auto"/>
            <w:vAlign w:val="center"/>
            <w:hideMark/>
          </w:tcPr>
          <w:p w14:paraId="6CE47860"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Bahamas, The</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4A42E9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59,9</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99B6AD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87,0</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7A5D63E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30,8</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BCDC96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50B3D792" w14:textId="1ECDAA7C"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E61D89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ABE65C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53,1</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65527B9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285C784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53,4</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7E7FBBA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70,9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54F9AF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76,7</w:t>
            </w:r>
          </w:p>
        </w:tc>
      </w:tr>
      <w:tr w:rsidR="004A0184" w:rsidRPr="00A546AD" w14:paraId="7BB28EC6"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0B138D7"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70</w:t>
            </w:r>
          </w:p>
        </w:tc>
        <w:tc>
          <w:tcPr>
            <w:tcW w:w="925" w:type="dxa"/>
            <w:tcBorders>
              <w:top w:val="nil"/>
              <w:left w:val="nil"/>
              <w:bottom w:val="single" w:sz="4" w:space="0" w:color="auto"/>
              <w:right w:val="single" w:sz="4" w:space="0" w:color="auto"/>
            </w:tcBorders>
            <w:shd w:val="clear" w:color="auto" w:fill="auto"/>
            <w:vAlign w:val="bottom"/>
            <w:hideMark/>
          </w:tcPr>
          <w:p w14:paraId="79DE436E"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Мехико</w:t>
            </w:r>
          </w:p>
        </w:tc>
        <w:tc>
          <w:tcPr>
            <w:tcW w:w="1048" w:type="dxa"/>
            <w:tcBorders>
              <w:top w:val="nil"/>
              <w:left w:val="nil"/>
              <w:bottom w:val="single" w:sz="4" w:space="0" w:color="auto"/>
              <w:right w:val="single" w:sz="4" w:space="0" w:color="auto"/>
            </w:tcBorders>
            <w:shd w:val="clear" w:color="auto" w:fill="auto"/>
            <w:vAlign w:val="bottom"/>
            <w:hideMark/>
          </w:tcPr>
          <w:p w14:paraId="5ECDBD0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Мексика</w:t>
            </w:r>
          </w:p>
        </w:tc>
        <w:tc>
          <w:tcPr>
            <w:tcW w:w="661" w:type="dxa"/>
            <w:tcBorders>
              <w:top w:val="nil"/>
              <w:left w:val="nil"/>
              <w:bottom w:val="single" w:sz="4" w:space="0" w:color="auto"/>
              <w:right w:val="single" w:sz="4" w:space="0" w:color="auto"/>
            </w:tcBorders>
            <w:shd w:val="clear" w:color="000000" w:fill="92D050"/>
            <w:vAlign w:val="center"/>
            <w:hideMark/>
          </w:tcPr>
          <w:p w14:paraId="15DACA1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589</w:t>
            </w:r>
          </w:p>
        </w:tc>
        <w:tc>
          <w:tcPr>
            <w:tcW w:w="848" w:type="dxa"/>
            <w:tcBorders>
              <w:top w:val="nil"/>
              <w:left w:val="nil"/>
              <w:bottom w:val="single" w:sz="4" w:space="0" w:color="auto"/>
              <w:right w:val="single" w:sz="4" w:space="0" w:color="auto"/>
            </w:tcBorders>
            <w:shd w:val="clear" w:color="auto" w:fill="auto"/>
            <w:vAlign w:val="center"/>
            <w:hideMark/>
          </w:tcPr>
          <w:p w14:paraId="0587551C"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Mexico Mexico City</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D3B6C2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71,7</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BB0317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85,7</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16759C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58,4</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4EC318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435337B" w14:textId="531228A5"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804CB7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65,8</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AFEE05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82,1</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EF114F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65,5</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01BF0E4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1993375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67,8</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FBE1ED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69,1</w:t>
            </w:r>
          </w:p>
        </w:tc>
      </w:tr>
      <w:tr w:rsidR="004A0184" w:rsidRPr="00A546AD" w14:paraId="3287006B"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C1C2C42"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71</w:t>
            </w:r>
          </w:p>
        </w:tc>
        <w:tc>
          <w:tcPr>
            <w:tcW w:w="925" w:type="dxa"/>
            <w:tcBorders>
              <w:top w:val="nil"/>
              <w:left w:val="nil"/>
              <w:bottom w:val="single" w:sz="4" w:space="0" w:color="auto"/>
              <w:right w:val="single" w:sz="4" w:space="0" w:color="auto"/>
            </w:tcBorders>
            <w:shd w:val="clear" w:color="auto" w:fill="auto"/>
            <w:vAlign w:val="bottom"/>
            <w:hideMark/>
          </w:tcPr>
          <w:p w14:paraId="2FDA89D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Кипр</w:t>
            </w:r>
          </w:p>
        </w:tc>
        <w:tc>
          <w:tcPr>
            <w:tcW w:w="1048" w:type="dxa"/>
            <w:tcBorders>
              <w:top w:val="nil"/>
              <w:left w:val="nil"/>
              <w:bottom w:val="single" w:sz="4" w:space="0" w:color="auto"/>
              <w:right w:val="single" w:sz="4" w:space="0" w:color="auto"/>
            </w:tcBorders>
            <w:shd w:val="clear" w:color="auto" w:fill="auto"/>
            <w:vAlign w:val="bottom"/>
            <w:hideMark/>
          </w:tcPr>
          <w:p w14:paraId="6DE7AB5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Кипр</w:t>
            </w:r>
          </w:p>
        </w:tc>
        <w:tc>
          <w:tcPr>
            <w:tcW w:w="661" w:type="dxa"/>
            <w:tcBorders>
              <w:top w:val="nil"/>
              <w:left w:val="nil"/>
              <w:bottom w:val="single" w:sz="4" w:space="0" w:color="auto"/>
              <w:right w:val="single" w:sz="4" w:space="0" w:color="auto"/>
            </w:tcBorders>
            <w:shd w:val="clear" w:color="000000" w:fill="92D050"/>
            <w:vAlign w:val="center"/>
            <w:hideMark/>
          </w:tcPr>
          <w:p w14:paraId="6BA604F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588</w:t>
            </w:r>
          </w:p>
        </w:tc>
        <w:tc>
          <w:tcPr>
            <w:tcW w:w="848" w:type="dxa"/>
            <w:tcBorders>
              <w:top w:val="nil"/>
              <w:left w:val="nil"/>
              <w:bottom w:val="single" w:sz="4" w:space="0" w:color="auto"/>
              <w:right w:val="single" w:sz="4" w:space="0" w:color="auto"/>
            </w:tcBorders>
            <w:shd w:val="clear" w:color="auto" w:fill="auto"/>
            <w:vAlign w:val="center"/>
            <w:hideMark/>
          </w:tcPr>
          <w:p w14:paraId="5B18A2FC"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Cyprus</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6FF7D2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73,4</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27054E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92,0</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A75C35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67,9</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2D3948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9F5FA86" w14:textId="7AAE145C"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85,5</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C98CDB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85,5</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D18693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1C89B30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48,6</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9A709E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72,5</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8330F3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64,2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9DBDBA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78,4</w:t>
            </w:r>
          </w:p>
        </w:tc>
      </w:tr>
      <w:tr w:rsidR="004A0184" w:rsidRPr="00A546AD" w14:paraId="5428BACA" w14:textId="77777777" w:rsidTr="00F5756A">
        <w:trPr>
          <w:trHeight w:val="9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027E5C9"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72</w:t>
            </w:r>
          </w:p>
        </w:tc>
        <w:tc>
          <w:tcPr>
            <w:tcW w:w="925" w:type="dxa"/>
            <w:tcBorders>
              <w:top w:val="nil"/>
              <w:left w:val="nil"/>
              <w:bottom w:val="single" w:sz="4" w:space="0" w:color="auto"/>
              <w:right w:val="single" w:sz="4" w:space="0" w:color="auto"/>
            </w:tcBorders>
            <w:shd w:val="clear" w:color="auto" w:fill="auto"/>
            <w:vAlign w:val="bottom"/>
            <w:hideMark/>
          </w:tcPr>
          <w:p w14:paraId="15A70C7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Британские Виргинские острова</w:t>
            </w:r>
          </w:p>
        </w:tc>
        <w:tc>
          <w:tcPr>
            <w:tcW w:w="1048" w:type="dxa"/>
            <w:tcBorders>
              <w:top w:val="nil"/>
              <w:left w:val="nil"/>
              <w:bottom w:val="single" w:sz="4" w:space="0" w:color="auto"/>
              <w:right w:val="single" w:sz="4" w:space="0" w:color="auto"/>
            </w:tcBorders>
            <w:shd w:val="clear" w:color="auto" w:fill="auto"/>
            <w:vAlign w:val="bottom"/>
            <w:hideMark/>
          </w:tcPr>
          <w:p w14:paraId="4496E14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Великобритания</w:t>
            </w:r>
          </w:p>
        </w:tc>
        <w:tc>
          <w:tcPr>
            <w:tcW w:w="661" w:type="dxa"/>
            <w:tcBorders>
              <w:top w:val="nil"/>
              <w:left w:val="nil"/>
              <w:bottom w:val="single" w:sz="4" w:space="0" w:color="auto"/>
              <w:right w:val="single" w:sz="4" w:space="0" w:color="auto"/>
            </w:tcBorders>
            <w:shd w:val="clear" w:color="000000" w:fill="92D050"/>
            <w:vAlign w:val="center"/>
            <w:hideMark/>
          </w:tcPr>
          <w:p w14:paraId="6B4DBFD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587</w:t>
            </w:r>
          </w:p>
        </w:tc>
        <w:tc>
          <w:tcPr>
            <w:tcW w:w="848" w:type="dxa"/>
            <w:tcBorders>
              <w:top w:val="nil"/>
              <w:left w:val="nil"/>
              <w:bottom w:val="single" w:sz="4" w:space="0" w:color="auto"/>
              <w:right w:val="single" w:sz="4" w:space="0" w:color="auto"/>
            </w:tcBorders>
            <w:shd w:val="clear" w:color="auto" w:fill="auto"/>
            <w:vAlign w:val="center"/>
            <w:hideMark/>
          </w:tcPr>
          <w:p w14:paraId="20C54CA3"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Kingdom</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2CA5F9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78C1712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01DD9F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43F2CE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6AA436F" w14:textId="03500623"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CE99E9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974DEB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390FB9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C113D1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C6104F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107D2A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96,9</w:t>
            </w:r>
          </w:p>
        </w:tc>
      </w:tr>
      <w:tr w:rsidR="004A0184" w:rsidRPr="00A546AD" w14:paraId="2D1CDAE4"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992AFB9"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73</w:t>
            </w:r>
          </w:p>
        </w:tc>
        <w:tc>
          <w:tcPr>
            <w:tcW w:w="925" w:type="dxa"/>
            <w:tcBorders>
              <w:top w:val="nil"/>
              <w:left w:val="nil"/>
              <w:bottom w:val="single" w:sz="4" w:space="0" w:color="auto"/>
              <w:right w:val="single" w:sz="4" w:space="0" w:color="auto"/>
            </w:tcBorders>
            <w:shd w:val="clear" w:color="auto" w:fill="auto"/>
            <w:vAlign w:val="bottom"/>
            <w:hideMark/>
          </w:tcPr>
          <w:p w14:paraId="4B6C2BF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Мальта</w:t>
            </w:r>
          </w:p>
        </w:tc>
        <w:tc>
          <w:tcPr>
            <w:tcW w:w="1048" w:type="dxa"/>
            <w:tcBorders>
              <w:top w:val="nil"/>
              <w:left w:val="nil"/>
              <w:bottom w:val="single" w:sz="4" w:space="0" w:color="auto"/>
              <w:right w:val="single" w:sz="4" w:space="0" w:color="auto"/>
            </w:tcBorders>
            <w:shd w:val="clear" w:color="auto" w:fill="auto"/>
            <w:vAlign w:val="bottom"/>
            <w:hideMark/>
          </w:tcPr>
          <w:p w14:paraId="0FDF81D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Мальта</w:t>
            </w:r>
          </w:p>
        </w:tc>
        <w:tc>
          <w:tcPr>
            <w:tcW w:w="661" w:type="dxa"/>
            <w:tcBorders>
              <w:top w:val="nil"/>
              <w:left w:val="nil"/>
              <w:bottom w:val="single" w:sz="4" w:space="0" w:color="auto"/>
              <w:right w:val="single" w:sz="4" w:space="0" w:color="auto"/>
            </w:tcBorders>
            <w:shd w:val="clear" w:color="000000" w:fill="92D050"/>
            <w:vAlign w:val="center"/>
            <w:hideMark/>
          </w:tcPr>
          <w:p w14:paraId="0C83F5A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586</w:t>
            </w:r>
          </w:p>
        </w:tc>
        <w:tc>
          <w:tcPr>
            <w:tcW w:w="848" w:type="dxa"/>
            <w:tcBorders>
              <w:top w:val="nil"/>
              <w:left w:val="nil"/>
              <w:bottom w:val="single" w:sz="4" w:space="0" w:color="auto"/>
              <w:right w:val="single" w:sz="4" w:space="0" w:color="auto"/>
            </w:tcBorders>
            <w:shd w:val="clear" w:color="auto" w:fill="auto"/>
            <w:vAlign w:val="center"/>
            <w:hideMark/>
          </w:tcPr>
          <w:p w14:paraId="3D7419D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Malta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5C22A3B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66,1</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7EFCB9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88,2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5635D5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48,5</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FFFBC0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0DC2218" w14:textId="300811CE"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814C13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F464F2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88,9</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175746A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67,6</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0A3EA3C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01DCFB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2B6E28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79,3</w:t>
            </w:r>
          </w:p>
        </w:tc>
      </w:tr>
      <w:tr w:rsidR="004A0184" w:rsidRPr="00A546AD" w14:paraId="25C9C1F2"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70616BF"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74</w:t>
            </w:r>
          </w:p>
        </w:tc>
        <w:tc>
          <w:tcPr>
            <w:tcW w:w="925" w:type="dxa"/>
            <w:tcBorders>
              <w:top w:val="nil"/>
              <w:left w:val="nil"/>
              <w:bottom w:val="single" w:sz="4" w:space="0" w:color="auto"/>
              <w:right w:val="single" w:sz="4" w:space="0" w:color="auto"/>
            </w:tcBorders>
            <w:shd w:val="clear" w:color="auto" w:fill="auto"/>
            <w:vAlign w:val="bottom"/>
            <w:hideMark/>
          </w:tcPr>
          <w:p w14:paraId="4FA386E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Нурсултан</w:t>
            </w:r>
          </w:p>
        </w:tc>
        <w:tc>
          <w:tcPr>
            <w:tcW w:w="1048" w:type="dxa"/>
            <w:tcBorders>
              <w:top w:val="nil"/>
              <w:left w:val="nil"/>
              <w:bottom w:val="single" w:sz="4" w:space="0" w:color="auto"/>
              <w:right w:val="single" w:sz="4" w:space="0" w:color="auto"/>
            </w:tcBorders>
            <w:shd w:val="clear" w:color="auto" w:fill="auto"/>
            <w:vAlign w:val="bottom"/>
            <w:hideMark/>
          </w:tcPr>
          <w:p w14:paraId="4F7A82B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Казахстан</w:t>
            </w:r>
          </w:p>
        </w:tc>
        <w:tc>
          <w:tcPr>
            <w:tcW w:w="661" w:type="dxa"/>
            <w:tcBorders>
              <w:top w:val="nil"/>
              <w:left w:val="nil"/>
              <w:bottom w:val="single" w:sz="4" w:space="0" w:color="auto"/>
              <w:right w:val="single" w:sz="4" w:space="0" w:color="auto"/>
            </w:tcBorders>
            <w:shd w:val="clear" w:color="000000" w:fill="92D050"/>
            <w:vAlign w:val="center"/>
            <w:hideMark/>
          </w:tcPr>
          <w:p w14:paraId="29F56E9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585</w:t>
            </w:r>
          </w:p>
        </w:tc>
        <w:tc>
          <w:tcPr>
            <w:tcW w:w="848" w:type="dxa"/>
            <w:tcBorders>
              <w:top w:val="nil"/>
              <w:left w:val="nil"/>
              <w:bottom w:val="single" w:sz="4" w:space="0" w:color="auto"/>
              <w:right w:val="single" w:sz="4" w:space="0" w:color="auto"/>
            </w:tcBorders>
            <w:shd w:val="clear" w:color="auto" w:fill="auto"/>
            <w:vAlign w:val="center"/>
            <w:hideMark/>
          </w:tcPr>
          <w:p w14:paraId="479F5A1C"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Kazakhstan</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2288D2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8BBAD3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2F0081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82,4</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D7362A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5E9C63A8" w14:textId="409FE24E"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0A7FD5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7AF069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09C9EB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81,3</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2382378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66,7</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599672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917EC1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81,6</w:t>
            </w:r>
          </w:p>
        </w:tc>
      </w:tr>
      <w:tr w:rsidR="004A0184" w:rsidRPr="00A546AD" w14:paraId="5705A69C"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8221763"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75</w:t>
            </w:r>
          </w:p>
        </w:tc>
        <w:tc>
          <w:tcPr>
            <w:tcW w:w="925" w:type="dxa"/>
            <w:tcBorders>
              <w:top w:val="nil"/>
              <w:left w:val="nil"/>
              <w:bottom w:val="single" w:sz="4" w:space="0" w:color="auto"/>
              <w:right w:val="single" w:sz="4" w:space="0" w:color="auto"/>
            </w:tcBorders>
            <w:shd w:val="clear" w:color="auto" w:fill="auto"/>
            <w:vAlign w:val="bottom"/>
            <w:hideMark/>
          </w:tcPr>
          <w:p w14:paraId="5EE80CD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Монако</w:t>
            </w:r>
          </w:p>
        </w:tc>
        <w:tc>
          <w:tcPr>
            <w:tcW w:w="1048" w:type="dxa"/>
            <w:tcBorders>
              <w:top w:val="nil"/>
              <w:left w:val="nil"/>
              <w:bottom w:val="single" w:sz="4" w:space="0" w:color="auto"/>
              <w:right w:val="single" w:sz="4" w:space="0" w:color="auto"/>
            </w:tcBorders>
            <w:shd w:val="clear" w:color="auto" w:fill="auto"/>
            <w:vAlign w:val="bottom"/>
            <w:hideMark/>
          </w:tcPr>
          <w:p w14:paraId="0740EF0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Франция</w:t>
            </w:r>
          </w:p>
        </w:tc>
        <w:tc>
          <w:tcPr>
            <w:tcW w:w="661" w:type="dxa"/>
            <w:tcBorders>
              <w:top w:val="nil"/>
              <w:left w:val="nil"/>
              <w:bottom w:val="single" w:sz="4" w:space="0" w:color="auto"/>
              <w:right w:val="single" w:sz="4" w:space="0" w:color="auto"/>
            </w:tcBorders>
            <w:shd w:val="clear" w:color="000000" w:fill="92D050"/>
            <w:vAlign w:val="center"/>
            <w:hideMark/>
          </w:tcPr>
          <w:p w14:paraId="611E49A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580</w:t>
            </w:r>
          </w:p>
        </w:tc>
        <w:tc>
          <w:tcPr>
            <w:tcW w:w="848" w:type="dxa"/>
            <w:tcBorders>
              <w:top w:val="nil"/>
              <w:left w:val="nil"/>
              <w:bottom w:val="single" w:sz="4" w:space="0" w:color="auto"/>
              <w:right w:val="single" w:sz="4" w:space="0" w:color="auto"/>
            </w:tcBorders>
            <w:shd w:val="clear" w:color="auto" w:fill="auto"/>
            <w:vAlign w:val="center"/>
            <w:hideMark/>
          </w:tcPr>
          <w:p w14:paraId="61FCD719"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France</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AEA4C3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76,8</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3979BA8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93,1</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DF5DF3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63,3</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C819C8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35E7C1A" w14:textId="50B9AC5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5ACBA67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1BF20B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C55F5E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73,5</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8C6687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74,6</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EA2921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74,3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DCC708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92,0</w:t>
            </w:r>
          </w:p>
        </w:tc>
      </w:tr>
      <w:tr w:rsidR="004A0184" w:rsidRPr="00A546AD" w14:paraId="1C906054"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ED59819"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lastRenderedPageBreak/>
              <w:t>76</w:t>
            </w:r>
          </w:p>
        </w:tc>
        <w:tc>
          <w:tcPr>
            <w:tcW w:w="925" w:type="dxa"/>
            <w:tcBorders>
              <w:top w:val="nil"/>
              <w:left w:val="nil"/>
              <w:bottom w:val="single" w:sz="4" w:space="0" w:color="auto"/>
              <w:right w:val="single" w:sz="4" w:space="0" w:color="auto"/>
            </w:tcBorders>
            <w:shd w:val="clear" w:color="auto" w:fill="auto"/>
            <w:vAlign w:val="bottom"/>
            <w:hideMark/>
          </w:tcPr>
          <w:p w14:paraId="3338C05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Вильнус</w:t>
            </w:r>
          </w:p>
        </w:tc>
        <w:tc>
          <w:tcPr>
            <w:tcW w:w="1048" w:type="dxa"/>
            <w:tcBorders>
              <w:top w:val="nil"/>
              <w:left w:val="nil"/>
              <w:bottom w:val="single" w:sz="4" w:space="0" w:color="auto"/>
              <w:right w:val="single" w:sz="4" w:space="0" w:color="auto"/>
            </w:tcBorders>
            <w:shd w:val="clear" w:color="auto" w:fill="auto"/>
            <w:vAlign w:val="bottom"/>
            <w:hideMark/>
          </w:tcPr>
          <w:p w14:paraId="23387BF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 xml:space="preserve">Литва </w:t>
            </w:r>
          </w:p>
        </w:tc>
        <w:tc>
          <w:tcPr>
            <w:tcW w:w="661" w:type="dxa"/>
            <w:tcBorders>
              <w:top w:val="nil"/>
              <w:left w:val="nil"/>
              <w:bottom w:val="single" w:sz="4" w:space="0" w:color="auto"/>
              <w:right w:val="single" w:sz="4" w:space="0" w:color="auto"/>
            </w:tcBorders>
            <w:shd w:val="clear" w:color="000000" w:fill="92D050"/>
            <w:vAlign w:val="center"/>
            <w:hideMark/>
          </w:tcPr>
          <w:p w14:paraId="48F9685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578</w:t>
            </w:r>
          </w:p>
        </w:tc>
        <w:tc>
          <w:tcPr>
            <w:tcW w:w="848" w:type="dxa"/>
            <w:tcBorders>
              <w:top w:val="nil"/>
              <w:left w:val="nil"/>
              <w:bottom w:val="single" w:sz="4" w:space="0" w:color="auto"/>
              <w:right w:val="single" w:sz="4" w:space="0" w:color="auto"/>
            </w:tcBorders>
            <w:shd w:val="clear" w:color="auto" w:fill="auto"/>
            <w:vAlign w:val="center"/>
            <w:hideMark/>
          </w:tcPr>
          <w:p w14:paraId="23247366"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Lithuania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E82ED2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81,6</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FD14D2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93,3</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B89DCC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2E6E78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F4CF2D9" w14:textId="7E1575EB"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60D294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88,8</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1F5565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BFE47B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78,8</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512C20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46,7</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BA9578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A8F0A7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92,9</w:t>
            </w:r>
          </w:p>
        </w:tc>
      </w:tr>
      <w:tr w:rsidR="004A0184" w:rsidRPr="00A546AD" w14:paraId="64651025"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9CC30BC"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77</w:t>
            </w:r>
          </w:p>
        </w:tc>
        <w:tc>
          <w:tcPr>
            <w:tcW w:w="925" w:type="dxa"/>
            <w:tcBorders>
              <w:top w:val="nil"/>
              <w:left w:val="nil"/>
              <w:bottom w:val="single" w:sz="4" w:space="0" w:color="auto"/>
              <w:right w:val="single" w:sz="4" w:space="0" w:color="auto"/>
            </w:tcBorders>
            <w:shd w:val="clear" w:color="auto" w:fill="auto"/>
            <w:vAlign w:val="bottom"/>
            <w:hideMark/>
          </w:tcPr>
          <w:p w14:paraId="59767B4E"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о. Мэн</w:t>
            </w:r>
          </w:p>
        </w:tc>
        <w:tc>
          <w:tcPr>
            <w:tcW w:w="1048" w:type="dxa"/>
            <w:tcBorders>
              <w:top w:val="nil"/>
              <w:left w:val="nil"/>
              <w:bottom w:val="single" w:sz="4" w:space="0" w:color="auto"/>
              <w:right w:val="single" w:sz="4" w:space="0" w:color="auto"/>
            </w:tcBorders>
            <w:shd w:val="clear" w:color="auto" w:fill="auto"/>
            <w:vAlign w:val="bottom"/>
            <w:hideMark/>
          </w:tcPr>
          <w:p w14:paraId="3165457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Великобритания</w:t>
            </w:r>
          </w:p>
        </w:tc>
        <w:tc>
          <w:tcPr>
            <w:tcW w:w="661" w:type="dxa"/>
            <w:tcBorders>
              <w:top w:val="nil"/>
              <w:left w:val="nil"/>
              <w:bottom w:val="single" w:sz="4" w:space="0" w:color="auto"/>
              <w:right w:val="single" w:sz="4" w:space="0" w:color="auto"/>
            </w:tcBorders>
            <w:shd w:val="clear" w:color="000000" w:fill="92D050"/>
            <w:vAlign w:val="center"/>
            <w:hideMark/>
          </w:tcPr>
          <w:p w14:paraId="1526AFD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577</w:t>
            </w:r>
          </w:p>
        </w:tc>
        <w:tc>
          <w:tcPr>
            <w:tcW w:w="848" w:type="dxa"/>
            <w:tcBorders>
              <w:top w:val="nil"/>
              <w:left w:val="nil"/>
              <w:bottom w:val="single" w:sz="4" w:space="0" w:color="auto"/>
              <w:right w:val="single" w:sz="4" w:space="0" w:color="auto"/>
            </w:tcBorders>
            <w:shd w:val="clear" w:color="auto" w:fill="auto"/>
            <w:vAlign w:val="center"/>
            <w:hideMark/>
          </w:tcPr>
          <w:p w14:paraId="0833804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Kingdom</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1230FF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927CC5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6D646F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56D887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5619E891" w14:textId="1859C34A"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AFBF59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F0A7A4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002B5E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03089E1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7CA6471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201A6B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96,9</w:t>
            </w:r>
          </w:p>
        </w:tc>
      </w:tr>
      <w:tr w:rsidR="004A0184" w:rsidRPr="00A546AD" w14:paraId="4E802054" w14:textId="77777777" w:rsidTr="00F5756A">
        <w:trPr>
          <w:trHeight w:val="6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4294398"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78</w:t>
            </w:r>
          </w:p>
        </w:tc>
        <w:tc>
          <w:tcPr>
            <w:tcW w:w="925" w:type="dxa"/>
            <w:tcBorders>
              <w:top w:val="nil"/>
              <w:left w:val="nil"/>
              <w:bottom w:val="single" w:sz="4" w:space="0" w:color="auto"/>
              <w:right w:val="single" w:sz="4" w:space="0" w:color="auto"/>
            </w:tcBorders>
            <w:shd w:val="clear" w:color="auto" w:fill="auto"/>
            <w:vAlign w:val="bottom"/>
            <w:hideMark/>
          </w:tcPr>
          <w:p w14:paraId="0E12E42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Каймановы острова</w:t>
            </w:r>
          </w:p>
        </w:tc>
        <w:tc>
          <w:tcPr>
            <w:tcW w:w="1048" w:type="dxa"/>
            <w:tcBorders>
              <w:top w:val="nil"/>
              <w:left w:val="nil"/>
              <w:bottom w:val="single" w:sz="4" w:space="0" w:color="auto"/>
              <w:right w:val="single" w:sz="4" w:space="0" w:color="auto"/>
            </w:tcBorders>
            <w:shd w:val="clear" w:color="auto" w:fill="auto"/>
            <w:vAlign w:val="bottom"/>
            <w:hideMark/>
          </w:tcPr>
          <w:p w14:paraId="05C68B8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Великобритания</w:t>
            </w:r>
          </w:p>
        </w:tc>
        <w:tc>
          <w:tcPr>
            <w:tcW w:w="661" w:type="dxa"/>
            <w:tcBorders>
              <w:top w:val="nil"/>
              <w:left w:val="nil"/>
              <w:bottom w:val="single" w:sz="4" w:space="0" w:color="auto"/>
              <w:right w:val="single" w:sz="4" w:space="0" w:color="auto"/>
            </w:tcBorders>
            <w:shd w:val="clear" w:color="000000" w:fill="92D050"/>
            <w:vAlign w:val="center"/>
            <w:hideMark/>
          </w:tcPr>
          <w:p w14:paraId="2CE35CB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575</w:t>
            </w:r>
          </w:p>
        </w:tc>
        <w:tc>
          <w:tcPr>
            <w:tcW w:w="848" w:type="dxa"/>
            <w:tcBorders>
              <w:top w:val="nil"/>
              <w:left w:val="nil"/>
              <w:bottom w:val="single" w:sz="4" w:space="0" w:color="auto"/>
              <w:right w:val="single" w:sz="4" w:space="0" w:color="auto"/>
            </w:tcBorders>
            <w:shd w:val="clear" w:color="auto" w:fill="auto"/>
            <w:vAlign w:val="center"/>
            <w:hideMark/>
          </w:tcPr>
          <w:p w14:paraId="296975F5"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Kingdom</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20719C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574C89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C417A1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6F5BEA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1C9F5DD7" w14:textId="46A5BEBB"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8DFC6C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BDA0A6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66CCDA4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BDF4BC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06B1E0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86B113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96,9</w:t>
            </w:r>
          </w:p>
        </w:tc>
      </w:tr>
      <w:tr w:rsidR="004A0184" w:rsidRPr="00A546AD" w14:paraId="1D8FDA81"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4651CF2"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79</w:t>
            </w:r>
          </w:p>
        </w:tc>
        <w:tc>
          <w:tcPr>
            <w:tcW w:w="925" w:type="dxa"/>
            <w:tcBorders>
              <w:top w:val="nil"/>
              <w:left w:val="nil"/>
              <w:bottom w:val="single" w:sz="4" w:space="0" w:color="auto"/>
              <w:right w:val="single" w:sz="4" w:space="0" w:color="auto"/>
            </w:tcBorders>
            <w:shd w:val="clear" w:color="auto" w:fill="auto"/>
            <w:vAlign w:val="bottom"/>
            <w:hideMark/>
          </w:tcPr>
          <w:p w14:paraId="56142F0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Гернси</w:t>
            </w:r>
          </w:p>
        </w:tc>
        <w:tc>
          <w:tcPr>
            <w:tcW w:w="1048" w:type="dxa"/>
            <w:tcBorders>
              <w:top w:val="nil"/>
              <w:left w:val="nil"/>
              <w:bottom w:val="single" w:sz="4" w:space="0" w:color="auto"/>
              <w:right w:val="single" w:sz="4" w:space="0" w:color="auto"/>
            </w:tcBorders>
            <w:shd w:val="clear" w:color="auto" w:fill="auto"/>
            <w:vAlign w:val="bottom"/>
            <w:hideMark/>
          </w:tcPr>
          <w:p w14:paraId="5F5C10F4"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Великобритания</w:t>
            </w:r>
          </w:p>
        </w:tc>
        <w:tc>
          <w:tcPr>
            <w:tcW w:w="661" w:type="dxa"/>
            <w:tcBorders>
              <w:top w:val="nil"/>
              <w:left w:val="nil"/>
              <w:bottom w:val="single" w:sz="4" w:space="0" w:color="auto"/>
              <w:right w:val="single" w:sz="4" w:space="0" w:color="auto"/>
            </w:tcBorders>
            <w:shd w:val="clear" w:color="000000" w:fill="92D050"/>
            <w:vAlign w:val="center"/>
            <w:hideMark/>
          </w:tcPr>
          <w:p w14:paraId="6A03477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574</w:t>
            </w:r>
          </w:p>
        </w:tc>
        <w:tc>
          <w:tcPr>
            <w:tcW w:w="848" w:type="dxa"/>
            <w:tcBorders>
              <w:top w:val="nil"/>
              <w:left w:val="nil"/>
              <w:bottom w:val="single" w:sz="4" w:space="0" w:color="auto"/>
              <w:right w:val="single" w:sz="4" w:space="0" w:color="auto"/>
            </w:tcBorders>
            <w:shd w:val="clear" w:color="auto" w:fill="auto"/>
            <w:vAlign w:val="center"/>
            <w:hideMark/>
          </w:tcPr>
          <w:p w14:paraId="1AD89BFC"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Kingdom</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FE0AB1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91014F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900BAB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3C07014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3C8C6A0" w14:textId="5F92E565"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7878CD0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4D5F5F5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ED94A9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10EA53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39E4470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586C06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96,9</w:t>
            </w:r>
          </w:p>
        </w:tc>
      </w:tr>
      <w:tr w:rsidR="004A0184" w:rsidRPr="00A546AD" w14:paraId="1902453D"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2BE4B59"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80</w:t>
            </w:r>
          </w:p>
        </w:tc>
        <w:tc>
          <w:tcPr>
            <w:tcW w:w="925" w:type="dxa"/>
            <w:tcBorders>
              <w:top w:val="nil"/>
              <w:left w:val="nil"/>
              <w:bottom w:val="single" w:sz="4" w:space="0" w:color="auto"/>
              <w:right w:val="single" w:sz="4" w:space="0" w:color="auto"/>
            </w:tcBorders>
            <w:shd w:val="clear" w:color="auto" w:fill="auto"/>
            <w:vAlign w:val="bottom"/>
            <w:hideMark/>
          </w:tcPr>
          <w:p w14:paraId="495D6FE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Сан-Паоло</w:t>
            </w:r>
          </w:p>
        </w:tc>
        <w:tc>
          <w:tcPr>
            <w:tcW w:w="1048" w:type="dxa"/>
            <w:tcBorders>
              <w:top w:val="nil"/>
              <w:left w:val="nil"/>
              <w:bottom w:val="single" w:sz="4" w:space="0" w:color="auto"/>
              <w:right w:val="single" w:sz="4" w:space="0" w:color="auto"/>
            </w:tcBorders>
            <w:shd w:val="clear" w:color="auto" w:fill="auto"/>
            <w:vAlign w:val="bottom"/>
            <w:hideMark/>
          </w:tcPr>
          <w:p w14:paraId="209B7B5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Бразилия</w:t>
            </w:r>
          </w:p>
        </w:tc>
        <w:tc>
          <w:tcPr>
            <w:tcW w:w="661" w:type="dxa"/>
            <w:tcBorders>
              <w:top w:val="nil"/>
              <w:left w:val="nil"/>
              <w:bottom w:val="single" w:sz="4" w:space="0" w:color="auto"/>
              <w:right w:val="single" w:sz="4" w:space="0" w:color="auto"/>
            </w:tcBorders>
            <w:shd w:val="clear" w:color="000000" w:fill="92D050"/>
            <w:vAlign w:val="center"/>
            <w:hideMark/>
          </w:tcPr>
          <w:p w14:paraId="07D8755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569</w:t>
            </w:r>
          </w:p>
        </w:tc>
        <w:tc>
          <w:tcPr>
            <w:tcW w:w="848" w:type="dxa"/>
            <w:tcBorders>
              <w:top w:val="nil"/>
              <w:left w:val="nil"/>
              <w:bottom w:val="single" w:sz="4" w:space="0" w:color="auto"/>
              <w:right w:val="single" w:sz="4" w:space="0" w:color="auto"/>
            </w:tcBorders>
            <w:shd w:val="clear" w:color="auto" w:fill="auto"/>
            <w:vAlign w:val="center"/>
            <w:hideMark/>
          </w:tcPr>
          <w:p w14:paraId="1619E97D"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Brazil São Paulo</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7666CDC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58,8</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60F2251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81,6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485A15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58AA8F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438023CE" w14:textId="21774F40"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34,4</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5EA722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34,4</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E29ED4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69,9</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197F9B1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65,4</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F6DE8A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50,4</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683D91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47,7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B2D041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72,0</w:t>
            </w:r>
          </w:p>
        </w:tc>
      </w:tr>
      <w:tr w:rsidR="004A0184" w:rsidRPr="00A546AD" w14:paraId="65DD59B7"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7270410"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81</w:t>
            </w:r>
          </w:p>
        </w:tc>
        <w:tc>
          <w:tcPr>
            <w:tcW w:w="925" w:type="dxa"/>
            <w:tcBorders>
              <w:top w:val="nil"/>
              <w:left w:val="nil"/>
              <w:bottom w:val="single" w:sz="4" w:space="0" w:color="auto"/>
              <w:right w:val="single" w:sz="4" w:space="0" w:color="auto"/>
            </w:tcBorders>
            <w:shd w:val="clear" w:color="auto" w:fill="auto"/>
            <w:vAlign w:val="bottom"/>
            <w:hideMark/>
          </w:tcPr>
          <w:p w14:paraId="7ED3978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Джакарта</w:t>
            </w:r>
          </w:p>
        </w:tc>
        <w:tc>
          <w:tcPr>
            <w:tcW w:w="1048" w:type="dxa"/>
            <w:tcBorders>
              <w:top w:val="nil"/>
              <w:left w:val="nil"/>
              <w:bottom w:val="single" w:sz="4" w:space="0" w:color="auto"/>
              <w:right w:val="single" w:sz="4" w:space="0" w:color="auto"/>
            </w:tcBorders>
            <w:shd w:val="clear" w:color="auto" w:fill="auto"/>
            <w:vAlign w:val="bottom"/>
            <w:hideMark/>
          </w:tcPr>
          <w:p w14:paraId="1669EFD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Индонезия</w:t>
            </w:r>
          </w:p>
        </w:tc>
        <w:tc>
          <w:tcPr>
            <w:tcW w:w="661" w:type="dxa"/>
            <w:tcBorders>
              <w:top w:val="nil"/>
              <w:left w:val="nil"/>
              <w:bottom w:val="single" w:sz="4" w:space="0" w:color="auto"/>
              <w:right w:val="single" w:sz="4" w:space="0" w:color="auto"/>
            </w:tcBorders>
            <w:shd w:val="clear" w:color="000000" w:fill="92D050"/>
            <w:vAlign w:val="center"/>
            <w:hideMark/>
          </w:tcPr>
          <w:p w14:paraId="7922C91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568</w:t>
            </w:r>
          </w:p>
        </w:tc>
        <w:tc>
          <w:tcPr>
            <w:tcW w:w="848" w:type="dxa"/>
            <w:tcBorders>
              <w:top w:val="nil"/>
              <w:left w:val="nil"/>
              <w:bottom w:val="single" w:sz="4" w:space="0" w:color="auto"/>
              <w:right w:val="single" w:sz="4" w:space="0" w:color="auto"/>
            </w:tcBorders>
            <w:shd w:val="clear" w:color="auto" w:fill="auto"/>
            <w:vAlign w:val="center"/>
            <w:hideMark/>
          </w:tcPr>
          <w:p w14:paraId="468899B2"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Indonesia Jakarta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374FF8A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69,8</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20274C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82,2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4713B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60,2</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8CC455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F8E2AF3" w14:textId="792811E1"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7C128A2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75,8</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E4B379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6A0568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48,2</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024353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67,9</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81A2CF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F3CAD9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87,1</w:t>
            </w:r>
          </w:p>
        </w:tc>
      </w:tr>
      <w:tr w:rsidR="004A0184" w:rsidRPr="00A546AD" w14:paraId="37A05600" w14:textId="77777777" w:rsidTr="00F5756A">
        <w:trPr>
          <w:trHeight w:val="6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7C7C115"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82</w:t>
            </w:r>
          </w:p>
        </w:tc>
        <w:tc>
          <w:tcPr>
            <w:tcW w:w="925" w:type="dxa"/>
            <w:tcBorders>
              <w:top w:val="nil"/>
              <w:left w:val="nil"/>
              <w:bottom w:val="single" w:sz="4" w:space="0" w:color="auto"/>
              <w:right w:val="single" w:sz="4" w:space="0" w:color="auto"/>
            </w:tcBorders>
            <w:shd w:val="clear" w:color="auto" w:fill="auto"/>
            <w:vAlign w:val="bottom"/>
            <w:hideMark/>
          </w:tcPr>
          <w:p w14:paraId="4547294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ГИФТ Сити Гуджарат</w:t>
            </w:r>
          </w:p>
        </w:tc>
        <w:tc>
          <w:tcPr>
            <w:tcW w:w="1048" w:type="dxa"/>
            <w:tcBorders>
              <w:top w:val="nil"/>
              <w:left w:val="nil"/>
              <w:bottom w:val="single" w:sz="4" w:space="0" w:color="auto"/>
              <w:right w:val="single" w:sz="4" w:space="0" w:color="auto"/>
            </w:tcBorders>
            <w:shd w:val="clear" w:color="auto" w:fill="auto"/>
            <w:vAlign w:val="bottom"/>
            <w:hideMark/>
          </w:tcPr>
          <w:p w14:paraId="5607834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Индия</w:t>
            </w:r>
          </w:p>
        </w:tc>
        <w:tc>
          <w:tcPr>
            <w:tcW w:w="661" w:type="dxa"/>
            <w:tcBorders>
              <w:top w:val="nil"/>
              <w:left w:val="nil"/>
              <w:bottom w:val="single" w:sz="4" w:space="0" w:color="auto"/>
              <w:right w:val="single" w:sz="4" w:space="0" w:color="auto"/>
            </w:tcBorders>
            <w:shd w:val="clear" w:color="000000" w:fill="92D050"/>
            <w:vAlign w:val="center"/>
            <w:hideMark/>
          </w:tcPr>
          <w:p w14:paraId="7944FA2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563</w:t>
            </w:r>
          </w:p>
        </w:tc>
        <w:tc>
          <w:tcPr>
            <w:tcW w:w="848" w:type="dxa"/>
            <w:tcBorders>
              <w:top w:val="nil"/>
              <w:left w:val="nil"/>
              <w:bottom w:val="single" w:sz="4" w:space="0" w:color="auto"/>
              <w:right w:val="single" w:sz="4" w:space="0" w:color="auto"/>
            </w:tcBorders>
            <w:shd w:val="clear" w:color="auto" w:fill="auto"/>
            <w:vAlign w:val="center"/>
            <w:hideMark/>
          </w:tcPr>
          <w:p w14:paraId="663CF065"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India</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743CAFB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572D9A1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81,6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B7CDDB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47,6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0517C6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11E88F5" w14:textId="1142D775"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67,6</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6B78FD6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67,6</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B9EA04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F76A1E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41,2</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52CD40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62,0</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3D01A7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193368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89,4</w:t>
            </w:r>
          </w:p>
        </w:tc>
      </w:tr>
      <w:tr w:rsidR="004A0184" w:rsidRPr="00A546AD" w14:paraId="727B9E65"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D10203C"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83</w:t>
            </w:r>
          </w:p>
        </w:tc>
        <w:tc>
          <w:tcPr>
            <w:tcW w:w="925" w:type="dxa"/>
            <w:tcBorders>
              <w:top w:val="nil"/>
              <w:left w:val="nil"/>
              <w:bottom w:val="single" w:sz="4" w:space="0" w:color="auto"/>
              <w:right w:val="single" w:sz="4" w:space="0" w:color="auto"/>
            </w:tcBorders>
            <w:shd w:val="clear" w:color="auto" w:fill="auto"/>
            <w:vAlign w:val="bottom"/>
            <w:hideMark/>
          </w:tcPr>
          <w:p w14:paraId="0EB1564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Бахрейн</w:t>
            </w:r>
          </w:p>
        </w:tc>
        <w:tc>
          <w:tcPr>
            <w:tcW w:w="1048" w:type="dxa"/>
            <w:tcBorders>
              <w:top w:val="nil"/>
              <w:left w:val="nil"/>
              <w:bottom w:val="single" w:sz="4" w:space="0" w:color="auto"/>
              <w:right w:val="single" w:sz="4" w:space="0" w:color="auto"/>
            </w:tcBorders>
            <w:shd w:val="clear" w:color="auto" w:fill="auto"/>
            <w:vAlign w:val="bottom"/>
            <w:hideMark/>
          </w:tcPr>
          <w:p w14:paraId="4448537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Бахрейн</w:t>
            </w:r>
          </w:p>
        </w:tc>
        <w:tc>
          <w:tcPr>
            <w:tcW w:w="661" w:type="dxa"/>
            <w:tcBorders>
              <w:top w:val="nil"/>
              <w:left w:val="nil"/>
              <w:bottom w:val="single" w:sz="4" w:space="0" w:color="auto"/>
              <w:right w:val="single" w:sz="4" w:space="0" w:color="auto"/>
            </w:tcBorders>
            <w:shd w:val="clear" w:color="000000" w:fill="92D050"/>
            <w:noWrap/>
            <w:vAlign w:val="center"/>
            <w:hideMark/>
          </w:tcPr>
          <w:p w14:paraId="25B5C18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562</w:t>
            </w:r>
          </w:p>
        </w:tc>
        <w:tc>
          <w:tcPr>
            <w:tcW w:w="848" w:type="dxa"/>
            <w:tcBorders>
              <w:top w:val="nil"/>
              <w:left w:val="nil"/>
              <w:bottom w:val="single" w:sz="4" w:space="0" w:color="auto"/>
              <w:right w:val="single" w:sz="4" w:space="0" w:color="auto"/>
            </w:tcBorders>
            <w:shd w:val="clear" w:color="auto" w:fill="auto"/>
            <w:noWrap/>
            <w:vAlign w:val="center"/>
            <w:hideMark/>
          </w:tcPr>
          <w:p w14:paraId="48CD7F8D"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Bahrain</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258B1D8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64F9226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89,6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4AAB3F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3C815E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DFD17B6" w14:textId="4C505A93"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1835DF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7B86CB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78,7</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92FE48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63,8</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2D5FCBE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58,2</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F1EAFE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83,1</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74F910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79,7</w:t>
            </w:r>
          </w:p>
        </w:tc>
      </w:tr>
      <w:tr w:rsidR="004A0184" w:rsidRPr="00A546AD" w14:paraId="5A2C2B53"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B787544"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84</w:t>
            </w:r>
          </w:p>
        </w:tc>
        <w:tc>
          <w:tcPr>
            <w:tcW w:w="925" w:type="dxa"/>
            <w:tcBorders>
              <w:top w:val="nil"/>
              <w:left w:val="nil"/>
              <w:bottom w:val="single" w:sz="4" w:space="0" w:color="auto"/>
              <w:right w:val="single" w:sz="4" w:space="0" w:color="auto"/>
            </w:tcBorders>
            <w:shd w:val="clear" w:color="auto" w:fill="auto"/>
            <w:vAlign w:val="bottom"/>
            <w:hideMark/>
          </w:tcPr>
          <w:p w14:paraId="27376CD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Гибралтар</w:t>
            </w:r>
          </w:p>
        </w:tc>
        <w:tc>
          <w:tcPr>
            <w:tcW w:w="1048" w:type="dxa"/>
            <w:tcBorders>
              <w:top w:val="nil"/>
              <w:left w:val="nil"/>
              <w:bottom w:val="single" w:sz="4" w:space="0" w:color="auto"/>
              <w:right w:val="single" w:sz="4" w:space="0" w:color="auto"/>
            </w:tcBorders>
            <w:shd w:val="clear" w:color="auto" w:fill="auto"/>
            <w:vAlign w:val="bottom"/>
            <w:hideMark/>
          </w:tcPr>
          <w:p w14:paraId="14569A32"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Великобритания</w:t>
            </w:r>
          </w:p>
        </w:tc>
        <w:tc>
          <w:tcPr>
            <w:tcW w:w="661" w:type="dxa"/>
            <w:tcBorders>
              <w:top w:val="nil"/>
              <w:left w:val="nil"/>
              <w:bottom w:val="single" w:sz="4" w:space="0" w:color="auto"/>
              <w:right w:val="single" w:sz="4" w:space="0" w:color="auto"/>
            </w:tcBorders>
            <w:shd w:val="clear" w:color="000000" w:fill="92D050"/>
            <w:vAlign w:val="center"/>
            <w:hideMark/>
          </w:tcPr>
          <w:p w14:paraId="596624D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561</w:t>
            </w:r>
          </w:p>
        </w:tc>
        <w:tc>
          <w:tcPr>
            <w:tcW w:w="848" w:type="dxa"/>
            <w:tcBorders>
              <w:top w:val="nil"/>
              <w:left w:val="nil"/>
              <w:bottom w:val="single" w:sz="4" w:space="0" w:color="auto"/>
              <w:right w:val="single" w:sz="4" w:space="0" w:color="auto"/>
            </w:tcBorders>
            <w:shd w:val="clear" w:color="auto" w:fill="auto"/>
            <w:vAlign w:val="center"/>
            <w:hideMark/>
          </w:tcPr>
          <w:p w14:paraId="3EA01A2E"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United Kingdom</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25F5110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459BD97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6F3925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941C5B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B4B84A0" w14:textId="41AFA6A6"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B2BEB5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EEFE36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3F5051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9D0652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AC6167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C587FD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96,9</w:t>
            </w:r>
          </w:p>
        </w:tc>
      </w:tr>
      <w:tr w:rsidR="004A0184" w:rsidRPr="00A546AD" w14:paraId="5DB8E3B9" w14:textId="77777777" w:rsidTr="00F5756A">
        <w:trPr>
          <w:trHeight w:val="6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B86E40B"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85</w:t>
            </w:r>
          </w:p>
        </w:tc>
        <w:tc>
          <w:tcPr>
            <w:tcW w:w="925" w:type="dxa"/>
            <w:tcBorders>
              <w:top w:val="nil"/>
              <w:left w:val="nil"/>
              <w:bottom w:val="single" w:sz="4" w:space="0" w:color="auto"/>
              <w:right w:val="single" w:sz="4" w:space="0" w:color="auto"/>
            </w:tcBorders>
            <w:shd w:val="clear" w:color="auto" w:fill="auto"/>
            <w:vAlign w:val="bottom"/>
            <w:hideMark/>
          </w:tcPr>
          <w:p w14:paraId="30E7727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Рио-де-Жанейро</w:t>
            </w:r>
          </w:p>
        </w:tc>
        <w:tc>
          <w:tcPr>
            <w:tcW w:w="1048" w:type="dxa"/>
            <w:tcBorders>
              <w:top w:val="nil"/>
              <w:left w:val="nil"/>
              <w:bottom w:val="single" w:sz="4" w:space="0" w:color="auto"/>
              <w:right w:val="single" w:sz="4" w:space="0" w:color="auto"/>
            </w:tcBorders>
            <w:shd w:val="clear" w:color="auto" w:fill="auto"/>
            <w:vAlign w:val="bottom"/>
            <w:hideMark/>
          </w:tcPr>
          <w:p w14:paraId="3A1FB58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Бразилия</w:t>
            </w:r>
          </w:p>
        </w:tc>
        <w:tc>
          <w:tcPr>
            <w:tcW w:w="661" w:type="dxa"/>
            <w:tcBorders>
              <w:top w:val="nil"/>
              <w:left w:val="nil"/>
              <w:bottom w:val="single" w:sz="4" w:space="0" w:color="auto"/>
              <w:right w:val="single" w:sz="4" w:space="0" w:color="auto"/>
            </w:tcBorders>
            <w:shd w:val="clear" w:color="000000" w:fill="92D050"/>
            <w:vAlign w:val="center"/>
            <w:hideMark/>
          </w:tcPr>
          <w:p w14:paraId="6D838B2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560</w:t>
            </w:r>
          </w:p>
        </w:tc>
        <w:tc>
          <w:tcPr>
            <w:tcW w:w="848" w:type="dxa"/>
            <w:tcBorders>
              <w:top w:val="nil"/>
              <w:left w:val="nil"/>
              <w:bottom w:val="single" w:sz="4" w:space="0" w:color="auto"/>
              <w:right w:val="single" w:sz="4" w:space="0" w:color="auto"/>
            </w:tcBorders>
            <w:shd w:val="clear" w:color="auto" w:fill="auto"/>
            <w:vAlign w:val="center"/>
            <w:hideMark/>
          </w:tcPr>
          <w:p w14:paraId="6A7F31B6"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Brazil Rio de Janeiro</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01ED7EB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59,5</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0F23813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80,8</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020ADB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52,7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0B51FB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1F8DBDD1" w14:textId="0A9901B4"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34,4</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BB7BFB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34,4</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342793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69,9</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831137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62,0</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DC57A7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50,4</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BF7780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58,4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FC46DE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74,0</w:t>
            </w:r>
          </w:p>
        </w:tc>
      </w:tr>
      <w:tr w:rsidR="004A0184" w:rsidRPr="00A546AD" w14:paraId="34D5F14B"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9052207"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86</w:t>
            </w:r>
          </w:p>
        </w:tc>
        <w:tc>
          <w:tcPr>
            <w:tcW w:w="925" w:type="dxa"/>
            <w:tcBorders>
              <w:top w:val="nil"/>
              <w:left w:val="nil"/>
              <w:bottom w:val="single" w:sz="4" w:space="0" w:color="auto"/>
              <w:right w:val="single" w:sz="4" w:space="0" w:color="auto"/>
            </w:tcBorders>
            <w:shd w:val="clear" w:color="auto" w:fill="auto"/>
            <w:noWrap/>
            <w:vAlign w:val="bottom"/>
            <w:hideMark/>
          </w:tcPr>
          <w:p w14:paraId="74F716A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Барбадос</w:t>
            </w:r>
          </w:p>
        </w:tc>
        <w:tc>
          <w:tcPr>
            <w:tcW w:w="1048" w:type="dxa"/>
            <w:tcBorders>
              <w:top w:val="nil"/>
              <w:left w:val="nil"/>
              <w:bottom w:val="single" w:sz="4" w:space="0" w:color="auto"/>
              <w:right w:val="single" w:sz="4" w:space="0" w:color="auto"/>
            </w:tcBorders>
            <w:shd w:val="clear" w:color="auto" w:fill="auto"/>
            <w:noWrap/>
            <w:vAlign w:val="bottom"/>
            <w:hideMark/>
          </w:tcPr>
          <w:p w14:paraId="462CA94F"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Барбадос</w:t>
            </w:r>
          </w:p>
        </w:tc>
        <w:tc>
          <w:tcPr>
            <w:tcW w:w="661" w:type="dxa"/>
            <w:tcBorders>
              <w:top w:val="nil"/>
              <w:left w:val="nil"/>
              <w:bottom w:val="single" w:sz="4" w:space="0" w:color="auto"/>
              <w:right w:val="single" w:sz="4" w:space="0" w:color="auto"/>
            </w:tcBorders>
            <w:shd w:val="clear" w:color="000000" w:fill="92D050"/>
            <w:noWrap/>
            <w:vAlign w:val="center"/>
            <w:hideMark/>
          </w:tcPr>
          <w:p w14:paraId="3A680EC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559</w:t>
            </w:r>
          </w:p>
        </w:tc>
        <w:tc>
          <w:tcPr>
            <w:tcW w:w="848" w:type="dxa"/>
            <w:tcBorders>
              <w:top w:val="nil"/>
              <w:left w:val="nil"/>
              <w:bottom w:val="single" w:sz="4" w:space="0" w:color="auto"/>
              <w:right w:val="single" w:sz="4" w:space="0" w:color="auto"/>
            </w:tcBorders>
            <w:shd w:val="clear" w:color="auto" w:fill="auto"/>
            <w:noWrap/>
            <w:vAlign w:val="center"/>
            <w:hideMark/>
          </w:tcPr>
          <w:p w14:paraId="450C6C72"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Barbados</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5AF3450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57,9</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41ACB32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86,4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961B82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4E3B4D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E9CBCA6" w14:textId="2AE3103D"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72,3</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DFDF66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72,3</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2E2E64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62,8</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45A8D3E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8D577B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69,8</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05F8A6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56,6</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C4DEEF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66,2</w:t>
            </w:r>
          </w:p>
        </w:tc>
      </w:tr>
      <w:tr w:rsidR="004A0184" w:rsidRPr="00A546AD" w14:paraId="1093D4D3"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E96A97C"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87</w:t>
            </w:r>
          </w:p>
        </w:tc>
        <w:tc>
          <w:tcPr>
            <w:tcW w:w="925" w:type="dxa"/>
            <w:tcBorders>
              <w:top w:val="nil"/>
              <w:left w:val="nil"/>
              <w:bottom w:val="single" w:sz="4" w:space="0" w:color="auto"/>
              <w:right w:val="single" w:sz="4" w:space="0" w:color="auto"/>
            </w:tcBorders>
            <w:shd w:val="clear" w:color="auto" w:fill="auto"/>
            <w:noWrap/>
            <w:vAlign w:val="bottom"/>
            <w:hideMark/>
          </w:tcPr>
          <w:p w14:paraId="44F0A85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Братислава</w:t>
            </w:r>
          </w:p>
        </w:tc>
        <w:tc>
          <w:tcPr>
            <w:tcW w:w="1048" w:type="dxa"/>
            <w:tcBorders>
              <w:top w:val="nil"/>
              <w:left w:val="nil"/>
              <w:bottom w:val="single" w:sz="4" w:space="0" w:color="auto"/>
              <w:right w:val="single" w:sz="4" w:space="0" w:color="auto"/>
            </w:tcBorders>
            <w:shd w:val="clear" w:color="auto" w:fill="auto"/>
            <w:noWrap/>
            <w:vAlign w:val="bottom"/>
            <w:hideMark/>
          </w:tcPr>
          <w:p w14:paraId="5F77684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Словакия</w:t>
            </w:r>
          </w:p>
        </w:tc>
        <w:tc>
          <w:tcPr>
            <w:tcW w:w="661" w:type="dxa"/>
            <w:tcBorders>
              <w:top w:val="nil"/>
              <w:left w:val="nil"/>
              <w:bottom w:val="single" w:sz="4" w:space="0" w:color="auto"/>
              <w:right w:val="single" w:sz="4" w:space="0" w:color="auto"/>
            </w:tcBorders>
            <w:shd w:val="clear" w:color="000000" w:fill="92D050"/>
            <w:vAlign w:val="center"/>
            <w:hideMark/>
          </w:tcPr>
          <w:p w14:paraId="02E82EA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552</w:t>
            </w:r>
          </w:p>
        </w:tc>
        <w:tc>
          <w:tcPr>
            <w:tcW w:w="848" w:type="dxa"/>
            <w:tcBorders>
              <w:top w:val="nil"/>
              <w:left w:val="nil"/>
              <w:bottom w:val="single" w:sz="4" w:space="0" w:color="auto"/>
              <w:right w:val="single" w:sz="4" w:space="0" w:color="auto"/>
            </w:tcBorders>
            <w:shd w:val="clear" w:color="auto" w:fill="auto"/>
            <w:noWrap/>
            <w:vAlign w:val="center"/>
            <w:hideMark/>
          </w:tcPr>
          <w:p w14:paraId="2051B13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Slovak Republic</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631F108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75,6</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9C987F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84,8</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72242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90,2</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4CE133E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690C895" w14:textId="63F2B053"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80,6</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B6BE7A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80,6</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5A2BE5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F6C22A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27A833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65,5</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107A17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CC9B0E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83,3</w:t>
            </w:r>
          </w:p>
        </w:tc>
      </w:tr>
      <w:tr w:rsidR="004A0184" w:rsidRPr="00A546AD" w14:paraId="12632426"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2586CE9"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88</w:t>
            </w:r>
          </w:p>
        </w:tc>
        <w:tc>
          <w:tcPr>
            <w:tcW w:w="925" w:type="dxa"/>
            <w:tcBorders>
              <w:top w:val="nil"/>
              <w:left w:val="nil"/>
              <w:bottom w:val="single" w:sz="4" w:space="0" w:color="auto"/>
              <w:right w:val="single" w:sz="4" w:space="0" w:color="auto"/>
            </w:tcBorders>
            <w:shd w:val="clear" w:color="auto" w:fill="auto"/>
            <w:noWrap/>
            <w:vAlign w:val="bottom"/>
            <w:hideMark/>
          </w:tcPr>
          <w:p w14:paraId="6556DA5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Таллин</w:t>
            </w:r>
          </w:p>
        </w:tc>
        <w:tc>
          <w:tcPr>
            <w:tcW w:w="1048" w:type="dxa"/>
            <w:tcBorders>
              <w:top w:val="nil"/>
              <w:left w:val="nil"/>
              <w:bottom w:val="single" w:sz="4" w:space="0" w:color="auto"/>
              <w:right w:val="single" w:sz="4" w:space="0" w:color="auto"/>
            </w:tcBorders>
            <w:shd w:val="clear" w:color="auto" w:fill="auto"/>
            <w:noWrap/>
            <w:vAlign w:val="bottom"/>
            <w:hideMark/>
          </w:tcPr>
          <w:p w14:paraId="5003488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Эстония</w:t>
            </w:r>
          </w:p>
        </w:tc>
        <w:tc>
          <w:tcPr>
            <w:tcW w:w="661" w:type="dxa"/>
            <w:tcBorders>
              <w:top w:val="nil"/>
              <w:left w:val="nil"/>
              <w:bottom w:val="single" w:sz="4" w:space="0" w:color="auto"/>
              <w:right w:val="single" w:sz="4" w:space="0" w:color="auto"/>
            </w:tcBorders>
            <w:shd w:val="clear" w:color="000000" w:fill="92D050"/>
            <w:vAlign w:val="center"/>
            <w:hideMark/>
          </w:tcPr>
          <w:p w14:paraId="2902EFE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551</w:t>
            </w:r>
          </w:p>
        </w:tc>
        <w:tc>
          <w:tcPr>
            <w:tcW w:w="848" w:type="dxa"/>
            <w:tcBorders>
              <w:top w:val="nil"/>
              <w:left w:val="nil"/>
              <w:bottom w:val="single" w:sz="4" w:space="0" w:color="auto"/>
              <w:right w:val="single" w:sz="4" w:space="0" w:color="auto"/>
            </w:tcBorders>
            <w:shd w:val="clear" w:color="auto" w:fill="auto"/>
            <w:noWrap/>
            <w:vAlign w:val="center"/>
            <w:hideMark/>
          </w:tcPr>
          <w:p w14:paraId="70B9A6D0"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Estonia</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7037709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80,6</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19E6857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95,4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B9B7DA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7302B7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E0025C1" w14:textId="70635AE2"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89,9</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6B55FC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89,9</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472899D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99,9</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BA244D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B38ACE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684CD81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82,6</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70A54C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83,3</w:t>
            </w:r>
          </w:p>
        </w:tc>
      </w:tr>
      <w:tr w:rsidR="004A0184" w:rsidRPr="00A546AD" w14:paraId="5E8CFA68"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06E6EB8"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89</w:t>
            </w:r>
          </w:p>
        </w:tc>
        <w:tc>
          <w:tcPr>
            <w:tcW w:w="925" w:type="dxa"/>
            <w:tcBorders>
              <w:top w:val="nil"/>
              <w:left w:val="nil"/>
              <w:bottom w:val="single" w:sz="4" w:space="0" w:color="auto"/>
              <w:right w:val="single" w:sz="4" w:space="0" w:color="auto"/>
            </w:tcBorders>
            <w:shd w:val="clear" w:color="auto" w:fill="auto"/>
            <w:noWrap/>
            <w:vAlign w:val="bottom"/>
            <w:hideMark/>
          </w:tcPr>
          <w:p w14:paraId="279A431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Нанкин</w:t>
            </w:r>
          </w:p>
        </w:tc>
        <w:tc>
          <w:tcPr>
            <w:tcW w:w="1048" w:type="dxa"/>
            <w:tcBorders>
              <w:top w:val="nil"/>
              <w:left w:val="nil"/>
              <w:bottom w:val="single" w:sz="4" w:space="0" w:color="auto"/>
              <w:right w:val="single" w:sz="4" w:space="0" w:color="auto"/>
            </w:tcBorders>
            <w:shd w:val="clear" w:color="auto" w:fill="auto"/>
            <w:noWrap/>
            <w:vAlign w:val="bottom"/>
            <w:hideMark/>
          </w:tcPr>
          <w:p w14:paraId="640B9BD2"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single" w:sz="4" w:space="0" w:color="auto"/>
              <w:right w:val="single" w:sz="4" w:space="0" w:color="auto"/>
            </w:tcBorders>
            <w:shd w:val="clear" w:color="000000" w:fill="92D050"/>
            <w:vAlign w:val="center"/>
            <w:hideMark/>
          </w:tcPr>
          <w:p w14:paraId="2C65B8E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550</w:t>
            </w:r>
          </w:p>
        </w:tc>
        <w:tc>
          <w:tcPr>
            <w:tcW w:w="848" w:type="dxa"/>
            <w:tcBorders>
              <w:top w:val="nil"/>
              <w:left w:val="nil"/>
              <w:bottom w:val="single" w:sz="4" w:space="0" w:color="auto"/>
              <w:right w:val="single" w:sz="4" w:space="0" w:color="auto"/>
            </w:tcBorders>
            <w:shd w:val="clear" w:color="auto" w:fill="auto"/>
            <w:noWrap/>
            <w:vAlign w:val="center"/>
            <w:hideMark/>
          </w:tcPr>
          <w:p w14:paraId="5573E7A3"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0286D69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09E2656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D58C30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13F1DF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4D6D078F" w14:textId="2EA27E2C"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6AC7E4B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19D622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DCB0B6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181E9E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F626B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13738D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r w:rsidR="004A0184" w:rsidRPr="00A546AD" w14:paraId="0FE09BCA" w14:textId="77777777" w:rsidTr="00F5756A">
        <w:trPr>
          <w:trHeight w:val="6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616F413E"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90</w:t>
            </w:r>
          </w:p>
        </w:tc>
        <w:tc>
          <w:tcPr>
            <w:tcW w:w="925" w:type="dxa"/>
            <w:tcBorders>
              <w:top w:val="nil"/>
              <w:left w:val="nil"/>
              <w:bottom w:val="single" w:sz="4" w:space="0" w:color="auto"/>
              <w:right w:val="single" w:sz="4" w:space="0" w:color="auto"/>
            </w:tcBorders>
            <w:shd w:val="clear" w:color="auto" w:fill="auto"/>
            <w:vAlign w:val="bottom"/>
            <w:hideMark/>
          </w:tcPr>
          <w:p w14:paraId="0426E31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Йоханнесбург</w:t>
            </w:r>
          </w:p>
        </w:tc>
        <w:tc>
          <w:tcPr>
            <w:tcW w:w="1048" w:type="dxa"/>
            <w:tcBorders>
              <w:top w:val="nil"/>
              <w:left w:val="nil"/>
              <w:bottom w:val="single" w:sz="4" w:space="0" w:color="auto"/>
              <w:right w:val="single" w:sz="4" w:space="0" w:color="auto"/>
            </w:tcBorders>
            <w:shd w:val="clear" w:color="auto" w:fill="auto"/>
            <w:noWrap/>
            <w:vAlign w:val="bottom"/>
            <w:hideMark/>
          </w:tcPr>
          <w:p w14:paraId="62E26442"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ЮАР</w:t>
            </w:r>
          </w:p>
        </w:tc>
        <w:tc>
          <w:tcPr>
            <w:tcW w:w="661" w:type="dxa"/>
            <w:tcBorders>
              <w:top w:val="nil"/>
              <w:left w:val="nil"/>
              <w:bottom w:val="single" w:sz="4" w:space="0" w:color="auto"/>
              <w:right w:val="single" w:sz="4" w:space="0" w:color="auto"/>
            </w:tcBorders>
            <w:shd w:val="clear" w:color="000000" w:fill="92D050"/>
            <w:vAlign w:val="center"/>
            <w:hideMark/>
          </w:tcPr>
          <w:p w14:paraId="222D2AB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549</w:t>
            </w:r>
          </w:p>
        </w:tc>
        <w:tc>
          <w:tcPr>
            <w:tcW w:w="848" w:type="dxa"/>
            <w:tcBorders>
              <w:top w:val="nil"/>
              <w:left w:val="nil"/>
              <w:bottom w:val="single" w:sz="4" w:space="0" w:color="auto"/>
              <w:right w:val="single" w:sz="4" w:space="0" w:color="auto"/>
            </w:tcBorders>
            <w:shd w:val="clear" w:color="auto" w:fill="auto"/>
            <w:noWrap/>
            <w:vAlign w:val="center"/>
            <w:hideMark/>
          </w:tcPr>
          <w:p w14:paraId="39CBA5AA"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South Africa</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7934DFF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7C823FD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81,2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BD7B48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59,5</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D34A8E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83FAEC8" w14:textId="2ACF3162"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7E210FD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569752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59,6</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49BF84E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535951F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54,6</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4A9C98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0A5B36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68,8</w:t>
            </w:r>
          </w:p>
        </w:tc>
      </w:tr>
      <w:tr w:rsidR="004A0184" w:rsidRPr="00A546AD" w14:paraId="2E662011"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6C5434A"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91</w:t>
            </w:r>
          </w:p>
        </w:tc>
        <w:tc>
          <w:tcPr>
            <w:tcW w:w="925" w:type="dxa"/>
            <w:tcBorders>
              <w:top w:val="nil"/>
              <w:left w:val="nil"/>
              <w:bottom w:val="single" w:sz="4" w:space="0" w:color="auto"/>
              <w:right w:val="single" w:sz="4" w:space="0" w:color="auto"/>
            </w:tcBorders>
            <w:shd w:val="clear" w:color="auto" w:fill="auto"/>
            <w:vAlign w:val="bottom"/>
            <w:hideMark/>
          </w:tcPr>
          <w:p w14:paraId="48B33C7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Панама</w:t>
            </w:r>
          </w:p>
        </w:tc>
        <w:tc>
          <w:tcPr>
            <w:tcW w:w="1048" w:type="dxa"/>
            <w:tcBorders>
              <w:top w:val="nil"/>
              <w:left w:val="nil"/>
              <w:bottom w:val="single" w:sz="4" w:space="0" w:color="auto"/>
              <w:right w:val="single" w:sz="4" w:space="0" w:color="auto"/>
            </w:tcBorders>
            <w:shd w:val="clear" w:color="auto" w:fill="auto"/>
            <w:vAlign w:val="bottom"/>
            <w:hideMark/>
          </w:tcPr>
          <w:p w14:paraId="1F24294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Панама</w:t>
            </w:r>
          </w:p>
        </w:tc>
        <w:tc>
          <w:tcPr>
            <w:tcW w:w="661" w:type="dxa"/>
            <w:tcBorders>
              <w:top w:val="nil"/>
              <w:left w:val="nil"/>
              <w:bottom w:val="single" w:sz="4" w:space="0" w:color="auto"/>
              <w:right w:val="single" w:sz="4" w:space="0" w:color="auto"/>
            </w:tcBorders>
            <w:shd w:val="clear" w:color="000000" w:fill="92D050"/>
            <w:noWrap/>
            <w:vAlign w:val="center"/>
            <w:hideMark/>
          </w:tcPr>
          <w:p w14:paraId="4950668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548</w:t>
            </w:r>
          </w:p>
        </w:tc>
        <w:tc>
          <w:tcPr>
            <w:tcW w:w="848" w:type="dxa"/>
            <w:tcBorders>
              <w:top w:val="nil"/>
              <w:left w:val="nil"/>
              <w:bottom w:val="single" w:sz="4" w:space="0" w:color="auto"/>
              <w:right w:val="single" w:sz="4" w:space="0" w:color="auto"/>
            </w:tcBorders>
            <w:shd w:val="clear" w:color="auto" w:fill="auto"/>
            <w:noWrap/>
            <w:vAlign w:val="center"/>
            <w:hideMark/>
          </w:tcPr>
          <w:p w14:paraId="2C7A2BCD"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Panama</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20D4034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66,6</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008FC22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92,0</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617D41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65,2</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B31521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E276E33" w14:textId="69A63672"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9BB65F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54424A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23EE5A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49,0</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1FDCA8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39,5</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04E9A9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28DA0F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83,5</w:t>
            </w:r>
          </w:p>
        </w:tc>
      </w:tr>
      <w:tr w:rsidR="004A0184" w:rsidRPr="00A546AD" w14:paraId="199FD8B5"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EE90651"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92</w:t>
            </w:r>
          </w:p>
        </w:tc>
        <w:tc>
          <w:tcPr>
            <w:tcW w:w="925" w:type="dxa"/>
            <w:tcBorders>
              <w:top w:val="nil"/>
              <w:left w:val="nil"/>
              <w:bottom w:val="single" w:sz="4" w:space="0" w:color="auto"/>
              <w:right w:val="single" w:sz="4" w:space="0" w:color="auto"/>
            </w:tcBorders>
            <w:shd w:val="clear" w:color="auto" w:fill="auto"/>
            <w:vAlign w:val="bottom"/>
            <w:hideMark/>
          </w:tcPr>
          <w:p w14:paraId="6CA4189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Афины</w:t>
            </w:r>
          </w:p>
        </w:tc>
        <w:tc>
          <w:tcPr>
            <w:tcW w:w="1048" w:type="dxa"/>
            <w:tcBorders>
              <w:top w:val="nil"/>
              <w:left w:val="nil"/>
              <w:bottom w:val="single" w:sz="4" w:space="0" w:color="auto"/>
              <w:right w:val="single" w:sz="4" w:space="0" w:color="auto"/>
            </w:tcBorders>
            <w:shd w:val="clear" w:color="auto" w:fill="auto"/>
            <w:vAlign w:val="bottom"/>
            <w:hideMark/>
          </w:tcPr>
          <w:p w14:paraId="6E50E19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Греция</w:t>
            </w:r>
          </w:p>
        </w:tc>
        <w:tc>
          <w:tcPr>
            <w:tcW w:w="661" w:type="dxa"/>
            <w:tcBorders>
              <w:top w:val="nil"/>
              <w:left w:val="nil"/>
              <w:bottom w:val="single" w:sz="4" w:space="0" w:color="auto"/>
              <w:right w:val="single" w:sz="4" w:space="0" w:color="auto"/>
            </w:tcBorders>
            <w:shd w:val="clear" w:color="000000" w:fill="92D050"/>
            <w:noWrap/>
            <w:vAlign w:val="center"/>
            <w:hideMark/>
          </w:tcPr>
          <w:p w14:paraId="2FEABA9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547</w:t>
            </w:r>
          </w:p>
        </w:tc>
        <w:tc>
          <w:tcPr>
            <w:tcW w:w="848" w:type="dxa"/>
            <w:tcBorders>
              <w:top w:val="nil"/>
              <w:left w:val="nil"/>
              <w:bottom w:val="single" w:sz="4" w:space="0" w:color="auto"/>
              <w:right w:val="single" w:sz="4" w:space="0" w:color="auto"/>
            </w:tcBorders>
            <w:shd w:val="clear" w:color="auto" w:fill="auto"/>
            <w:noWrap/>
            <w:vAlign w:val="center"/>
            <w:hideMark/>
          </w:tcPr>
          <w:p w14:paraId="5B041162"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Greece</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3371995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68,4</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814C30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96,0</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F899E6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46,9</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D8ED99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C3E5F95" w14:textId="288395F2"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FE595E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35B53A7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93,7</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490451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2DB6573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73DDCF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69,5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B52916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84,7</w:t>
            </w:r>
          </w:p>
        </w:tc>
      </w:tr>
      <w:tr w:rsidR="004A0184" w:rsidRPr="00A546AD" w14:paraId="703A25BD"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4496083"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93</w:t>
            </w:r>
          </w:p>
        </w:tc>
        <w:tc>
          <w:tcPr>
            <w:tcW w:w="925" w:type="dxa"/>
            <w:tcBorders>
              <w:top w:val="nil"/>
              <w:left w:val="nil"/>
              <w:bottom w:val="single" w:sz="4" w:space="0" w:color="auto"/>
              <w:right w:val="single" w:sz="4" w:space="0" w:color="auto"/>
            </w:tcBorders>
            <w:shd w:val="clear" w:color="auto" w:fill="auto"/>
            <w:vAlign w:val="bottom"/>
            <w:hideMark/>
          </w:tcPr>
          <w:p w14:paraId="2E08436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Сантьяго</w:t>
            </w:r>
          </w:p>
        </w:tc>
        <w:tc>
          <w:tcPr>
            <w:tcW w:w="1048" w:type="dxa"/>
            <w:tcBorders>
              <w:top w:val="nil"/>
              <w:left w:val="nil"/>
              <w:bottom w:val="single" w:sz="4" w:space="0" w:color="auto"/>
              <w:right w:val="single" w:sz="4" w:space="0" w:color="auto"/>
            </w:tcBorders>
            <w:shd w:val="clear" w:color="auto" w:fill="auto"/>
            <w:vAlign w:val="bottom"/>
            <w:hideMark/>
          </w:tcPr>
          <w:p w14:paraId="0E0DA62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Чили</w:t>
            </w:r>
          </w:p>
        </w:tc>
        <w:tc>
          <w:tcPr>
            <w:tcW w:w="661" w:type="dxa"/>
            <w:tcBorders>
              <w:top w:val="nil"/>
              <w:left w:val="nil"/>
              <w:bottom w:val="single" w:sz="4" w:space="0" w:color="auto"/>
              <w:right w:val="single" w:sz="4" w:space="0" w:color="auto"/>
            </w:tcBorders>
            <w:shd w:val="clear" w:color="000000" w:fill="92D050"/>
            <w:noWrap/>
            <w:vAlign w:val="center"/>
            <w:hideMark/>
          </w:tcPr>
          <w:p w14:paraId="3CABC55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546</w:t>
            </w:r>
          </w:p>
        </w:tc>
        <w:tc>
          <w:tcPr>
            <w:tcW w:w="848" w:type="dxa"/>
            <w:tcBorders>
              <w:top w:val="nil"/>
              <w:left w:val="nil"/>
              <w:bottom w:val="single" w:sz="4" w:space="0" w:color="auto"/>
              <w:right w:val="single" w:sz="4" w:space="0" w:color="auto"/>
            </w:tcBorders>
            <w:shd w:val="clear" w:color="auto" w:fill="auto"/>
            <w:noWrap/>
            <w:vAlign w:val="center"/>
            <w:hideMark/>
          </w:tcPr>
          <w:p w14:paraId="24BE63AA"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Chile</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68C77CD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72,6</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480E646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91,4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B2ECB1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D32EF7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61AE4EF" w14:textId="5B1C3948"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75,3</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70CD59C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75,3</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0FAD11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80,6</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133004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64,7</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C9F20E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FBE07B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75,9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83B265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85,7</w:t>
            </w:r>
          </w:p>
        </w:tc>
      </w:tr>
      <w:tr w:rsidR="004A0184" w:rsidRPr="00A546AD" w14:paraId="0BC1948C"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1C6B541"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94</w:t>
            </w:r>
          </w:p>
        </w:tc>
        <w:tc>
          <w:tcPr>
            <w:tcW w:w="925" w:type="dxa"/>
            <w:tcBorders>
              <w:top w:val="nil"/>
              <w:left w:val="nil"/>
              <w:bottom w:val="single" w:sz="4" w:space="0" w:color="auto"/>
              <w:right w:val="single" w:sz="4" w:space="0" w:color="auto"/>
            </w:tcBorders>
            <w:shd w:val="clear" w:color="auto" w:fill="auto"/>
            <w:noWrap/>
            <w:vAlign w:val="bottom"/>
            <w:hideMark/>
          </w:tcPr>
          <w:p w14:paraId="3F24402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Буэнос-Айрес</w:t>
            </w:r>
          </w:p>
        </w:tc>
        <w:tc>
          <w:tcPr>
            <w:tcW w:w="1048" w:type="dxa"/>
            <w:tcBorders>
              <w:top w:val="nil"/>
              <w:left w:val="nil"/>
              <w:bottom w:val="single" w:sz="4" w:space="0" w:color="auto"/>
              <w:right w:val="single" w:sz="4" w:space="0" w:color="auto"/>
            </w:tcBorders>
            <w:shd w:val="clear" w:color="auto" w:fill="auto"/>
            <w:noWrap/>
            <w:vAlign w:val="bottom"/>
            <w:hideMark/>
          </w:tcPr>
          <w:p w14:paraId="6CBED5B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Аргентина</w:t>
            </w:r>
          </w:p>
        </w:tc>
        <w:tc>
          <w:tcPr>
            <w:tcW w:w="661" w:type="dxa"/>
            <w:tcBorders>
              <w:top w:val="nil"/>
              <w:left w:val="nil"/>
              <w:bottom w:val="single" w:sz="4" w:space="0" w:color="auto"/>
              <w:right w:val="single" w:sz="4" w:space="0" w:color="auto"/>
            </w:tcBorders>
            <w:shd w:val="clear" w:color="000000" w:fill="92D050"/>
            <w:noWrap/>
            <w:vAlign w:val="center"/>
            <w:hideMark/>
          </w:tcPr>
          <w:p w14:paraId="7019B66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543</w:t>
            </w:r>
          </w:p>
        </w:tc>
        <w:tc>
          <w:tcPr>
            <w:tcW w:w="848" w:type="dxa"/>
            <w:tcBorders>
              <w:top w:val="nil"/>
              <w:left w:val="nil"/>
              <w:bottom w:val="single" w:sz="4" w:space="0" w:color="auto"/>
              <w:right w:val="single" w:sz="4" w:space="0" w:color="auto"/>
            </w:tcBorders>
            <w:shd w:val="clear" w:color="auto" w:fill="auto"/>
            <w:noWrap/>
            <w:vAlign w:val="center"/>
            <w:hideMark/>
          </w:tcPr>
          <w:p w14:paraId="25768C78"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Argentina</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68E968D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5D6769B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34EEC5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56,7</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5CCB5A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9623D94" w14:textId="64CE6D39"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49,3</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8E15C8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49,3</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8A6F04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67,1</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75C696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57,5</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F43475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40,0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314A8A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56,4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A97C73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70,0</w:t>
            </w:r>
          </w:p>
        </w:tc>
      </w:tr>
      <w:tr w:rsidR="004A0184" w:rsidRPr="00A546AD" w14:paraId="4ACD61F3"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C6C67FF"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95</w:t>
            </w:r>
          </w:p>
        </w:tc>
        <w:tc>
          <w:tcPr>
            <w:tcW w:w="925" w:type="dxa"/>
            <w:tcBorders>
              <w:top w:val="nil"/>
              <w:left w:val="nil"/>
              <w:bottom w:val="single" w:sz="4" w:space="0" w:color="auto"/>
              <w:right w:val="single" w:sz="4" w:space="0" w:color="auto"/>
            </w:tcBorders>
            <w:shd w:val="clear" w:color="auto" w:fill="auto"/>
            <w:noWrap/>
            <w:vAlign w:val="bottom"/>
            <w:hideMark/>
          </w:tcPr>
          <w:p w14:paraId="05DE70C4"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София</w:t>
            </w:r>
          </w:p>
        </w:tc>
        <w:tc>
          <w:tcPr>
            <w:tcW w:w="1048" w:type="dxa"/>
            <w:tcBorders>
              <w:top w:val="nil"/>
              <w:left w:val="nil"/>
              <w:bottom w:val="single" w:sz="4" w:space="0" w:color="auto"/>
              <w:right w:val="single" w:sz="4" w:space="0" w:color="auto"/>
            </w:tcBorders>
            <w:shd w:val="clear" w:color="auto" w:fill="auto"/>
            <w:noWrap/>
            <w:vAlign w:val="bottom"/>
            <w:hideMark/>
          </w:tcPr>
          <w:p w14:paraId="4198BB7C"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Болгария</w:t>
            </w:r>
          </w:p>
        </w:tc>
        <w:tc>
          <w:tcPr>
            <w:tcW w:w="661" w:type="dxa"/>
            <w:tcBorders>
              <w:top w:val="nil"/>
              <w:left w:val="nil"/>
              <w:bottom w:val="single" w:sz="4" w:space="0" w:color="auto"/>
              <w:right w:val="single" w:sz="4" w:space="0" w:color="auto"/>
            </w:tcBorders>
            <w:shd w:val="clear" w:color="000000" w:fill="92D050"/>
            <w:noWrap/>
            <w:vAlign w:val="center"/>
            <w:hideMark/>
          </w:tcPr>
          <w:p w14:paraId="1B5D6B4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540</w:t>
            </w:r>
          </w:p>
        </w:tc>
        <w:tc>
          <w:tcPr>
            <w:tcW w:w="848" w:type="dxa"/>
            <w:tcBorders>
              <w:top w:val="nil"/>
              <w:left w:val="nil"/>
              <w:bottom w:val="single" w:sz="4" w:space="0" w:color="auto"/>
              <w:right w:val="single" w:sz="4" w:space="0" w:color="auto"/>
            </w:tcBorders>
            <w:shd w:val="clear" w:color="auto" w:fill="auto"/>
            <w:noWrap/>
            <w:vAlign w:val="center"/>
            <w:hideMark/>
          </w:tcPr>
          <w:p w14:paraId="69EA27FC"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proofErr w:type="spellStart"/>
            <w:r w:rsidRPr="00A546AD">
              <w:rPr>
                <w:rFonts w:ascii="Times New Roman" w:eastAsia="Times New Roman" w:hAnsi="Times New Roman" w:cs="Times New Roman"/>
                <w:color w:val="000000"/>
                <w:sz w:val="16"/>
                <w:szCs w:val="16"/>
                <w:lang w:val="ru-RU" w:eastAsia="ru-RU" w:bidi="ar-SA"/>
              </w:rPr>
              <w:t>Bulgaria</w:t>
            </w:r>
            <w:proofErr w:type="spellEnd"/>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24CE7D5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72,0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0AAE11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85,4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6895C6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69,8</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EAAFF0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107D743" w14:textId="5E411D64"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72,3</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4DA061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72,3</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B27CD7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1102EBE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67,0</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3821FA2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57,8</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A868B3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75,9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69705F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55,1</w:t>
            </w:r>
          </w:p>
        </w:tc>
      </w:tr>
      <w:tr w:rsidR="004A0184" w:rsidRPr="00A546AD" w14:paraId="6392C0E0"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433731B"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96</w:t>
            </w:r>
          </w:p>
        </w:tc>
        <w:tc>
          <w:tcPr>
            <w:tcW w:w="925" w:type="dxa"/>
            <w:tcBorders>
              <w:top w:val="nil"/>
              <w:left w:val="nil"/>
              <w:bottom w:val="single" w:sz="4" w:space="0" w:color="auto"/>
              <w:right w:val="single" w:sz="4" w:space="0" w:color="auto"/>
            </w:tcBorders>
            <w:shd w:val="clear" w:color="auto" w:fill="auto"/>
            <w:noWrap/>
            <w:vAlign w:val="bottom"/>
            <w:hideMark/>
          </w:tcPr>
          <w:p w14:paraId="04D3A5C2"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Найроби</w:t>
            </w:r>
          </w:p>
        </w:tc>
        <w:tc>
          <w:tcPr>
            <w:tcW w:w="1048" w:type="dxa"/>
            <w:tcBorders>
              <w:top w:val="nil"/>
              <w:left w:val="nil"/>
              <w:bottom w:val="single" w:sz="4" w:space="0" w:color="auto"/>
              <w:right w:val="single" w:sz="4" w:space="0" w:color="auto"/>
            </w:tcBorders>
            <w:shd w:val="clear" w:color="auto" w:fill="auto"/>
            <w:noWrap/>
            <w:vAlign w:val="bottom"/>
            <w:hideMark/>
          </w:tcPr>
          <w:p w14:paraId="468AB9E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Кения</w:t>
            </w:r>
          </w:p>
        </w:tc>
        <w:tc>
          <w:tcPr>
            <w:tcW w:w="661" w:type="dxa"/>
            <w:tcBorders>
              <w:top w:val="nil"/>
              <w:left w:val="nil"/>
              <w:bottom w:val="single" w:sz="4" w:space="0" w:color="auto"/>
              <w:right w:val="single" w:sz="4" w:space="0" w:color="auto"/>
            </w:tcBorders>
            <w:shd w:val="clear" w:color="000000" w:fill="92D050"/>
            <w:noWrap/>
            <w:vAlign w:val="center"/>
            <w:hideMark/>
          </w:tcPr>
          <w:p w14:paraId="53099B4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539</w:t>
            </w:r>
          </w:p>
        </w:tc>
        <w:tc>
          <w:tcPr>
            <w:tcW w:w="848" w:type="dxa"/>
            <w:tcBorders>
              <w:top w:val="nil"/>
              <w:left w:val="nil"/>
              <w:bottom w:val="single" w:sz="4" w:space="0" w:color="auto"/>
              <w:right w:val="single" w:sz="4" w:space="0" w:color="auto"/>
            </w:tcBorders>
            <w:shd w:val="clear" w:color="auto" w:fill="auto"/>
            <w:noWrap/>
            <w:vAlign w:val="center"/>
            <w:hideMark/>
          </w:tcPr>
          <w:p w14:paraId="32967830"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proofErr w:type="spellStart"/>
            <w:r w:rsidRPr="00A546AD">
              <w:rPr>
                <w:rFonts w:ascii="Times New Roman" w:eastAsia="Times New Roman" w:hAnsi="Times New Roman" w:cs="Times New Roman"/>
                <w:color w:val="000000"/>
                <w:sz w:val="16"/>
                <w:szCs w:val="16"/>
                <w:lang w:val="ru-RU" w:eastAsia="ru-RU" w:bidi="ar-SA"/>
              </w:rPr>
              <w:t>Kenya</w:t>
            </w:r>
            <w:proofErr w:type="spellEnd"/>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4230A74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73,2</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5F8EB63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82,7</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0F26C1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53,8</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F29D36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2A0B5FF" w14:textId="03115E92"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5A72BBE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72,8</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E9F2C3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B70F72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58,3</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7C668A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62,4</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1A9FEE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67,6</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1A49FC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80,1</w:t>
            </w:r>
          </w:p>
        </w:tc>
      </w:tr>
      <w:tr w:rsidR="004A0184" w:rsidRPr="00A546AD" w14:paraId="489EF810"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FFE4FEF"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lastRenderedPageBreak/>
              <w:t>97</w:t>
            </w:r>
          </w:p>
        </w:tc>
        <w:tc>
          <w:tcPr>
            <w:tcW w:w="925" w:type="dxa"/>
            <w:tcBorders>
              <w:top w:val="nil"/>
              <w:left w:val="nil"/>
              <w:bottom w:val="single" w:sz="4" w:space="0" w:color="auto"/>
              <w:right w:val="single" w:sz="4" w:space="0" w:color="auto"/>
            </w:tcBorders>
            <w:shd w:val="clear" w:color="auto" w:fill="auto"/>
            <w:noWrap/>
            <w:vAlign w:val="bottom"/>
            <w:hideMark/>
          </w:tcPr>
          <w:p w14:paraId="2A4D2F49"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Рига</w:t>
            </w:r>
          </w:p>
        </w:tc>
        <w:tc>
          <w:tcPr>
            <w:tcW w:w="1048" w:type="dxa"/>
            <w:tcBorders>
              <w:top w:val="nil"/>
              <w:left w:val="nil"/>
              <w:bottom w:val="single" w:sz="4" w:space="0" w:color="auto"/>
              <w:right w:val="single" w:sz="4" w:space="0" w:color="auto"/>
            </w:tcBorders>
            <w:shd w:val="clear" w:color="auto" w:fill="auto"/>
            <w:noWrap/>
            <w:vAlign w:val="bottom"/>
            <w:hideMark/>
          </w:tcPr>
          <w:p w14:paraId="6E1BC47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Латвия</w:t>
            </w:r>
          </w:p>
        </w:tc>
        <w:tc>
          <w:tcPr>
            <w:tcW w:w="661" w:type="dxa"/>
            <w:tcBorders>
              <w:top w:val="nil"/>
              <w:left w:val="nil"/>
              <w:bottom w:val="single" w:sz="4" w:space="0" w:color="auto"/>
              <w:right w:val="single" w:sz="4" w:space="0" w:color="auto"/>
            </w:tcBorders>
            <w:shd w:val="clear" w:color="000000" w:fill="92D050"/>
            <w:noWrap/>
            <w:vAlign w:val="center"/>
            <w:hideMark/>
          </w:tcPr>
          <w:p w14:paraId="3A4D8F0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538</w:t>
            </w:r>
          </w:p>
        </w:tc>
        <w:tc>
          <w:tcPr>
            <w:tcW w:w="848" w:type="dxa"/>
            <w:tcBorders>
              <w:top w:val="nil"/>
              <w:left w:val="nil"/>
              <w:bottom w:val="single" w:sz="4" w:space="0" w:color="auto"/>
              <w:right w:val="single" w:sz="4" w:space="0" w:color="auto"/>
            </w:tcBorders>
            <w:shd w:val="clear" w:color="auto" w:fill="auto"/>
            <w:noWrap/>
            <w:vAlign w:val="center"/>
            <w:hideMark/>
          </w:tcPr>
          <w:p w14:paraId="4C74F28F"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proofErr w:type="spellStart"/>
            <w:r w:rsidRPr="00A546AD">
              <w:rPr>
                <w:rFonts w:ascii="Times New Roman" w:eastAsia="Times New Roman" w:hAnsi="Times New Roman" w:cs="Times New Roman"/>
                <w:color w:val="000000"/>
                <w:sz w:val="16"/>
                <w:szCs w:val="16"/>
                <w:lang w:val="ru-RU" w:eastAsia="ru-RU" w:bidi="ar-SA"/>
              </w:rPr>
              <w:t>Latvia</w:t>
            </w:r>
            <w:proofErr w:type="spellEnd"/>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7899901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80,3</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6394EA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94,1</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F8AE1B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82,3</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E00FD4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70216B7" w14:textId="4C65C754"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89,0</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62E369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89,0</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5F1C72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95,3</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771094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73,5</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367D4C1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59,8</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FDD1F1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0FF990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82,3</w:t>
            </w:r>
          </w:p>
        </w:tc>
      </w:tr>
      <w:tr w:rsidR="004A0184" w:rsidRPr="00A546AD" w14:paraId="7226E4FE"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159F5914"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98</w:t>
            </w:r>
          </w:p>
        </w:tc>
        <w:tc>
          <w:tcPr>
            <w:tcW w:w="925" w:type="dxa"/>
            <w:tcBorders>
              <w:top w:val="nil"/>
              <w:left w:val="nil"/>
              <w:bottom w:val="single" w:sz="4" w:space="0" w:color="auto"/>
              <w:right w:val="single" w:sz="4" w:space="0" w:color="auto"/>
            </w:tcBorders>
            <w:shd w:val="clear" w:color="auto" w:fill="auto"/>
            <w:noWrap/>
            <w:vAlign w:val="bottom"/>
            <w:hideMark/>
          </w:tcPr>
          <w:p w14:paraId="1D2910E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Баку</w:t>
            </w:r>
          </w:p>
        </w:tc>
        <w:tc>
          <w:tcPr>
            <w:tcW w:w="1048" w:type="dxa"/>
            <w:tcBorders>
              <w:top w:val="nil"/>
              <w:left w:val="nil"/>
              <w:bottom w:val="single" w:sz="4" w:space="0" w:color="auto"/>
              <w:right w:val="single" w:sz="4" w:space="0" w:color="auto"/>
            </w:tcBorders>
            <w:shd w:val="clear" w:color="auto" w:fill="auto"/>
            <w:noWrap/>
            <w:vAlign w:val="bottom"/>
            <w:hideMark/>
          </w:tcPr>
          <w:p w14:paraId="4B7985E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Азербайджан</w:t>
            </w:r>
          </w:p>
        </w:tc>
        <w:tc>
          <w:tcPr>
            <w:tcW w:w="661" w:type="dxa"/>
            <w:tcBorders>
              <w:top w:val="nil"/>
              <w:left w:val="nil"/>
              <w:bottom w:val="single" w:sz="4" w:space="0" w:color="auto"/>
              <w:right w:val="single" w:sz="4" w:space="0" w:color="auto"/>
            </w:tcBorders>
            <w:shd w:val="clear" w:color="000000" w:fill="92D050"/>
            <w:noWrap/>
            <w:vAlign w:val="center"/>
            <w:hideMark/>
          </w:tcPr>
          <w:p w14:paraId="10135DB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537</w:t>
            </w:r>
          </w:p>
        </w:tc>
        <w:tc>
          <w:tcPr>
            <w:tcW w:w="848" w:type="dxa"/>
            <w:tcBorders>
              <w:top w:val="nil"/>
              <w:left w:val="nil"/>
              <w:bottom w:val="single" w:sz="4" w:space="0" w:color="auto"/>
              <w:right w:val="single" w:sz="4" w:space="0" w:color="auto"/>
            </w:tcBorders>
            <w:shd w:val="clear" w:color="auto" w:fill="auto"/>
            <w:noWrap/>
            <w:vAlign w:val="center"/>
            <w:hideMark/>
          </w:tcPr>
          <w:p w14:paraId="51FF0B0C"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proofErr w:type="spellStart"/>
            <w:r w:rsidRPr="00A546AD">
              <w:rPr>
                <w:rFonts w:ascii="Times New Roman" w:eastAsia="Times New Roman" w:hAnsi="Times New Roman" w:cs="Times New Roman"/>
                <w:color w:val="000000"/>
                <w:sz w:val="16"/>
                <w:szCs w:val="16"/>
                <w:lang w:val="ru-RU" w:eastAsia="ru-RU" w:bidi="ar-SA"/>
              </w:rPr>
              <w:t>Azerbaijan</w:t>
            </w:r>
            <w:proofErr w:type="spellEnd"/>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7FE78A7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78,5</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70B8BCA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96,2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7A29DAA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75,4</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32B7563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E72A849" w14:textId="779CB582"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84,0</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FAED67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84,0</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166FDF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81,7</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672A631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028728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63,5</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ABF609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AE8703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86,0</w:t>
            </w:r>
          </w:p>
        </w:tc>
      </w:tr>
      <w:tr w:rsidR="004A0184" w:rsidRPr="00A546AD" w14:paraId="0950FAAC"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92BE8D2"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99</w:t>
            </w:r>
          </w:p>
        </w:tc>
        <w:tc>
          <w:tcPr>
            <w:tcW w:w="925" w:type="dxa"/>
            <w:tcBorders>
              <w:top w:val="nil"/>
              <w:left w:val="nil"/>
              <w:bottom w:val="single" w:sz="4" w:space="0" w:color="auto"/>
              <w:right w:val="single" w:sz="4" w:space="0" w:color="auto"/>
            </w:tcBorders>
            <w:shd w:val="clear" w:color="auto" w:fill="auto"/>
            <w:noWrap/>
            <w:vAlign w:val="bottom"/>
            <w:hideMark/>
          </w:tcPr>
          <w:p w14:paraId="048FA692"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Алматы</w:t>
            </w:r>
          </w:p>
        </w:tc>
        <w:tc>
          <w:tcPr>
            <w:tcW w:w="1048" w:type="dxa"/>
            <w:tcBorders>
              <w:top w:val="nil"/>
              <w:left w:val="nil"/>
              <w:bottom w:val="single" w:sz="4" w:space="0" w:color="auto"/>
              <w:right w:val="single" w:sz="4" w:space="0" w:color="auto"/>
            </w:tcBorders>
            <w:shd w:val="clear" w:color="auto" w:fill="auto"/>
            <w:noWrap/>
            <w:vAlign w:val="bottom"/>
            <w:hideMark/>
          </w:tcPr>
          <w:p w14:paraId="15F5E032"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Казахстан</w:t>
            </w:r>
          </w:p>
        </w:tc>
        <w:tc>
          <w:tcPr>
            <w:tcW w:w="661" w:type="dxa"/>
            <w:tcBorders>
              <w:top w:val="nil"/>
              <w:left w:val="nil"/>
              <w:bottom w:val="single" w:sz="4" w:space="0" w:color="auto"/>
              <w:right w:val="single" w:sz="4" w:space="0" w:color="auto"/>
            </w:tcBorders>
            <w:shd w:val="clear" w:color="000000" w:fill="92D050"/>
            <w:noWrap/>
            <w:vAlign w:val="center"/>
            <w:hideMark/>
          </w:tcPr>
          <w:p w14:paraId="14A697A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536</w:t>
            </w:r>
          </w:p>
        </w:tc>
        <w:tc>
          <w:tcPr>
            <w:tcW w:w="848" w:type="dxa"/>
            <w:tcBorders>
              <w:top w:val="nil"/>
              <w:left w:val="nil"/>
              <w:bottom w:val="single" w:sz="4" w:space="0" w:color="auto"/>
              <w:right w:val="single" w:sz="4" w:space="0" w:color="auto"/>
            </w:tcBorders>
            <w:shd w:val="clear" w:color="auto" w:fill="auto"/>
            <w:noWrap/>
            <w:vAlign w:val="center"/>
            <w:hideMark/>
          </w:tcPr>
          <w:p w14:paraId="561407E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Kazakhstan</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213B440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79,6</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79AD7F1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FF2225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82,4</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71C8DC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D778572" w14:textId="51EC44D2"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78,2</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6D47602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78,2</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641584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3E4124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81,3</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0F9E050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66,7</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C33080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CC8AAE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81,6</w:t>
            </w:r>
          </w:p>
        </w:tc>
      </w:tr>
      <w:tr w:rsidR="004A0184" w:rsidRPr="00A546AD" w14:paraId="7D5B398F"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2AD460B"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100</w:t>
            </w:r>
          </w:p>
        </w:tc>
        <w:tc>
          <w:tcPr>
            <w:tcW w:w="925" w:type="dxa"/>
            <w:tcBorders>
              <w:top w:val="nil"/>
              <w:left w:val="nil"/>
              <w:bottom w:val="single" w:sz="4" w:space="0" w:color="auto"/>
              <w:right w:val="single" w:sz="4" w:space="0" w:color="auto"/>
            </w:tcBorders>
            <w:shd w:val="clear" w:color="auto" w:fill="auto"/>
            <w:noWrap/>
            <w:vAlign w:val="bottom"/>
            <w:hideMark/>
          </w:tcPr>
          <w:p w14:paraId="4C64D84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Рейкьявик</w:t>
            </w:r>
          </w:p>
        </w:tc>
        <w:tc>
          <w:tcPr>
            <w:tcW w:w="1048" w:type="dxa"/>
            <w:tcBorders>
              <w:top w:val="nil"/>
              <w:left w:val="nil"/>
              <w:bottom w:val="single" w:sz="4" w:space="0" w:color="auto"/>
              <w:right w:val="single" w:sz="4" w:space="0" w:color="auto"/>
            </w:tcBorders>
            <w:shd w:val="clear" w:color="auto" w:fill="auto"/>
            <w:noWrap/>
            <w:vAlign w:val="bottom"/>
            <w:hideMark/>
          </w:tcPr>
          <w:p w14:paraId="53C921A9"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Исландия</w:t>
            </w:r>
          </w:p>
        </w:tc>
        <w:tc>
          <w:tcPr>
            <w:tcW w:w="661" w:type="dxa"/>
            <w:tcBorders>
              <w:top w:val="nil"/>
              <w:left w:val="nil"/>
              <w:bottom w:val="single" w:sz="4" w:space="0" w:color="auto"/>
              <w:right w:val="single" w:sz="4" w:space="0" w:color="auto"/>
            </w:tcBorders>
            <w:shd w:val="clear" w:color="000000" w:fill="92D050"/>
            <w:noWrap/>
            <w:vAlign w:val="center"/>
            <w:hideMark/>
          </w:tcPr>
          <w:p w14:paraId="661D3E6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535</w:t>
            </w:r>
          </w:p>
        </w:tc>
        <w:tc>
          <w:tcPr>
            <w:tcW w:w="848" w:type="dxa"/>
            <w:tcBorders>
              <w:top w:val="nil"/>
              <w:left w:val="nil"/>
              <w:bottom w:val="single" w:sz="4" w:space="0" w:color="auto"/>
              <w:right w:val="single" w:sz="4" w:space="0" w:color="auto"/>
            </w:tcBorders>
            <w:shd w:val="clear" w:color="auto" w:fill="auto"/>
            <w:noWrap/>
            <w:vAlign w:val="center"/>
            <w:hideMark/>
          </w:tcPr>
          <w:p w14:paraId="0AEF4EAF"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proofErr w:type="spellStart"/>
            <w:r w:rsidRPr="00A546AD">
              <w:rPr>
                <w:rFonts w:ascii="Times New Roman" w:eastAsia="Times New Roman" w:hAnsi="Times New Roman" w:cs="Times New Roman"/>
                <w:color w:val="000000"/>
                <w:sz w:val="16"/>
                <w:szCs w:val="16"/>
                <w:lang w:val="ru-RU" w:eastAsia="ru-RU" w:bidi="ar-SA"/>
              </w:rPr>
              <w:t>Iceland</w:t>
            </w:r>
            <w:proofErr w:type="spellEnd"/>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3462355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79,0</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6A43BF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90,6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59C6C6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CF6D1A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53D5DCA4" w14:textId="70190B38"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83,8</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E7E6BD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83,8</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62FC4FB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86,7</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48B81F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706A49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4E450D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71,6</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5FD9C1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92,2</w:t>
            </w:r>
          </w:p>
        </w:tc>
      </w:tr>
      <w:tr w:rsidR="004A0184" w:rsidRPr="00A546AD" w14:paraId="62B30241"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FBC1D29"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101</w:t>
            </w:r>
          </w:p>
        </w:tc>
        <w:tc>
          <w:tcPr>
            <w:tcW w:w="925" w:type="dxa"/>
            <w:tcBorders>
              <w:top w:val="nil"/>
              <w:left w:val="nil"/>
              <w:bottom w:val="single" w:sz="4" w:space="0" w:color="auto"/>
              <w:right w:val="single" w:sz="4" w:space="0" w:color="auto"/>
            </w:tcBorders>
            <w:shd w:val="clear" w:color="auto" w:fill="auto"/>
            <w:noWrap/>
            <w:vAlign w:val="bottom"/>
            <w:hideMark/>
          </w:tcPr>
          <w:p w14:paraId="5EB76B42"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Будапешт</w:t>
            </w:r>
          </w:p>
        </w:tc>
        <w:tc>
          <w:tcPr>
            <w:tcW w:w="1048" w:type="dxa"/>
            <w:tcBorders>
              <w:top w:val="nil"/>
              <w:left w:val="nil"/>
              <w:bottom w:val="single" w:sz="4" w:space="0" w:color="auto"/>
              <w:right w:val="single" w:sz="4" w:space="0" w:color="auto"/>
            </w:tcBorders>
            <w:shd w:val="clear" w:color="auto" w:fill="auto"/>
            <w:noWrap/>
            <w:vAlign w:val="bottom"/>
            <w:hideMark/>
          </w:tcPr>
          <w:p w14:paraId="3D9ABA1D"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Венгрия</w:t>
            </w:r>
          </w:p>
        </w:tc>
        <w:tc>
          <w:tcPr>
            <w:tcW w:w="661" w:type="dxa"/>
            <w:tcBorders>
              <w:top w:val="nil"/>
              <w:left w:val="nil"/>
              <w:bottom w:val="single" w:sz="4" w:space="0" w:color="auto"/>
              <w:right w:val="single" w:sz="4" w:space="0" w:color="auto"/>
            </w:tcBorders>
            <w:shd w:val="clear" w:color="000000" w:fill="92D050"/>
            <w:noWrap/>
            <w:vAlign w:val="center"/>
            <w:hideMark/>
          </w:tcPr>
          <w:p w14:paraId="73E2BD0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531</w:t>
            </w:r>
          </w:p>
        </w:tc>
        <w:tc>
          <w:tcPr>
            <w:tcW w:w="848" w:type="dxa"/>
            <w:tcBorders>
              <w:top w:val="nil"/>
              <w:left w:val="nil"/>
              <w:bottom w:val="single" w:sz="4" w:space="0" w:color="auto"/>
              <w:right w:val="single" w:sz="4" w:space="0" w:color="auto"/>
            </w:tcBorders>
            <w:shd w:val="clear" w:color="auto" w:fill="auto"/>
            <w:noWrap/>
            <w:vAlign w:val="center"/>
            <w:hideMark/>
          </w:tcPr>
          <w:p w14:paraId="5C7AB538"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proofErr w:type="spellStart"/>
            <w:r w:rsidRPr="00A546AD">
              <w:rPr>
                <w:rFonts w:ascii="Times New Roman" w:eastAsia="Times New Roman" w:hAnsi="Times New Roman" w:cs="Times New Roman"/>
                <w:color w:val="000000"/>
                <w:sz w:val="16"/>
                <w:szCs w:val="16"/>
                <w:lang w:val="ru-RU" w:eastAsia="ru-RU" w:bidi="ar-SA"/>
              </w:rPr>
              <w:t>Hungary</w:t>
            </w:r>
            <w:proofErr w:type="spellEnd"/>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5AEF5D9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73,4</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BE6CEE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88,2</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09CA50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474A67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A23B6D2" w14:textId="0BD068DF"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80,6</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7294C9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80,6</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466CF0F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C64E39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71,0</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257CB42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C175BB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7271DE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63,3</w:t>
            </w:r>
          </w:p>
        </w:tc>
      </w:tr>
      <w:tr w:rsidR="004A0184" w:rsidRPr="00A546AD" w14:paraId="03E39E52"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86A6191"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102</w:t>
            </w:r>
          </w:p>
        </w:tc>
        <w:tc>
          <w:tcPr>
            <w:tcW w:w="925" w:type="dxa"/>
            <w:tcBorders>
              <w:top w:val="nil"/>
              <w:left w:val="nil"/>
              <w:bottom w:val="single" w:sz="4" w:space="0" w:color="auto"/>
              <w:right w:val="single" w:sz="4" w:space="0" w:color="auto"/>
            </w:tcBorders>
            <w:shd w:val="clear" w:color="auto" w:fill="auto"/>
            <w:noWrap/>
            <w:vAlign w:val="bottom"/>
            <w:hideMark/>
          </w:tcPr>
          <w:p w14:paraId="742DA50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Тегеран</w:t>
            </w:r>
          </w:p>
        </w:tc>
        <w:tc>
          <w:tcPr>
            <w:tcW w:w="1048" w:type="dxa"/>
            <w:tcBorders>
              <w:top w:val="nil"/>
              <w:left w:val="nil"/>
              <w:bottom w:val="single" w:sz="4" w:space="0" w:color="auto"/>
              <w:right w:val="single" w:sz="4" w:space="0" w:color="auto"/>
            </w:tcBorders>
            <w:shd w:val="clear" w:color="auto" w:fill="auto"/>
            <w:noWrap/>
            <w:vAlign w:val="bottom"/>
            <w:hideMark/>
          </w:tcPr>
          <w:p w14:paraId="1620137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Иран</w:t>
            </w:r>
          </w:p>
        </w:tc>
        <w:tc>
          <w:tcPr>
            <w:tcW w:w="661" w:type="dxa"/>
            <w:tcBorders>
              <w:top w:val="nil"/>
              <w:left w:val="nil"/>
              <w:bottom w:val="single" w:sz="4" w:space="0" w:color="auto"/>
              <w:right w:val="single" w:sz="4" w:space="0" w:color="auto"/>
            </w:tcBorders>
            <w:shd w:val="clear" w:color="000000" w:fill="92D050"/>
            <w:noWrap/>
            <w:vAlign w:val="center"/>
            <w:hideMark/>
          </w:tcPr>
          <w:p w14:paraId="6796CE7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528</w:t>
            </w:r>
          </w:p>
        </w:tc>
        <w:tc>
          <w:tcPr>
            <w:tcW w:w="848" w:type="dxa"/>
            <w:tcBorders>
              <w:top w:val="nil"/>
              <w:left w:val="nil"/>
              <w:bottom w:val="single" w:sz="4" w:space="0" w:color="auto"/>
              <w:right w:val="single" w:sz="4" w:space="0" w:color="auto"/>
            </w:tcBorders>
            <w:shd w:val="clear" w:color="auto" w:fill="auto"/>
            <w:noWrap/>
            <w:vAlign w:val="center"/>
            <w:hideMark/>
          </w:tcPr>
          <w:p w14:paraId="1F7B5ABD"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 xml:space="preserve">Iran, </w:t>
            </w:r>
            <w:proofErr w:type="spellStart"/>
            <w:r w:rsidRPr="00A546AD">
              <w:rPr>
                <w:rFonts w:ascii="Times New Roman" w:eastAsia="Times New Roman" w:hAnsi="Times New Roman" w:cs="Times New Roman"/>
                <w:color w:val="000000"/>
                <w:sz w:val="16"/>
                <w:szCs w:val="16"/>
                <w:lang w:val="ru-RU" w:eastAsia="ru-RU" w:bidi="ar-SA"/>
              </w:rPr>
              <w:t>Islamic</w:t>
            </w:r>
            <w:proofErr w:type="spellEnd"/>
            <w:r w:rsidRPr="00A546AD">
              <w:rPr>
                <w:rFonts w:ascii="Times New Roman" w:eastAsia="Times New Roman" w:hAnsi="Times New Roman" w:cs="Times New Roman"/>
                <w:color w:val="000000"/>
                <w:sz w:val="16"/>
                <w:szCs w:val="16"/>
                <w:lang w:val="ru-RU" w:eastAsia="ru-RU" w:bidi="ar-SA"/>
              </w:rPr>
              <w:t xml:space="preserve"> </w:t>
            </w:r>
            <w:proofErr w:type="spellStart"/>
            <w:r w:rsidRPr="00A546AD">
              <w:rPr>
                <w:rFonts w:ascii="Times New Roman" w:eastAsia="Times New Roman" w:hAnsi="Times New Roman" w:cs="Times New Roman"/>
                <w:color w:val="000000"/>
                <w:sz w:val="16"/>
                <w:szCs w:val="16"/>
                <w:lang w:val="ru-RU" w:eastAsia="ru-RU" w:bidi="ar-SA"/>
              </w:rPr>
              <w:t>Rep</w:t>
            </w:r>
            <w:proofErr w:type="spellEnd"/>
            <w:r w:rsidRPr="00A546AD">
              <w:rPr>
                <w:rFonts w:ascii="Times New Roman" w:eastAsia="Times New Roman" w:hAnsi="Times New Roman" w:cs="Times New Roman"/>
                <w:color w:val="000000"/>
                <w:sz w:val="16"/>
                <w:szCs w:val="16"/>
                <w:lang w:val="ru-RU" w:eastAsia="ru-RU" w:bidi="ar-SA"/>
              </w:rPr>
              <w:t>.</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00149DC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58,5</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1F5E26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67,8</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0FADCE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2F9C22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729AB832" w14:textId="5553DA7F"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59,5</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3499489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59,5</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7823DB0"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66,2</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5A8586A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58,2</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F8C202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35,1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4DBAE77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64F866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69,4</w:t>
            </w:r>
          </w:p>
        </w:tc>
      </w:tr>
      <w:tr w:rsidR="004A0184" w:rsidRPr="00A546AD" w14:paraId="54964E1E"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E3D6A28"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103</w:t>
            </w:r>
          </w:p>
        </w:tc>
        <w:tc>
          <w:tcPr>
            <w:tcW w:w="925" w:type="dxa"/>
            <w:tcBorders>
              <w:top w:val="nil"/>
              <w:left w:val="nil"/>
              <w:bottom w:val="single" w:sz="4" w:space="0" w:color="auto"/>
              <w:right w:val="single" w:sz="4" w:space="0" w:color="auto"/>
            </w:tcBorders>
            <w:shd w:val="clear" w:color="auto" w:fill="auto"/>
            <w:noWrap/>
            <w:vAlign w:val="bottom"/>
            <w:hideMark/>
          </w:tcPr>
          <w:p w14:paraId="251E6D7B"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Кувейт</w:t>
            </w:r>
          </w:p>
        </w:tc>
        <w:tc>
          <w:tcPr>
            <w:tcW w:w="1048" w:type="dxa"/>
            <w:tcBorders>
              <w:top w:val="nil"/>
              <w:left w:val="nil"/>
              <w:bottom w:val="single" w:sz="4" w:space="0" w:color="auto"/>
              <w:right w:val="single" w:sz="4" w:space="0" w:color="auto"/>
            </w:tcBorders>
            <w:shd w:val="clear" w:color="auto" w:fill="auto"/>
            <w:noWrap/>
            <w:vAlign w:val="bottom"/>
            <w:hideMark/>
          </w:tcPr>
          <w:p w14:paraId="1B5ABF3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Кувейт</w:t>
            </w:r>
          </w:p>
        </w:tc>
        <w:tc>
          <w:tcPr>
            <w:tcW w:w="661" w:type="dxa"/>
            <w:tcBorders>
              <w:top w:val="nil"/>
              <w:left w:val="nil"/>
              <w:bottom w:val="single" w:sz="4" w:space="0" w:color="auto"/>
              <w:right w:val="single" w:sz="4" w:space="0" w:color="auto"/>
            </w:tcBorders>
            <w:shd w:val="clear" w:color="000000" w:fill="92D050"/>
            <w:noWrap/>
            <w:vAlign w:val="center"/>
            <w:hideMark/>
          </w:tcPr>
          <w:p w14:paraId="03661E9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524</w:t>
            </w:r>
          </w:p>
        </w:tc>
        <w:tc>
          <w:tcPr>
            <w:tcW w:w="848" w:type="dxa"/>
            <w:tcBorders>
              <w:top w:val="nil"/>
              <w:left w:val="nil"/>
              <w:bottom w:val="single" w:sz="4" w:space="0" w:color="auto"/>
              <w:right w:val="single" w:sz="4" w:space="0" w:color="auto"/>
            </w:tcBorders>
            <w:shd w:val="clear" w:color="auto" w:fill="auto"/>
            <w:noWrap/>
            <w:vAlign w:val="center"/>
            <w:hideMark/>
          </w:tcPr>
          <w:p w14:paraId="7FB01B28"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proofErr w:type="spellStart"/>
            <w:r w:rsidRPr="00A546AD">
              <w:rPr>
                <w:rFonts w:ascii="Times New Roman" w:eastAsia="Times New Roman" w:hAnsi="Times New Roman" w:cs="Times New Roman"/>
                <w:color w:val="000000"/>
                <w:sz w:val="16"/>
                <w:szCs w:val="16"/>
                <w:lang w:val="ru-RU" w:eastAsia="ru-RU" w:bidi="ar-SA"/>
              </w:rPr>
              <w:t>Kuwait</w:t>
            </w:r>
            <w:proofErr w:type="spellEnd"/>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2E42083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67,4</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64332A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88,4</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4AFAFB5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98A490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9203907" w14:textId="0CF22FC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92,5</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1438B72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92,5</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ED8404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52,6</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9275C4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61,4</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60B0FB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39,2</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167B59A"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2AEBD0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81,9</w:t>
            </w:r>
          </w:p>
        </w:tc>
      </w:tr>
      <w:tr w:rsidR="004A0184" w:rsidRPr="00A546AD" w14:paraId="281B4946"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53FC4EB"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104</w:t>
            </w:r>
          </w:p>
        </w:tc>
        <w:tc>
          <w:tcPr>
            <w:tcW w:w="925" w:type="dxa"/>
            <w:tcBorders>
              <w:top w:val="nil"/>
              <w:left w:val="nil"/>
              <w:bottom w:val="single" w:sz="4" w:space="0" w:color="auto"/>
              <w:right w:val="single" w:sz="4" w:space="0" w:color="auto"/>
            </w:tcBorders>
            <w:shd w:val="clear" w:color="auto" w:fill="auto"/>
            <w:noWrap/>
            <w:vAlign w:val="bottom"/>
            <w:hideMark/>
          </w:tcPr>
          <w:p w14:paraId="1A72340E"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Санкт-Петербург</w:t>
            </w:r>
          </w:p>
        </w:tc>
        <w:tc>
          <w:tcPr>
            <w:tcW w:w="1048" w:type="dxa"/>
            <w:tcBorders>
              <w:top w:val="nil"/>
              <w:left w:val="nil"/>
              <w:bottom w:val="single" w:sz="4" w:space="0" w:color="auto"/>
              <w:right w:val="single" w:sz="4" w:space="0" w:color="auto"/>
            </w:tcBorders>
            <w:shd w:val="clear" w:color="auto" w:fill="auto"/>
            <w:noWrap/>
            <w:vAlign w:val="bottom"/>
            <w:hideMark/>
          </w:tcPr>
          <w:p w14:paraId="2A43B7E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Россия</w:t>
            </w:r>
          </w:p>
        </w:tc>
        <w:tc>
          <w:tcPr>
            <w:tcW w:w="661" w:type="dxa"/>
            <w:tcBorders>
              <w:top w:val="nil"/>
              <w:left w:val="nil"/>
              <w:bottom w:val="single" w:sz="4" w:space="0" w:color="auto"/>
              <w:right w:val="single" w:sz="4" w:space="0" w:color="auto"/>
            </w:tcBorders>
            <w:shd w:val="clear" w:color="000000" w:fill="92D050"/>
            <w:noWrap/>
            <w:vAlign w:val="center"/>
            <w:hideMark/>
          </w:tcPr>
          <w:p w14:paraId="02F3095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523</w:t>
            </w:r>
          </w:p>
        </w:tc>
        <w:tc>
          <w:tcPr>
            <w:tcW w:w="848" w:type="dxa"/>
            <w:tcBorders>
              <w:top w:val="nil"/>
              <w:left w:val="nil"/>
              <w:bottom w:val="single" w:sz="4" w:space="0" w:color="auto"/>
              <w:right w:val="single" w:sz="4" w:space="0" w:color="auto"/>
            </w:tcBorders>
            <w:shd w:val="clear" w:color="auto" w:fill="auto"/>
            <w:noWrap/>
            <w:vAlign w:val="center"/>
            <w:hideMark/>
          </w:tcPr>
          <w:p w14:paraId="40B90739"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 xml:space="preserve">Russian Federation Saint </w:t>
            </w:r>
            <w:proofErr w:type="spellStart"/>
            <w:r w:rsidRPr="00A546AD">
              <w:rPr>
                <w:rFonts w:ascii="Times New Roman" w:eastAsia="Times New Roman" w:hAnsi="Times New Roman" w:cs="Times New Roman"/>
                <w:color w:val="000000"/>
                <w:sz w:val="16"/>
                <w:szCs w:val="16"/>
                <w:lang w:val="ru-RU" w:eastAsia="ru-RU" w:bidi="ar-SA"/>
              </w:rPr>
              <w:t>Petersburg</w:t>
            </w:r>
            <w:proofErr w:type="spellEnd"/>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4133ED6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77,9</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00283F73"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316D1E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3D7E79E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8189BD8" w14:textId="421F9F83"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83,0</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31F750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83,0</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8D952E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144F2F9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71,1</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3CE126A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495492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80,5</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E2477F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96,8</w:t>
            </w:r>
          </w:p>
        </w:tc>
      </w:tr>
      <w:tr w:rsidR="004A0184" w:rsidRPr="00A546AD" w14:paraId="7C67A2F2"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9D6D6A6"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105</w:t>
            </w:r>
          </w:p>
        </w:tc>
        <w:tc>
          <w:tcPr>
            <w:tcW w:w="925" w:type="dxa"/>
            <w:tcBorders>
              <w:top w:val="nil"/>
              <w:left w:val="nil"/>
              <w:bottom w:val="single" w:sz="4" w:space="0" w:color="auto"/>
              <w:right w:val="single" w:sz="4" w:space="0" w:color="auto"/>
            </w:tcBorders>
            <w:shd w:val="clear" w:color="auto" w:fill="auto"/>
            <w:noWrap/>
            <w:vAlign w:val="bottom"/>
            <w:hideMark/>
          </w:tcPr>
          <w:p w14:paraId="01F57E71"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Сиань</w:t>
            </w:r>
          </w:p>
        </w:tc>
        <w:tc>
          <w:tcPr>
            <w:tcW w:w="1048" w:type="dxa"/>
            <w:tcBorders>
              <w:top w:val="nil"/>
              <w:left w:val="nil"/>
              <w:bottom w:val="single" w:sz="4" w:space="0" w:color="auto"/>
              <w:right w:val="single" w:sz="4" w:space="0" w:color="auto"/>
            </w:tcBorders>
            <w:shd w:val="clear" w:color="auto" w:fill="auto"/>
            <w:noWrap/>
            <w:vAlign w:val="bottom"/>
            <w:hideMark/>
          </w:tcPr>
          <w:p w14:paraId="42006A4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single" w:sz="4" w:space="0" w:color="auto"/>
              <w:right w:val="single" w:sz="4" w:space="0" w:color="auto"/>
            </w:tcBorders>
            <w:shd w:val="clear" w:color="000000" w:fill="92D050"/>
            <w:noWrap/>
            <w:vAlign w:val="center"/>
            <w:hideMark/>
          </w:tcPr>
          <w:p w14:paraId="24F8F1B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506</w:t>
            </w:r>
          </w:p>
        </w:tc>
        <w:tc>
          <w:tcPr>
            <w:tcW w:w="848" w:type="dxa"/>
            <w:tcBorders>
              <w:top w:val="nil"/>
              <w:left w:val="nil"/>
              <w:bottom w:val="single" w:sz="4" w:space="0" w:color="auto"/>
              <w:right w:val="single" w:sz="4" w:space="0" w:color="auto"/>
            </w:tcBorders>
            <w:shd w:val="clear" w:color="auto" w:fill="auto"/>
            <w:noWrap/>
            <w:vAlign w:val="center"/>
            <w:hideMark/>
          </w:tcPr>
          <w:p w14:paraId="7D5EE45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7FFC4BF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0CFBCED4"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33A4B3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E638F2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2C77009E" w14:textId="52374399"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6C5F6B2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39E115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020BA7D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1432EBA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0863106"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71359C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r w:rsidR="004A0184" w:rsidRPr="00A546AD" w14:paraId="43934573"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2EE3150D"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106</w:t>
            </w:r>
          </w:p>
        </w:tc>
        <w:tc>
          <w:tcPr>
            <w:tcW w:w="925" w:type="dxa"/>
            <w:tcBorders>
              <w:top w:val="nil"/>
              <w:left w:val="nil"/>
              <w:bottom w:val="single" w:sz="4" w:space="0" w:color="auto"/>
              <w:right w:val="single" w:sz="4" w:space="0" w:color="auto"/>
            </w:tcBorders>
            <w:shd w:val="clear" w:color="auto" w:fill="auto"/>
            <w:noWrap/>
            <w:vAlign w:val="bottom"/>
            <w:hideMark/>
          </w:tcPr>
          <w:p w14:paraId="58AB665E"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Манила</w:t>
            </w:r>
          </w:p>
        </w:tc>
        <w:tc>
          <w:tcPr>
            <w:tcW w:w="1048" w:type="dxa"/>
            <w:tcBorders>
              <w:top w:val="nil"/>
              <w:left w:val="nil"/>
              <w:bottom w:val="single" w:sz="4" w:space="0" w:color="auto"/>
              <w:right w:val="single" w:sz="4" w:space="0" w:color="auto"/>
            </w:tcBorders>
            <w:shd w:val="clear" w:color="auto" w:fill="auto"/>
            <w:noWrap/>
            <w:vAlign w:val="bottom"/>
            <w:hideMark/>
          </w:tcPr>
          <w:p w14:paraId="42830B6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Филиппины</w:t>
            </w:r>
          </w:p>
        </w:tc>
        <w:tc>
          <w:tcPr>
            <w:tcW w:w="661" w:type="dxa"/>
            <w:tcBorders>
              <w:top w:val="nil"/>
              <w:left w:val="nil"/>
              <w:bottom w:val="single" w:sz="4" w:space="0" w:color="auto"/>
              <w:right w:val="single" w:sz="4" w:space="0" w:color="auto"/>
            </w:tcBorders>
            <w:shd w:val="clear" w:color="000000" w:fill="92D050"/>
            <w:noWrap/>
            <w:vAlign w:val="center"/>
            <w:hideMark/>
          </w:tcPr>
          <w:p w14:paraId="38592D6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491</w:t>
            </w:r>
          </w:p>
        </w:tc>
        <w:tc>
          <w:tcPr>
            <w:tcW w:w="848" w:type="dxa"/>
            <w:tcBorders>
              <w:top w:val="nil"/>
              <w:left w:val="nil"/>
              <w:bottom w:val="single" w:sz="4" w:space="0" w:color="auto"/>
              <w:right w:val="single" w:sz="4" w:space="0" w:color="auto"/>
            </w:tcBorders>
            <w:shd w:val="clear" w:color="auto" w:fill="auto"/>
            <w:noWrap/>
            <w:vAlign w:val="center"/>
            <w:hideMark/>
          </w:tcPr>
          <w:p w14:paraId="5030CBF2"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proofErr w:type="spellStart"/>
            <w:r w:rsidRPr="00A546AD">
              <w:rPr>
                <w:rFonts w:ascii="Times New Roman" w:eastAsia="Times New Roman" w:hAnsi="Times New Roman" w:cs="Times New Roman"/>
                <w:color w:val="000000"/>
                <w:sz w:val="16"/>
                <w:szCs w:val="16"/>
                <w:lang w:val="ru-RU" w:eastAsia="ru-RU" w:bidi="ar-SA"/>
              </w:rPr>
              <w:t>Philippines</w:t>
            </w:r>
            <w:proofErr w:type="spellEnd"/>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3A0D0C4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62,8</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19DACA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71,3</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8F4815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57,6</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712D32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40,0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483C46C1" w14:textId="2D292AB6"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72,6</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B73390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72,6</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E60608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68,4</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72639C0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46,0</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72652D2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2E8219F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70,0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02C039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87,4</w:t>
            </w:r>
          </w:p>
        </w:tc>
      </w:tr>
      <w:tr w:rsidR="004A0184" w:rsidRPr="00A546AD" w14:paraId="1752CF48"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03DC1516"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107</w:t>
            </w:r>
          </w:p>
        </w:tc>
        <w:tc>
          <w:tcPr>
            <w:tcW w:w="925" w:type="dxa"/>
            <w:tcBorders>
              <w:top w:val="nil"/>
              <w:left w:val="nil"/>
              <w:bottom w:val="single" w:sz="4" w:space="0" w:color="auto"/>
              <w:right w:val="single" w:sz="4" w:space="0" w:color="auto"/>
            </w:tcBorders>
            <w:shd w:val="clear" w:color="auto" w:fill="auto"/>
            <w:noWrap/>
            <w:vAlign w:val="bottom"/>
            <w:hideMark/>
          </w:tcPr>
          <w:p w14:paraId="2D21AB56"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Эр-Рияд</w:t>
            </w:r>
          </w:p>
        </w:tc>
        <w:tc>
          <w:tcPr>
            <w:tcW w:w="1048" w:type="dxa"/>
            <w:tcBorders>
              <w:top w:val="nil"/>
              <w:left w:val="nil"/>
              <w:bottom w:val="single" w:sz="4" w:space="0" w:color="auto"/>
              <w:right w:val="single" w:sz="4" w:space="0" w:color="auto"/>
            </w:tcBorders>
            <w:shd w:val="clear" w:color="auto" w:fill="auto"/>
            <w:noWrap/>
            <w:vAlign w:val="bottom"/>
            <w:hideMark/>
          </w:tcPr>
          <w:p w14:paraId="7FB6BA83"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Саудовская Аравия</w:t>
            </w:r>
          </w:p>
        </w:tc>
        <w:tc>
          <w:tcPr>
            <w:tcW w:w="661" w:type="dxa"/>
            <w:tcBorders>
              <w:top w:val="nil"/>
              <w:left w:val="nil"/>
              <w:bottom w:val="single" w:sz="4" w:space="0" w:color="auto"/>
              <w:right w:val="single" w:sz="4" w:space="0" w:color="auto"/>
            </w:tcBorders>
            <w:shd w:val="clear" w:color="000000" w:fill="92D050"/>
            <w:noWrap/>
            <w:vAlign w:val="center"/>
            <w:hideMark/>
          </w:tcPr>
          <w:p w14:paraId="201E1D3E"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586</w:t>
            </w:r>
          </w:p>
        </w:tc>
        <w:tc>
          <w:tcPr>
            <w:tcW w:w="848" w:type="dxa"/>
            <w:tcBorders>
              <w:top w:val="nil"/>
              <w:left w:val="nil"/>
              <w:bottom w:val="single" w:sz="4" w:space="0" w:color="auto"/>
              <w:right w:val="single" w:sz="4" w:space="0" w:color="auto"/>
            </w:tcBorders>
            <w:shd w:val="clear" w:color="auto" w:fill="auto"/>
            <w:noWrap/>
            <w:vAlign w:val="center"/>
            <w:hideMark/>
          </w:tcPr>
          <w:p w14:paraId="3E548B7F"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 xml:space="preserve">Saudi </w:t>
            </w:r>
            <w:proofErr w:type="spellStart"/>
            <w:r w:rsidRPr="00A546AD">
              <w:rPr>
                <w:rFonts w:ascii="Times New Roman" w:eastAsia="Times New Roman" w:hAnsi="Times New Roman" w:cs="Times New Roman"/>
                <w:color w:val="000000"/>
                <w:sz w:val="16"/>
                <w:szCs w:val="16"/>
                <w:lang w:val="ru-RU" w:eastAsia="ru-RU" w:bidi="ar-SA"/>
              </w:rPr>
              <w:t>Arabia</w:t>
            </w:r>
            <w:proofErr w:type="spellEnd"/>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3F5E5D5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70,9</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22EAAC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93,1</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7359FFD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84,5</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EB89E6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BA140A9" w14:textId="1F5851B3"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78,7</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43A878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78,7</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746E5B3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76,0</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48AE8C5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65,3</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B4B08DF"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0,0</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38A04B59"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877646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91,8</w:t>
            </w:r>
          </w:p>
        </w:tc>
      </w:tr>
      <w:tr w:rsidR="004A0184" w:rsidRPr="00A546AD" w14:paraId="46C362CD"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EE6C250"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108</w:t>
            </w:r>
          </w:p>
        </w:tc>
        <w:tc>
          <w:tcPr>
            <w:tcW w:w="925" w:type="dxa"/>
            <w:tcBorders>
              <w:top w:val="nil"/>
              <w:left w:val="nil"/>
              <w:bottom w:val="single" w:sz="4" w:space="0" w:color="auto"/>
              <w:right w:val="single" w:sz="4" w:space="0" w:color="auto"/>
            </w:tcBorders>
            <w:shd w:val="clear" w:color="auto" w:fill="auto"/>
            <w:noWrap/>
            <w:vAlign w:val="bottom"/>
            <w:hideMark/>
          </w:tcPr>
          <w:p w14:paraId="55B96A00"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Тяньцзинь</w:t>
            </w:r>
          </w:p>
        </w:tc>
        <w:tc>
          <w:tcPr>
            <w:tcW w:w="1048" w:type="dxa"/>
            <w:tcBorders>
              <w:top w:val="nil"/>
              <w:left w:val="nil"/>
              <w:bottom w:val="single" w:sz="4" w:space="0" w:color="auto"/>
              <w:right w:val="single" w:sz="4" w:space="0" w:color="auto"/>
            </w:tcBorders>
            <w:shd w:val="clear" w:color="auto" w:fill="auto"/>
            <w:noWrap/>
            <w:vAlign w:val="bottom"/>
            <w:hideMark/>
          </w:tcPr>
          <w:p w14:paraId="45247444"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single" w:sz="4" w:space="0" w:color="auto"/>
              <w:right w:val="single" w:sz="4" w:space="0" w:color="auto"/>
            </w:tcBorders>
            <w:shd w:val="clear" w:color="000000" w:fill="92D050"/>
            <w:noWrap/>
            <w:vAlign w:val="center"/>
            <w:hideMark/>
          </w:tcPr>
          <w:p w14:paraId="228D2E9F"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477</w:t>
            </w:r>
          </w:p>
        </w:tc>
        <w:tc>
          <w:tcPr>
            <w:tcW w:w="848" w:type="dxa"/>
            <w:tcBorders>
              <w:top w:val="nil"/>
              <w:left w:val="nil"/>
              <w:bottom w:val="single" w:sz="4" w:space="0" w:color="auto"/>
              <w:right w:val="single" w:sz="4" w:space="0" w:color="auto"/>
            </w:tcBorders>
            <w:shd w:val="clear" w:color="auto" w:fill="auto"/>
            <w:noWrap/>
            <w:vAlign w:val="center"/>
            <w:hideMark/>
          </w:tcPr>
          <w:p w14:paraId="1D423C0B"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33290C85"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48D2128C"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3E1E629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2EB943F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147190BC" w14:textId="1A4301BE"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63CA37A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5FC56305"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3274ABD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0F1BFC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15564F1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B25087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r w:rsidR="004A0184" w:rsidRPr="00A546AD" w14:paraId="1B377474"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0B21F93"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109</w:t>
            </w:r>
          </w:p>
        </w:tc>
        <w:tc>
          <w:tcPr>
            <w:tcW w:w="925" w:type="dxa"/>
            <w:tcBorders>
              <w:top w:val="nil"/>
              <w:left w:val="nil"/>
              <w:bottom w:val="single" w:sz="4" w:space="0" w:color="auto"/>
              <w:right w:val="single" w:sz="4" w:space="0" w:color="auto"/>
            </w:tcBorders>
            <w:shd w:val="clear" w:color="auto" w:fill="auto"/>
            <w:noWrap/>
            <w:vAlign w:val="bottom"/>
            <w:hideMark/>
          </w:tcPr>
          <w:p w14:paraId="5C7220B8"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Ханчжоу</w:t>
            </w:r>
          </w:p>
        </w:tc>
        <w:tc>
          <w:tcPr>
            <w:tcW w:w="1048" w:type="dxa"/>
            <w:tcBorders>
              <w:top w:val="nil"/>
              <w:left w:val="nil"/>
              <w:bottom w:val="single" w:sz="4" w:space="0" w:color="auto"/>
              <w:right w:val="single" w:sz="4" w:space="0" w:color="auto"/>
            </w:tcBorders>
            <w:shd w:val="clear" w:color="auto" w:fill="auto"/>
            <w:noWrap/>
            <w:vAlign w:val="bottom"/>
            <w:hideMark/>
          </w:tcPr>
          <w:p w14:paraId="215E1647"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single" w:sz="4" w:space="0" w:color="auto"/>
              <w:right w:val="single" w:sz="4" w:space="0" w:color="auto"/>
            </w:tcBorders>
            <w:shd w:val="clear" w:color="000000" w:fill="92D050"/>
            <w:noWrap/>
            <w:vAlign w:val="center"/>
            <w:hideMark/>
          </w:tcPr>
          <w:p w14:paraId="318956B2"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463</w:t>
            </w:r>
          </w:p>
        </w:tc>
        <w:tc>
          <w:tcPr>
            <w:tcW w:w="848" w:type="dxa"/>
            <w:tcBorders>
              <w:top w:val="nil"/>
              <w:left w:val="nil"/>
              <w:bottom w:val="single" w:sz="4" w:space="0" w:color="auto"/>
              <w:right w:val="single" w:sz="4" w:space="0" w:color="auto"/>
            </w:tcBorders>
            <w:shd w:val="clear" w:color="auto" w:fill="auto"/>
            <w:noWrap/>
            <w:vAlign w:val="center"/>
            <w:hideMark/>
          </w:tcPr>
          <w:p w14:paraId="7CCFA747"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5B02C1C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3D1AB0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D9B891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2E7AEE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0D2E4C9C" w14:textId="17A694F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443DAAF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0CD53366"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6A217A8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2166D99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01B697C8"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4E974EC"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r w:rsidR="004A0184" w:rsidRPr="00A546AD" w14:paraId="49423A56" w14:textId="77777777" w:rsidTr="00F5756A">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97B5424"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110</w:t>
            </w:r>
          </w:p>
        </w:tc>
        <w:tc>
          <w:tcPr>
            <w:tcW w:w="925" w:type="dxa"/>
            <w:tcBorders>
              <w:top w:val="nil"/>
              <w:left w:val="nil"/>
              <w:bottom w:val="single" w:sz="4" w:space="0" w:color="auto"/>
              <w:right w:val="single" w:sz="4" w:space="0" w:color="auto"/>
            </w:tcBorders>
            <w:shd w:val="clear" w:color="auto" w:fill="auto"/>
            <w:noWrap/>
            <w:vAlign w:val="bottom"/>
            <w:hideMark/>
          </w:tcPr>
          <w:p w14:paraId="4B57C64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Далянь</w:t>
            </w:r>
          </w:p>
        </w:tc>
        <w:tc>
          <w:tcPr>
            <w:tcW w:w="1048" w:type="dxa"/>
            <w:tcBorders>
              <w:top w:val="nil"/>
              <w:left w:val="nil"/>
              <w:bottom w:val="single" w:sz="4" w:space="0" w:color="auto"/>
              <w:right w:val="single" w:sz="4" w:space="0" w:color="auto"/>
            </w:tcBorders>
            <w:shd w:val="clear" w:color="auto" w:fill="auto"/>
            <w:noWrap/>
            <w:vAlign w:val="bottom"/>
            <w:hideMark/>
          </w:tcPr>
          <w:p w14:paraId="015EDD3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single" w:sz="4" w:space="0" w:color="auto"/>
              <w:right w:val="single" w:sz="4" w:space="0" w:color="auto"/>
            </w:tcBorders>
            <w:shd w:val="clear" w:color="000000" w:fill="92D050"/>
            <w:noWrap/>
            <w:vAlign w:val="center"/>
            <w:hideMark/>
          </w:tcPr>
          <w:p w14:paraId="2F59B37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455</w:t>
            </w:r>
          </w:p>
        </w:tc>
        <w:tc>
          <w:tcPr>
            <w:tcW w:w="848" w:type="dxa"/>
            <w:tcBorders>
              <w:top w:val="nil"/>
              <w:left w:val="nil"/>
              <w:bottom w:val="single" w:sz="4" w:space="0" w:color="auto"/>
              <w:right w:val="single" w:sz="4" w:space="0" w:color="auto"/>
            </w:tcBorders>
            <w:shd w:val="clear" w:color="auto" w:fill="auto"/>
            <w:noWrap/>
            <w:vAlign w:val="center"/>
            <w:hideMark/>
          </w:tcPr>
          <w:p w14:paraId="1F46BB51"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732CFB80"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1FB9467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21D17C3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C97A8F7"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6139FB26" w14:textId="6CAD9162"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0864BE8B"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1BEE96E4"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2B1F6BB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6F75135D"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7974D197"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19982F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r w:rsidR="004A0184" w:rsidRPr="00A546AD" w14:paraId="4A0FF2A8" w14:textId="77777777" w:rsidTr="00F5756A">
        <w:trPr>
          <w:trHeight w:val="300"/>
        </w:trPr>
        <w:tc>
          <w:tcPr>
            <w:tcW w:w="625" w:type="dxa"/>
            <w:tcBorders>
              <w:top w:val="nil"/>
              <w:left w:val="single" w:sz="4" w:space="0" w:color="auto"/>
              <w:bottom w:val="nil"/>
              <w:right w:val="single" w:sz="4" w:space="0" w:color="auto"/>
            </w:tcBorders>
            <w:shd w:val="clear" w:color="auto" w:fill="auto"/>
            <w:noWrap/>
            <w:vAlign w:val="bottom"/>
            <w:hideMark/>
          </w:tcPr>
          <w:p w14:paraId="0CC4D1B5" w14:textId="77777777" w:rsidR="00A546AD" w:rsidRPr="00A546AD" w:rsidRDefault="00A546AD" w:rsidP="00A546AD">
            <w:pPr>
              <w:spacing w:after="0" w:line="240" w:lineRule="auto"/>
              <w:jc w:val="right"/>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111</w:t>
            </w:r>
          </w:p>
        </w:tc>
        <w:tc>
          <w:tcPr>
            <w:tcW w:w="925" w:type="dxa"/>
            <w:tcBorders>
              <w:top w:val="nil"/>
              <w:left w:val="nil"/>
              <w:bottom w:val="nil"/>
              <w:right w:val="single" w:sz="4" w:space="0" w:color="auto"/>
            </w:tcBorders>
            <w:shd w:val="clear" w:color="auto" w:fill="auto"/>
            <w:noWrap/>
            <w:vAlign w:val="bottom"/>
            <w:hideMark/>
          </w:tcPr>
          <w:p w14:paraId="75ADC5C5"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proofErr w:type="spellStart"/>
            <w:r w:rsidRPr="00A546AD">
              <w:rPr>
                <w:rFonts w:ascii="Times New Roman" w:eastAsia="Times New Roman" w:hAnsi="Times New Roman" w:cs="Times New Roman"/>
                <w:color w:val="000000"/>
                <w:sz w:val="16"/>
                <w:szCs w:val="16"/>
                <w:lang w:val="ru-RU" w:eastAsia="ru-RU" w:bidi="ar-SA"/>
              </w:rPr>
              <w:t>Вухань</w:t>
            </w:r>
            <w:proofErr w:type="spellEnd"/>
          </w:p>
        </w:tc>
        <w:tc>
          <w:tcPr>
            <w:tcW w:w="1048" w:type="dxa"/>
            <w:tcBorders>
              <w:top w:val="nil"/>
              <w:left w:val="nil"/>
              <w:bottom w:val="nil"/>
              <w:right w:val="single" w:sz="4" w:space="0" w:color="auto"/>
            </w:tcBorders>
            <w:shd w:val="clear" w:color="auto" w:fill="auto"/>
            <w:noWrap/>
            <w:vAlign w:val="bottom"/>
            <w:hideMark/>
          </w:tcPr>
          <w:p w14:paraId="26891F8A" w14:textId="77777777" w:rsidR="00A546AD" w:rsidRPr="00A546AD" w:rsidRDefault="00A546AD" w:rsidP="00A546AD">
            <w:pPr>
              <w:spacing w:after="0" w:line="240" w:lineRule="auto"/>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Китай</w:t>
            </w:r>
          </w:p>
        </w:tc>
        <w:tc>
          <w:tcPr>
            <w:tcW w:w="661" w:type="dxa"/>
            <w:tcBorders>
              <w:top w:val="nil"/>
              <w:left w:val="nil"/>
              <w:bottom w:val="nil"/>
              <w:right w:val="single" w:sz="4" w:space="0" w:color="auto"/>
            </w:tcBorders>
            <w:shd w:val="clear" w:color="000000" w:fill="92D050"/>
            <w:noWrap/>
            <w:vAlign w:val="center"/>
            <w:hideMark/>
          </w:tcPr>
          <w:p w14:paraId="758BA61B"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420</w:t>
            </w:r>
          </w:p>
        </w:tc>
        <w:tc>
          <w:tcPr>
            <w:tcW w:w="848" w:type="dxa"/>
            <w:tcBorders>
              <w:top w:val="nil"/>
              <w:left w:val="nil"/>
              <w:bottom w:val="nil"/>
              <w:right w:val="single" w:sz="4" w:space="0" w:color="auto"/>
            </w:tcBorders>
            <w:shd w:val="clear" w:color="auto" w:fill="auto"/>
            <w:noWrap/>
            <w:vAlign w:val="center"/>
            <w:hideMark/>
          </w:tcPr>
          <w:p w14:paraId="097043C3" w14:textId="77777777" w:rsidR="00A546AD" w:rsidRPr="00A546AD" w:rsidRDefault="00A546AD" w:rsidP="00F5756A">
            <w:pPr>
              <w:spacing w:after="0" w:line="240" w:lineRule="auto"/>
              <w:jc w:val="center"/>
              <w:rPr>
                <w:rFonts w:ascii="Times New Roman" w:eastAsia="Times New Roman" w:hAnsi="Times New Roman" w:cs="Times New Roman"/>
                <w:color w:val="000000"/>
                <w:sz w:val="16"/>
                <w:szCs w:val="16"/>
                <w:lang w:val="ru-RU" w:eastAsia="ru-RU" w:bidi="ar-SA"/>
              </w:rPr>
            </w:pPr>
            <w:r w:rsidRPr="00A546AD">
              <w:rPr>
                <w:rFonts w:ascii="Times New Roman" w:eastAsia="Times New Roman" w:hAnsi="Times New Roman" w:cs="Times New Roman"/>
                <w:color w:val="000000"/>
                <w:sz w:val="16"/>
                <w:szCs w:val="16"/>
                <w:lang w:val="ru-RU" w:eastAsia="ru-RU" w:bidi="ar-SA"/>
              </w:rPr>
              <w:t>China</w:t>
            </w:r>
          </w:p>
        </w:tc>
        <w:tc>
          <w:tcPr>
            <w:tcW w:w="622" w:type="dxa"/>
            <w:tcBorders>
              <w:top w:val="single" w:sz="4" w:space="0" w:color="auto"/>
              <w:left w:val="nil"/>
              <w:bottom w:val="single" w:sz="4" w:space="0" w:color="auto"/>
              <w:right w:val="single" w:sz="4" w:space="0" w:color="auto"/>
            </w:tcBorders>
            <w:shd w:val="clear" w:color="auto" w:fill="auto"/>
            <w:noWrap/>
            <w:vAlign w:val="center"/>
            <w:hideMark/>
          </w:tcPr>
          <w:p w14:paraId="79115671"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292E1D38"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92,6</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6923C40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81,0</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1C246D2E"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55,0</w:t>
            </w:r>
          </w:p>
        </w:tc>
        <w:tc>
          <w:tcPr>
            <w:tcW w:w="1036" w:type="dxa"/>
            <w:tcBorders>
              <w:top w:val="single" w:sz="4" w:space="0" w:color="auto"/>
              <w:left w:val="nil"/>
              <w:bottom w:val="single" w:sz="4" w:space="0" w:color="auto"/>
              <w:right w:val="single" w:sz="4" w:space="0" w:color="auto"/>
            </w:tcBorders>
            <w:shd w:val="clear" w:color="000000" w:fill="FFFFFF"/>
            <w:vAlign w:val="center"/>
            <w:hideMark/>
          </w:tcPr>
          <w:p w14:paraId="3C7D445E" w14:textId="59AF4BA5"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016" w:type="dxa"/>
            <w:tcBorders>
              <w:top w:val="single" w:sz="4" w:space="0" w:color="auto"/>
              <w:left w:val="nil"/>
              <w:bottom w:val="single" w:sz="4" w:space="0" w:color="auto"/>
              <w:right w:val="single" w:sz="4" w:space="0" w:color="auto"/>
            </w:tcBorders>
            <w:shd w:val="clear" w:color="000000" w:fill="FFFFFF"/>
            <w:vAlign w:val="center"/>
            <w:hideMark/>
          </w:tcPr>
          <w:p w14:paraId="2CB4AF01"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70,1</w:t>
            </w:r>
          </w:p>
        </w:tc>
        <w:tc>
          <w:tcPr>
            <w:tcW w:w="1467" w:type="dxa"/>
            <w:tcBorders>
              <w:top w:val="single" w:sz="4" w:space="0" w:color="auto"/>
              <w:left w:val="nil"/>
              <w:bottom w:val="single" w:sz="4" w:space="0" w:color="auto"/>
              <w:right w:val="single" w:sz="4" w:space="0" w:color="auto"/>
            </w:tcBorders>
            <w:shd w:val="clear" w:color="000000" w:fill="FFFFFF"/>
            <w:vAlign w:val="center"/>
            <w:hideMark/>
          </w:tcPr>
          <w:p w14:paraId="2AAA7F93"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86,5</w:t>
            </w:r>
          </w:p>
        </w:tc>
        <w:tc>
          <w:tcPr>
            <w:tcW w:w="1287" w:type="dxa"/>
            <w:tcBorders>
              <w:top w:val="single" w:sz="4" w:space="0" w:color="auto"/>
              <w:left w:val="nil"/>
              <w:bottom w:val="single" w:sz="4" w:space="0" w:color="auto"/>
              <w:right w:val="single" w:sz="4" w:space="0" w:color="auto"/>
            </w:tcBorders>
            <w:shd w:val="clear" w:color="000000" w:fill="FFFFFF"/>
            <w:vAlign w:val="center"/>
            <w:hideMark/>
          </w:tcPr>
          <w:p w14:paraId="69ECE572"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14:paraId="402B2559"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62,1</w:t>
            </w:r>
          </w:p>
        </w:tc>
        <w:tc>
          <w:tcPr>
            <w:tcW w:w="933" w:type="dxa"/>
            <w:tcBorders>
              <w:top w:val="single" w:sz="4" w:space="0" w:color="auto"/>
              <w:left w:val="nil"/>
              <w:bottom w:val="single" w:sz="4" w:space="0" w:color="auto"/>
              <w:right w:val="single" w:sz="4" w:space="0" w:color="auto"/>
            </w:tcBorders>
            <w:shd w:val="clear" w:color="auto" w:fill="auto"/>
            <w:noWrap/>
            <w:vAlign w:val="center"/>
            <w:hideMark/>
          </w:tcPr>
          <w:p w14:paraId="5244A67D" w14:textId="77777777" w:rsidR="00A546AD" w:rsidRPr="00A546AD" w:rsidRDefault="00A546AD" w:rsidP="007A1485">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EB3FD7A" w14:textId="77777777" w:rsidR="00A546AD" w:rsidRPr="00A546AD" w:rsidRDefault="00A546AD" w:rsidP="007A1485">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95,4</w:t>
            </w:r>
          </w:p>
        </w:tc>
      </w:tr>
    </w:tbl>
    <w:p w14:paraId="52661C53" w14:textId="77777777" w:rsidR="00BE1496" w:rsidRDefault="00BE1496">
      <w:pPr>
        <w:spacing w:after="0" w:line="360" w:lineRule="auto"/>
        <w:contextualSpacing/>
        <w:rPr>
          <w:rFonts w:ascii="Times New Roman" w:hAnsi="Times New Roman" w:cs="Times New Roman"/>
          <w:color w:val="000000" w:themeColor="text1"/>
          <w:sz w:val="24"/>
          <w:szCs w:val="24"/>
          <w:lang w:val="ru-RU"/>
        </w:rPr>
      </w:pPr>
    </w:p>
    <w:p w14:paraId="5906308C" w14:textId="71DC5FA9" w:rsidR="00AE4368" w:rsidRDefault="002023F4">
      <w:pPr>
        <w:spacing w:after="0" w:line="360" w:lineRule="auto"/>
        <w:contextualSpacing/>
        <w:rPr>
          <w:rFonts w:ascii="Times New Roman" w:hAnsi="Times New Roman" w:cs="Times New Roman"/>
          <w:color w:val="000000"/>
          <w:sz w:val="24"/>
          <w:szCs w:val="24"/>
          <w:lang w:val="ru-RU"/>
        </w:rPr>
      </w:pPr>
      <w:r>
        <w:rPr>
          <w:rFonts w:ascii="Times New Roman" w:hAnsi="Times New Roman" w:cs="Times New Roman"/>
          <w:color w:val="000000" w:themeColor="text1"/>
          <w:sz w:val="24"/>
          <w:szCs w:val="24"/>
          <w:lang w:val="ru-RU"/>
        </w:rPr>
        <w:t xml:space="preserve">Источник: </w:t>
      </w:r>
      <w:r w:rsidR="000451EC" w:rsidRPr="00A20449">
        <w:rPr>
          <w:rFonts w:ascii="Times New Roman" w:hAnsi="Times New Roman" w:cs="Times New Roman"/>
          <w:sz w:val="24"/>
          <w:szCs w:val="24"/>
          <w:lang w:val="ru-RU"/>
        </w:rPr>
        <w:t>[</w:t>
      </w:r>
      <w:r w:rsidR="000451EC">
        <w:rPr>
          <w:rFonts w:ascii="Times New Roman" w:hAnsi="Times New Roman" w:cs="Times New Roman"/>
          <w:sz w:val="24"/>
          <w:szCs w:val="24"/>
          <w:lang w:val="ru-RU"/>
        </w:rPr>
        <w:fldChar w:fldCharType="begin"/>
      </w:r>
      <w:r w:rsidR="000451EC">
        <w:rPr>
          <w:rFonts w:ascii="Times New Roman" w:hAnsi="Times New Roman" w:cs="Times New Roman"/>
          <w:sz w:val="24"/>
          <w:szCs w:val="24"/>
          <w:lang w:val="ru-RU"/>
        </w:rPr>
        <w:instrText xml:space="preserve"> REF _Ref130564109 \r \h </w:instrText>
      </w:r>
      <w:r w:rsidR="000451EC">
        <w:rPr>
          <w:rFonts w:ascii="Times New Roman" w:hAnsi="Times New Roman" w:cs="Times New Roman"/>
          <w:sz w:val="24"/>
          <w:szCs w:val="24"/>
          <w:lang w:val="ru-RU"/>
        </w:rPr>
      </w:r>
      <w:r w:rsidR="000451EC">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233</w:t>
      </w:r>
      <w:r w:rsidR="000451EC">
        <w:rPr>
          <w:rFonts w:ascii="Times New Roman" w:hAnsi="Times New Roman" w:cs="Times New Roman"/>
          <w:sz w:val="24"/>
          <w:szCs w:val="24"/>
          <w:lang w:val="ru-RU"/>
        </w:rPr>
        <w:fldChar w:fldCharType="end"/>
      </w:r>
      <w:r w:rsidR="000451EC">
        <w:rPr>
          <w:rFonts w:ascii="Times New Roman" w:hAnsi="Times New Roman" w:cs="Times New Roman"/>
          <w:sz w:val="24"/>
          <w:szCs w:val="24"/>
          <w:lang w:val="ru-RU"/>
        </w:rPr>
        <w:t xml:space="preserve">; </w:t>
      </w:r>
      <w:r w:rsidR="000451EC">
        <w:rPr>
          <w:rFonts w:ascii="Times New Roman" w:hAnsi="Times New Roman" w:cs="Times New Roman"/>
          <w:sz w:val="24"/>
          <w:szCs w:val="24"/>
          <w:lang w:val="ru-RU"/>
        </w:rPr>
        <w:fldChar w:fldCharType="begin"/>
      </w:r>
      <w:r w:rsidR="000451EC">
        <w:rPr>
          <w:rFonts w:ascii="Times New Roman" w:hAnsi="Times New Roman" w:cs="Times New Roman"/>
          <w:sz w:val="24"/>
          <w:szCs w:val="24"/>
          <w:lang w:val="ru-RU"/>
        </w:rPr>
        <w:instrText xml:space="preserve"> REF _Ref135397695 \r \h </w:instrText>
      </w:r>
      <w:r w:rsidR="000451EC">
        <w:rPr>
          <w:rFonts w:ascii="Times New Roman" w:hAnsi="Times New Roman" w:cs="Times New Roman"/>
          <w:sz w:val="24"/>
          <w:szCs w:val="24"/>
          <w:lang w:val="ru-RU"/>
        </w:rPr>
      </w:r>
      <w:r w:rsidR="000451EC">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45</w:t>
      </w:r>
      <w:r w:rsidR="000451EC">
        <w:rPr>
          <w:rFonts w:ascii="Times New Roman" w:hAnsi="Times New Roman" w:cs="Times New Roman"/>
          <w:sz w:val="24"/>
          <w:szCs w:val="24"/>
          <w:lang w:val="ru-RU"/>
        </w:rPr>
        <w:fldChar w:fldCharType="end"/>
      </w:r>
      <w:r w:rsidR="000451EC">
        <w:rPr>
          <w:rFonts w:ascii="Times New Roman" w:hAnsi="Times New Roman" w:cs="Times New Roman"/>
          <w:sz w:val="24"/>
          <w:szCs w:val="24"/>
          <w:lang w:val="ru-RU"/>
        </w:rPr>
        <w:t>]</w:t>
      </w:r>
    </w:p>
    <w:p w14:paraId="0806E6B9" w14:textId="77777777" w:rsidR="00AE4368" w:rsidRDefault="00AE4368">
      <w:pPr>
        <w:spacing w:after="0" w:line="360" w:lineRule="auto"/>
        <w:contextualSpacing/>
        <w:rPr>
          <w:rFonts w:ascii="Times New Roman" w:hAnsi="Times New Roman" w:cs="Times New Roman"/>
          <w:sz w:val="24"/>
          <w:szCs w:val="24"/>
          <w:lang w:val="ru-RU"/>
        </w:rPr>
      </w:pPr>
    </w:p>
    <w:p w14:paraId="53E99BD8" w14:textId="77777777" w:rsidR="00AE4368" w:rsidRDefault="00AE4368">
      <w:pPr>
        <w:spacing w:after="0" w:line="360" w:lineRule="auto"/>
        <w:contextualSpacing/>
        <w:rPr>
          <w:rFonts w:ascii="Times New Roman" w:hAnsi="Times New Roman" w:cs="Times New Roman"/>
          <w:color w:val="000000"/>
          <w:sz w:val="24"/>
          <w:szCs w:val="24"/>
          <w:lang w:val="ru-RU"/>
        </w:rPr>
      </w:pPr>
    </w:p>
    <w:p w14:paraId="440C9A57" w14:textId="77777777" w:rsidR="00AE4368" w:rsidRDefault="00AE4368">
      <w:pPr>
        <w:spacing w:after="0" w:line="360" w:lineRule="auto"/>
        <w:contextualSpacing/>
        <w:rPr>
          <w:rFonts w:ascii="Times New Roman" w:hAnsi="Times New Roman" w:cs="Times New Roman"/>
          <w:color w:val="000000"/>
          <w:sz w:val="24"/>
          <w:szCs w:val="24"/>
          <w:lang w:val="ru-RU"/>
        </w:rPr>
        <w:sectPr w:rsidR="00AE4368" w:rsidSect="00FC1AEF">
          <w:pgSz w:w="16838" w:h="11906" w:orient="landscape"/>
          <w:pgMar w:top="1701" w:right="1134" w:bottom="850" w:left="709" w:header="708" w:footer="708" w:gutter="0"/>
          <w:cols w:space="708"/>
          <w:titlePg/>
          <w:docGrid w:linePitch="360"/>
        </w:sectPr>
      </w:pPr>
    </w:p>
    <w:p w14:paraId="3289D286" w14:textId="7CC78D2C" w:rsidR="00AE4368" w:rsidRDefault="002023F4">
      <w:pPr>
        <w:pStyle w:val="2"/>
        <w:spacing w:before="0" w:line="360" w:lineRule="auto"/>
        <w:contextualSpacing/>
        <w:rPr>
          <w:rFonts w:cs="Times New Roman"/>
          <w:sz w:val="24"/>
          <w:szCs w:val="24"/>
          <w:lang w:eastAsia="zh-CN" w:bidi="ar-SA"/>
        </w:rPr>
      </w:pPr>
      <w:bookmarkStart w:id="212" w:name="Приложение5"/>
      <w:bookmarkStart w:id="213" w:name="_Toc136448490"/>
      <w:r>
        <w:rPr>
          <w:rFonts w:cs="Times New Roman"/>
          <w:sz w:val="24"/>
          <w:szCs w:val="24"/>
          <w:lang w:eastAsia="zh-CN" w:bidi="ar-SA"/>
        </w:rPr>
        <w:lastRenderedPageBreak/>
        <w:t>Приложение 4</w:t>
      </w:r>
      <w:bookmarkEnd w:id="212"/>
      <w:bookmarkEnd w:id="213"/>
    </w:p>
    <w:p w14:paraId="0E7FD84F" w14:textId="2392D27D" w:rsidR="00430F81" w:rsidRPr="008203C3" w:rsidRDefault="00430F81" w:rsidP="00E01178">
      <w:pPr>
        <w:pStyle w:val="aff6"/>
        <w:spacing w:before="0" w:beforeAutospacing="0" w:after="0"/>
        <w:rPr>
          <w:lang w:eastAsia="zh-CN"/>
        </w:rPr>
      </w:pPr>
      <w:r>
        <w:t xml:space="preserve">Таблица </w:t>
      </w:r>
      <w:r w:rsidR="006978F8">
        <w:t>6</w:t>
      </w:r>
      <w:r>
        <w:t xml:space="preserve">. Сводная таблица рейтинга </w:t>
      </w:r>
      <w:proofErr w:type="spellStart"/>
      <w:r>
        <w:rPr>
          <w:lang w:eastAsia="zh-CN"/>
        </w:rPr>
        <w:t>Doing</w:t>
      </w:r>
      <w:proofErr w:type="spellEnd"/>
      <w:r>
        <w:rPr>
          <w:lang w:eastAsia="zh-CN"/>
        </w:rPr>
        <w:t xml:space="preserve"> Business (20</w:t>
      </w:r>
      <w:r w:rsidRPr="00FB2805">
        <w:rPr>
          <w:lang w:eastAsia="zh-CN"/>
        </w:rPr>
        <w:t>2</w:t>
      </w:r>
      <w:r w:rsidR="008203C3">
        <w:rPr>
          <w:lang w:eastAsia="zh-CN"/>
        </w:rPr>
        <w:t>0 г.)</w:t>
      </w:r>
    </w:p>
    <w:tbl>
      <w:tblPr>
        <w:tblW w:w="10773" w:type="dxa"/>
        <w:tblLook w:val="04A0" w:firstRow="1" w:lastRow="0" w:firstColumn="1" w:lastColumn="0" w:noHBand="0" w:noVBand="1"/>
      </w:tblPr>
      <w:tblGrid>
        <w:gridCol w:w="1109"/>
        <w:gridCol w:w="826"/>
        <w:gridCol w:w="1133"/>
        <w:gridCol w:w="1228"/>
        <w:gridCol w:w="1324"/>
        <w:gridCol w:w="1250"/>
        <w:gridCol w:w="993"/>
        <w:gridCol w:w="1265"/>
        <w:gridCol w:w="1498"/>
        <w:gridCol w:w="1370"/>
        <w:gridCol w:w="1138"/>
        <w:gridCol w:w="1851"/>
      </w:tblGrid>
      <w:tr w:rsidR="00BC17A3" w:rsidRPr="00A546AD" w14:paraId="6E32395D" w14:textId="77777777" w:rsidTr="00A546AD">
        <w:trPr>
          <w:trHeight w:val="2400"/>
        </w:trPr>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0902D" w14:textId="77777777"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Страна</w:t>
            </w:r>
          </w:p>
        </w:tc>
        <w:tc>
          <w:tcPr>
            <w:tcW w:w="802" w:type="dxa"/>
            <w:tcBorders>
              <w:top w:val="single" w:sz="4" w:space="0" w:color="auto"/>
              <w:left w:val="nil"/>
              <w:bottom w:val="single" w:sz="4" w:space="0" w:color="auto"/>
              <w:right w:val="single" w:sz="4" w:space="0" w:color="auto"/>
            </w:tcBorders>
            <w:shd w:val="clear" w:color="auto" w:fill="auto"/>
            <w:vAlign w:val="center"/>
            <w:hideMark/>
          </w:tcPr>
          <w:p w14:paraId="6337ED48" w14:textId="01A5A408"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Рейтинг легкость ведения бизнеса</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396C250" w14:textId="77777777"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Регистрация предприятий</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79A96B20" w14:textId="77777777"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Получение разрешений на строительство</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37F9266" w14:textId="77777777"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Присоединение к электрическим сетям</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002042ED" w14:textId="77777777"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Регистрация собственности</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70B438EA" w14:textId="77777777"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Получение кредитов</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4CF85967" w14:textId="77777777"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Защита миноритарных инвесторов</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6E8A97F6" w14:textId="77777777"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Налогообложение</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55F4A683" w14:textId="77777777"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Международная торговля</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5A4CA08" w14:textId="77777777"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Обеспечение исполнения контрактов</w:t>
            </w:r>
          </w:p>
        </w:tc>
        <w:tc>
          <w:tcPr>
            <w:tcW w:w="306" w:type="dxa"/>
            <w:tcBorders>
              <w:top w:val="single" w:sz="4" w:space="0" w:color="auto"/>
              <w:left w:val="nil"/>
              <w:bottom w:val="single" w:sz="4" w:space="0" w:color="auto"/>
              <w:right w:val="single" w:sz="4" w:space="0" w:color="auto"/>
            </w:tcBorders>
            <w:shd w:val="clear" w:color="auto" w:fill="auto"/>
            <w:vAlign w:val="center"/>
            <w:hideMark/>
          </w:tcPr>
          <w:p w14:paraId="3DE75199" w14:textId="77777777" w:rsidR="00BC17A3" w:rsidRPr="00A546AD" w:rsidRDefault="00BC17A3" w:rsidP="00E01178">
            <w:pPr>
              <w:spacing w:after="0" w:line="360" w:lineRule="auto"/>
              <w:contextualSpacing/>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Разрешение неплатежеспособности</w:t>
            </w:r>
          </w:p>
        </w:tc>
      </w:tr>
      <w:tr w:rsidR="00BC17A3" w:rsidRPr="00A546AD" w14:paraId="5BAB342A" w14:textId="77777777" w:rsidTr="00A546AD">
        <w:trPr>
          <w:trHeight w:val="18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7CF9C60" w14:textId="4A926F98" w:rsidR="00BC17A3" w:rsidRPr="00A546AD" w:rsidRDefault="00BE1496"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 xml:space="preserve">Уровень корреляции между основным рейтингом и </w:t>
            </w:r>
            <w:proofErr w:type="spellStart"/>
            <w:r w:rsidR="00A546AD" w:rsidRPr="00A546AD">
              <w:rPr>
                <w:rFonts w:ascii="Times New Roman" w:eastAsia="Times New Roman" w:hAnsi="Times New Roman" w:cs="Times New Roman"/>
                <w:color w:val="000000"/>
                <w:sz w:val="20"/>
                <w:szCs w:val="20"/>
                <w:lang w:val="ru-RU" w:eastAsia="ru-RU" w:bidi="ar-SA"/>
              </w:rPr>
              <w:t>субрейтинги</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2AEBE75" w14:textId="6ECFE5E5"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p>
        </w:tc>
        <w:tc>
          <w:tcPr>
            <w:tcW w:w="1126" w:type="dxa"/>
            <w:tcBorders>
              <w:top w:val="nil"/>
              <w:left w:val="nil"/>
              <w:bottom w:val="single" w:sz="4" w:space="0" w:color="auto"/>
              <w:right w:val="single" w:sz="4" w:space="0" w:color="auto"/>
            </w:tcBorders>
            <w:shd w:val="clear" w:color="auto" w:fill="auto"/>
            <w:vAlign w:val="center"/>
            <w:hideMark/>
          </w:tcPr>
          <w:p w14:paraId="54CD4F17" w14:textId="09B4E266"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0,63</w:t>
            </w:r>
          </w:p>
        </w:tc>
        <w:tc>
          <w:tcPr>
            <w:tcW w:w="1199" w:type="dxa"/>
            <w:tcBorders>
              <w:top w:val="nil"/>
              <w:left w:val="nil"/>
              <w:bottom w:val="single" w:sz="4" w:space="0" w:color="auto"/>
              <w:right w:val="single" w:sz="4" w:space="0" w:color="auto"/>
            </w:tcBorders>
            <w:shd w:val="clear" w:color="auto" w:fill="auto"/>
            <w:vAlign w:val="center"/>
            <w:hideMark/>
          </w:tcPr>
          <w:p w14:paraId="63601539" w14:textId="14472DCE"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0,7</w:t>
            </w:r>
            <w:r w:rsidR="00FC1AEF" w:rsidRPr="00A546AD">
              <w:rPr>
                <w:rFonts w:ascii="Times New Roman" w:eastAsia="Times New Roman" w:hAnsi="Times New Roman" w:cs="Times New Roman"/>
                <w:color w:val="000000"/>
                <w:sz w:val="20"/>
                <w:szCs w:val="20"/>
                <w:lang w:val="ru-RU" w:eastAsia="ru-RU" w:bidi="ar-SA"/>
              </w:rPr>
              <w:t>3</w:t>
            </w:r>
          </w:p>
        </w:tc>
        <w:tc>
          <w:tcPr>
            <w:tcW w:w="1321" w:type="dxa"/>
            <w:tcBorders>
              <w:top w:val="nil"/>
              <w:left w:val="nil"/>
              <w:bottom w:val="single" w:sz="4" w:space="0" w:color="auto"/>
              <w:right w:val="single" w:sz="4" w:space="0" w:color="auto"/>
            </w:tcBorders>
            <w:shd w:val="clear" w:color="auto" w:fill="auto"/>
            <w:vAlign w:val="center"/>
            <w:hideMark/>
          </w:tcPr>
          <w:p w14:paraId="781B0CD0" w14:textId="09030C30"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0,8</w:t>
            </w:r>
            <w:r w:rsidR="00FC1AEF" w:rsidRPr="00A546AD">
              <w:rPr>
                <w:rFonts w:ascii="Times New Roman" w:eastAsia="Times New Roman" w:hAnsi="Times New Roman" w:cs="Times New Roman"/>
                <w:color w:val="000000"/>
                <w:sz w:val="20"/>
                <w:szCs w:val="20"/>
                <w:lang w:val="ru-RU" w:eastAsia="ru-RU" w:bidi="ar-SA"/>
              </w:rPr>
              <w:t>2</w:t>
            </w:r>
          </w:p>
        </w:tc>
        <w:tc>
          <w:tcPr>
            <w:tcW w:w="1221" w:type="dxa"/>
            <w:tcBorders>
              <w:top w:val="nil"/>
              <w:left w:val="nil"/>
              <w:bottom w:val="single" w:sz="4" w:space="0" w:color="auto"/>
              <w:right w:val="single" w:sz="4" w:space="0" w:color="auto"/>
            </w:tcBorders>
            <w:shd w:val="clear" w:color="auto" w:fill="auto"/>
            <w:vAlign w:val="center"/>
            <w:hideMark/>
          </w:tcPr>
          <w:p w14:paraId="40C770FD" w14:textId="6E325115"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0,</w:t>
            </w:r>
            <w:r w:rsidR="00FC1AEF" w:rsidRPr="00A546AD">
              <w:rPr>
                <w:rFonts w:ascii="Times New Roman" w:eastAsia="Times New Roman" w:hAnsi="Times New Roman" w:cs="Times New Roman"/>
                <w:color w:val="000000"/>
                <w:sz w:val="20"/>
                <w:szCs w:val="20"/>
                <w:lang w:val="ru-RU" w:eastAsia="ru-RU" w:bidi="ar-SA"/>
              </w:rPr>
              <w:t>80</w:t>
            </w:r>
          </w:p>
        </w:tc>
        <w:tc>
          <w:tcPr>
            <w:tcW w:w="968" w:type="dxa"/>
            <w:tcBorders>
              <w:top w:val="nil"/>
              <w:left w:val="nil"/>
              <w:bottom w:val="single" w:sz="4" w:space="0" w:color="auto"/>
              <w:right w:val="single" w:sz="4" w:space="0" w:color="auto"/>
            </w:tcBorders>
            <w:shd w:val="clear" w:color="auto" w:fill="auto"/>
            <w:vAlign w:val="center"/>
            <w:hideMark/>
          </w:tcPr>
          <w:p w14:paraId="3E466344" w14:textId="5FF6E50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0,6</w:t>
            </w:r>
            <w:r w:rsidR="00FC1AEF" w:rsidRPr="00A546AD">
              <w:rPr>
                <w:rFonts w:ascii="Times New Roman" w:eastAsia="Times New Roman" w:hAnsi="Times New Roman" w:cs="Times New Roman"/>
                <w:color w:val="000000"/>
                <w:sz w:val="20"/>
                <w:szCs w:val="20"/>
                <w:lang w:val="ru-RU" w:eastAsia="ru-RU" w:bidi="ar-SA"/>
              </w:rPr>
              <w:t>6</w:t>
            </w:r>
          </w:p>
        </w:tc>
        <w:tc>
          <w:tcPr>
            <w:tcW w:w="1246" w:type="dxa"/>
            <w:tcBorders>
              <w:top w:val="nil"/>
              <w:left w:val="nil"/>
              <w:bottom w:val="single" w:sz="4" w:space="0" w:color="auto"/>
              <w:right w:val="single" w:sz="4" w:space="0" w:color="auto"/>
            </w:tcBorders>
            <w:shd w:val="clear" w:color="auto" w:fill="auto"/>
            <w:vAlign w:val="center"/>
            <w:hideMark/>
          </w:tcPr>
          <w:p w14:paraId="2D5AFAE0" w14:textId="7AB83673"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0,8</w:t>
            </w:r>
            <w:r w:rsidR="00FC1AEF" w:rsidRPr="00A546AD">
              <w:rPr>
                <w:rFonts w:ascii="Times New Roman" w:eastAsia="Times New Roman" w:hAnsi="Times New Roman" w:cs="Times New Roman"/>
                <w:color w:val="000000"/>
                <w:sz w:val="20"/>
                <w:szCs w:val="20"/>
                <w:lang w:val="ru-RU" w:eastAsia="ru-RU" w:bidi="ar-SA"/>
              </w:rPr>
              <w:t>1</w:t>
            </w:r>
          </w:p>
        </w:tc>
        <w:tc>
          <w:tcPr>
            <w:tcW w:w="1488" w:type="dxa"/>
            <w:tcBorders>
              <w:top w:val="nil"/>
              <w:left w:val="nil"/>
              <w:bottom w:val="single" w:sz="4" w:space="0" w:color="auto"/>
              <w:right w:val="single" w:sz="4" w:space="0" w:color="auto"/>
            </w:tcBorders>
            <w:shd w:val="clear" w:color="auto" w:fill="auto"/>
            <w:vAlign w:val="center"/>
            <w:hideMark/>
          </w:tcPr>
          <w:p w14:paraId="16572EAE" w14:textId="175359CB"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0,7</w:t>
            </w:r>
            <w:r w:rsidR="00FC1AEF" w:rsidRPr="00A546AD">
              <w:rPr>
                <w:rFonts w:ascii="Times New Roman" w:eastAsia="Times New Roman" w:hAnsi="Times New Roman" w:cs="Times New Roman"/>
                <w:color w:val="000000"/>
                <w:sz w:val="20"/>
                <w:szCs w:val="20"/>
                <w:lang w:val="ru-RU" w:eastAsia="ru-RU" w:bidi="ar-SA"/>
              </w:rPr>
              <w:t>6</w:t>
            </w:r>
          </w:p>
        </w:tc>
        <w:tc>
          <w:tcPr>
            <w:tcW w:w="1374" w:type="dxa"/>
            <w:tcBorders>
              <w:top w:val="nil"/>
              <w:left w:val="nil"/>
              <w:bottom w:val="single" w:sz="4" w:space="0" w:color="auto"/>
              <w:right w:val="single" w:sz="4" w:space="0" w:color="auto"/>
            </w:tcBorders>
            <w:shd w:val="clear" w:color="auto" w:fill="auto"/>
            <w:vAlign w:val="center"/>
            <w:hideMark/>
          </w:tcPr>
          <w:p w14:paraId="29A691BE" w14:textId="73A86F0D"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0,75</w:t>
            </w:r>
          </w:p>
        </w:tc>
        <w:tc>
          <w:tcPr>
            <w:tcW w:w="1133" w:type="dxa"/>
            <w:tcBorders>
              <w:top w:val="nil"/>
              <w:left w:val="nil"/>
              <w:bottom w:val="single" w:sz="4" w:space="0" w:color="auto"/>
              <w:right w:val="single" w:sz="4" w:space="0" w:color="auto"/>
            </w:tcBorders>
            <w:shd w:val="clear" w:color="auto" w:fill="auto"/>
            <w:vAlign w:val="center"/>
            <w:hideMark/>
          </w:tcPr>
          <w:p w14:paraId="7631F944" w14:textId="1FB9294E"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0,74</w:t>
            </w:r>
          </w:p>
        </w:tc>
        <w:tc>
          <w:tcPr>
            <w:tcW w:w="306" w:type="dxa"/>
            <w:tcBorders>
              <w:top w:val="nil"/>
              <w:left w:val="nil"/>
              <w:bottom w:val="single" w:sz="4" w:space="0" w:color="auto"/>
              <w:right w:val="single" w:sz="4" w:space="0" w:color="auto"/>
            </w:tcBorders>
            <w:shd w:val="clear" w:color="auto" w:fill="auto"/>
            <w:vAlign w:val="center"/>
            <w:hideMark/>
          </w:tcPr>
          <w:p w14:paraId="76349E56" w14:textId="1D725840"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0,81</w:t>
            </w:r>
          </w:p>
        </w:tc>
      </w:tr>
      <w:tr w:rsidR="00BC17A3" w:rsidRPr="00A546AD" w14:paraId="3089116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1FD10E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New </w:t>
            </w:r>
            <w:proofErr w:type="spellStart"/>
            <w:r w:rsidRPr="00A546AD">
              <w:rPr>
                <w:rFonts w:ascii="Times New Roman" w:eastAsia="Times New Roman" w:hAnsi="Times New Roman" w:cs="Times New Roman"/>
                <w:sz w:val="20"/>
                <w:szCs w:val="20"/>
                <w:lang w:val="ru-RU" w:eastAsia="ru-RU" w:bidi="ar-SA"/>
              </w:rPr>
              <w:t>Zealand</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47DC84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w:t>
            </w:r>
          </w:p>
        </w:tc>
        <w:tc>
          <w:tcPr>
            <w:tcW w:w="1126" w:type="dxa"/>
            <w:tcBorders>
              <w:top w:val="nil"/>
              <w:left w:val="nil"/>
              <w:bottom w:val="single" w:sz="4" w:space="0" w:color="auto"/>
              <w:right w:val="single" w:sz="4" w:space="0" w:color="auto"/>
            </w:tcBorders>
            <w:shd w:val="clear" w:color="auto" w:fill="auto"/>
            <w:vAlign w:val="center"/>
            <w:hideMark/>
          </w:tcPr>
          <w:p w14:paraId="187A2B2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99" w:type="dxa"/>
            <w:tcBorders>
              <w:top w:val="nil"/>
              <w:left w:val="nil"/>
              <w:bottom w:val="single" w:sz="4" w:space="0" w:color="auto"/>
              <w:right w:val="single" w:sz="4" w:space="0" w:color="auto"/>
            </w:tcBorders>
            <w:shd w:val="clear" w:color="auto" w:fill="auto"/>
            <w:vAlign w:val="center"/>
            <w:hideMark/>
          </w:tcPr>
          <w:p w14:paraId="21D5864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c>
          <w:tcPr>
            <w:tcW w:w="1321" w:type="dxa"/>
            <w:tcBorders>
              <w:top w:val="nil"/>
              <w:left w:val="nil"/>
              <w:bottom w:val="single" w:sz="4" w:space="0" w:color="auto"/>
              <w:right w:val="single" w:sz="4" w:space="0" w:color="auto"/>
            </w:tcBorders>
            <w:shd w:val="clear" w:color="auto" w:fill="auto"/>
            <w:vAlign w:val="center"/>
            <w:hideMark/>
          </w:tcPr>
          <w:p w14:paraId="178C295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w:t>
            </w:r>
          </w:p>
        </w:tc>
        <w:tc>
          <w:tcPr>
            <w:tcW w:w="1221" w:type="dxa"/>
            <w:tcBorders>
              <w:top w:val="nil"/>
              <w:left w:val="nil"/>
              <w:bottom w:val="single" w:sz="4" w:space="0" w:color="auto"/>
              <w:right w:val="single" w:sz="4" w:space="0" w:color="auto"/>
            </w:tcBorders>
            <w:shd w:val="clear" w:color="auto" w:fill="auto"/>
            <w:vAlign w:val="center"/>
            <w:hideMark/>
          </w:tcPr>
          <w:p w14:paraId="771B554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w:t>
            </w:r>
          </w:p>
        </w:tc>
        <w:tc>
          <w:tcPr>
            <w:tcW w:w="968" w:type="dxa"/>
            <w:tcBorders>
              <w:top w:val="nil"/>
              <w:left w:val="nil"/>
              <w:bottom w:val="single" w:sz="4" w:space="0" w:color="auto"/>
              <w:right w:val="single" w:sz="4" w:space="0" w:color="auto"/>
            </w:tcBorders>
            <w:shd w:val="clear" w:color="auto" w:fill="auto"/>
            <w:vAlign w:val="center"/>
            <w:hideMark/>
          </w:tcPr>
          <w:p w14:paraId="6EA49BF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246" w:type="dxa"/>
            <w:tcBorders>
              <w:top w:val="nil"/>
              <w:left w:val="nil"/>
              <w:bottom w:val="single" w:sz="4" w:space="0" w:color="auto"/>
              <w:right w:val="single" w:sz="4" w:space="0" w:color="auto"/>
            </w:tcBorders>
            <w:shd w:val="clear" w:color="auto" w:fill="auto"/>
            <w:vAlign w:val="center"/>
            <w:hideMark/>
          </w:tcPr>
          <w:p w14:paraId="3BFFBAF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w:t>
            </w:r>
          </w:p>
        </w:tc>
        <w:tc>
          <w:tcPr>
            <w:tcW w:w="1488" w:type="dxa"/>
            <w:tcBorders>
              <w:top w:val="nil"/>
              <w:left w:val="nil"/>
              <w:bottom w:val="single" w:sz="4" w:space="0" w:color="auto"/>
              <w:right w:val="single" w:sz="4" w:space="0" w:color="auto"/>
            </w:tcBorders>
            <w:shd w:val="clear" w:color="auto" w:fill="auto"/>
            <w:vAlign w:val="center"/>
            <w:hideMark/>
          </w:tcPr>
          <w:p w14:paraId="5CB4F2D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w:t>
            </w:r>
          </w:p>
        </w:tc>
        <w:tc>
          <w:tcPr>
            <w:tcW w:w="1374" w:type="dxa"/>
            <w:tcBorders>
              <w:top w:val="nil"/>
              <w:left w:val="nil"/>
              <w:bottom w:val="single" w:sz="4" w:space="0" w:color="auto"/>
              <w:right w:val="single" w:sz="4" w:space="0" w:color="auto"/>
            </w:tcBorders>
            <w:shd w:val="clear" w:color="auto" w:fill="auto"/>
            <w:vAlign w:val="center"/>
            <w:hideMark/>
          </w:tcPr>
          <w:p w14:paraId="24D5232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w:t>
            </w:r>
          </w:p>
        </w:tc>
        <w:tc>
          <w:tcPr>
            <w:tcW w:w="1133" w:type="dxa"/>
            <w:tcBorders>
              <w:top w:val="nil"/>
              <w:left w:val="nil"/>
              <w:bottom w:val="single" w:sz="4" w:space="0" w:color="auto"/>
              <w:right w:val="single" w:sz="4" w:space="0" w:color="auto"/>
            </w:tcBorders>
            <w:shd w:val="clear" w:color="auto" w:fill="auto"/>
            <w:vAlign w:val="center"/>
            <w:hideMark/>
          </w:tcPr>
          <w:p w14:paraId="1FB1A0F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24</w:t>
            </w:r>
          </w:p>
        </w:tc>
        <w:tc>
          <w:tcPr>
            <w:tcW w:w="306" w:type="dxa"/>
            <w:tcBorders>
              <w:top w:val="nil"/>
              <w:left w:val="nil"/>
              <w:bottom w:val="single" w:sz="4" w:space="0" w:color="auto"/>
              <w:right w:val="single" w:sz="4" w:space="0" w:color="auto"/>
            </w:tcBorders>
            <w:shd w:val="clear" w:color="auto" w:fill="auto"/>
            <w:vAlign w:val="center"/>
            <w:hideMark/>
          </w:tcPr>
          <w:p w14:paraId="7C785CB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36</w:t>
            </w:r>
          </w:p>
        </w:tc>
      </w:tr>
      <w:tr w:rsidR="00BC17A3" w:rsidRPr="00A546AD" w14:paraId="20BBC3B4"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56C5B5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Singapore</w:t>
            </w:r>
          </w:p>
        </w:tc>
        <w:tc>
          <w:tcPr>
            <w:tcW w:w="802" w:type="dxa"/>
            <w:tcBorders>
              <w:top w:val="nil"/>
              <w:left w:val="nil"/>
              <w:bottom w:val="single" w:sz="4" w:space="0" w:color="auto"/>
              <w:right w:val="single" w:sz="4" w:space="0" w:color="auto"/>
            </w:tcBorders>
            <w:shd w:val="clear" w:color="auto" w:fill="auto"/>
            <w:vAlign w:val="center"/>
            <w:hideMark/>
          </w:tcPr>
          <w:p w14:paraId="78F87BF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2</w:t>
            </w:r>
          </w:p>
        </w:tc>
        <w:tc>
          <w:tcPr>
            <w:tcW w:w="1126" w:type="dxa"/>
            <w:tcBorders>
              <w:top w:val="nil"/>
              <w:left w:val="nil"/>
              <w:bottom w:val="single" w:sz="4" w:space="0" w:color="auto"/>
              <w:right w:val="single" w:sz="4" w:space="0" w:color="auto"/>
            </w:tcBorders>
            <w:shd w:val="clear" w:color="auto" w:fill="auto"/>
            <w:vAlign w:val="center"/>
            <w:hideMark/>
          </w:tcPr>
          <w:p w14:paraId="6FB93D8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1199" w:type="dxa"/>
            <w:tcBorders>
              <w:top w:val="nil"/>
              <w:left w:val="nil"/>
              <w:bottom w:val="single" w:sz="4" w:space="0" w:color="auto"/>
              <w:right w:val="single" w:sz="4" w:space="0" w:color="auto"/>
            </w:tcBorders>
            <w:shd w:val="clear" w:color="auto" w:fill="auto"/>
            <w:vAlign w:val="center"/>
            <w:hideMark/>
          </w:tcPr>
          <w:p w14:paraId="307B1D5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w:t>
            </w:r>
          </w:p>
        </w:tc>
        <w:tc>
          <w:tcPr>
            <w:tcW w:w="1321" w:type="dxa"/>
            <w:tcBorders>
              <w:top w:val="nil"/>
              <w:left w:val="nil"/>
              <w:bottom w:val="single" w:sz="4" w:space="0" w:color="auto"/>
              <w:right w:val="single" w:sz="4" w:space="0" w:color="auto"/>
            </w:tcBorders>
            <w:shd w:val="clear" w:color="auto" w:fill="auto"/>
            <w:vAlign w:val="center"/>
            <w:hideMark/>
          </w:tcPr>
          <w:p w14:paraId="7E20973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w:t>
            </w:r>
          </w:p>
        </w:tc>
        <w:tc>
          <w:tcPr>
            <w:tcW w:w="1221" w:type="dxa"/>
            <w:tcBorders>
              <w:top w:val="nil"/>
              <w:left w:val="nil"/>
              <w:bottom w:val="single" w:sz="4" w:space="0" w:color="auto"/>
              <w:right w:val="single" w:sz="4" w:space="0" w:color="auto"/>
            </w:tcBorders>
            <w:shd w:val="clear" w:color="auto" w:fill="auto"/>
            <w:vAlign w:val="center"/>
            <w:hideMark/>
          </w:tcPr>
          <w:p w14:paraId="435553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c>
          <w:tcPr>
            <w:tcW w:w="968" w:type="dxa"/>
            <w:tcBorders>
              <w:top w:val="nil"/>
              <w:left w:val="nil"/>
              <w:bottom w:val="single" w:sz="4" w:space="0" w:color="auto"/>
              <w:right w:val="single" w:sz="4" w:space="0" w:color="auto"/>
            </w:tcBorders>
            <w:shd w:val="clear" w:color="auto" w:fill="auto"/>
            <w:vAlign w:val="center"/>
            <w:hideMark/>
          </w:tcPr>
          <w:p w14:paraId="3B63A78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46" w:type="dxa"/>
            <w:tcBorders>
              <w:top w:val="nil"/>
              <w:left w:val="nil"/>
              <w:bottom w:val="single" w:sz="4" w:space="0" w:color="auto"/>
              <w:right w:val="single" w:sz="4" w:space="0" w:color="auto"/>
            </w:tcBorders>
            <w:shd w:val="clear" w:color="auto" w:fill="auto"/>
            <w:vAlign w:val="center"/>
            <w:hideMark/>
          </w:tcPr>
          <w:p w14:paraId="791FC8C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w:t>
            </w:r>
          </w:p>
        </w:tc>
        <w:tc>
          <w:tcPr>
            <w:tcW w:w="1488" w:type="dxa"/>
            <w:tcBorders>
              <w:top w:val="nil"/>
              <w:left w:val="nil"/>
              <w:bottom w:val="single" w:sz="4" w:space="0" w:color="auto"/>
              <w:right w:val="single" w:sz="4" w:space="0" w:color="auto"/>
            </w:tcBorders>
            <w:shd w:val="clear" w:color="auto" w:fill="auto"/>
            <w:vAlign w:val="center"/>
            <w:hideMark/>
          </w:tcPr>
          <w:p w14:paraId="5365699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c>
          <w:tcPr>
            <w:tcW w:w="1374" w:type="dxa"/>
            <w:tcBorders>
              <w:top w:val="nil"/>
              <w:left w:val="nil"/>
              <w:bottom w:val="single" w:sz="4" w:space="0" w:color="auto"/>
              <w:right w:val="single" w:sz="4" w:space="0" w:color="auto"/>
            </w:tcBorders>
            <w:shd w:val="clear" w:color="auto" w:fill="auto"/>
            <w:vAlign w:val="center"/>
            <w:hideMark/>
          </w:tcPr>
          <w:p w14:paraId="749142E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47</w:t>
            </w:r>
          </w:p>
        </w:tc>
        <w:tc>
          <w:tcPr>
            <w:tcW w:w="1133" w:type="dxa"/>
            <w:tcBorders>
              <w:top w:val="nil"/>
              <w:left w:val="nil"/>
              <w:bottom w:val="single" w:sz="4" w:space="0" w:color="auto"/>
              <w:right w:val="single" w:sz="4" w:space="0" w:color="auto"/>
            </w:tcBorders>
            <w:shd w:val="clear" w:color="auto" w:fill="auto"/>
            <w:vAlign w:val="center"/>
            <w:hideMark/>
          </w:tcPr>
          <w:p w14:paraId="03BFE7A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306" w:type="dxa"/>
            <w:tcBorders>
              <w:top w:val="nil"/>
              <w:left w:val="nil"/>
              <w:bottom w:val="single" w:sz="4" w:space="0" w:color="auto"/>
              <w:right w:val="single" w:sz="4" w:space="0" w:color="auto"/>
            </w:tcBorders>
            <w:shd w:val="clear" w:color="auto" w:fill="auto"/>
            <w:vAlign w:val="center"/>
            <w:hideMark/>
          </w:tcPr>
          <w:p w14:paraId="74273F7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27</w:t>
            </w:r>
          </w:p>
        </w:tc>
      </w:tr>
      <w:tr w:rsidR="00BC17A3" w:rsidRPr="00A546AD" w14:paraId="5C5BA733"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E4F9ED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Hong</w:t>
            </w:r>
            <w:proofErr w:type="spellEnd"/>
            <w:r w:rsidRPr="00A546AD">
              <w:rPr>
                <w:rFonts w:ascii="Times New Roman" w:eastAsia="Times New Roman" w:hAnsi="Times New Roman" w:cs="Times New Roman"/>
                <w:sz w:val="20"/>
                <w:szCs w:val="20"/>
                <w:lang w:val="ru-RU" w:eastAsia="ru-RU" w:bidi="ar-SA"/>
              </w:rPr>
              <w:t xml:space="preserve"> Kong SAR, China</w:t>
            </w:r>
          </w:p>
        </w:tc>
        <w:tc>
          <w:tcPr>
            <w:tcW w:w="802" w:type="dxa"/>
            <w:tcBorders>
              <w:top w:val="nil"/>
              <w:left w:val="nil"/>
              <w:bottom w:val="single" w:sz="4" w:space="0" w:color="auto"/>
              <w:right w:val="single" w:sz="4" w:space="0" w:color="auto"/>
            </w:tcBorders>
            <w:shd w:val="clear" w:color="auto" w:fill="auto"/>
            <w:vAlign w:val="center"/>
            <w:hideMark/>
          </w:tcPr>
          <w:p w14:paraId="2F8D7EC4"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3</w:t>
            </w:r>
          </w:p>
        </w:tc>
        <w:tc>
          <w:tcPr>
            <w:tcW w:w="1126" w:type="dxa"/>
            <w:tcBorders>
              <w:top w:val="nil"/>
              <w:left w:val="nil"/>
              <w:bottom w:val="single" w:sz="4" w:space="0" w:color="auto"/>
              <w:right w:val="single" w:sz="4" w:space="0" w:color="auto"/>
            </w:tcBorders>
            <w:shd w:val="clear" w:color="auto" w:fill="auto"/>
            <w:vAlign w:val="center"/>
            <w:hideMark/>
          </w:tcPr>
          <w:p w14:paraId="6244E4D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w:t>
            </w:r>
          </w:p>
        </w:tc>
        <w:tc>
          <w:tcPr>
            <w:tcW w:w="1199" w:type="dxa"/>
            <w:tcBorders>
              <w:top w:val="nil"/>
              <w:left w:val="nil"/>
              <w:bottom w:val="single" w:sz="4" w:space="0" w:color="auto"/>
              <w:right w:val="single" w:sz="4" w:space="0" w:color="auto"/>
            </w:tcBorders>
            <w:shd w:val="clear" w:color="auto" w:fill="auto"/>
            <w:vAlign w:val="center"/>
            <w:hideMark/>
          </w:tcPr>
          <w:p w14:paraId="080B07F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321" w:type="dxa"/>
            <w:tcBorders>
              <w:top w:val="nil"/>
              <w:left w:val="nil"/>
              <w:bottom w:val="single" w:sz="4" w:space="0" w:color="auto"/>
              <w:right w:val="single" w:sz="4" w:space="0" w:color="auto"/>
            </w:tcBorders>
            <w:shd w:val="clear" w:color="auto" w:fill="auto"/>
            <w:vAlign w:val="center"/>
            <w:hideMark/>
          </w:tcPr>
          <w:p w14:paraId="2A3C25C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w:t>
            </w:r>
          </w:p>
        </w:tc>
        <w:tc>
          <w:tcPr>
            <w:tcW w:w="1221" w:type="dxa"/>
            <w:tcBorders>
              <w:top w:val="nil"/>
              <w:left w:val="nil"/>
              <w:bottom w:val="single" w:sz="4" w:space="0" w:color="auto"/>
              <w:right w:val="single" w:sz="4" w:space="0" w:color="auto"/>
            </w:tcBorders>
            <w:shd w:val="clear" w:color="auto" w:fill="auto"/>
            <w:vAlign w:val="center"/>
            <w:hideMark/>
          </w:tcPr>
          <w:p w14:paraId="608227D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968" w:type="dxa"/>
            <w:tcBorders>
              <w:top w:val="nil"/>
              <w:left w:val="nil"/>
              <w:bottom w:val="single" w:sz="4" w:space="0" w:color="auto"/>
              <w:right w:val="single" w:sz="4" w:space="0" w:color="auto"/>
            </w:tcBorders>
            <w:shd w:val="clear" w:color="auto" w:fill="auto"/>
            <w:vAlign w:val="center"/>
            <w:hideMark/>
          </w:tcPr>
          <w:p w14:paraId="7C3F808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46" w:type="dxa"/>
            <w:tcBorders>
              <w:top w:val="nil"/>
              <w:left w:val="nil"/>
              <w:bottom w:val="single" w:sz="4" w:space="0" w:color="auto"/>
              <w:right w:val="single" w:sz="4" w:space="0" w:color="auto"/>
            </w:tcBorders>
            <w:shd w:val="clear" w:color="auto" w:fill="auto"/>
            <w:vAlign w:val="center"/>
            <w:hideMark/>
          </w:tcPr>
          <w:p w14:paraId="2B32ACF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c>
          <w:tcPr>
            <w:tcW w:w="1488" w:type="dxa"/>
            <w:tcBorders>
              <w:top w:val="nil"/>
              <w:left w:val="nil"/>
              <w:bottom w:val="single" w:sz="4" w:space="0" w:color="auto"/>
              <w:right w:val="single" w:sz="4" w:space="0" w:color="auto"/>
            </w:tcBorders>
            <w:shd w:val="clear" w:color="auto" w:fill="auto"/>
            <w:vAlign w:val="center"/>
            <w:hideMark/>
          </w:tcPr>
          <w:p w14:paraId="52212A4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w:t>
            </w:r>
          </w:p>
        </w:tc>
        <w:tc>
          <w:tcPr>
            <w:tcW w:w="1374" w:type="dxa"/>
            <w:tcBorders>
              <w:top w:val="nil"/>
              <w:left w:val="nil"/>
              <w:bottom w:val="single" w:sz="4" w:space="0" w:color="auto"/>
              <w:right w:val="single" w:sz="4" w:space="0" w:color="auto"/>
            </w:tcBorders>
            <w:shd w:val="clear" w:color="auto" w:fill="auto"/>
            <w:vAlign w:val="center"/>
            <w:hideMark/>
          </w:tcPr>
          <w:p w14:paraId="5D5F133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29</w:t>
            </w:r>
          </w:p>
        </w:tc>
        <w:tc>
          <w:tcPr>
            <w:tcW w:w="1133" w:type="dxa"/>
            <w:tcBorders>
              <w:top w:val="nil"/>
              <w:left w:val="nil"/>
              <w:bottom w:val="single" w:sz="4" w:space="0" w:color="auto"/>
              <w:right w:val="single" w:sz="4" w:space="0" w:color="auto"/>
            </w:tcBorders>
            <w:shd w:val="clear" w:color="auto" w:fill="auto"/>
            <w:vAlign w:val="center"/>
            <w:hideMark/>
          </w:tcPr>
          <w:p w14:paraId="237145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31</w:t>
            </w:r>
          </w:p>
        </w:tc>
        <w:tc>
          <w:tcPr>
            <w:tcW w:w="306" w:type="dxa"/>
            <w:tcBorders>
              <w:top w:val="nil"/>
              <w:left w:val="nil"/>
              <w:bottom w:val="single" w:sz="4" w:space="0" w:color="auto"/>
              <w:right w:val="single" w:sz="4" w:space="0" w:color="auto"/>
            </w:tcBorders>
            <w:shd w:val="clear" w:color="auto" w:fill="auto"/>
            <w:vAlign w:val="center"/>
            <w:hideMark/>
          </w:tcPr>
          <w:p w14:paraId="4B74D6A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r>
      <w:tr w:rsidR="00BC17A3" w:rsidRPr="00A546AD" w14:paraId="1628BFF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32A23E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Denmark</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2AFF64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w:t>
            </w:r>
          </w:p>
        </w:tc>
        <w:tc>
          <w:tcPr>
            <w:tcW w:w="1126" w:type="dxa"/>
            <w:tcBorders>
              <w:top w:val="nil"/>
              <w:left w:val="nil"/>
              <w:bottom w:val="single" w:sz="4" w:space="0" w:color="auto"/>
              <w:right w:val="single" w:sz="4" w:space="0" w:color="auto"/>
            </w:tcBorders>
            <w:shd w:val="clear" w:color="auto" w:fill="auto"/>
            <w:vAlign w:val="center"/>
            <w:hideMark/>
          </w:tcPr>
          <w:p w14:paraId="73873BA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44</w:t>
            </w:r>
          </w:p>
        </w:tc>
        <w:tc>
          <w:tcPr>
            <w:tcW w:w="1199" w:type="dxa"/>
            <w:tcBorders>
              <w:top w:val="nil"/>
              <w:left w:val="nil"/>
              <w:bottom w:val="single" w:sz="4" w:space="0" w:color="auto"/>
              <w:right w:val="single" w:sz="4" w:space="0" w:color="auto"/>
            </w:tcBorders>
            <w:shd w:val="clear" w:color="auto" w:fill="auto"/>
            <w:vAlign w:val="center"/>
            <w:hideMark/>
          </w:tcPr>
          <w:p w14:paraId="26089BA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1321" w:type="dxa"/>
            <w:tcBorders>
              <w:top w:val="nil"/>
              <w:left w:val="nil"/>
              <w:bottom w:val="single" w:sz="4" w:space="0" w:color="auto"/>
              <w:right w:val="single" w:sz="4" w:space="0" w:color="auto"/>
            </w:tcBorders>
            <w:shd w:val="clear" w:color="auto" w:fill="auto"/>
            <w:vAlign w:val="center"/>
            <w:hideMark/>
          </w:tcPr>
          <w:p w14:paraId="33477C9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c>
          <w:tcPr>
            <w:tcW w:w="1221" w:type="dxa"/>
            <w:tcBorders>
              <w:top w:val="nil"/>
              <w:left w:val="nil"/>
              <w:bottom w:val="single" w:sz="4" w:space="0" w:color="auto"/>
              <w:right w:val="single" w:sz="4" w:space="0" w:color="auto"/>
            </w:tcBorders>
            <w:shd w:val="clear" w:color="auto" w:fill="auto"/>
            <w:vAlign w:val="center"/>
            <w:hideMark/>
          </w:tcPr>
          <w:p w14:paraId="588314B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w:t>
            </w:r>
          </w:p>
        </w:tc>
        <w:tc>
          <w:tcPr>
            <w:tcW w:w="968" w:type="dxa"/>
            <w:tcBorders>
              <w:top w:val="nil"/>
              <w:left w:val="nil"/>
              <w:bottom w:val="single" w:sz="4" w:space="0" w:color="auto"/>
              <w:right w:val="single" w:sz="4" w:space="0" w:color="auto"/>
            </w:tcBorders>
            <w:shd w:val="clear" w:color="auto" w:fill="auto"/>
            <w:vAlign w:val="center"/>
            <w:hideMark/>
          </w:tcPr>
          <w:p w14:paraId="37BF110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37FD94E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488" w:type="dxa"/>
            <w:tcBorders>
              <w:top w:val="nil"/>
              <w:left w:val="nil"/>
              <w:bottom w:val="single" w:sz="4" w:space="0" w:color="auto"/>
              <w:right w:val="single" w:sz="4" w:space="0" w:color="auto"/>
            </w:tcBorders>
            <w:shd w:val="clear" w:color="auto" w:fill="auto"/>
            <w:vAlign w:val="center"/>
            <w:hideMark/>
          </w:tcPr>
          <w:p w14:paraId="164768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w:t>
            </w:r>
          </w:p>
        </w:tc>
        <w:tc>
          <w:tcPr>
            <w:tcW w:w="1374" w:type="dxa"/>
            <w:tcBorders>
              <w:top w:val="nil"/>
              <w:left w:val="nil"/>
              <w:bottom w:val="single" w:sz="4" w:space="0" w:color="auto"/>
              <w:right w:val="single" w:sz="4" w:space="0" w:color="auto"/>
            </w:tcBorders>
            <w:shd w:val="clear" w:color="auto" w:fill="auto"/>
            <w:vAlign w:val="center"/>
            <w:hideMark/>
          </w:tcPr>
          <w:p w14:paraId="4C874B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7D72DB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306" w:type="dxa"/>
            <w:tcBorders>
              <w:top w:val="nil"/>
              <w:left w:val="nil"/>
              <w:bottom w:val="single" w:sz="4" w:space="0" w:color="auto"/>
              <w:right w:val="single" w:sz="4" w:space="0" w:color="auto"/>
            </w:tcBorders>
            <w:shd w:val="clear" w:color="auto" w:fill="auto"/>
            <w:vAlign w:val="center"/>
            <w:hideMark/>
          </w:tcPr>
          <w:p w14:paraId="3A4C24B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w:t>
            </w:r>
          </w:p>
        </w:tc>
      </w:tr>
      <w:tr w:rsidR="00BC17A3" w:rsidRPr="00A546AD" w14:paraId="68F16DE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45957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Korea, </w:t>
            </w:r>
            <w:proofErr w:type="spellStart"/>
            <w:r w:rsidRPr="00A546AD">
              <w:rPr>
                <w:rFonts w:ascii="Times New Roman" w:eastAsia="Times New Roman" w:hAnsi="Times New Roman" w:cs="Times New Roman"/>
                <w:sz w:val="20"/>
                <w:szCs w:val="20"/>
                <w:lang w:val="ru-RU" w:eastAsia="ru-RU" w:bidi="ar-SA"/>
              </w:rPr>
              <w:t>Rep</w:t>
            </w:r>
            <w:proofErr w:type="spellEnd"/>
            <w:r w:rsidRPr="00A546AD">
              <w:rPr>
                <w:rFonts w:ascii="Times New Roman" w:eastAsia="Times New Roman" w:hAnsi="Times New Roman" w:cs="Times New Roman"/>
                <w:sz w:val="20"/>
                <w:szCs w:val="20"/>
                <w:lang w:val="ru-RU" w:eastAsia="ru-RU" w:bidi="ar-SA"/>
              </w:rPr>
              <w:t>.</w:t>
            </w:r>
          </w:p>
        </w:tc>
        <w:tc>
          <w:tcPr>
            <w:tcW w:w="802" w:type="dxa"/>
            <w:tcBorders>
              <w:top w:val="nil"/>
              <w:left w:val="nil"/>
              <w:bottom w:val="single" w:sz="4" w:space="0" w:color="auto"/>
              <w:right w:val="single" w:sz="4" w:space="0" w:color="auto"/>
            </w:tcBorders>
            <w:shd w:val="clear" w:color="auto" w:fill="auto"/>
            <w:vAlign w:val="center"/>
            <w:hideMark/>
          </w:tcPr>
          <w:p w14:paraId="628CEA7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w:t>
            </w:r>
          </w:p>
        </w:tc>
        <w:tc>
          <w:tcPr>
            <w:tcW w:w="1126" w:type="dxa"/>
            <w:tcBorders>
              <w:top w:val="nil"/>
              <w:left w:val="nil"/>
              <w:bottom w:val="single" w:sz="4" w:space="0" w:color="auto"/>
              <w:right w:val="single" w:sz="4" w:space="0" w:color="auto"/>
            </w:tcBorders>
            <w:shd w:val="clear" w:color="auto" w:fill="auto"/>
            <w:vAlign w:val="center"/>
            <w:hideMark/>
          </w:tcPr>
          <w:p w14:paraId="530CAD8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32</w:t>
            </w:r>
          </w:p>
        </w:tc>
        <w:tc>
          <w:tcPr>
            <w:tcW w:w="1199" w:type="dxa"/>
            <w:tcBorders>
              <w:top w:val="nil"/>
              <w:left w:val="nil"/>
              <w:bottom w:val="single" w:sz="4" w:space="0" w:color="auto"/>
              <w:right w:val="single" w:sz="4" w:space="0" w:color="auto"/>
            </w:tcBorders>
            <w:shd w:val="clear" w:color="auto" w:fill="auto"/>
            <w:vAlign w:val="center"/>
            <w:hideMark/>
          </w:tcPr>
          <w:p w14:paraId="2868FD8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w:t>
            </w:r>
          </w:p>
        </w:tc>
        <w:tc>
          <w:tcPr>
            <w:tcW w:w="1321" w:type="dxa"/>
            <w:tcBorders>
              <w:top w:val="nil"/>
              <w:left w:val="nil"/>
              <w:bottom w:val="single" w:sz="4" w:space="0" w:color="auto"/>
              <w:right w:val="single" w:sz="4" w:space="0" w:color="auto"/>
            </w:tcBorders>
            <w:shd w:val="clear" w:color="auto" w:fill="auto"/>
            <w:vAlign w:val="center"/>
            <w:hideMark/>
          </w:tcPr>
          <w:p w14:paraId="5ED267A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w:t>
            </w:r>
          </w:p>
        </w:tc>
        <w:tc>
          <w:tcPr>
            <w:tcW w:w="1221" w:type="dxa"/>
            <w:tcBorders>
              <w:top w:val="nil"/>
              <w:left w:val="nil"/>
              <w:bottom w:val="single" w:sz="4" w:space="0" w:color="auto"/>
              <w:right w:val="single" w:sz="4" w:space="0" w:color="auto"/>
            </w:tcBorders>
            <w:shd w:val="clear" w:color="auto" w:fill="auto"/>
            <w:vAlign w:val="center"/>
            <w:hideMark/>
          </w:tcPr>
          <w:p w14:paraId="48DF3C1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40</w:t>
            </w:r>
          </w:p>
        </w:tc>
        <w:tc>
          <w:tcPr>
            <w:tcW w:w="968" w:type="dxa"/>
            <w:tcBorders>
              <w:top w:val="nil"/>
              <w:left w:val="nil"/>
              <w:bottom w:val="single" w:sz="4" w:space="0" w:color="auto"/>
              <w:right w:val="single" w:sz="4" w:space="0" w:color="auto"/>
            </w:tcBorders>
            <w:shd w:val="clear" w:color="auto" w:fill="auto"/>
            <w:vAlign w:val="center"/>
            <w:hideMark/>
          </w:tcPr>
          <w:p w14:paraId="3710668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0B3A9A7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488" w:type="dxa"/>
            <w:tcBorders>
              <w:top w:val="nil"/>
              <w:left w:val="nil"/>
              <w:bottom w:val="single" w:sz="4" w:space="0" w:color="auto"/>
              <w:right w:val="single" w:sz="4" w:space="0" w:color="auto"/>
            </w:tcBorders>
            <w:shd w:val="clear" w:color="auto" w:fill="auto"/>
            <w:vAlign w:val="center"/>
            <w:hideMark/>
          </w:tcPr>
          <w:p w14:paraId="6244BB5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c>
          <w:tcPr>
            <w:tcW w:w="1374" w:type="dxa"/>
            <w:tcBorders>
              <w:top w:val="nil"/>
              <w:left w:val="nil"/>
              <w:bottom w:val="single" w:sz="4" w:space="0" w:color="auto"/>
              <w:right w:val="single" w:sz="4" w:space="0" w:color="auto"/>
            </w:tcBorders>
            <w:shd w:val="clear" w:color="auto" w:fill="auto"/>
            <w:vAlign w:val="center"/>
            <w:hideMark/>
          </w:tcPr>
          <w:p w14:paraId="01D4F3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36</w:t>
            </w:r>
          </w:p>
        </w:tc>
        <w:tc>
          <w:tcPr>
            <w:tcW w:w="1133" w:type="dxa"/>
            <w:tcBorders>
              <w:top w:val="nil"/>
              <w:left w:val="nil"/>
              <w:bottom w:val="single" w:sz="4" w:space="0" w:color="auto"/>
              <w:right w:val="single" w:sz="4" w:space="0" w:color="auto"/>
            </w:tcBorders>
            <w:shd w:val="clear" w:color="auto" w:fill="auto"/>
            <w:vAlign w:val="center"/>
            <w:hideMark/>
          </w:tcPr>
          <w:p w14:paraId="619A7DA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w:t>
            </w:r>
          </w:p>
        </w:tc>
        <w:tc>
          <w:tcPr>
            <w:tcW w:w="306" w:type="dxa"/>
            <w:tcBorders>
              <w:top w:val="nil"/>
              <w:left w:val="nil"/>
              <w:bottom w:val="single" w:sz="4" w:space="0" w:color="auto"/>
              <w:right w:val="single" w:sz="4" w:space="0" w:color="auto"/>
            </w:tcBorders>
            <w:shd w:val="clear" w:color="auto" w:fill="auto"/>
            <w:vAlign w:val="center"/>
            <w:hideMark/>
          </w:tcPr>
          <w:p w14:paraId="7ED2681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w:t>
            </w:r>
          </w:p>
        </w:tc>
      </w:tr>
      <w:tr w:rsidR="00BC17A3" w:rsidRPr="00A546AD" w14:paraId="7CAE98F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1127F3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United </w:t>
            </w:r>
            <w:proofErr w:type="spellStart"/>
            <w:r w:rsidRPr="00A546AD">
              <w:rPr>
                <w:rFonts w:ascii="Times New Roman" w:eastAsia="Times New Roman" w:hAnsi="Times New Roman" w:cs="Times New Roman"/>
                <w:sz w:val="20"/>
                <w:szCs w:val="20"/>
                <w:lang w:val="ru-RU" w:eastAsia="ru-RU" w:bidi="ar-SA"/>
              </w:rPr>
              <w:t>States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DA6B58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w:t>
            </w:r>
          </w:p>
        </w:tc>
        <w:tc>
          <w:tcPr>
            <w:tcW w:w="1126" w:type="dxa"/>
            <w:tcBorders>
              <w:top w:val="nil"/>
              <w:left w:val="nil"/>
              <w:bottom w:val="single" w:sz="4" w:space="0" w:color="auto"/>
              <w:right w:val="single" w:sz="4" w:space="0" w:color="auto"/>
            </w:tcBorders>
            <w:shd w:val="clear" w:color="auto" w:fill="auto"/>
            <w:vAlign w:val="center"/>
            <w:hideMark/>
          </w:tcPr>
          <w:p w14:paraId="4F8EA20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w:t>
            </w:r>
          </w:p>
        </w:tc>
        <w:tc>
          <w:tcPr>
            <w:tcW w:w="1199" w:type="dxa"/>
            <w:tcBorders>
              <w:top w:val="nil"/>
              <w:left w:val="nil"/>
              <w:bottom w:val="single" w:sz="4" w:space="0" w:color="auto"/>
              <w:right w:val="single" w:sz="4" w:space="0" w:color="auto"/>
            </w:tcBorders>
            <w:shd w:val="clear" w:color="auto" w:fill="auto"/>
            <w:vAlign w:val="center"/>
            <w:hideMark/>
          </w:tcPr>
          <w:p w14:paraId="2DEAEA4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24</w:t>
            </w:r>
          </w:p>
        </w:tc>
        <w:tc>
          <w:tcPr>
            <w:tcW w:w="1321" w:type="dxa"/>
            <w:tcBorders>
              <w:top w:val="nil"/>
              <w:left w:val="nil"/>
              <w:bottom w:val="single" w:sz="4" w:space="0" w:color="auto"/>
              <w:right w:val="single" w:sz="4" w:space="0" w:color="auto"/>
            </w:tcBorders>
            <w:shd w:val="clear" w:color="auto" w:fill="auto"/>
            <w:vAlign w:val="center"/>
            <w:hideMark/>
          </w:tcPr>
          <w:p w14:paraId="282A18F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w:t>
            </w:r>
          </w:p>
        </w:tc>
        <w:tc>
          <w:tcPr>
            <w:tcW w:w="1221" w:type="dxa"/>
            <w:tcBorders>
              <w:top w:val="nil"/>
              <w:left w:val="nil"/>
              <w:bottom w:val="single" w:sz="4" w:space="0" w:color="auto"/>
              <w:right w:val="single" w:sz="4" w:space="0" w:color="auto"/>
            </w:tcBorders>
            <w:shd w:val="clear" w:color="auto" w:fill="auto"/>
            <w:vAlign w:val="center"/>
            <w:hideMark/>
          </w:tcPr>
          <w:p w14:paraId="720D2CB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39</w:t>
            </w:r>
          </w:p>
        </w:tc>
        <w:tc>
          <w:tcPr>
            <w:tcW w:w="968" w:type="dxa"/>
            <w:tcBorders>
              <w:top w:val="nil"/>
              <w:left w:val="nil"/>
              <w:bottom w:val="single" w:sz="4" w:space="0" w:color="auto"/>
              <w:right w:val="single" w:sz="4" w:space="0" w:color="auto"/>
            </w:tcBorders>
            <w:shd w:val="clear" w:color="auto" w:fill="auto"/>
            <w:vAlign w:val="center"/>
            <w:hideMark/>
          </w:tcPr>
          <w:p w14:paraId="7E78AE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1246" w:type="dxa"/>
            <w:tcBorders>
              <w:top w:val="nil"/>
              <w:left w:val="nil"/>
              <w:bottom w:val="single" w:sz="4" w:space="0" w:color="auto"/>
              <w:right w:val="single" w:sz="4" w:space="0" w:color="auto"/>
            </w:tcBorders>
            <w:shd w:val="clear" w:color="auto" w:fill="auto"/>
            <w:vAlign w:val="center"/>
            <w:hideMark/>
          </w:tcPr>
          <w:p w14:paraId="76D914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36</w:t>
            </w:r>
          </w:p>
        </w:tc>
        <w:tc>
          <w:tcPr>
            <w:tcW w:w="1488" w:type="dxa"/>
            <w:tcBorders>
              <w:top w:val="nil"/>
              <w:left w:val="nil"/>
              <w:bottom w:val="single" w:sz="4" w:space="0" w:color="auto"/>
              <w:right w:val="single" w:sz="4" w:space="0" w:color="auto"/>
            </w:tcBorders>
            <w:shd w:val="clear" w:color="auto" w:fill="auto"/>
            <w:vAlign w:val="center"/>
            <w:hideMark/>
          </w:tcPr>
          <w:p w14:paraId="00E3006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374" w:type="dxa"/>
            <w:tcBorders>
              <w:top w:val="nil"/>
              <w:left w:val="nil"/>
              <w:bottom w:val="single" w:sz="4" w:space="0" w:color="auto"/>
              <w:right w:val="single" w:sz="4" w:space="0" w:color="auto"/>
            </w:tcBorders>
            <w:shd w:val="clear" w:color="auto" w:fill="auto"/>
            <w:vAlign w:val="center"/>
            <w:hideMark/>
          </w:tcPr>
          <w:p w14:paraId="1F9251F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39</w:t>
            </w:r>
          </w:p>
        </w:tc>
        <w:tc>
          <w:tcPr>
            <w:tcW w:w="1133" w:type="dxa"/>
            <w:tcBorders>
              <w:top w:val="nil"/>
              <w:left w:val="nil"/>
              <w:bottom w:val="single" w:sz="4" w:space="0" w:color="auto"/>
              <w:right w:val="single" w:sz="4" w:space="0" w:color="auto"/>
            </w:tcBorders>
            <w:shd w:val="clear" w:color="auto" w:fill="auto"/>
            <w:vAlign w:val="center"/>
            <w:hideMark/>
          </w:tcPr>
          <w:p w14:paraId="4B60656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w:t>
            </w:r>
          </w:p>
        </w:tc>
        <w:tc>
          <w:tcPr>
            <w:tcW w:w="306" w:type="dxa"/>
            <w:tcBorders>
              <w:top w:val="nil"/>
              <w:left w:val="nil"/>
              <w:bottom w:val="single" w:sz="4" w:space="0" w:color="auto"/>
              <w:right w:val="single" w:sz="4" w:space="0" w:color="auto"/>
            </w:tcBorders>
            <w:shd w:val="clear" w:color="auto" w:fill="auto"/>
            <w:vAlign w:val="center"/>
            <w:hideMark/>
          </w:tcPr>
          <w:p w14:paraId="4C1FD80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w:t>
            </w:r>
          </w:p>
        </w:tc>
      </w:tr>
      <w:tr w:rsidR="00BC17A3" w:rsidRPr="00A546AD" w14:paraId="19A8495A"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12E5C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Georgia</w:t>
            </w:r>
          </w:p>
        </w:tc>
        <w:tc>
          <w:tcPr>
            <w:tcW w:w="802" w:type="dxa"/>
            <w:tcBorders>
              <w:top w:val="nil"/>
              <w:left w:val="nil"/>
              <w:bottom w:val="single" w:sz="4" w:space="0" w:color="auto"/>
              <w:right w:val="single" w:sz="4" w:space="0" w:color="auto"/>
            </w:tcBorders>
            <w:shd w:val="clear" w:color="auto" w:fill="auto"/>
            <w:vAlign w:val="center"/>
            <w:hideMark/>
          </w:tcPr>
          <w:p w14:paraId="7A8E13F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w:t>
            </w:r>
          </w:p>
        </w:tc>
        <w:tc>
          <w:tcPr>
            <w:tcW w:w="1126" w:type="dxa"/>
            <w:tcBorders>
              <w:top w:val="nil"/>
              <w:left w:val="nil"/>
              <w:bottom w:val="single" w:sz="4" w:space="0" w:color="auto"/>
              <w:right w:val="single" w:sz="4" w:space="0" w:color="auto"/>
            </w:tcBorders>
            <w:shd w:val="clear" w:color="auto" w:fill="auto"/>
            <w:vAlign w:val="center"/>
            <w:hideMark/>
          </w:tcPr>
          <w:p w14:paraId="37A1FD1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w:t>
            </w:r>
          </w:p>
        </w:tc>
        <w:tc>
          <w:tcPr>
            <w:tcW w:w="1199" w:type="dxa"/>
            <w:tcBorders>
              <w:top w:val="nil"/>
              <w:left w:val="nil"/>
              <w:bottom w:val="single" w:sz="4" w:space="0" w:color="auto"/>
              <w:right w:val="single" w:sz="4" w:space="0" w:color="auto"/>
            </w:tcBorders>
            <w:shd w:val="clear" w:color="auto" w:fill="auto"/>
            <w:vAlign w:val="center"/>
            <w:hideMark/>
          </w:tcPr>
          <w:p w14:paraId="5C776B7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c>
          <w:tcPr>
            <w:tcW w:w="1321" w:type="dxa"/>
            <w:tcBorders>
              <w:top w:val="nil"/>
              <w:left w:val="nil"/>
              <w:bottom w:val="single" w:sz="4" w:space="0" w:color="auto"/>
              <w:right w:val="single" w:sz="4" w:space="0" w:color="auto"/>
            </w:tcBorders>
            <w:shd w:val="clear" w:color="auto" w:fill="auto"/>
            <w:vAlign w:val="center"/>
            <w:hideMark/>
          </w:tcPr>
          <w:p w14:paraId="6C61B33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43</w:t>
            </w:r>
          </w:p>
        </w:tc>
        <w:tc>
          <w:tcPr>
            <w:tcW w:w="1221" w:type="dxa"/>
            <w:tcBorders>
              <w:top w:val="nil"/>
              <w:left w:val="nil"/>
              <w:bottom w:val="single" w:sz="4" w:space="0" w:color="auto"/>
              <w:right w:val="single" w:sz="4" w:space="0" w:color="auto"/>
            </w:tcBorders>
            <w:shd w:val="clear" w:color="auto" w:fill="auto"/>
            <w:vAlign w:val="center"/>
            <w:hideMark/>
          </w:tcPr>
          <w:p w14:paraId="7B24B3F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w:t>
            </w:r>
          </w:p>
        </w:tc>
        <w:tc>
          <w:tcPr>
            <w:tcW w:w="968" w:type="dxa"/>
            <w:tcBorders>
              <w:top w:val="nil"/>
              <w:left w:val="nil"/>
              <w:bottom w:val="single" w:sz="4" w:space="0" w:color="auto"/>
              <w:right w:val="single" w:sz="4" w:space="0" w:color="auto"/>
            </w:tcBorders>
            <w:shd w:val="clear" w:color="auto" w:fill="auto"/>
            <w:vAlign w:val="center"/>
            <w:hideMark/>
          </w:tcPr>
          <w:p w14:paraId="4A19287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246" w:type="dxa"/>
            <w:tcBorders>
              <w:top w:val="nil"/>
              <w:left w:val="nil"/>
              <w:bottom w:val="single" w:sz="4" w:space="0" w:color="auto"/>
              <w:right w:val="single" w:sz="4" w:space="0" w:color="auto"/>
            </w:tcBorders>
            <w:shd w:val="clear" w:color="auto" w:fill="auto"/>
            <w:vAlign w:val="center"/>
            <w:hideMark/>
          </w:tcPr>
          <w:p w14:paraId="4231D19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c>
          <w:tcPr>
            <w:tcW w:w="1488" w:type="dxa"/>
            <w:tcBorders>
              <w:top w:val="nil"/>
              <w:left w:val="nil"/>
              <w:bottom w:val="single" w:sz="4" w:space="0" w:color="auto"/>
              <w:right w:val="single" w:sz="4" w:space="0" w:color="auto"/>
            </w:tcBorders>
            <w:shd w:val="clear" w:color="auto" w:fill="auto"/>
            <w:vAlign w:val="center"/>
            <w:hideMark/>
          </w:tcPr>
          <w:p w14:paraId="0C436E5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w:t>
            </w:r>
          </w:p>
        </w:tc>
        <w:tc>
          <w:tcPr>
            <w:tcW w:w="1374" w:type="dxa"/>
            <w:tcBorders>
              <w:top w:val="nil"/>
              <w:left w:val="nil"/>
              <w:bottom w:val="single" w:sz="4" w:space="0" w:color="auto"/>
              <w:right w:val="single" w:sz="4" w:space="0" w:color="auto"/>
            </w:tcBorders>
            <w:shd w:val="clear" w:color="auto" w:fill="auto"/>
            <w:vAlign w:val="center"/>
            <w:hideMark/>
          </w:tcPr>
          <w:p w14:paraId="11EC040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1133" w:type="dxa"/>
            <w:tcBorders>
              <w:top w:val="nil"/>
              <w:left w:val="nil"/>
              <w:bottom w:val="single" w:sz="4" w:space="0" w:color="auto"/>
              <w:right w:val="single" w:sz="4" w:space="0" w:color="auto"/>
            </w:tcBorders>
            <w:shd w:val="clear" w:color="auto" w:fill="auto"/>
            <w:vAlign w:val="center"/>
            <w:hideMark/>
          </w:tcPr>
          <w:p w14:paraId="26642C6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w:t>
            </w:r>
          </w:p>
        </w:tc>
        <w:tc>
          <w:tcPr>
            <w:tcW w:w="306" w:type="dxa"/>
            <w:tcBorders>
              <w:top w:val="nil"/>
              <w:left w:val="nil"/>
              <w:bottom w:val="single" w:sz="4" w:space="0" w:color="auto"/>
              <w:right w:val="single" w:sz="4" w:space="0" w:color="auto"/>
            </w:tcBorders>
            <w:shd w:val="clear" w:color="auto" w:fill="auto"/>
            <w:vAlign w:val="center"/>
            <w:hideMark/>
          </w:tcPr>
          <w:p w14:paraId="6C0868C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w:t>
            </w:r>
          </w:p>
        </w:tc>
      </w:tr>
      <w:tr w:rsidR="00BC17A3" w:rsidRPr="00A546AD" w14:paraId="6B6B884E"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812B7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United </w:t>
            </w:r>
            <w:proofErr w:type="spellStart"/>
            <w:r w:rsidRPr="00A546AD">
              <w:rPr>
                <w:rFonts w:ascii="Times New Roman" w:eastAsia="Times New Roman" w:hAnsi="Times New Roman" w:cs="Times New Roman"/>
                <w:sz w:val="20"/>
                <w:szCs w:val="20"/>
                <w:lang w:val="ru-RU" w:eastAsia="ru-RU" w:bidi="ar-SA"/>
              </w:rPr>
              <w:t>Kingdom</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124A600"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w:t>
            </w:r>
          </w:p>
        </w:tc>
        <w:tc>
          <w:tcPr>
            <w:tcW w:w="1126" w:type="dxa"/>
            <w:tcBorders>
              <w:top w:val="nil"/>
              <w:left w:val="nil"/>
              <w:bottom w:val="single" w:sz="4" w:space="0" w:color="auto"/>
              <w:right w:val="single" w:sz="4" w:space="0" w:color="auto"/>
            </w:tcBorders>
            <w:shd w:val="clear" w:color="auto" w:fill="auto"/>
            <w:vAlign w:val="center"/>
            <w:hideMark/>
          </w:tcPr>
          <w:p w14:paraId="66012C7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w:t>
            </w:r>
          </w:p>
        </w:tc>
        <w:tc>
          <w:tcPr>
            <w:tcW w:w="1199" w:type="dxa"/>
            <w:tcBorders>
              <w:top w:val="nil"/>
              <w:left w:val="nil"/>
              <w:bottom w:val="single" w:sz="4" w:space="0" w:color="auto"/>
              <w:right w:val="single" w:sz="4" w:space="0" w:color="auto"/>
            </w:tcBorders>
            <w:shd w:val="clear" w:color="auto" w:fill="auto"/>
            <w:vAlign w:val="center"/>
            <w:hideMark/>
          </w:tcPr>
          <w:p w14:paraId="56146CC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23</w:t>
            </w:r>
          </w:p>
        </w:tc>
        <w:tc>
          <w:tcPr>
            <w:tcW w:w="1321" w:type="dxa"/>
            <w:tcBorders>
              <w:top w:val="nil"/>
              <w:left w:val="nil"/>
              <w:bottom w:val="single" w:sz="4" w:space="0" w:color="auto"/>
              <w:right w:val="single" w:sz="4" w:space="0" w:color="auto"/>
            </w:tcBorders>
            <w:shd w:val="clear" w:color="auto" w:fill="auto"/>
            <w:vAlign w:val="center"/>
            <w:hideMark/>
          </w:tcPr>
          <w:p w14:paraId="689D34E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w:t>
            </w:r>
          </w:p>
        </w:tc>
        <w:tc>
          <w:tcPr>
            <w:tcW w:w="1221" w:type="dxa"/>
            <w:tcBorders>
              <w:top w:val="nil"/>
              <w:left w:val="nil"/>
              <w:bottom w:val="single" w:sz="4" w:space="0" w:color="auto"/>
              <w:right w:val="single" w:sz="4" w:space="0" w:color="auto"/>
            </w:tcBorders>
            <w:shd w:val="clear" w:color="auto" w:fill="auto"/>
            <w:vAlign w:val="center"/>
            <w:hideMark/>
          </w:tcPr>
          <w:p w14:paraId="7203675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w:t>
            </w:r>
          </w:p>
        </w:tc>
        <w:tc>
          <w:tcPr>
            <w:tcW w:w="968" w:type="dxa"/>
            <w:tcBorders>
              <w:top w:val="nil"/>
              <w:left w:val="nil"/>
              <w:bottom w:val="single" w:sz="4" w:space="0" w:color="auto"/>
              <w:right w:val="single" w:sz="4" w:space="0" w:color="auto"/>
            </w:tcBorders>
            <w:shd w:val="clear" w:color="auto" w:fill="auto"/>
            <w:vAlign w:val="center"/>
            <w:hideMark/>
          </w:tcPr>
          <w:p w14:paraId="07A17F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46" w:type="dxa"/>
            <w:tcBorders>
              <w:top w:val="nil"/>
              <w:left w:val="nil"/>
              <w:bottom w:val="single" w:sz="4" w:space="0" w:color="auto"/>
              <w:right w:val="single" w:sz="4" w:space="0" w:color="auto"/>
            </w:tcBorders>
            <w:shd w:val="clear" w:color="auto" w:fill="auto"/>
            <w:vAlign w:val="center"/>
            <w:hideMark/>
          </w:tcPr>
          <w:p w14:paraId="5995EF5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c>
          <w:tcPr>
            <w:tcW w:w="1488" w:type="dxa"/>
            <w:tcBorders>
              <w:top w:val="nil"/>
              <w:left w:val="nil"/>
              <w:bottom w:val="single" w:sz="4" w:space="0" w:color="auto"/>
              <w:right w:val="single" w:sz="4" w:space="0" w:color="auto"/>
            </w:tcBorders>
            <w:shd w:val="clear" w:color="auto" w:fill="auto"/>
            <w:vAlign w:val="center"/>
            <w:hideMark/>
          </w:tcPr>
          <w:p w14:paraId="680B05B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27</w:t>
            </w:r>
          </w:p>
        </w:tc>
        <w:tc>
          <w:tcPr>
            <w:tcW w:w="1374" w:type="dxa"/>
            <w:tcBorders>
              <w:top w:val="nil"/>
              <w:left w:val="nil"/>
              <w:bottom w:val="single" w:sz="4" w:space="0" w:color="auto"/>
              <w:right w:val="single" w:sz="4" w:space="0" w:color="auto"/>
            </w:tcBorders>
            <w:shd w:val="clear" w:color="auto" w:fill="auto"/>
            <w:vAlign w:val="center"/>
            <w:hideMark/>
          </w:tcPr>
          <w:p w14:paraId="09E6162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33</w:t>
            </w:r>
          </w:p>
        </w:tc>
        <w:tc>
          <w:tcPr>
            <w:tcW w:w="1133" w:type="dxa"/>
            <w:tcBorders>
              <w:top w:val="nil"/>
              <w:left w:val="nil"/>
              <w:bottom w:val="single" w:sz="4" w:space="0" w:color="auto"/>
              <w:right w:val="single" w:sz="4" w:space="0" w:color="auto"/>
            </w:tcBorders>
            <w:shd w:val="clear" w:color="auto" w:fill="auto"/>
            <w:vAlign w:val="center"/>
            <w:hideMark/>
          </w:tcPr>
          <w:p w14:paraId="5AED324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w:t>
            </w:r>
          </w:p>
        </w:tc>
        <w:tc>
          <w:tcPr>
            <w:tcW w:w="306" w:type="dxa"/>
            <w:tcBorders>
              <w:top w:val="nil"/>
              <w:left w:val="nil"/>
              <w:bottom w:val="single" w:sz="4" w:space="0" w:color="auto"/>
              <w:right w:val="single" w:sz="4" w:space="0" w:color="auto"/>
            </w:tcBorders>
            <w:shd w:val="clear" w:color="auto" w:fill="auto"/>
            <w:vAlign w:val="center"/>
            <w:hideMark/>
          </w:tcPr>
          <w:p w14:paraId="58AFCD8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w:t>
            </w:r>
          </w:p>
        </w:tc>
      </w:tr>
      <w:tr w:rsidR="00BC17A3" w:rsidRPr="00A546AD" w14:paraId="3F91940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7590C4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lastRenderedPageBreak/>
              <w:t>Norway</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E37CD1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w:t>
            </w:r>
          </w:p>
        </w:tc>
        <w:tc>
          <w:tcPr>
            <w:tcW w:w="1126" w:type="dxa"/>
            <w:tcBorders>
              <w:top w:val="nil"/>
              <w:left w:val="nil"/>
              <w:bottom w:val="single" w:sz="4" w:space="0" w:color="auto"/>
              <w:right w:val="single" w:sz="4" w:space="0" w:color="auto"/>
            </w:tcBorders>
            <w:shd w:val="clear" w:color="auto" w:fill="auto"/>
            <w:vAlign w:val="center"/>
            <w:hideMark/>
          </w:tcPr>
          <w:p w14:paraId="4DC3BD0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199" w:type="dxa"/>
            <w:tcBorders>
              <w:top w:val="nil"/>
              <w:left w:val="nil"/>
              <w:bottom w:val="single" w:sz="4" w:space="0" w:color="auto"/>
              <w:right w:val="single" w:sz="4" w:space="0" w:color="auto"/>
            </w:tcBorders>
            <w:shd w:val="clear" w:color="auto" w:fill="auto"/>
            <w:vAlign w:val="center"/>
            <w:hideMark/>
          </w:tcPr>
          <w:p w14:paraId="69378EE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22</w:t>
            </w:r>
          </w:p>
        </w:tc>
        <w:tc>
          <w:tcPr>
            <w:tcW w:w="1321" w:type="dxa"/>
            <w:tcBorders>
              <w:top w:val="nil"/>
              <w:left w:val="nil"/>
              <w:bottom w:val="single" w:sz="4" w:space="0" w:color="auto"/>
              <w:right w:val="single" w:sz="4" w:space="0" w:color="auto"/>
            </w:tcBorders>
            <w:shd w:val="clear" w:color="auto" w:fill="auto"/>
            <w:vAlign w:val="center"/>
            <w:hideMark/>
          </w:tcPr>
          <w:p w14:paraId="1373350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1221" w:type="dxa"/>
            <w:tcBorders>
              <w:top w:val="nil"/>
              <w:left w:val="nil"/>
              <w:bottom w:val="single" w:sz="4" w:space="0" w:color="auto"/>
              <w:right w:val="single" w:sz="4" w:space="0" w:color="auto"/>
            </w:tcBorders>
            <w:shd w:val="clear" w:color="auto" w:fill="auto"/>
            <w:vAlign w:val="center"/>
            <w:hideMark/>
          </w:tcPr>
          <w:p w14:paraId="45C6FF7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968" w:type="dxa"/>
            <w:tcBorders>
              <w:top w:val="nil"/>
              <w:left w:val="nil"/>
              <w:bottom w:val="single" w:sz="4" w:space="0" w:color="auto"/>
              <w:right w:val="single" w:sz="4" w:space="0" w:color="auto"/>
            </w:tcBorders>
            <w:shd w:val="clear" w:color="auto" w:fill="auto"/>
            <w:vAlign w:val="center"/>
            <w:hideMark/>
          </w:tcPr>
          <w:p w14:paraId="7E43B74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06DBBF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c>
          <w:tcPr>
            <w:tcW w:w="1488" w:type="dxa"/>
            <w:tcBorders>
              <w:top w:val="nil"/>
              <w:left w:val="nil"/>
              <w:bottom w:val="single" w:sz="4" w:space="0" w:color="auto"/>
              <w:right w:val="single" w:sz="4" w:space="0" w:color="auto"/>
            </w:tcBorders>
            <w:shd w:val="clear" w:color="auto" w:fill="auto"/>
            <w:vAlign w:val="center"/>
            <w:hideMark/>
          </w:tcPr>
          <w:p w14:paraId="374E195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33</w:t>
            </w:r>
          </w:p>
        </w:tc>
        <w:tc>
          <w:tcPr>
            <w:tcW w:w="1374" w:type="dxa"/>
            <w:tcBorders>
              <w:top w:val="nil"/>
              <w:left w:val="nil"/>
              <w:bottom w:val="single" w:sz="4" w:space="0" w:color="auto"/>
              <w:right w:val="single" w:sz="4" w:space="0" w:color="auto"/>
            </w:tcBorders>
            <w:shd w:val="clear" w:color="auto" w:fill="auto"/>
            <w:vAlign w:val="center"/>
            <w:hideMark/>
          </w:tcPr>
          <w:p w14:paraId="4A3007C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22</w:t>
            </w:r>
          </w:p>
        </w:tc>
        <w:tc>
          <w:tcPr>
            <w:tcW w:w="1133" w:type="dxa"/>
            <w:tcBorders>
              <w:top w:val="nil"/>
              <w:left w:val="nil"/>
              <w:bottom w:val="single" w:sz="4" w:space="0" w:color="auto"/>
              <w:right w:val="single" w:sz="4" w:space="0" w:color="auto"/>
            </w:tcBorders>
            <w:shd w:val="clear" w:color="auto" w:fill="auto"/>
            <w:vAlign w:val="center"/>
            <w:hideMark/>
          </w:tcPr>
          <w:p w14:paraId="2FA68A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w:t>
            </w:r>
          </w:p>
        </w:tc>
        <w:tc>
          <w:tcPr>
            <w:tcW w:w="306" w:type="dxa"/>
            <w:tcBorders>
              <w:top w:val="nil"/>
              <w:left w:val="nil"/>
              <w:bottom w:val="single" w:sz="4" w:space="0" w:color="auto"/>
              <w:right w:val="single" w:sz="4" w:space="0" w:color="auto"/>
            </w:tcBorders>
            <w:shd w:val="clear" w:color="auto" w:fill="auto"/>
            <w:vAlign w:val="center"/>
            <w:hideMark/>
          </w:tcPr>
          <w:p w14:paraId="23278E7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w:t>
            </w:r>
          </w:p>
        </w:tc>
      </w:tr>
      <w:tr w:rsidR="00BC17A3" w:rsidRPr="00A546AD" w14:paraId="2F820C52"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EE94CE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Sweden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7380AC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w:t>
            </w:r>
          </w:p>
        </w:tc>
        <w:tc>
          <w:tcPr>
            <w:tcW w:w="1126" w:type="dxa"/>
            <w:tcBorders>
              <w:top w:val="nil"/>
              <w:left w:val="nil"/>
              <w:bottom w:val="single" w:sz="4" w:space="0" w:color="auto"/>
              <w:right w:val="single" w:sz="4" w:space="0" w:color="auto"/>
            </w:tcBorders>
            <w:shd w:val="clear" w:color="auto" w:fill="auto"/>
            <w:vAlign w:val="center"/>
            <w:hideMark/>
          </w:tcPr>
          <w:p w14:paraId="6C01DAA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w:t>
            </w:r>
          </w:p>
        </w:tc>
        <w:tc>
          <w:tcPr>
            <w:tcW w:w="1199" w:type="dxa"/>
            <w:tcBorders>
              <w:top w:val="nil"/>
              <w:left w:val="nil"/>
              <w:bottom w:val="single" w:sz="4" w:space="0" w:color="auto"/>
              <w:right w:val="single" w:sz="4" w:space="0" w:color="auto"/>
            </w:tcBorders>
            <w:shd w:val="clear" w:color="auto" w:fill="auto"/>
            <w:vAlign w:val="center"/>
            <w:hideMark/>
          </w:tcPr>
          <w:p w14:paraId="1E2EA75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31</w:t>
            </w:r>
          </w:p>
        </w:tc>
        <w:tc>
          <w:tcPr>
            <w:tcW w:w="1321" w:type="dxa"/>
            <w:tcBorders>
              <w:top w:val="nil"/>
              <w:left w:val="nil"/>
              <w:bottom w:val="single" w:sz="4" w:space="0" w:color="auto"/>
              <w:right w:val="single" w:sz="4" w:space="0" w:color="auto"/>
            </w:tcBorders>
            <w:shd w:val="clear" w:color="auto" w:fill="auto"/>
            <w:vAlign w:val="center"/>
            <w:hideMark/>
          </w:tcPr>
          <w:p w14:paraId="7ED5962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w:t>
            </w:r>
          </w:p>
        </w:tc>
        <w:tc>
          <w:tcPr>
            <w:tcW w:w="1221" w:type="dxa"/>
            <w:tcBorders>
              <w:top w:val="nil"/>
              <w:left w:val="nil"/>
              <w:bottom w:val="single" w:sz="4" w:space="0" w:color="auto"/>
              <w:right w:val="single" w:sz="4" w:space="0" w:color="auto"/>
            </w:tcBorders>
            <w:shd w:val="clear" w:color="auto" w:fill="auto"/>
            <w:vAlign w:val="center"/>
            <w:hideMark/>
          </w:tcPr>
          <w:p w14:paraId="62ED69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w:t>
            </w:r>
          </w:p>
        </w:tc>
        <w:tc>
          <w:tcPr>
            <w:tcW w:w="968" w:type="dxa"/>
            <w:tcBorders>
              <w:top w:val="nil"/>
              <w:left w:val="nil"/>
              <w:bottom w:val="single" w:sz="4" w:space="0" w:color="auto"/>
              <w:right w:val="single" w:sz="4" w:space="0" w:color="auto"/>
            </w:tcBorders>
            <w:shd w:val="clear" w:color="auto" w:fill="auto"/>
            <w:vAlign w:val="center"/>
            <w:hideMark/>
          </w:tcPr>
          <w:p w14:paraId="48FBC4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7DB6D3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488" w:type="dxa"/>
            <w:tcBorders>
              <w:top w:val="nil"/>
              <w:left w:val="nil"/>
              <w:bottom w:val="single" w:sz="4" w:space="0" w:color="auto"/>
              <w:right w:val="single" w:sz="4" w:space="0" w:color="auto"/>
            </w:tcBorders>
            <w:shd w:val="clear" w:color="auto" w:fill="auto"/>
            <w:vAlign w:val="center"/>
            <w:hideMark/>
          </w:tcPr>
          <w:p w14:paraId="69EA72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30</w:t>
            </w:r>
          </w:p>
        </w:tc>
        <w:tc>
          <w:tcPr>
            <w:tcW w:w="1374" w:type="dxa"/>
            <w:tcBorders>
              <w:top w:val="nil"/>
              <w:left w:val="nil"/>
              <w:bottom w:val="single" w:sz="4" w:space="0" w:color="auto"/>
              <w:right w:val="single" w:sz="4" w:space="0" w:color="auto"/>
            </w:tcBorders>
            <w:shd w:val="clear" w:color="auto" w:fill="auto"/>
            <w:vAlign w:val="center"/>
            <w:hideMark/>
          </w:tcPr>
          <w:p w14:paraId="62476C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w:t>
            </w:r>
          </w:p>
        </w:tc>
        <w:tc>
          <w:tcPr>
            <w:tcW w:w="1133" w:type="dxa"/>
            <w:tcBorders>
              <w:top w:val="nil"/>
              <w:left w:val="nil"/>
              <w:bottom w:val="single" w:sz="4" w:space="0" w:color="auto"/>
              <w:right w:val="single" w:sz="4" w:space="0" w:color="auto"/>
            </w:tcBorders>
            <w:shd w:val="clear" w:color="auto" w:fill="auto"/>
            <w:vAlign w:val="center"/>
            <w:hideMark/>
          </w:tcPr>
          <w:p w14:paraId="6920F1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39</w:t>
            </w:r>
          </w:p>
        </w:tc>
        <w:tc>
          <w:tcPr>
            <w:tcW w:w="306" w:type="dxa"/>
            <w:tcBorders>
              <w:top w:val="nil"/>
              <w:left w:val="nil"/>
              <w:bottom w:val="single" w:sz="4" w:space="0" w:color="auto"/>
              <w:right w:val="single" w:sz="4" w:space="0" w:color="auto"/>
            </w:tcBorders>
            <w:shd w:val="clear" w:color="auto" w:fill="auto"/>
            <w:vAlign w:val="center"/>
            <w:hideMark/>
          </w:tcPr>
          <w:p w14:paraId="2FD8E97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w:t>
            </w:r>
          </w:p>
        </w:tc>
      </w:tr>
      <w:tr w:rsidR="00BC17A3" w:rsidRPr="00A546AD" w14:paraId="55E41DE2"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B1F6A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Lithuania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F39FA2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11</w:t>
            </w:r>
          </w:p>
        </w:tc>
        <w:tc>
          <w:tcPr>
            <w:tcW w:w="1126" w:type="dxa"/>
            <w:tcBorders>
              <w:top w:val="nil"/>
              <w:left w:val="nil"/>
              <w:bottom w:val="single" w:sz="4" w:space="0" w:color="auto"/>
              <w:right w:val="single" w:sz="4" w:space="0" w:color="auto"/>
            </w:tcBorders>
            <w:shd w:val="clear" w:color="auto" w:fill="auto"/>
            <w:vAlign w:val="center"/>
            <w:hideMark/>
          </w:tcPr>
          <w:p w14:paraId="1E3E528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33</w:t>
            </w:r>
          </w:p>
        </w:tc>
        <w:tc>
          <w:tcPr>
            <w:tcW w:w="1199" w:type="dxa"/>
            <w:tcBorders>
              <w:top w:val="nil"/>
              <w:left w:val="nil"/>
              <w:bottom w:val="single" w:sz="4" w:space="0" w:color="auto"/>
              <w:right w:val="single" w:sz="4" w:space="0" w:color="auto"/>
            </w:tcBorders>
            <w:shd w:val="clear" w:color="auto" w:fill="auto"/>
            <w:vAlign w:val="center"/>
            <w:hideMark/>
          </w:tcPr>
          <w:p w14:paraId="57F1E7D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w:t>
            </w:r>
          </w:p>
        </w:tc>
        <w:tc>
          <w:tcPr>
            <w:tcW w:w="1321" w:type="dxa"/>
            <w:tcBorders>
              <w:top w:val="nil"/>
              <w:left w:val="nil"/>
              <w:bottom w:val="single" w:sz="4" w:space="0" w:color="auto"/>
              <w:right w:val="single" w:sz="4" w:space="0" w:color="auto"/>
            </w:tcBorders>
            <w:shd w:val="clear" w:color="auto" w:fill="auto"/>
            <w:vAlign w:val="center"/>
            <w:hideMark/>
          </w:tcPr>
          <w:p w14:paraId="76578C7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221" w:type="dxa"/>
            <w:tcBorders>
              <w:top w:val="nil"/>
              <w:left w:val="nil"/>
              <w:bottom w:val="single" w:sz="4" w:space="0" w:color="auto"/>
              <w:right w:val="single" w:sz="4" w:space="0" w:color="auto"/>
            </w:tcBorders>
            <w:shd w:val="clear" w:color="auto" w:fill="auto"/>
            <w:vAlign w:val="center"/>
            <w:hideMark/>
          </w:tcPr>
          <w:p w14:paraId="17B503B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968" w:type="dxa"/>
            <w:tcBorders>
              <w:top w:val="nil"/>
              <w:left w:val="nil"/>
              <w:bottom w:val="single" w:sz="4" w:space="0" w:color="auto"/>
              <w:right w:val="single" w:sz="4" w:space="0" w:color="auto"/>
            </w:tcBorders>
            <w:shd w:val="clear" w:color="auto" w:fill="auto"/>
            <w:vAlign w:val="center"/>
            <w:hideMark/>
          </w:tcPr>
          <w:p w14:paraId="165BF31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6088DBD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488" w:type="dxa"/>
            <w:tcBorders>
              <w:top w:val="nil"/>
              <w:left w:val="nil"/>
              <w:bottom w:val="single" w:sz="4" w:space="0" w:color="auto"/>
              <w:right w:val="single" w:sz="4" w:space="0" w:color="auto"/>
            </w:tcBorders>
            <w:shd w:val="clear" w:color="auto" w:fill="auto"/>
            <w:vAlign w:val="center"/>
            <w:hideMark/>
          </w:tcPr>
          <w:p w14:paraId="7D66D34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w:t>
            </w:r>
          </w:p>
        </w:tc>
        <w:tc>
          <w:tcPr>
            <w:tcW w:w="1374" w:type="dxa"/>
            <w:tcBorders>
              <w:top w:val="nil"/>
              <w:left w:val="nil"/>
              <w:bottom w:val="single" w:sz="4" w:space="0" w:color="auto"/>
              <w:right w:val="single" w:sz="4" w:space="0" w:color="auto"/>
            </w:tcBorders>
            <w:shd w:val="clear" w:color="auto" w:fill="auto"/>
            <w:vAlign w:val="center"/>
            <w:hideMark/>
          </w:tcPr>
          <w:p w14:paraId="6CC4DEA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w:t>
            </w:r>
          </w:p>
        </w:tc>
        <w:tc>
          <w:tcPr>
            <w:tcW w:w="1133" w:type="dxa"/>
            <w:tcBorders>
              <w:top w:val="nil"/>
              <w:left w:val="nil"/>
              <w:bottom w:val="single" w:sz="4" w:space="0" w:color="auto"/>
              <w:right w:val="single" w:sz="4" w:space="0" w:color="auto"/>
            </w:tcBorders>
            <w:shd w:val="clear" w:color="auto" w:fill="auto"/>
            <w:vAlign w:val="center"/>
            <w:hideMark/>
          </w:tcPr>
          <w:p w14:paraId="579F8B8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c>
          <w:tcPr>
            <w:tcW w:w="306" w:type="dxa"/>
            <w:tcBorders>
              <w:top w:val="nil"/>
              <w:left w:val="nil"/>
              <w:bottom w:val="single" w:sz="4" w:space="0" w:color="auto"/>
              <w:right w:val="single" w:sz="4" w:space="0" w:color="auto"/>
            </w:tcBorders>
            <w:shd w:val="clear" w:color="auto" w:fill="auto"/>
            <w:vAlign w:val="center"/>
            <w:hideMark/>
          </w:tcPr>
          <w:p w14:paraId="1EB9B86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w:t>
            </w:r>
          </w:p>
        </w:tc>
      </w:tr>
      <w:tr w:rsidR="00BC17A3" w:rsidRPr="00A546AD" w14:paraId="06DD2987"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B5B58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Malaysia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A5DC69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12</w:t>
            </w:r>
          </w:p>
        </w:tc>
        <w:tc>
          <w:tcPr>
            <w:tcW w:w="1126" w:type="dxa"/>
            <w:tcBorders>
              <w:top w:val="nil"/>
              <w:left w:val="nil"/>
              <w:bottom w:val="single" w:sz="4" w:space="0" w:color="auto"/>
              <w:right w:val="single" w:sz="4" w:space="0" w:color="auto"/>
            </w:tcBorders>
            <w:shd w:val="clear" w:color="auto" w:fill="auto"/>
            <w:vAlign w:val="center"/>
            <w:hideMark/>
          </w:tcPr>
          <w:p w14:paraId="2A9958C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126</w:t>
            </w:r>
          </w:p>
        </w:tc>
        <w:tc>
          <w:tcPr>
            <w:tcW w:w="1199" w:type="dxa"/>
            <w:tcBorders>
              <w:top w:val="nil"/>
              <w:left w:val="nil"/>
              <w:bottom w:val="single" w:sz="4" w:space="0" w:color="auto"/>
              <w:right w:val="single" w:sz="4" w:space="0" w:color="auto"/>
            </w:tcBorders>
            <w:shd w:val="clear" w:color="auto" w:fill="auto"/>
            <w:vAlign w:val="center"/>
            <w:hideMark/>
          </w:tcPr>
          <w:p w14:paraId="57EF27F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w:t>
            </w:r>
          </w:p>
        </w:tc>
        <w:tc>
          <w:tcPr>
            <w:tcW w:w="1321" w:type="dxa"/>
            <w:tcBorders>
              <w:top w:val="nil"/>
              <w:left w:val="nil"/>
              <w:bottom w:val="single" w:sz="4" w:space="0" w:color="auto"/>
              <w:right w:val="single" w:sz="4" w:space="0" w:color="auto"/>
            </w:tcBorders>
            <w:shd w:val="clear" w:color="auto" w:fill="auto"/>
            <w:vAlign w:val="center"/>
            <w:hideMark/>
          </w:tcPr>
          <w:p w14:paraId="0CDD745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1221" w:type="dxa"/>
            <w:tcBorders>
              <w:top w:val="nil"/>
              <w:left w:val="nil"/>
              <w:bottom w:val="single" w:sz="4" w:space="0" w:color="auto"/>
              <w:right w:val="single" w:sz="4" w:space="0" w:color="auto"/>
            </w:tcBorders>
            <w:shd w:val="clear" w:color="auto" w:fill="auto"/>
            <w:vAlign w:val="center"/>
            <w:hideMark/>
          </w:tcPr>
          <w:p w14:paraId="26C420B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33</w:t>
            </w:r>
          </w:p>
        </w:tc>
        <w:tc>
          <w:tcPr>
            <w:tcW w:w="968" w:type="dxa"/>
            <w:tcBorders>
              <w:top w:val="nil"/>
              <w:left w:val="nil"/>
              <w:bottom w:val="single" w:sz="4" w:space="0" w:color="auto"/>
              <w:right w:val="single" w:sz="4" w:space="0" w:color="auto"/>
            </w:tcBorders>
            <w:shd w:val="clear" w:color="auto" w:fill="auto"/>
            <w:vAlign w:val="center"/>
            <w:hideMark/>
          </w:tcPr>
          <w:p w14:paraId="4D28E04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46" w:type="dxa"/>
            <w:tcBorders>
              <w:top w:val="nil"/>
              <w:left w:val="nil"/>
              <w:bottom w:val="single" w:sz="4" w:space="0" w:color="auto"/>
              <w:right w:val="single" w:sz="4" w:space="0" w:color="auto"/>
            </w:tcBorders>
            <w:shd w:val="clear" w:color="auto" w:fill="auto"/>
            <w:vAlign w:val="center"/>
            <w:hideMark/>
          </w:tcPr>
          <w:p w14:paraId="3430FA0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w:t>
            </w:r>
          </w:p>
        </w:tc>
        <w:tc>
          <w:tcPr>
            <w:tcW w:w="1488" w:type="dxa"/>
            <w:tcBorders>
              <w:top w:val="nil"/>
              <w:left w:val="nil"/>
              <w:bottom w:val="single" w:sz="4" w:space="0" w:color="auto"/>
              <w:right w:val="single" w:sz="4" w:space="0" w:color="auto"/>
            </w:tcBorders>
            <w:shd w:val="clear" w:color="auto" w:fill="auto"/>
            <w:vAlign w:val="center"/>
            <w:hideMark/>
          </w:tcPr>
          <w:p w14:paraId="55F4D08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374" w:type="dxa"/>
            <w:tcBorders>
              <w:top w:val="nil"/>
              <w:left w:val="nil"/>
              <w:bottom w:val="single" w:sz="4" w:space="0" w:color="auto"/>
              <w:right w:val="single" w:sz="4" w:space="0" w:color="auto"/>
            </w:tcBorders>
            <w:shd w:val="clear" w:color="auto" w:fill="auto"/>
            <w:vAlign w:val="center"/>
            <w:hideMark/>
          </w:tcPr>
          <w:p w14:paraId="2BEFEFA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w:t>
            </w:r>
          </w:p>
        </w:tc>
        <w:tc>
          <w:tcPr>
            <w:tcW w:w="1133" w:type="dxa"/>
            <w:tcBorders>
              <w:top w:val="nil"/>
              <w:left w:val="nil"/>
              <w:bottom w:val="single" w:sz="4" w:space="0" w:color="auto"/>
              <w:right w:val="single" w:sz="4" w:space="0" w:color="auto"/>
            </w:tcBorders>
            <w:shd w:val="clear" w:color="auto" w:fill="auto"/>
            <w:vAlign w:val="center"/>
            <w:hideMark/>
          </w:tcPr>
          <w:p w14:paraId="2EC8DC9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35</w:t>
            </w:r>
          </w:p>
        </w:tc>
        <w:tc>
          <w:tcPr>
            <w:tcW w:w="306" w:type="dxa"/>
            <w:tcBorders>
              <w:top w:val="nil"/>
              <w:left w:val="nil"/>
              <w:bottom w:val="single" w:sz="4" w:space="0" w:color="auto"/>
              <w:right w:val="single" w:sz="4" w:space="0" w:color="auto"/>
            </w:tcBorders>
            <w:shd w:val="clear" w:color="auto" w:fill="auto"/>
            <w:vAlign w:val="center"/>
            <w:hideMark/>
          </w:tcPr>
          <w:p w14:paraId="6AC446C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40</w:t>
            </w:r>
          </w:p>
        </w:tc>
      </w:tr>
      <w:tr w:rsidR="00BC17A3" w:rsidRPr="00A546AD" w14:paraId="58D29F8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D8EC7A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Mauritius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98F3B6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13</w:t>
            </w:r>
          </w:p>
        </w:tc>
        <w:tc>
          <w:tcPr>
            <w:tcW w:w="1126" w:type="dxa"/>
            <w:tcBorders>
              <w:top w:val="nil"/>
              <w:left w:val="nil"/>
              <w:bottom w:val="single" w:sz="4" w:space="0" w:color="auto"/>
              <w:right w:val="single" w:sz="4" w:space="0" w:color="auto"/>
            </w:tcBorders>
            <w:shd w:val="clear" w:color="auto" w:fill="auto"/>
            <w:vAlign w:val="center"/>
            <w:hideMark/>
          </w:tcPr>
          <w:p w14:paraId="26E7769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20</w:t>
            </w:r>
          </w:p>
        </w:tc>
        <w:tc>
          <w:tcPr>
            <w:tcW w:w="1199" w:type="dxa"/>
            <w:tcBorders>
              <w:top w:val="nil"/>
              <w:left w:val="nil"/>
              <w:bottom w:val="single" w:sz="4" w:space="0" w:color="auto"/>
              <w:right w:val="single" w:sz="4" w:space="0" w:color="auto"/>
            </w:tcBorders>
            <w:shd w:val="clear" w:color="auto" w:fill="auto"/>
            <w:vAlign w:val="center"/>
            <w:hideMark/>
          </w:tcPr>
          <w:p w14:paraId="18BCC5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w:t>
            </w:r>
          </w:p>
        </w:tc>
        <w:tc>
          <w:tcPr>
            <w:tcW w:w="1321" w:type="dxa"/>
            <w:tcBorders>
              <w:top w:val="nil"/>
              <w:left w:val="nil"/>
              <w:bottom w:val="single" w:sz="4" w:space="0" w:color="auto"/>
              <w:right w:val="single" w:sz="4" w:space="0" w:color="auto"/>
            </w:tcBorders>
            <w:shd w:val="clear" w:color="auto" w:fill="auto"/>
            <w:vAlign w:val="center"/>
            <w:hideMark/>
          </w:tcPr>
          <w:p w14:paraId="1CE494F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221" w:type="dxa"/>
            <w:tcBorders>
              <w:top w:val="nil"/>
              <w:left w:val="nil"/>
              <w:bottom w:val="single" w:sz="4" w:space="0" w:color="auto"/>
              <w:right w:val="single" w:sz="4" w:space="0" w:color="auto"/>
            </w:tcBorders>
            <w:shd w:val="clear" w:color="auto" w:fill="auto"/>
            <w:vAlign w:val="center"/>
            <w:hideMark/>
          </w:tcPr>
          <w:p w14:paraId="083427E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23</w:t>
            </w:r>
          </w:p>
        </w:tc>
        <w:tc>
          <w:tcPr>
            <w:tcW w:w="968" w:type="dxa"/>
            <w:tcBorders>
              <w:top w:val="nil"/>
              <w:left w:val="nil"/>
              <w:bottom w:val="single" w:sz="4" w:space="0" w:color="auto"/>
              <w:right w:val="single" w:sz="4" w:space="0" w:color="auto"/>
            </w:tcBorders>
            <w:shd w:val="clear" w:color="auto" w:fill="auto"/>
            <w:vAlign w:val="center"/>
            <w:hideMark/>
          </w:tcPr>
          <w:p w14:paraId="53EC27D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25C0D8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w:t>
            </w:r>
          </w:p>
        </w:tc>
        <w:tc>
          <w:tcPr>
            <w:tcW w:w="1488" w:type="dxa"/>
            <w:tcBorders>
              <w:top w:val="nil"/>
              <w:left w:val="nil"/>
              <w:bottom w:val="single" w:sz="4" w:space="0" w:color="auto"/>
              <w:right w:val="single" w:sz="4" w:space="0" w:color="auto"/>
            </w:tcBorders>
            <w:shd w:val="clear" w:color="auto" w:fill="auto"/>
            <w:vAlign w:val="center"/>
            <w:hideMark/>
          </w:tcPr>
          <w:p w14:paraId="723D2F0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w:t>
            </w:r>
          </w:p>
        </w:tc>
        <w:tc>
          <w:tcPr>
            <w:tcW w:w="1374" w:type="dxa"/>
            <w:tcBorders>
              <w:top w:val="nil"/>
              <w:left w:val="nil"/>
              <w:bottom w:val="single" w:sz="4" w:space="0" w:color="auto"/>
              <w:right w:val="single" w:sz="4" w:space="0" w:color="auto"/>
            </w:tcBorders>
            <w:shd w:val="clear" w:color="auto" w:fill="auto"/>
            <w:vAlign w:val="center"/>
            <w:hideMark/>
          </w:tcPr>
          <w:p w14:paraId="3041618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w:t>
            </w:r>
          </w:p>
        </w:tc>
        <w:tc>
          <w:tcPr>
            <w:tcW w:w="1133" w:type="dxa"/>
            <w:tcBorders>
              <w:top w:val="nil"/>
              <w:left w:val="nil"/>
              <w:bottom w:val="single" w:sz="4" w:space="0" w:color="auto"/>
              <w:right w:val="single" w:sz="4" w:space="0" w:color="auto"/>
            </w:tcBorders>
            <w:shd w:val="clear" w:color="auto" w:fill="auto"/>
            <w:vAlign w:val="center"/>
            <w:hideMark/>
          </w:tcPr>
          <w:p w14:paraId="57465C6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c>
          <w:tcPr>
            <w:tcW w:w="306" w:type="dxa"/>
            <w:tcBorders>
              <w:top w:val="nil"/>
              <w:left w:val="nil"/>
              <w:bottom w:val="single" w:sz="4" w:space="0" w:color="auto"/>
              <w:right w:val="single" w:sz="4" w:space="0" w:color="auto"/>
            </w:tcBorders>
            <w:shd w:val="clear" w:color="auto" w:fill="auto"/>
            <w:vAlign w:val="center"/>
            <w:hideMark/>
          </w:tcPr>
          <w:p w14:paraId="4154447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r>
      <w:tr w:rsidR="00BC17A3" w:rsidRPr="00A546AD" w14:paraId="339D274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33E0CC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Australia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E7C096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14</w:t>
            </w:r>
          </w:p>
        </w:tc>
        <w:tc>
          <w:tcPr>
            <w:tcW w:w="1126" w:type="dxa"/>
            <w:tcBorders>
              <w:top w:val="nil"/>
              <w:left w:val="nil"/>
              <w:bottom w:val="single" w:sz="4" w:space="0" w:color="auto"/>
              <w:right w:val="single" w:sz="4" w:space="0" w:color="auto"/>
            </w:tcBorders>
            <w:shd w:val="clear" w:color="auto" w:fill="auto"/>
            <w:vAlign w:val="center"/>
            <w:hideMark/>
          </w:tcPr>
          <w:p w14:paraId="178089B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c>
          <w:tcPr>
            <w:tcW w:w="1199" w:type="dxa"/>
            <w:tcBorders>
              <w:top w:val="nil"/>
              <w:left w:val="nil"/>
              <w:bottom w:val="single" w:sz="4" w:space="0" w:color="auto"/>
              <w:right w:val="single" w:sz="4" w:space="0" w:color="auto"/>
            </w:tcBorders>
            <w:shd w:val="clear" w:color="auto" w:fill="auto"/>
            <w:vAlign w:val="center"/>
            <w:hideMark/>
          </w:tcPr>
          <w:p w14:paraId="3930AD5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w:t>
            </w:r>
          </w:p>
        </w:tc>
        <w:tc>
          <w:tcPr>
            <w:tcW w:w="1321" w:type="dxa"/>
            <w:tcBorders>
              <w:top w:val="nil"/>
              <w:left w:val="nil"/>
              <w:bottom w:val="single" w:sz="4" w:space="0" w:color="auto"/>
              <w:right w:val="single" w:sz="4" w:space="0" w:color="auto"/>
            </w:tcBorders>
            <w:shd w:val="clear" w:color="auto" w:fill="auto"/>
            <w:vAlign w:val="center"/>
            <w:hideMark/>
          </w:tcPr>
          <w:p w14:paraId="1B75C2D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w:t>
            </w:r>
          </w:p>
        </w:tc>
        <w:tc>
          <w:tcPr>
            <w:tcW w:w="1221" w:type="dxa"/>
            <w:tcBorders>
              <w:top w:val="nil"/>
              <w:left w:val="nil"/>
              <w:bottom w:val="single" w:sz="4" w:space="0" w:color="auto"/>
              <w:right w:val="single" w:sz="4" w:space="0" w:color="auto"/>
            </w:tcBorders>
            <w:shd w:val="clear" w:color="auto" w:fill="auto"/>
            <w:vAlign w:val="center"/>
            <w:hideMark/>
          </w:tcPr>
          <w:p w14:paraId="0FC141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42</w:t>
            </w:r>
          </w:p>
        </w:tc>
        <w:tc>
          <w:tcPr>
            <w:tcW w:w="968" w:type="dxa"/>
            <w:tcBorders>
              <w:top w:val="nil"/>
              <w:left w:val="nil"/>
              <w:bottom w:val="single" w:sz="4" w:space="0" w:color="auto"/>
              <w:right w:val="single" w:sz="4" w:space="0" w:color="auto"/>
            </w:tcBorders>
            <w:shd w:val="clear" w:color="auto" w:fill="auto"/>
            <w:vAlign w:val="center"/>
            <w:hideMark/>
          </w:tcPr>
          <w:p w14:paraId="0408DA9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1246" w:type="dxa"/>
            <w:tcBorders>
              <w:top w:val="nil"/>
              <w:left w:val="nil"/>
              <w:bottom w:val="single" w:sz="4" w:space="0" w:color="auto"/>
              <w:right w:val="single" w:sz="4" w:space="0" w:color="auto"/>
            </w:tcBorders>
            <w:shd w:val="clear" w:color="auto" w:fill="auto"/>
            <w:vAlign w:val="center"/>
            <w:hideMark/>
          </w:tcPr>
          <w:p w14:paraId="62B6666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c>
          <w:tcPr>
            <w:tcW w:w="1488" w:type="dxa"/>
            <w:tcBorders>
              <w:top w:val="nil"/>
              <w:left w:val="nil"/>
              <w:bottom w:val="single" w:sz="4" w:space="0" w:color="auto"/>
              <w:right w:val="single" w:sz="4" w:space="0" w:color="auto"/>
            </w:tcBorders>
            <w:shd w:val="clear" w:color="auto" w:fill="auto"/>
            <w:vAlign w:val="center"/>
            <w:hideMark/>
          </w:tcPr>
          <w:p w14:paraId="0A83B3A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374" w:type="dxa"/>
            <w:tcBorders>
              <w:top w:val="nil"/>
              <w:left w:val="nil"/>
              <w:bottom w:val="single" w:sz="4" w:space="0" w:color="auto"/>
              <w:right w:val="single" w:sz="4" w:space="0" w:color="auto"/>
            </w:tcBorders>
            <w:shd w:val="clear" w:color="auto" w:fill="auto"/>
            <w:vAlign w:val="center"/>
            <w:hideMark/>
          </w:tcPr>
          <w:p w14:paraId="798F913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106</w:t>
            </w:r>
          </w:p>
        </w:tc>
        <w:tc>
          <w:tcPr>
            <w:tcW w:w="1133" w:type="dxa"/>
            <w:tcBorders>
              <w:top w:val="nil"/>
              <w:left w:val="nil"/>
              <w:bottom w:val="single" w:sz="4" w:space="0" w:color="auto"/>
              <w:right w:val="single" w:sz="4" w:space="0" w:color="auto"/>
            </w:tcBorders>
            <w:shd w:val="clear" w:color="auto" w:fill="auto"/>
            <w:vAlign w:val="center"/>
            <w:hideMark/>
          </w:tcPr>
          <w:p w14:paraId="13C1CCE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w:t>
            </w:r>
          </w:p>
        </w:tc>
        <w:tc>
          <w:tcPr>
            <w:tcW w:w="306" w:type="dxa"/>
            <w:tcBorders>
              <w:top w:val="nil"/>
              <w:left w:val="nil"/>
              <w:bottom w:val="single" w:sz="4" w:space="0" w:color="auto"/>
              <w:right w:val="single" w:sz="4" w:space="0" w:color="auto"/>
            </w:tcBorders>
            <w:shd w:val="clear" w:color="auto" w:fill="auto"/>
            <w:vAlign w:val="center"/>
            <w:hideMark/>
          </w:tcPr>
          <w:p w14:paraId="0CDDCA0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20</w:t>
            </w:r>
          </w:p>
        </w:tc>
      </w:tr>
      <w:tr w:rsidR="00BC17A3" w:rsidRPr="00A546AD" w14:paraId="496677E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EF9488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Taiwan</w:t>
            </w:r>
            <w:proofErr w:type="spellEnd"/>
            <w:r w:rsidRPr="00A546AD">
              <w:rPr>
                <w:rFonts w:ascii="Times New Roman" w:eastAsia="Times New Roman" w:hAnsi="Times New Roman" w:cs="Times New Roman"/>
                <w:sz w:val="20"/>
                <w:szCs w:val="20"/>
                <w:lang w:val="ru-RU" w:eastAsia="ru-RU" w:bidi="ar-SA"/>
              </w:rPr>
              <w:t>, China</w:t>
            </w:r>
          </w:p>
        </w:tc>
        <w:tc>
          <w:tcPr>
            <w:tcW w:w="802" w:type="dxa"/>
            <w:tcBorders>
              <w:top w:val="nil"/>
              <w:left w:val="nil"/>
              <w:bottom w:val="single" w:sz="4" w:space="0" w:color="auto"/>
              <w:right w:val="single" w:sz="4" w:space="0" w:color="auto"/>
            </w:tcBorders>
            <w:shd w:val="clear" w:color="auto" w:fill="auto"/>
            <w:vAlign w:val="center"/>
            <w:hideMark/>
          </w:tcPr>
          <w:p w14:paraId="2C604C8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15</w:t>
            </w:r>
          </w:p>
        </w:tc>
        <w:tc>
          <w:tcPr>
            <w:tcW w:w="1126" w:type="dxa"/>
            <w:tcBorders>
              <w:top w:val="nil"/>
              <w:left w:val="nil"/>
              <w:bottom w:val="single" w:sz="4" w:space="0" w:color="auto"/>
              <w:right w:val="single" w:sz="4" w:space="0" w:color="auto"/>
            </w:tcBorders>
            <w:shd w:val="clear" w:color="auto" w:fill="auto"/>
            <w:vAlign w:val="center"/>
            <w:hideMark/>
          </w:tcPr>
          <w:p w14:paraId="056540C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c>
          <w:tcPr>
            <w:tcW w:w="1199" w:type="dxa"/>
            <w:tcBorders>
              <w:top w:val="nil"/>
              <w:left w:val="nil"/>
              <w:bottom w:val="single" w:sz="4" w:space="0" w:color="auto"/>
              <w:right w:val="single" w:sz="4" w:space="0" w:color="auto"/>
            </w:tcBorders>
            <w:shd w:val="clear" w:color="auto" w:fill="auto"/>
            <w:vAlign w:val="center"/>
            <w:hideMark/>
          </w:tcPr>
          <w:p w14:paraId="1871A7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w:t>
            </w:r>
          </w:p>
        </w:tc>
        <w:tc>
          <w:tcPr>
            <w:tcW w:w="1321" w:type="dxa"/>
            <w:tcBorders>
              <w:top w:val="nil"/>
              <w:left w:val="nil"/>
              <w:bottom w:val="single" w:sz="4" w:space="0" w:color="auto"/>
              <w:right w:val="single" w:sz="4" w:space="0" w:color="auto"/>
            </w:tcBorders>
            <w:shd w:val="clear" w:color="auto" w:fill="auto"/>
            <w:vAlign w:val="center"/>
            <w:hideMark/>
          </w:tcPr>
          <w:p w14:paraId="5B32766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w:t>
            </w:r>
          </w:p>
        </w:tc>
        <w:tc>
          <w:tcPr>
            <w:tcW w:w="1221" w:type="dxa"/>
            <w:tcBorders>
              <w:top w:val="nil"/>
              <w:left w:val="nil"/>
              <w:bottom w:val="single" w:sz="4" w:space="0" w:color="auto"/>
              <w:right w:val="single" w:sz="4" w:space="0" w:color="auto"/>
            </w:tcBorders>
            <w:shd w:val="clear" w:color="auto" w:fill="auto"/>
            <w:vAlign w:val="center"/>
            <w:hideMark/>
          </w:tcPr>
          <w:p w14:paraId="39F4C55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20</w:t>
            </w:r>
          </w:p>
        </w:tc>
        <w:tc>
          <w:tcPr>
            <w:tcW w:w="968" w:type="dxa"/>
            <w:tcBorders>
              <w:top w:val="nil"/>
              <w:left w:val="nil"/>
              <w:bottom w:val="single" w:sz="4" w:space="0" w:color="auto"/>
              <w:right w:val="single" w:sz="4" w:space="0" w:color="auto"/>
            </w:tcBorders>
            <w:shd w:val="clear" w:color="auto" w:fill="auto"/>
            <w:vAlign w:val="center"/>
            <w:hideMark/>
          </w:tcPr>
          <w:p w14:paraId="7E42E9A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680B7A9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c>
          <w:tcPr>
            <w:tcW w:w="1488" w:type="dxa"/>
            <w:tcBorders>
              <w:top w:val="nil"/>
              <w:left w:val="nil"/>
              <w:bottom w:val="single" w:sz="4" w:space="0" w:color="auto"/>
              <w:right w:val="single" w:sz="4" w:space="0" w:color="auto"/>
            </w:tcBorders>
            <w:shd w:val="clear" w:color="auto" w:fill="auto"/>
            <w:vAlign w:val="center"/>
            <w:hideMark/>
          </w:tcPr>
          <w:p w14:paraId="1B6B170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w:t>
            </w:r>
          </w:p>
        </w:tc>
        <w:tc>
          <w:tcPr>
            <w:tcW w:w="1374" w:type="dxa"/>
            <w:tcBorders>
              <w:top w:val="nil"/>
              <w:left w:val="nil"/>
              <w:bottom w:val="single" w:sz="4" w:space="0" w:color="auto"/>
              <w:right w:val="single" w:sz="4" w:space="0" w:color="auto"/>
            </w:tcBorders>
            <w:shd w:val="clear" w:color="auto" w:fill="auto"/>
            <w:vAlign w:val="center"/>
            <w:hideMark/>
          </w:tcPr>
          <w:p w14:paraId="765F1A0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133" w:type="dxa"/>
            <w:tcBorders>
              <w:top w:val="nil"/>
              <w:left w:val="nil"/>
              <w:bottom w:val="single" w:sz="4" w:space="0" w:color="auto"/>
              <w:right w:val="single" w:sz="4" w:space="0" w:color="auto"/>
            </w:tcBorders>
            <w:shd w:val="clear" w:color="auto" w:fill="auto"/>
            <w:vAlign w:val="center"/>
            <w:hideMark/>
          </w:tcPr>
          <w:p w14:paraId="397702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w:t>
            </w:r>
          </w:p>
        </w:tc>
        <w:tc>
          <w:tcPr>
            <w:tcW w:w="306" w:type="dxa"/>
            <w:tcBorders>
              <w:top w:val="nil"/>
              <w:left w:val="nil"/>
              <w:bottom w:val="single" w:sz="4" w:space="0" w:color="auto"/>
              <w:right w:val="single" w:sz="4" w:space="0" w:color="auto"/>
            </w:tcBorders>
            <w:shd w:val="clear" w:color="auto" w:fill="auto"/>
            <w:vAlign w:val="center"/>
            <w:hideMark/>
          </w:tcPr>
          <w:p w14:paraId="259B144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23</w:t>
            </w:r>
          </w:p>
        </w:tc>
      </w:tr>
      <w:tr w:rsidR="00BC17A3" w:rsidRPr="00A546AD" w14:paraId="578D04D3"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B13DAD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United </w:t>
            </w:r>
            <w:proofErr w:type="spellStart"/>
            <w:r w:rsidRPr="00A546AD">
              <w:rPr>
                <w:rFonts w:ascii="Times New Roman" w:eastAsia="Times New Roman" w:hAnsi="Times New Roman" w:cs="Times New Roman"/>
                <w:sz w:val="20"/>
                <w:szCs w:val="20"/>
                <w:lang w:val="ru-RU" w:eastAsia="ru-RU" w:bidi="ar-SA"/>
              </w:rPr>
              <w:t>Arab</w:t>
            </w:r>
            <w:proofErr w:type="spellEnd"/>
            <w:r w:rsidRPr="00A546AD">
              <w:rPr>
                <w:rFonts w:ascii="Times New Roman" w:eastAsia="Times New Roman" w:hAnsi="Times New Roman" w:cs="Times New Roman"/>
                <w:sz w:val="20"/>
                <w:szCs w:val="20"/>
                <w:lang w:val="ru-RU" w:eastAsia="ru-RU" w:bidi="ar-SA"/>
              </w:rPr>
              <w:t xml:space="preserve"> Emirates</w:t>
            </w:r>
          </w:p>
        </w:tc>
        <w:tc>
          <w:tcPr>
            <w:tcW w:w="802" w:type="dxa"/>
            <w:tcBorders>
              <w:top w:val="nil"/>
              <w:left w:val="nil"/>
              <w:bottom w:val="single" w:sz="4" w:space="0" w:color="auto"/>
              <w:right w:val="single" w:sz="4" w:space="0" w:color="auto"/>
            </w:tcBorders>
            <w:shd w:val="clear" w:color="auto" w:fill="auto"/>
            <w:vAlign w:val="center"/>
            <w:hideMark/>
          </w:tcPr>
          <w:p w14:paraId="43C08F0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16</w:t>
            </w:r>
          </w:p>
        </w:tc>
        <w:tc>
          <w:tcPr>
            <w:tcW w:w="1126" w:type="dxa"/>
            <w:tcBorders>
              <w:top w:val="nil"/>
              <w:left w:val="nil"/>
              <w:bottom w:val="single" w:sz="4" w:space="0" w:color="auto"/>
              <w:right w:val="single" w:sz="4" w:space="0" w:color="auto"/>
            </w:tcBorders>
            <w:shd w:val="clear" w:color="auto" w:fill="auto"/>
            <w:vAlign w:val="center"/>
            <w:hideMark/>
          </w:tcPr>
          <w:p w14:paraId="4D3CD13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w:t>
            </w:r>
          </w:p>
        </w:tc>
        <w:tc>
          <w:tcPr>
            <w:tcW w:w="1199" w:type="dxa"/>
            <w:tcBorders>
              <w:top w:val="nil"/>
              <w:left w:val="nil"/>
              <w:bottom w:val="single" w:sz="4" w:space="0" w:color="auto"/>
              <w:right w:val="single" w:sz="4" w:space="0" w:color="auto"/>
            </w:tcBorders>
            <w:shd w:val="clear" w:color="auto" w:fill="auto"/>
            <w:vAlign w:val="center"/>
            <w:hideMark/>
          </w:tcPr>
          <w:p w14:paraId="31342A7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w:t>
            </w:r>
          </w:p>
        </w:tc>
        <w:tc>
          <w:tcPr>
            <w:tcW w:w="1321" w:type="dxa"/>
            <w:tcBorders>
              <w:top w:val="nil"/>
              <w:left w:val="nil"/>
              <w:bottom w:val="single" w:sz="4" w:space="0" w:color="auto"/>
              <w:right w:val="single" w:sz="4" w:space="0" w:color="auto"/>
            </w:tcBorders>
            <w:shd w:val="clear" w:color="auto" w:fill="auto"/>
            <w:vAlign w:val="center"/>
            <w:hideMark/>
          </w:tcPr>
          <w:p w14:paraId="394DE32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221" w:type="dxa"/>
            <w:tcBorders>
              <w:top w:val="nil"/>
              <w:left w:val="nil"/>
              <w:bottom w:val="single" w:sz="4" w:space="0" w:color="auto"/>
              <w:right w:val="single" w:sz="4" w:space="0" w:color="auto"/>
            </w:tcBorders>
            <w:shd w:val="clear" w:color="auto" w:fill="auto"/>
            <w:vAlign w:val="center"/>
            <w:hideMark/>
          </w:tcPr>
          <w:p w14:paraId="7C0F694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w:t>
            </w:r>
          </w:p>
        </w:tc>
        <w:tc>
          <w:tcPr>
            <w:tcW w:w="968" w:type="dxa"/>
            <w:tcBorders>
              <w:top w:val="nil"/>
              <w:left w:val="nil"/>
              <w:bottom w:val="single" w:sz="4" w:space="0" w:color="auto"/>
              <w:right w:val="single" w:sz="4" w:space="0" w:color="auto"/>
            </w:tcBorders>
            <w:shd w:val="clear" w:color="auto" w:fill="auto"/>
            <w:vAlign w:val="center"/>
            <w:hideMark/>
          </w:tcPr>
          <w:p w14:paraId="76462E5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7D6CBB4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c>
          <w:tcPr>
            <w:tcW w:w="1488" w:type="dxa"/>
            <w:tcBorders>
              <w:top w:val="nil"/>
              <w:left w:val="nil"/>
              <w:bottom w:val="single" w:sz="4" w:space="0" w:color="auto"/>
              <w:right w:val="single" w:sz="4" w:space="0" w:color="auto"/>
            </w:tcBorders>
            <w:shd w:val="clear" w:color="auto" w:fill="auto"/>
            <w:vAlign w:val="center"/>
            <w:hideMark/>
          </w:tcPr>
          <w:p w14:paraId="4F5AC1B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43</w:t>
            </w:r>
          </w:p>
        </w:tc>
        <w:tc>
          <w:tcPr>
            <w:tcW w:w="1374" w:type="dxa"/>
            <w:tcBorders>
              <w:top w:val="nil"/>
              <w:left w:val="nil"/>
              <w:bottom w:val="single" w:sz="4" w:space="0" w:color="auto"/>
              <w:right w:val="single" w:sz="4" w:space="0" w:color="auto"/>
            </w:tcBorders>
            <w:shd w:val="clear" w:color="auto" w:fill="auto"/>
            <w:vAlign w:val="center"/>
            <w:hideMark/>
          </w:tcPr>
          <w:p w14:paraId="67C607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133" w:type="dxa"/>
            <w:tcBorders>
              <w:top w:val="nil"/>
              <w:left w:val="nil"/>
              <w:bottom w:val="single" w:sz="4" w:space="0" w:color="auto"/>
              <w:right w:val="single" w:sz="4" w:space="0" w:color="auto"/>
            </w:tcBorders>
            <w:shd w:val="clear" w:color="auto" w:fill="auto"/>
            <w:vAlign w:val="center"/>
            <w:hideMark/>
          </w:tcPr>
          <w:p w14:paraId="332A303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w:t>
            </w:r>
          </w:p>
        </w:tc>
        <w:tc>
          <w:tcPr>
            <w:tcW w:w="306" w:type="dxa"/>
            <w:tcBorders>
              <w:top w:val="nil"/>
              <w:left w:val="nil"/>
              <w:bottom w:val="single" w:sz="4" w:space="0" w:color="auto"/>
              <w:right w:val="single" w:sz="4" w:space="0" w:color="auto"/>
            </w:tcBorders>
            <w:shd w:val="clear" w:color="auto" w:fill="auto"/>
            <w:vAlign w:val="center"/>
            <w:hideMark/>
          </w:tcPr>
          <w:p w14:paraId="74896FA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r>
      <w:tr w:rsidR="00BC17A3" w:rsidRPr="00A546AD" w14:paraId="766C8AF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7FF04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North </w:t>
            </w:r>
            <w:proofErr w:type="spellStart"/>
            <w:r w:rsidRPr="00A546AD">
              <w:rPr>
                <w:rFonts w:ascii="Times New Roman" w:eastAsia="Times New Roman" w:hAnsi="Times New Roman" w:cs="Times New Roman"/>
                <w:sz w:val="20"/>
                <w:szCs w:val="20"/>
                <w:lang w:val="ru-RU" w:eastAsia="ru-RU" w:bidi="ar-SA"/>
              </w:rPr>
              <w:t>Macedonia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D5B460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17</w:t>
            </w:r>
          </w:p>
        </w:tc>
        <w:tc>
          <w:tcPr>
            <w:tcW w:w="1126" w:type="dxa"/>
            <w:tcBorders>
              <w:top w:val="nil"/>
              <w:left w:val="nil"/>
              <w:bottom w:val="single" w:sz="4" w:space="0" w:color="auto"/>
              <w:right w:val="single" w:sz="4" w:space="0" w:color="auto"/>
            </w:tcBorders>
            <w:shd w:val="clear" w:color="auto" w:fill="auto"/>
            <w:vAlign w:val="center"/>
            <w:hideMark/>
          </w:tcPr>
          <w:p w14:paraId="619B9ED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w:t>
            </w:r>
          </w:p>
        </w:tc>
        <w:tc>
          <w:tcPr>
            <w:tcW w:w="1199" w:type="dxa"/>
            <w:tcBorders>
              <w:top w:val="nil"/>
              <w:left w:val="nil"/>
              <w:bottom w:val="single" w:sz="4" w:space="0" w:color="auto"/>
              <w:right w:val="single" w:sz="4" w:space="0" w:color="auto"/>
            </w:tcBorders>
            <w:shd w:val="clear" w:color="auto" w:fill="auto"/>
            <w:vAlign w:val="center"/>
            <w:hideMark/>
          </w:tcPr>
          <w:p w14:paraId="2A288B0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321" w:type="dxa"/>
            <w:tcBorders>
              <w:top w:val="nil"/>
              <w:left w:val="nil"/>
              <w:bottom w:val="single" w:sz="4" w:space="0" w:color="auto"/>
              <w:right w:val="single" w:sz="4" w:space="0" w:color="auto"/>
            </w:tcBorders>
            <w:shd w:val="clear" w:color="auto" w:fill="auto"/>
            <w:vAlign w:val="center"/>
            <w:hideMark/>
          </w:tcPr>
          <w:p w14:paraId="706A298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w:t>
            </w:r>
          </w:p>
        </w:tc>
        <w:tc>
          <w:tcPr>
            <w:tcW w:w="1221" w:type="dxa"/>
            <w:tcBorders>
              <w:top w:val="nil"/>
              <w:left w:val="nil"/>
              <w:bottom w:val="single" w:sz="4" w:space="0" w:color="auto"/>
              <w:right w:val="single" w:sz="4" w:space="0" w:color="auto"/>
            </w:tcBorders>
            <w:shd w:val="clear" w:color="auto" w:fill="auto"/>
            <w:vAlign w:val="center"/>
            <w:hideMark/>
          </w:tcPr>
          <w:p w14:paraId="33C7799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968" w:type="dxa"/>
            <w:tcBorders>
              <w:top w:val="nil"/>
              <w:left w:val="nil"/>
              <w:bottom w:val="single" w:sz="4" w:space="0" w:color="auto"/>
              <w:right w:val="single" w:sz="4" w:space="0" w:color="auto"/>
            </w:tcBorders>
            <w:shd w:val="clear" w:color="auto" w:fill="auto"/>
            <w:vAlign w:val="center"/>
            <w:hideMark/>
          </w:tcPr>
          <w:p w14:paraId="0691024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0410546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w:t>
            </w:r>
          </w:p>
        </w:tc>
        <w:tc>
          <w:tcPr>
            <w:tcW w:w="1488" w:type="dxa"/>
            <w:tcBorders>
              <w:top w:val="nil"/>
              <w:left w:val="nil"/>
              <w:bottom w:val="single" w:sz="4" w:space="0" w:color="auto"/>
              <w:right w:val="single" w:sz="4" w:space="0" w:color="auto"/>
            </w:tcBorders>
            <w:shd w:val="clear" w:color="auto" w:fill="auto"/>
            <w:vAlign w:val="center"/>
            <w:hideMark/>
          </w:tcPr>
          <w:p w14:paraId="0181BB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36</w:t>
            </w:r>
          </w:p>
        </w:tc>
        <w:tc>
          <w:tcPr>
            <w:tcW w:w="1374" w:type="dxa"/>
            <w:tcBorders>
              <w:top w:val="nil"/>
              <w:left w:val="nil"/>
              <w:bottom w:val="single" w:sz="4" w:space="0" w:color="auto"/>
              <w:right w:val="single" w:sz="4" w:space="0" w:color="auto"/>
            </w:tcBorders>
            <w:shd w:val="clear" w:color="auto" w:fill="auto"/>
            <w:vAlign w:val="center"/>
            <w:hideMark/>
          </w:tcPr>
          <w:p w14:paraId="690D46B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32</w:t>
            </w:r>
          </w:p>
        </w:tc>
        <w:tc>
          <w:tcPr>
            <w:tcW w:w="1133" w:type="dxa"/>
            <w:tcBorders>
              <w:top w:val="nil"/>
              <w:left w:val="nil"/>
              <w:bottom w:val="single" w:sz="4" w:space="0" w:color="auto"/>
              <w:right w:val="single" w:sz="4" w:space="0" w:color="auto"/>
            </w:tcBorders>
            <w:shd w:val="clear" w:color="auto" w:fill="auto"/>
            <w:vAlign w:val="center"/>
            <w:hideMark/>
          </w:tcPr>
          <w:p w14:paraId="3D5DAA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47</w:t>
            </w:r>
          </w:p>
        </w:tc>
        <w:tc>
          <w:tcPr>
            <w:tcW w:w="306" w:type="dxa"/>
            <w:tcBorders>
              <w:top w:val="nil"/>
              <w:left w:val="nil"/>
              <w:bottom w:val="single" w:sz="4" w:space="0" w:color="auto"/>
              <w:right w:val="single" w:sz="4" w:space="0" w:color="auto"/>
            </w:tcBorders>
            <w:shd w:val="clear" w:color="auto" w:fill="auto"/>
            <w:vAlign w:val="center"/>
            <w:hideMark/>
          </w:tcPr>
          <w:p w14:paraId="4D6D554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30</w:t>
            </w:r>
          </w:p>
        </w:tc>
      </w:tr>
      <w:tr w:rsidR="00BC17A3" w:rsidRPr="00A546AD" w14:paraId="76CB7B8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D1BCBD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Estonia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E68EF0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18</w:t>
            </w:r>
          </w:p>
        </w:tc>
        <w:tc>
          <w:tcPr>
            <w:tcW w:w="1126" w:type="dxa"/>
            <w:tcBorders>
              <w:top w:val="nil"/>
              <w:left w:val="nil"/>
              <w:bottom w:val="single" w:sz="4" w:space="0" w:color="auto"/>
              <w:right w:val="single" w:sz="4" w:space="0" w:color="auto"/>
            </w:tcBorders>
            <w:shd w:val="clear" w:color="auto" w:fill="auto"/>
            <w:vAlign w:val="center"/>
            <w:hideMark/>
          </w:tcPr>
          <w:p w14:paraId="4AA677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w:t>
            </w:r>
          </w:p>
        </w:tc>
        <w:tc>
          <w:tcPr>
            <w:tcW w:w="1199" w:type="dxa"/>
            <w:tcBorders>
              <w:top w:val="nil"/>
              <w:left w:val="nil"/>
              <w:bottom w:val="single" w:sz="4" w:space="0" w:color="auto"/>
              <w:right w:val="single" w:sz="4" w:space="0" w:color="auto"/>
            </w:tcBorders>
            <w:shd w:val="clear" w:color="auto" w:fill="auto"/>
            <w:vAlign w:val="center"/>
            <w:hideMark/>
          </w:tcPr>
          <w:p w14:paraId="6F4F87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w:t>
            </w:r>
          </w:p>
        </w:tc>
        <w:tc>
          <w:tcPr>
            <w:tcW w:w="1321" w:type="dxa"/>
            <w:tcBorders>
              <w:top w:val="nil"/>
              <w:left w:val="nil"/>
              <w:bottom w:val="single" w:sz="4" w:space="0" w:color="auto"/>
              <w:right w:val="single" w:sz="4" w:space="0" w:color="auto"/>
            </w:tcBorders>
            <w:shd w:val="clear" w:color="auto" w:fill="auto"/>
            <w:vAlign w:val="center"/>
            <w:hideMark/>
          </w:tcPr>
          <w:p w14:paraId="590B867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54</w:t>
            </w:r>
          </w:p>
        </w:tc>
        <w:tc>
          <w:tcPr>
            <w:tcW w:w="1221" w:type="dxa"/>
            <w:tcBorders>
              <w:top w:val="nil"/>
              <w:left w:val="nil"/>
              <w:bottom w:val="single" w:sz="4" w:space="0" w:color="auto"/>
              <w:right w:val="single" w:sz="4" w:space="0" w:color="auto"/>
            </w:tcBorders>
            <w:shd w:val="clear" w:color="auto" w:fill="auto"/>
            <w:vAlign w:val="center"/>
            <w:hideMark/>
          </w:tcPr>
          <w:p w14:paraId="2A33493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w:t>
            </w:r>
          </w:p>
        </w:tc>
        <w:tc>
          <w:tcPr>
            <w:tcW w:w="968" w:type="dxa"/>
            <w:tcBorders>
              <w:top w:val="nil"/>
              <w:left w:val="nil"/>
              <w:bottom w:val="single" w:sz="4" w:space="0" w:color="auto"/>
              <w:right w:val="single" w:sz="4" w:space="0" w:color="auto"/>
            </w:tcBorders>
            <w:shd w:val="clear" w:color="auto" w:fill="auto"/>
            <w:vAlign w:val="center"/>
            <w:hideMark/>
          </w:tcPr>
          <w:p w14:paraId="0C8DB59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337BB16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488" w:type="dxa"/>
            <w:tcBorders>
              <w:top w:val="nil"/>
              <w:left w:val="nil"/>
              <w:bottom w:val="single" w:sz="4" w:space="0" w:color="auto"/>
              <w:right w:val="single" w:sz="4" w:space="0" w:color="auto"/>
            </w:tcBorders>
            <w:shd w:val="clear" w:color="auto" w:fill="auto"/>
            <w:vAlign w:val="center"/>
            <w:hideMark/>
          </w:tcPr>
          <w:p w14:paraId="2B509C1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w:t>
            </w:r>
          </w:p>
        </w:tc>
        <w:tc>
          <w:tcPr>
            <w:tcW w:w="1374" w:type="dxa"/>
            <w:tcBorders>
              <w:top w:val="nil"/>
              <w:left w:val="nil"/>
              <w:bottom w:val="single" w:sz="4" w:space="0" w:color="auto"/>
              <w:right w:val="single" w:sz="4" w:space="0" w:color="auto"/>
            </w:tcBorders>
            <w:shd w:val="clear" w:color="auto" w:fill="auto"/>
            <w:vAlign w:val="center"/>
            <w:hideMark/>
          </w:tcPr>
          <w:p w14:paraId="4E8043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w:t>
            </w:r>
          </w:p>
        </w:tc>
        <w:tc>
          <w:tcPr>
            <w:tcW w:w="1133" w:type="dxa"/>
            <w:tcBorders>
              <w:top w:val="nil"/>
              <w:left w:val="nil"/>
              <w:bottom w:val="single" w:sz="4" w:space="0" w:color="auto"/>
              <w:right w:val="single" w:sz="4" w:space="0" w:color="auto"/>
            </w:tcBorders>
            <w:shd w:val="clear" w:color="auto" w:fill="auto"/>
            <w:vAlign w:val="center"/>
            <w:hideMark/>
          </w:tcPr>
          <w:p w14:paraId="29A91F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w:t>
            </w:r>
          </w:p>
        </w:tc>
        <w:tc>
          <w:tcPr>
            <w:tcW w:w="306" w:type="dxa"/>
            <w:tcBorders>
              <w:top w:val="nil"/>
              <w:left w:val="nil"/>
              <w:bottom w:val="single" w:sz="4" w:space="0" w:color="auto"/>
              <w:right w:val="single" w:sz="4" w:space="0" w:color="auto"/>
            </w:tcBorders>
            <w:shd w:val="clear" w:color="auto" w:fill="auto"/>
            <w:vAlign w:val="center"/>
            <w:hideMark/>
          </w:tcPr>
          <w:p w14:paraId="5834A5D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54</w:t>
            </w:r>
          </w:p>
        </w:tc>
      </w:tr>
      <w:tr w:rsidR="00BC17A3" w:rsidRPr="00A546AD" w14:paraId="1F51277C"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74DDF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Latvia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184110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19</w:t>
            </w:r>
          </w:p>
        </w:tc>
        <w:tc>
          <w:tcPr>
            <w:tcW w:w="1126" w:type="dxa"/>
            <w:tcBorders>
              <w:top w:val="nil"/>
              <w:left w:val="nil"/>
              <w:bottom w:val="single" w:sz="4" w:space="0" w:color="auto"/>
              <w:right w:val="single" w:sz="4" w:space="0" w:color="auto"/>
            </w:tcBorders>
            <w:shd w:val="clear" w:color="auto" w:fill="auto"/>
            <w:vAlign w:val="center"/>
            <w:hideMark/>
          </w:tcPr>
          <w:p w14:paraId="428E508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26</w:t>
            </w:r>
          </w:p>
        </w:tc>
        <w:tc>
          <w:tcPr>
            <w:tcW w:w="1199" w:type="dxa"/>
            <w:tcBorders>
              <w:top w:val="nil"/>
              <w:left w:val="nil"/>
              <w:bottom w:val="single" w:sz="4" w:space="0" w:color="auto"/>
              <w:right w:val="single" w:sz="4" w:space="0" w:color="auto"/>
            </w:tcBorders>
            <w:shd w:val="clear" w:color="auto" w:fill="auto"/>
            <w:vAlign w:val="center"/>
            <w:hideMark/>
          </w:tcPr>
          <w:p w14:paraId="68B3FEB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w:t>
            </w:r>
          </w:p>
        </w:tc>
        <w:tc>
          <w:tcPr>
            <w:tcW w:w="1321" w:type="dxa"/>
            <w:tcBorders>
              <w:top w:val="nil"/>
              <w:left w:val="nil"/>
              <w:bottom w:val="single" w:sz="4" w:space="0" w:color="auto"/>
              <w:right w:val="single" w:sz="4" w:space="0" w:color="auto"/>
            </w:tcBorders>
            <w:shd w:val="clear" w:color="auto" w:fill="auto"/>
            <w:vAlign w:val="center"/>
            <w:hideMark/>
          </w:tcPr>
          <w:p w14:paraId="5C40B11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w:t>
            </w:r>
          </w:p>
        </w:tc>
        <w:tc>
          <w:tcPr>
            <w:tcW w:w="1221" w:type="dxa"/>
            <w:tcBorders>
              <w:top w:val="nil"/>
              <w:left w:val="nil"/>
              <w:bottom w:val="single" w:sz="4" w:space="0" w:color="auto"/>
              <w:right w:val="single" w:sz="4" w:space="0" w:color="auto"/>
            </w:tcBorders>
            <w:shd w:val="clear" w:color="auto" w:fill="auto"/>
            <w:vAlign w:val="center"/>
            <w:hideMark/>
          </w:tcPr>
          <w:p w14:paraId="38D59E2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968" w:type="dxa"/>
            <w:tcBorders>
              <w:top w:val="nil"/>
              <w:left w:val="nil"/>
              <w:bottom w:val="single" w:sz="4" w:space="0" w:color="auto"/>
              <w:right w:val="single" w:sz="4" w:space="0" w:color="auto"/>
            </w:tcBorders>
            <w:shd w:val="clear" w:color="auto" w:fill="auto"/>
            <w:vAlign w:val="center"/>
            <w:hideMark/>
          </w:tcPr>
          <w:p w14:paraId="7622561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246" w:type="dxa"/>
            <w:tcBorders>
              <w:top w:val="nil"/>
              <w:left w:val="nil"/>
              <w:bottom w:val="single" w:sz="4" w:space="0" w:color="auto"/>
              <w:right w:val="single" w:sz="4" w:space="0" w:color="auto"/>
            </w:tcBorders>
            <w:shd w:val="clear" w:color="auto" w:fill="auto"/>
            <w:vAlign w:val="center"/>
            <w:hideMark/>
          </w:tcPr>
          <w:p w14:paraId="1E4D116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1488" w:type="dxa"/>
            <w:tcBorders>
              <w:top w:val="nil"/>
              <w:left w:val="nil"/>
              <w:bottom w:val="single" w:sz="4" w:space="0" w:color="auto"/>
              <w:right w:val="single" w:sz="4" w:space="0" w:color="auto"/>
            </w:tcBorders>
            <w:shd w:val="clear" w:color="auto" w:fill="auto"/>
            <w:vAlign w:val="center"/>
            <w:hideMark/>
          </w:tcPr>
          <w:p w14:paraId="0DA1C26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w:t>
            </w:r>
          </w:p>
        </w:tc>
        <w:tc>
          <w:tcPr>
            <w:tcW w:w="1374" w:type="dxa"/>
            <w:tcBorders>
              <w:top w:val="nil"/>
              <w:left w:val="nil"/>
              <w:bottom w:val="single" w:sz="4" w:space="0" w:color="auto"/>
              <w:right w:val="single" w:sz="4" w:space="0" w:color="auto"/>
            </w:tcBorders>
            <w:shd w:val="clear" w:color="auto" w:fill="auto"/>
            <w:vAlign w:val="center"/>
            <w:hideMark/>
          </w:tcPr>
          <w:p w14:paraId="11AB104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133" w:type="dxa"/>
            <w:tcBorders>
              <w:top w:val="nil"/>
              <w:left w:val="nil"/>
              <w:bottom w:val="single" w:sz="4" w:space="0" w:color="auto"/>
              <w:right w:val="single" w:sz="4" w:space="0" w:color="auto"/>
            </w:tcBorders>
            <w:shd w:val="clear" w:color="auto" w:fill="auto"/>
            <w:vAlign w:val="center"/>
            <w:hideMark/>
          </w:tcPr>
          <w:p w14:paraId="6A9B619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w:t>
            </w:r>
          </w:p>
        </w:tc>
        <w:tc>
          <w:tcPr>
            <w:tcW w:w="306" w:type="dxa"/>
            <w:tcBorders>
              <w:top w:val="nil"/>
              <w:left w:val="nil"/>
              <w:bottom w:val="single" w:sz="4" w:space="0" w:color="auto"/>
              <w:right w:val="single" w:sz="4" w:space="0" w:color="auto"/>
            </w:tcBorders>
            <w:shd w:val="clear" w:color="auto" w:fill="auto"/>
            <w:vAlign w:val="center"/>
            <w:hideMark/>
          </w:tcPr>
          <w:p w14:paraId="65FC68E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w:t>
            </w:r>
          </w:p>
        </w:tc>
      </w:tr>
      <w:tr w:rsidR="00BC17A3" w:rsidRPr="00A546AD" w14:paraId="25A7873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764710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Finland</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351D19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20</w:t>
            </w:r>
          </w:p>
        </w:tc>
        <w:tc>
          <w:tcPr>
            <w:tcW w:w="1126" w:type="dxa"/>
            <w:tcBorders>
              <w:top w:val="nil"/>
              <w:left w:val="nil"/>
              <w:bottom w:val="single" w:sz="4" w:space="0" w:color="auto"/>
              <w:right w:val="single" w:sz="4" w:space="0" w:color="auto"/>
            </w:tcBorders>
            <w:shd w:val="clear" w:color="auto" w:fill="auto"/>
            <w:vAlign w:val="center"/>
            <w:hideMark/>
          </w:tcPr>
          <w:p w14:paraId="64E388B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30</w:t>
            </w:r>
          </w:p>
        </w:tc>
        <w:tc>
          <w:tcPr>
            <w:tcW w:w="1199" w:type="dxa"/>
            <w:tcBorders>
              <w:top w:val="nil"/>
              <w:left w:val="nil"/>
              <w:bottom w:val="single" w:sz="4" w:space="0" w:color="auto"/>
              <w:right w:val="single" w:sz="4" w:space="0" w:color="auto"/>
            </w:tcBorders>
            <w:shd w:val="clear" w:color="auto" w:fill="auto"/>
            <w:vAlign w:val="center"/>
            <w:hideMark/>
          </w:tcPr>
          <w:p w14:paraId="07FFD68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42</w:t>
            </w:r>
          </w:p>
        </w:tc>
        <w:tc>
          <w:tcPr>
            <w:tcW w:w="1321" w:type="dxa"/>
            <w:tcBorders>
              <w:top w:val="nil"/>
              <w:left w:val="nil"/>
              <w:bottom w:val="single" w:sz="4" w:space="0" w:color="auto"/>
              <w:right w:val="single" w:sz="4" w:space="0" w:color="auto"/>
            </w:tcBorders>
            <w:shd w:val="clear" w:color="auto" w:fill="auto"/>
            <w:vAlign w:val="center"/>
            <w:hideMark/>
          </w:tcPr>
          <w:p w14:paraId="7CD5C5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24</w:t>
            </w:r>
          </w:p>
        </w:tc>
        <w:tc>
          <w:tcPr>
            <w:tcW w:w="1221" w:type="dxa"/>
            <w:tcBorders>
              <w:top w:val="nil"/>
              <w:left w:val="nil"/>
              <w:bottom w:val="single" w:sz="4" w:space="0" w:color="auto"/>
              <w:right w:val="single" w:sz="4" w:space="0" w:color="auto"/>
            </w:tcBorders>
            <w:shd w:val="clear" w:color="auto" w:fill="auto"/>
            <w:vAlign w:val="center"/>
            <w:hideMark/>
          </w:tcPr>
          <w:p w14:paraId="3016B0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w:t>
            </w:r>
          </w:p>
        </w:tc>
        <w:tc>
          <w:tcPr>
            <w:tcW w:w="968" w:type="dxa"/>
            <w:tcBorders>
              <w:top w:val="nil"/>
              <w:left w:val="nil"/>
              <w:bottom w:val="single" w:sz="4" w:space="0" w:color="auto"/>
              <w:right w:val="single" w:sz="4" w:space="0" w:color="auto"/>
            </w:tcBorders>
            <w:shd w:val="clear" w:color="auto" w:fill="auto"/>
            <w:vAlign w:val="center"/>
            <w:hideMark/>
          </w:tcPr>
          <w:p w14:paraId="71706B4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00D196C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488" w:type="dxa"/>
            <w:tcBorders>
              <w:top w:val="nil"/>
              <w:left w:val="nil"/>
              <w:bottom w:val="single" w:sz="4" w:space="0" w:color="auto"/>
              <w:right w:val="single" w:sz="4" w:space="0" w:color="auto"/>
            </w:tcBorders>
            <w:shd w:val="clear" w:color="auto" w:fill="auto"/>
            <w:vAlign w:val="center"/>
            <w:hideMark/>
          </w:tcPr>
          <w:p w14:paraId="0393464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w:t>
            </w:r>
          </w:p>
        </w:tc>
        <w:tc>
          <w:tcPr>
            <w:tcW w:w="1374" w:type="dxa"/>
            <w:tcBorders>
              <w:top w:val="nil"/>
              <w:left w:val="nil"/>
              <w:bottom w:val="single" w:sz="4" w:space="0" w:color="auto"/>
              <w:right w:val="single" w:sz="4" w:space="0" w:color="auto"/>
            </w:tcBorders>
            <w:shd w:val="clear" w:color="auto" w:fill="auto"/>
            <w:vAlign w:val="center"/>
            <w:hideMark/>
          </w:tcPr>
          <w:p w14:paraId="43FB419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133" w:type="dxa"/>
            <w:tcBorders>
              <w:top w:val="nil"/>
              <w:left w:val="nil"/>
              <w:bottom w:val="single" w:sz="4" w:space="0" w:color="auto"/>
              <w:right w:val="single" w:sz="4" w:space="0" w:color="auto"/>
            </w:tcBorders>
            <w:shd w:val="clear" w:color="auto" w:fill="auto"/>
            <w:vAlign w:val="center"/>
            <w:hideMark/>
          </w:tcPr>
          <w:p w14:paraId="1911487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306" w:type="dxa"/>
            <w:tcBorders>
              <w:top w:val="nil"/>
              <w:left w:val="nil"/>
              <w:bottom w:val="single" w:sz="4" w:space="0" w:color="auto"/>
              <w:right w:val="single" w:sz="4" w:space="0" w:color="auto"/>
            </w:tcBorders>
            <w:shd w:val="clear" w:color="auto" w:fill="auto"/>
            <w:vAlign w:val="center"/>
            <w:hideMark/>
          </w:tcPr>
          <w:p w14:paraId="4715AD5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r>
      <w:tr w:rsidR="00BC17A3" w:rsidRPr="00A546AD" w14:paraId="5D5A55B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6FC4EE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Thailand</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86BFE0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21</w:t>
            </w:r>
          </w:p>
        </w:tc>
        <w:tc>
          <w:tcPr>
            <w:tcW w:w="1126" w:type="dxa"/>
            <w:tcBorders>
              <w:top w:val="nil"/>
              <w:left w:val="nil"/>
              <w:bottom w:val="single" w:sz="4" w:space="0" w:color="auto"/>
              <w:right w:val="single" w:sz="4" w:space="0" w:color="auto"/>
            </w:tcBorders>
            <w:shd w:val="clear" w:color="auto" w:fill="auto"/>
            <w:vAlign w:val="center"/>
            <w:hideMark/>
          </w:tcPr>
          <w:p w14:paraId="21FC89D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47</w:t>
            </w:r>
          </w:p>
        </w:tc>
        <w:tc>
          <w:tcPr>
            <w:tcW w:w="1199" w:type="dxa"/>
            <w:tcBorders>
              <w:top w:val="nil"/>
              <w:left w:val="nil"/>
              <w:bottom w:val="single" w:sz="4" w:space="0" w:color="auto"/>
              <w:right w:val="single" w:sz="4" w:space="0" w:color="auto"/>
            </w:tcBorders>
            <w:shd w:val="clear" w:color="auto" w:fill="auto"/>
            <w:vAlign w:val="center"/>
            <w:hideMark/>
          </w:tcPr>
          <w:p w14:paraId="7041B5C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w:t>
            </w:r>
          </w:p>
        </w:tc>
        <w:tc>
          <w:tcPr>
            <w:tcW w:w="1321" w:type="dxa"/>
            <w:tcBorders>
              <w:top w:val="nil"/>
              <w:left w:val="nil"/>
              <w:bottom w:val="single" w:sz="4" w:space="0" w:color="auto"/>
              <w:right w:val="single" w:sz="4" w:space="0" w:color="auto"/>
            </w:tcBorders>
            <w:shd w:val="clear" w:color="auto" w:fill="auto"/>
            <w:vAlign w:val="center"/>
            <w:hideMark/>
          </w:tcPr>
          <w:p w14:paraId="23E792F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w:t>
            </w:r>
          </w:p>
        </w:tc>
        <w:tc>
          <w:tcPr>
            <w:tcW w:w="1221" w:type="dxa"/>
            <w:tcBorders>
              <w:top w:val="nil"/>
              <w:left w:val="nil"/>
              <w:bottom w:val="single" w:sz="4" w:space="0" w:color="auto"/>
              <w:right w:val="single" w:sz="4" w:space="0" w:color="auto"/>
            </w:tcBorders>
            <w:shd w:val="clear" w:color="auto" w:fill="auto"/>
            <w:vAlign w:val="center"/>
            <w:hideMark/>
          </w:tcPr>
          <w:p w14:paraId="05FE21B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968" w:type="dxa"/>
            <w:tcBorders>
              <w:top w:val="nil"/>
              <w:left w:val="nil"/>
              <w:bottom w:val="single" w:sz="4" w:space="0" w:color="auto"/>
              <w:right w:val="single" w:sz="4" w:space="0" w:color="auto"/>
            </w:tcBorders>
            <w:shd w:val="clear" w:color="auto" w:fill="auto"/>
            <w:vAlign w:val="center"/>
            <w:hideMark/>
          </w:tcPr>
          <w:p w14:paraId="0160395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638523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w:t>
            </w:r>
          </w:p>
        </w:tc>
        <w:tc>
          <w:tcPr>
            <w:tcW w:w="1488" w:type="dxa"/>
            <w:tcBorders>
              <w:top w:val="nil"/>
              <w:left w:val="nil"/>
              <w:bottom w:val="single" w:sz="4" w:space="0" w:color="auto"/>
              <w:right w:val="single" w:sz="4" w:space="0" w:color="auto"/>
            </w:tcBorders>
            <w:shd w:val="clear" w:color="auto" w:fill="auto"/>
            <w:vAlign w:val="center"/>
            <w:hideMark/>
          </w:tcPr>
          <w:p w14:paraId="05B5EEC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w:t>
            </w:r>
          </w:p>
        </w:tc>
        <w:tc>
          <w:tcPr>
            <w:tcW w:w="1374" w:type="dxa"/>
            <w:tcBorders>
              <w:top w:val="nil"/>
              <w:left w:val="nil"/>
              <w:bottom w:val="single" w:sz="4" w:space="0" w:color="auto"/>
              <w:right w:val="single" w:sz="4" w:space="0" w:color="auto"/>
            </w:tcBorders>
            <w:shd w:val="clear" w:color="auto" w:fill="auto"/>
            <w:vAlign w:val="center"/>
            <w:hideMark/>
          </w:tcPr>
          <w:p w14:paraId="2F96FCB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w:t>
            </w:r>
          </w:p>
        </w:tc>
        <w:tc>
          <w:tcPr>
            <w:tcW w:w="1133" w:type="dxa"/>
            <w:tcBorders>
              <w:top w:val="nil"/>
              <w:left w:val="nil"/>
              <w:bottom w:val="single" w:sz="4" w:space="0" w:color="auto"/>
              <w:right w:val="single" w:sz="4" w:space="0" w:color="auto"/>
            </w:tcBorders>
            <w:shd w:val="clear" w:color="auto" w:fill="auto"/>
            <w:vAlign w:val="center"/>
            <w:hideMark/>
          </w:tcPr>
          <w:p w14:paraId="4E692AC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306" w:type="dxa"/>
            <w:tcBorders>
              <w:top w:val="nil"/>
              <w:left w:val="nil"/>
              <w:bottom w:val="single" w:sz="4" w:space="0" w:color="auto"/>
              <w:right w:val="single" w:sz="4" w:space="0" w:color="auto"/>
            </w:tcBorders>
            <w:shd w:val="clear" w:color="auto" w:fill="auto"/>
            <w:vAlign w:val="center"/>
            <w:hideMark/>
          </w:tcPr>
          <w:p w14:paraId="339B06A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24</w:t>
            </w:r>
          </w:p>
        </w:tc>
      </w:tr>
      <w:tr w:rsidR="00BC17A3" w:rsidRPr="00A546AD" w14:paraId="50AC1F6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D97E1D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Germany</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6BEE49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22</w:t>
            </w:r>
          </w:p>
        </w:tc>
        <w:tc>
          <w:tcPr>
            <w:tcW w:w="1126" w:type="dxa"/>
            <w:tcBorders>
              <w:top w:val="nil"/>
              <w:left w:val="nil"/>
              <w:bottom w:val="single" w:sz="4" w:space="0" w:color="auto"/>
              <w:right w:val="single" w:sz="4" w:space="0" w:color="auto"/>
            </w:tcBorders>
            <w:shd w:val="clear" w:color="auto" w:fill="auto"/>
            <w:vAlign w:val="center"/>
            <w:hideMark/>
          </w:tcPr>
          <w:p w14:paraId="1453803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125</w:t>
            </w:r>
          </w:p>
        </w:tc>
        <w:tc>
          <w:tcPr>
            <w:tcW w:w="1199" w:type="dxa"/>
            <w:tcBorders>
              <w:top w:val="nil"/>
              <w:left w:val="nil"/>
              <w:bottom w:val="single" w:sz="4" w:space="0" w:color="auto"/>
              <w:right w:val="single" w:sz="4" w:space="0" w:color="auto"/>
            </w:tcBorders>
            <w:shd w:val="clear" w:color="auto" w:fill="auto"/>
            <w:vAlign w:val="center"/>
            <w:hideMark/>
          </w:tcPr>
          <w:p w14:paraId="6269B8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30</w:t>
            </w:r>
          </w:p>
        </w:tc>
        <w:tc>
          <w:tcPr>
            <w:tcW w:w="1321" w:type="dxa"/>
            <w:tcBorders>
              <w:top w:val="nil"/>
              <w:left w:val="nil"/>
              <w:bottom w:val="single" w:sz="4" w:space="0" w:color="auto"/>
              <w:right w:val="single" w:sz="4" w:space="0" w:color="auto"/>
            </w:tcBorders>
            <w:shd w:val="clear" w:color="auto" w:fill="auto"/>
            <w:vAlign w:val="center"/>
            <w:hideMark/>
          </w:tcPr>
          <w:p w14:paraId="0CE4A5D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w:t>
            </w:r>
          </w:p>
        </w:tc>
        <w:tc>
          <w:tcPr>
            <w:tcW w:w="1221" w:type="dxa"/>
            <w:tcBorders>
              <w:top w:val="nil"/>
              <w:left w:val="nil"/>
              <w:bottom w:val="single" w:sz="4" w:space="0" w:color="auto"/>
              <w:right w:val="single" w:sz="4" w:space="0" w:color="auto"/>
            </w:tcBorders>
            <w:shd w:val="clear" w:color="auto" w:fill="auto"/>
            <w:vAlign w:val="center"/>
            <w:hideMark/>
          </w:tcPr>
          <w:p w14:paraId="3ABAD02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w:t>
            </w:r>
          </w:p>
        </w:tc>
        <w:tc>
          <w:tcPr>
            <w:tcW w:w="968" w:type="dxa"/>
            <w:tcBorders>
              <w:top w:val="nil"/>
              <w:left w:val="nil"/>
              <w:bottom w:val="single" w:sz="4" w:space="0" w:color="auto"/>
              <w:right w:val="single" w:sz="4" w:space="0" w:color="auto"/>
            </w:tcBorders>
            <w:shd w:val="clear" w:color="auto" w:fill="auto"/>
            <w:vAlign w:val="center"/>
            <w:hideMark/>
          </w:tcPr>
          <w:p w14:paraId="2BCFE74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61E8150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488" w:type="dxa"/>
            <w:tcBorders>
              <w:top w:val="nil"/>
              <w:left w:val="nil"/>
              <w:bottom w:val="single" w:sz="4" w:space="0" w:color="auto"/>
              <w:right w:val="single" w:sz="4" w:space="0" w:color="auto"/>
            </w:tcBorders>
            <w:shd w:val="clear" w:color="auto" w:fill="auto"/>
            <w:vAlign w:val="center"/>
            <w:hideMark/>
          </w:tcPr>
          <w:p w14:paraId="1F7AF0D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w:t>
            </w:r>
          </w:p>
        </w:tc>
        <w:tc>
          <w:tcPr>
            <w:tcW w:w="1374" w:type="dxa"/>
            <w:tcBorders>
              <w:top w:val="nil"/>
              <w:left w:val="nil"/>
              <w:bottom w:val="single" w:sz="4" w:space="0" w:color="auto"/>
              <w:right w:val="single" w:sz="4" w:space="0" w:color="auto"/>
            </w:tcBorders>
            <w:shd w:val="clear" w:color="auto" w:fill="auto"/>
            <w:vAlign w:val="center"/>
            <w:hideMark/>
          </w:tcPr>
          <w:p w14:paraId="4A76B01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42</w:t>
            </w:r>
          </w:p>
        </w:tc>
        <w:tc>
          <w:tcPr>
            <w:tcW w:w="1133" w:type="dxa"/>
            <w:tcBorders>
              <w:top w:val="nil"/>
              <w:left w:val="nil"/>
              <w:bottom w:val="single" w:sz="4" w:space="0" w:color="auto"/>
              <w:right w:val="single" w:sz="4" w:space="0" w:color="auto"/>
            </w:tcBorders>
            <w:shd w:val="clear" w:color="auto" w:fill="auto"/>
            <w:vAlign w:val="center"/>
            <w:hideMark/>
          </w:tcPr>
          <w:p w14:paraId="464E347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w:t>
            </w:r>
          </w:p>
        </w:tc>
        <w:tc>
          <w:tcPr>
            <w:tcW w:w="306" w:type="dxa"/>
            <w:tcBorders>
              <w:top w:val="nil"/>
              <w:left w:val="nil"/>
              <w:bottom w:val="single" w:sz="4" w:space="0" w:color="auto"/>
              <w:right w:val="single" w:sz="4" w:space="0" w:color="auto"/>
            </w:tcBorders>
            <w:shd w:val="clear" w:color="auto" w:fill="auto"/>
            <w:vAlign w:val="center"/>
            <w:hideMark/>
          </w:tcPr>
          <w:p w14:paraId="4140092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r>
      <w:tr w:rsidR="00BC17A3" w:rsidRPr="00A546AD" w14:paraId="179032D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63D33B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Canada</w:t>
            </w:r>
          </w:p>
        </w:tc>
        <w:tc>
          <w:tcPr>
            <w:tcW w:w="802" w:type="dxa"/>
            <w:tcBorders>
              <w:top w:val="nil"/>
              <w:left w:val="nil"/>
              <w:bottom w:val="single" w:sz="4" w:space="0" w:color="auto"/>
              <w:right w:val="single" w:sz="4" w:space="0" w:color="auto"/>
            </w:tcBorders>
            <w:shd w:val="clear" w:color="auto" w:fill="auto"/>
            <w:vAlign w:val="center"/>
            <w:hideMark/>
          </w:tcPr>
          <w:p w14:paraId="24F4EA8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23</w:t>
            </w:r>
          </w:p>
        </w:tc>
        <w:tc>
          <w:tcPr>
            <w:tcW w:w="1126" w:type="dxa"/>
            <w:tcBorders>
              <w:top w:val="nil"/>
              <w:left w:val="nil"/>
              <w:bottom w:val="single" w:sz="4" w:space="0" w:color="auto"/>
              <w:right w:val="single" w:sz="4" w:space="0" w:color="auto"/>
            </w:tcBorders>
            <w:shd w:val="clear" w:color="auto" w:fill="auto"/>
            <w:vAlign w:val="center"/>
            <w:hideMark/>
          </w:tcPr>
          <w:p w14:paraId="62D57BE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w:t>
            </w:r>
          </w:p>
        </w:tc>
        <w:tc>
          <w:tcPr>
            <w:tcW w:w="1199" w:type="dxa"/>
            <w:tcBorders>
              <w:top w:val="nil"/>
              <w:left w:val="nil"/>
              <w:bottom w:val="single" w:sz="4" w:space="0" w:color="auto"/>
              <w:right w:val="single" w:sz="4" w:space="0" w:color="auto"/>
            </w:tcBorders>
            <w:shd w:val="clear" w:color="auto" w:fill="auto"/>
            <w:vAlign w:val="center"/>
            <w:hideMark/>
          </w:tcPr>
          <w:p w14:paraId="3300393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w:t>
            </w:r>
          </w:p>
        </w:tc>
        <w:tc>
          <w:tcPr>
            <w:tcW w:w="1321" w:type="dxa"/>
            <w:tcBorders>
              <w:top w:val="nil"/>
              <w:left w:val="nil"/>
              <w:bottom w:val="single" w:sz="4" w:space="0" w:color="auto"/>
              <w:right w:val="single" w:sz="4" w:space="0" w:color="auto"/>
            </w:tcBorders>
            <w:shd w:val="clear" w:color="auto" w:fill="auto"/>
            <w:vAlign w:val="center"/>
            <w:hideMark/>
          </w:tcPr>
          <w:p w14:paraId="2A9FF8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124</w:t>
            </w:r>
          </w:p>
        </w:tc>
        <w:tc>
          <w:tcPr>
            <w:tcW w:w="1221" w:type="dxa"/>
            <w:tcBorders>
              <w:top w:val="nil"/>
              <w:left w:val="nil"/>
              <w:bottom w:val="single" w:sz="4" w:space="0" w:color="auto"/>
              <w:right w:val="single" w:sz="4" w:space="0" w:color="auto"/>
            </w:tcBorders>
            <w:shd w:val="clear" w:color="auto" w:fill="auto"/>
            <w:vAlign w:val="center"/>
            <w:hideMark/>
          </w:tcPr>
          <w:p w14:paraId="560A5AB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36</w:t>
            </w:r>
          </w:p>
        </w:tc>
        <w:tc>
          <w:tcPr>
            <w:tcW w:w="968" w:type="dxa"/>
            <w:tcBorders>
              <w:top w:val="nil"/>
              <w:left w:val="nil"/>
              <w:bottom w:val="single" w:sz="4" w:space="0" w:color="auto"/>
              <w:right w:val="single" w:sz="4" w:space="0" w:color="auto"/>
            </w:tcBorders>
            <w:shd w:val="clear" w:color="auto" w:fill="auto"/>
            <w:vAlign w:val="center"/>
            <w:hideMark/>
          </w:tcPr>
          <w:p w14:paraId="6646241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246" w:type="dxa"/>
            <w:tcBorders>
              <w:top w:val="nil"/>
              <w:left w:val="nil"/>
              <w:bottom w:val="single" w:sz="4" w:space="0" w:color="auto"/>
              <w:right w:val="single" w:sz="4" w:space="0" w:color="auto"/>
            </w:tcBorders>
            <w:shd w:val="clear" w:color="auto" w:fill="auto"/>
            <w:vAlign w:val="center"/>
            <w:hideMark/>
          </w:tcPr>
          <w:p w14:paraId="2BE4A1B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c>
          <w:tcPr>
            <w:tcW w:w="1488" w:type="dxa"/>
            <w:tcBorders>
              <w:top w:val="nil"/>
              <w:left w:val="nil"/>
              <w:bottom w:val="single" w:sz="4" w:space="0" w:color="auto"/>
              <w:right w:val="single" w:sz="4" w:space="0" w:color="auto"/>
            </w:tcBorders>
            <w:shd w:val="clear" w:color="auto" w:fill="auto"/>
            <w:vAlign w:val="center"/>
            <w:hideMark/>
          </w:tcPr>
          <w:p w14:paraId="7D1CA4E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w:t>
            </w:r>
          </w:p>
        </w:tc>
        <w:tc>
          <w:tcPr>
            <w:tcW w:w="1374" w:type="dxa"/>
            <w:tcBorders>
              <w:top w:val="nil"/>
              <w:left w:val="nil"/>
              <w:bottom w:val="single" w:sz="4" w:space="0" w:color="auto"/>
              <w:right w:val="single" w:sz="4" w:space="0" w:color="auto"/>
            </w:tcBorders>
            <w:shd w:val="clear" w:color="auto" w:fill="auto"/>
            <w:vAlign w:val="center"/>
            <w:hideMark/>
          </w:tcPr>
          <w:p w14:paraId="4EEEE6F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1133" w:type="dxa"/>
            <w:tcBorders>
              <w:top w:val="nil"/>
              <w:left w:val="nil"/>
              <w:bottom w:val="single" w:sz="4" w:space="0" w:color="auto"/>
              <w:right w:val="single" w:sz="4" w:space="0" w:color="auto"/>
            </w:tcBorders>
            <w:shd w:val="clear" w:color="auto" w:fill="auto"/>
            <w:vAlign w:val="center"/>
            <w:hideMark/>
          </w:tcPr>
          <w:p w14:paraId="3E1F82A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w:t>
            </w:r>
          </w:p>
        </w:tc>
        <w:tc>
          <w:tcPr>
            <w:tcW w:w="306" w:type="dxa"/>
            <w:tcBorders>
              <w:top w:val="nil"/>
              <w:left w:val="nil"/>
              <w:bottom w:val="single" w:sz="4" w:space="0" w:color="auto"/>
              <w:right w:val="single" w:sz="4" w:space="0" w:color="auto"/>
            </w:tcBorders>
            <w:shd w:val="clear" w:color="auto" w:fill="auto"/>
            <w:vAlign w:val="center"/>
            <w:hideMark/>
          </w:tcPr>
          <w:p w14:paraId="59E3E9E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r>
      <w:tr w:rsidR="00BC17A3" w:rsidRPr="00A546AD" w14:paraId="254CCD83"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1FAE3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Ireland</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105FC8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24</w:t>
            </w:r>
          </w:p>
        </w:tc>
        <w:tc>
          <w:tcPr>
            <w:tcW w:w="1126" w:type="dxa"/>
            <w:tcBorders>
              <w:top w:val="nil"/>
              <w:left w:val="nil"/>
              <w:bottom w:val="single" w:sz="4" w:space="0" w:color="auto"/>
              <w:right w:val="single" w:sz="4" w:space="0" w:color="auto"/>
            </w:tcBorders>
            <w:shd w:val="clear" w:color="auto" w:fill="auto"/>
            <w:vAlign w:val="center"/>
            <w:hideMark/>
          </w:tcPr>
          <w:p w14:paraId="3DB6425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23</w:t>
            </w:r>
          </w:p>
        </w:tc>
        <w:tc>
          <w:tcPr>
            <w:tcW w:w="1199" w:type="dxa"/>
            <w:tcBorders>
              <w:top w:val="nil"/>
              <w:left w:val="nil"/>
              <w:bottom w:val="single" w:sz="4" w:space="0" w:color="auto"/>
              <w:right w:val="single" w:sz="4" w:space="0" w:color="auto"/>
            </w:tcBorders>
            <w:shd w:val="clear" w:color="auto" w:fill="auto"/>
            <w:vAlign w:val="center"/>
            <w:hideMark/>
          </w:tcPr>
          <w:p w14:paraId="141C591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36</w:t>
            </w:r>
          </w:p>
        </w:tc>
        <w:tc>
          <w:tcPr>
            <w:tcW w:w="1321" w:type="dxa"/>
            <w:tcBorders>
              <w:top w:val="nil"/>
              <w:left w:val="nil"/>
              <w:bottom w:val="single" w:sz="4" w:space="0" w:color="auto"/>
              <w:right w:val="single" w:sz="4" w:space="0" w:color="auto"/>
            </w:tcBorders>
            <w:shd w:val="clear" w:color="auto" w:fill="auto"/>
            <w:vAlign w:val="center"/>
            <w:hideMark/>
          </w:tcPr>
          <w:p w14:paraId="1E921AB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21" w:type="dxa"/>
            <w:tcBorders>
              <w:top w:val="nil"/>
              <w:left w:val="nil"/>
              <w:bottom w:val="single" w:sz="4" w:space="0" w:color="auto"/>
              <w:right w:val="single" w:sz="4" w:space="0" w:color="auto"/>
            </w:tcBorders>
            <w:shd w:val="clear" w:color="auto" w:fill="auto"/>
            <w:vAlign w:val="center"/>
            <w:hideMark/>
          </w:tcPr>
          <w:p w14:paraId="661714F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w:t>
            </w:r>
          </w:p>
        </w:tc>
        <w:tc>
          <w:tcPr>
            <w:tcW w:w="968" w:type="dxa"/>
            <w:tcBorders>
              <w:top w:val="nil"/>
              <w:left w:val="nil"/>
              <w:bottom w:val="single" w:sz="4" w:space="0" w:color="auto"/>
              <w:right w:val="single" w:sz="4" w:space="0" w:color="auto"/>
            </w:tcBorders>
            <w:shd w:val="clear" w:color="auto" w:fill="auto"/>
            <w:vAlign w:val="center"/>
            <w:hideMark/>
          </w:tcPr>
          <w:p w14:paraId="1E8C8D6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1119159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c>
          <w:tcPr>
            <w:tcW w:w="1488" w:type="dxa"/>
            <w:tcBorders>
              <w:top w:val="nil"/>
              <w:left w:val="nil"/>
              <w:bottom w:val="single" w:sz="4" w:space="0" w:color="auto"/>
              <w:right w:val="single" w:sz="4" w:space="0" w:color="auto"/>
            </w:tcBorders>
            <w:shd w:val="clear" w:color="auto" w:fill="auto"/>
            <w:vAlign w:val="center"/>
            <w:hideMark/>
          </w:tcPr>
          <w:p w14:paraId="0A5EEB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1374" w:type="dxa"/>
            <w:tcBorders>
              <w:top w:val="nil"/>
              <w:left w:val="nil"/>
              <w:bottom w:val="single" w:sz="4" w:space="0" w:color="auto"/>
              <w:right w:val="single" w:sz="4" w:space="0" w:color="auto"/>
            </w:tcBorders>
            <w:shd w:val="clear" w:color="auto" w:fill="auto"/>
            <w:vAlign w:val="center"/>
            <w:hideMark/>
          </w:tcPr>
          <w:p w14:paraId="7670C73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52</w:t>
            </w:r>
          </w:p>
        </w:tc>
        <w:tc>
          <w:tcPr>
            <w:tcW w:w="1133" w:type="dxa"/>
            <w:tcBorders>
              <w:top w:val="nil"/>
              <w:left w:val="nil"/>
              <w:bottom w:val="single" w:sz="4" w:space="0" w:color="auto"/>
              <w:right w:val="single" w:sz="4" w:space="0" w:color="auto"/>
            </w:tcBorders>
            <w:shd w:val="clear" w:color="auto" w:fill="auto"/>
            <w:vAlign w:val="center"/>
            <w:hideMark/>
          </w:tcPr>
          <w:p w14:paraId="5F9810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w:t>
            </w:r>
          </w:p>
        </w:tc>
        <w:tc>
          <w:tcPr>
            <w:tcW w:w="306" w:type="dxa"/>
            <w:tcBorders>
              <w:top w:val="nil"/>
              <w:left w:val="nil"/>
              <w:bottom w:val="single" w:sz="4" w:space="0" w:color="auto"/>
              <w:right w:val="single" w:sz="4" w:space="0" w:color="auto"/>
            </w:tcBorders>
            <w:shd w:val="clear" w:color="auto" w:fill="auto"/>
            <w:vAlign w:val="center"/>
            <w:hideMark/>
          </w:tcPr>
          <w:p w14:paraId="67CC57A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w:t>
            </w:r>
          </w:p>
        </w:tc>
      </w:tr>
      <w:tr w:rsidR="00BC17A3" w:rsidRPr="00A546AD" w14:paraId="6A640BA2"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E74D48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Kazakhstan</w:t>
            </w:r>
          </w:p>
        </w:tc>
        <w:tc>
          <w:tcPr>
            <w:tcW w:w="802" w:type="dxa"/>
            <w:tcBorders>
              <w:top w:val="nil"/>
              <w:left w:val="nil"/>
              <w:bottom w:val="single" w:sz="4" w:space="0" w:color="auto"/>
              <w:right w:val="single" w:sz="4" w:space="0" w:color="auto"/>
            </w:tcBorders>
            <w:shd w:val="clear" w:color="auto" w:fill="auto"/>
            <w:vAlign w:val="center"/>
            <w:hideMark/>
          </w:tcPr>
          <w:p w14:paraId="330968B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25</w:t>
            </w:r>
          </w:p>
        </w:tc>
        <w:tc>
          <w:tcPr>
            <w:tcW w:w="1126" w:type="dxa"/>
            <w:tcBorders>
              <w:top w:val="nil"/>
              <w:left w:val="nil"/>
              <w:bottom w:val="single" w:sz="4" w:space="0" w:color="auto"/>
              <w:right w:val="single" w:sz="4" w:space="0" w:color="auto"/>
            </w:tcBorders>
            <w:shd w:val="clear" w:color="auto" w:fill="auto"/>
            <w:vAlign w:val="center"/>
            <w:hideMark/>
          </w:tcPr>
          <w:p w14:paraId="0B0377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22</w:t>
            </w:r>
          </w:p>
        </w:tc>
        <w:tc>
          <w:tcPr>
            <w:tcW w:w="1199" w:type="dxa"/>
            <w:tcBorders>
              <w:top w:val="nil"/>
              <w:left w:val="nil"/>
              <w:bottom w:val="single" w:sz="4" w:space="0" w:color="auto"/>
              <w:right w:val="single" w:sz="4" w:space="0" w:color="auto"/>
            </w:tcBorders>
            <w:shd w:val="clear" w:color="auto" w:fill="auto"/>
            <w:vAlign w:val="center"/>
            <w:hideMark/>
          </w:tcPr>
          <w:p w14:paraId="1F187B5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321" w:type="dxa"/>
            <w:tcBorders>
              <w:top w:val="nil"/>
              <w:left w:val="nil"/>
              <w:bottom w:val="single" w:sz="4" w:space="0" w:color="auto"/>
              <w:right w:val="single" w:sz="4" w:space="0" w:color="auto"/>
            </w:tcBorders>
            <w:shd w:val="clear" w:color="auto" w:fill="auto"/>
            <w:vAlign w:val="center"/>
            <w:hideMark/>
          </w:tcPr>
          <w:p w14:paraId="0941BB5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w:t>
            </w:r>
          </w:p>
        </w:tc>
        <w:tc>
          <w:tcPr>
            <w:tcW w:w="1221" w:type="dxa"/>
            <w:tcBorders>
              <w:top w:val="nil"/>
              <w:left w:val="nil"/>
              <w:bottom w:val="single" w:sz="4" w:space="0" w:color="auto"/>
              <w:right w:val="single" w:sz="4" w:space="0" w:color="auto"/>
            </w:tcBorders>
            <w:shd w:val="clear" w:color="auto" w:fill="auto"/>
            <w:vAlign w:val="center"/>
            <w:hideMark/>
          </w:tcPr>
          <w:p w14:paraId="39BBB0B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24</w:t>
            </w:r>
          </w:p>
        </w:tc>
        <w:tc>
          <w:tcPr>
            <w:tcW w:w="968" w:type="dxa"/>
            <w:tcBorders>
              <w:top w:val="nil"/>
              <w:left w:val="nil"/>
              <w:bottom w:val="single" w:sz="4" w:space="0" w:color="auto"/>
              <w:right w:val="single" w:sz="4" w:space="0" w:color="auto"/>
            </w:tcBorders>
            <w:shd w:val="clear" w:color="auto" w:fill="auto"/>
            <w:vAlign w:val="center"/>
            <w:hideMark/>
          </w:tcPr>
          <w:p w14:paraId="7076853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0DE06B3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c>
          <w:tcPr>
            <w:tcW w:w="1488" w:type="dxa"/>
            <w:tcBorders>
              <w:top w:val="nil"/>
              <w:left w:val="nil"/>
              <w:bottom w:val="single" w:sz="4" w:space="0" w:color="auto"/>
              <w:right w:val="single" w:sz="4" w:space="0" w:color="auto"/>
            </w:tcBorders>
            <w:shd w:val="clear" w:color="auto" w:fill="auto"/>
            <w:vAlign w:val="center"/>
            <w:hideMark/>
          </w:tcPr>
          <w:p w14:paraId="757CE7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w:t>
            </w:r>
          </w:p>
        </w:tc>
        <w:tc>
          <w:tcPr>
            <w:tcW w:w="1374" w:type="dxa"/>
            <w:tcBorders>
              <w:top w:val="nil"/>
              <w:left w:val="nil"/>
              <w:bottom w:val="single" w:sz="4" w:space="0" w:color="auto"/>
              <w:right w:val="single" w:sz="4" w:space="0" w:color="auto"/>
            </w:tcBorders>
            <w:shd w:val="clear" w:color="auto" w:fill="auto"/>
            <w:vAlign w:val="center"/>
            <w:hideMark/>
          </w:tcPr>
          <w:p w14:paraId="53D87B9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1133" w:type="dxa"/>
            <w:tcBorders>
              <w:top w:val="nil"/>
              <w:left w:val="nil"/>
              <w:bottom w:val="single" w:sz="4" w:space="0" w:color="auto"/>
              <w:right w:val="single" w:sz="4" w:space="0" w:color="auto"/>
            </w:tcBorders>
            <w:shd w:val="clear" w:color="auto" w:fill="auto"/>
            <w:vAlign w:val="center"/>
            <w:hideMark/>
          </w:tcPr>
          <w:p w14:paraId="330AAD4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306" w:type="dxa"/>
            <w:tcBorders>
              <w:top w:val="nil"/>
              <w:left w:val="nil"/>
              <w:bottom w:val="single" w:sz="4" w:space="0" w:color="auto"/>
              <w:right w:val="single" w:sz="4" w:space="0" w:color="auto"/>
            </w:tcBorders>
            <w:shd w:val="clear" w:color="auto" w:fill="auto"/>
            <w:vAlign w:val="center"/>
            <w:hideMark/>
          </w:tcPr>
          <w:p w14:paraId="3BA6003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42</w:t>
            </w:r>
          </w:p>
        </w:tc>
      </w:tr>
      <w:tr w:rsidR="00BC17A3" w:rsidRPr="00A546AD" w14:paraId="0C25CE8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B1F402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Iceland</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8EC42F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26</w:t>
            </w:r>
          </w:p>
        </w:tc>
        <w:tc>
          <w:tcPr>
            <w:tcW w:w="1126" w:type="dxa"/>
            <w:tcBorders>
              <w:top w:val="nil"/>
              <w:left w:val="nil"/>
              <w:bottom w:val="single" w:sz="4" w:space="0" w:color="auto"/>
              <w:right w:val="single" w:sz="4" w:space="0" w:color="auto"/>
            </w:tcBorders>
            <w:shd w:val="clear" w:color="auto" w:fill="auto"/>
            <w:vAlign w:val="center"/>
            <w:hideMark/>
          </w:tcPr>
          <w:p w14:paraId="3AD2368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w:t>
            </w:r>
          </w:p>
        </w:tc>
        <w:tc>
          <w:tcPr>
            <w:tcW w:w="1199" w:type="dxa"/>
            <w:tcBorders>
              <w:top w:val="nil"/>
              <w:left w:val="nil"/>
              <w:bottom w:val="single" w:sz="4" w:space="0" w:color="auto"/>
              <w:right w:val="single" w:sz="4" w:space="0" w:color="auto"/>
            </w:tcBorders>
            <w:shd w:val="clear" w:color="auto" w:fill="auto"/>
            <w:vAlign w:val="center"/>
            <w:hideMark/>
          </w:tcPr>
          <w:p w14:paraId="2D81C9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321" w:type="dxa"/>
            <w:tcBorders>
              <w:top w:val="nil"/>
              <w:left w:val="nil"/>
              <w:bottom w:val="single" w:sz="4" w:space="0" w:color="auto"/>
              <w:right w:val="single" w:sz="4" w:space="0" w:color="auto"/>
            </w:tcBorders>
            <w:shd w:val="clear" w:color="auto" w:fill="auto"/>
            <w:vAlign w:val="center"/>
            <w:hideMark/>
          </w:tcPr>
          <w:p w14:paraId="6729ABF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w:t>
            </w:r>
          </w:p>
        </w:tc>
        <w:tc>
          <w:tcPr>
            <w:tcW w:w="1221" w:type="dxa"/>
            <w:tcBorders>
              <w:top w:val="nil"/>
              <w:left w:val="nil"/>
              <w:bottom w:val="single" w:sz="4" w:space="0" w:color="auto"/>
              <w:right w:val="single" w:sz="4" w:space="0" w:color="auto"/>
            </w:tcBorders>
            <w:shd w:val="clear" w:color="auto" w:fill="auto"/>
            <w:vAlign w:val="center"/>
            <w:hideMark/>
          </w:tcPr>
          <w:p w14:paraId="44B7725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w:t>
            </w:r>
          </w:p>
        </w:tc>
        <w:tc>
          <w:tcPr>
            <w:tcW w:w="968" w:type="dxa"/>
            <w:tcBorders>
              <w:top w:val="nil"/>
              <w:left w:val="nil"/>
              <w:bottom w:val="single" w:sz="4" w:space="0" w:color="auto"/>
              <w:right w:val="single" w:sz="4" w:space="0" w:color="auto"/>
            </w:tcBorders>
            <w:shd w:val="clear" w:color="auto" w:fill="auto"/>
            <w:vAlign w:val="center"/>
            <w:hideMark/>
          </w:tcPr>
          <w:p w14:paraId="4CAAF36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5548E1A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488" w:type="dxa"/>
            <w:tcBorders>
              <w:top w:val="nil"/>
              <w:left w:val="nil"/>
              <w:bottom w:val="single" w:sz="4" w:space="0" w:color="auto"/>
              <w:right w:val="single" w:sz="4" w:space="0" w:color="auto"/>
            </w:tcBorders>
            <w:shd w:val="clear" w:color="auto" w:fill="auto"/>
            <w:vAlign w:val="center"/>
            <w:hideMark/>
          </w:tcPr>
          <w:p w14:paraId="6804B9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w:t>
            </w:r>
          </w:p>
        </w:tc>
        <w:tc>
          <w:tcPr>
            <w:tcW w:w="1374" w:type="dxa"/>
            <w:tcBorders>
              <w:top w:val="nil"/>
              <w:left w:val="nil"/>
              <w:bottom w:val="single" w:sz="4" w:space="0" w:color="auto"/>
              <w:right w:val="single" w:sz="4" w:space="0" w:color="auto"/>
            </w:tcBorders>
            <w:shd w:val="clear" w:color="auto" w:fill="auto"/>
            <w:vAlign w:val="center"/>
            <w:hideMark/>
          </w:tcPr>
          <w:p w14:paraId="1841BFF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w:t>
            </w:r>
          </w:p>
        </w:tc>
        <w:tc>
          <w:tcPr>
            <w:tcW w:w="1133" w:type="dxa"/>
            <w:tcBorders>
              <w:top w:val="nil"/>
              <w:left w:val="nil"/>
              <w:bottom w:val="single" w:sz="4" w:space="0" w:color="auto"/>
              <w:right w:val="single" w:sz="4" w:space="0" w:color="auto"/>
            </w:tcBorders>
            <w:shd w:val="clear" w:color="auto" w:fill="auto"/>
            <w:vAlign w:val="center"/>
            <w:hideMark/>
          </w:tcPr>
          <w:p w14:paraId="2D6DD9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33</w:t>
            </w:r>
          </w:p>
        </w:tc>
        <w:tc>
          <w:tcPr>
            <w:tcW w:w="306" w:type="dxa"/>
            <w:tcBorders>
              <w:top w:val="nil"/>
              <w:left w:val="nil"/>
              <w:bottom w:val="single" w:sz="4" w:space="0" w:color="auto"/>
              <w:right w:val="single" w:sz="4" w:space="0" w:color="auto"/>
            </w:tcBorders>
            <w:shd w:val="clear" w:color="auto" w:fill="auto"/>
            <w:vAlign w:val="center"/>
            <w:hideMark/>
          </w:tcPr>
          <w:p w14:paraId="6A2E454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w:t>
            </w:r>
          </w:p>
        </w:tc>
      </w:tr>
      <w:tr w:rsidR="00BC17A3" w:rsidRPr="00A546AD" w14:paraId="2AE97B7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16FE66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Austria</w:t>
            </w:r>
          </w:p>
        </w:tc>
        <w:tc>
          <w:tcPr>
            <w:tcW w:w="802" w:type="dxa"/>
            <w:tcBorders>
              <w:top w:val="nil"/>
              <w:left w:val="nil"/>
              <w:bottom w:val="single" w:sz="4" w:space="0" w:color="auto"/>
              <w:right w:val="single" w:sz="4" w:space="0" w:color="auto"/>
            </w:tcBorders>
            <w:shd w:val="clear" w:color="auto" w:fill="auto"/>
            <w:vAlign w:val="center"/>
            <w:hideMark/>
          </w:tcPr>
          <w:p w14:paraId="5CE7F34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27</w:t>
            </w:r>
          </w:p>
        </w:tc>
        <w:tc>
          <w:tcPr>
            <w:tcW w:w="1126" w:type="dxa"/>
            <w:tcBorders>
              <w:top w:val="nil"/>
              <w:left w:val="nil"/>
              <w:bottom w:val="single" w:sz="4" w:space="0" w:color="auto"/>
              <w:right w:val="single" w:sz="4" w:space="0" w:color="auto"/>
            </w:tcBorders>
            <w:shd w:val="clear" w:color="auto" w:fill="auto"/>
            <w:vAlign w:val="center"/>
            <w:hideMark/>
          </w:tcPr>
          <w:p w14:paraId="496E06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127</w:t>
            </w:r>
          </w:p>
        </w:tc>
        <w:tc>
          <w:tcPr>
            <w:tcW w:w="1199" w:type="dxa"/>
            <w:tcBorders>
              <w:top w:val="nil"/>
              <w:left w:val="nil"/>
              <w:bottom w:val="single" w:sz="4" w:space="0" w:color="auto"/>
              <w:right w:val="single" w:sz="4" w:space="0" w:color="auto"/>
            </w:tcBorders>
            <w:shd w:val="clear" w:color="auto" w:fill="auto"/>
            <w:vAlign w:val="center"/>
            <w:hideMark/>
          </w:tcPr>
          <w:p w14:paraId="1CF761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w:t>
            </w:r>
          </w:p>
        </w:tc>
        <w:tc>
          <w:tcPr>
            <w:tcW w:w="1321" w:type="dxa"/>
            <w:tcBorders>
              <w:top w:val="nil"/>
              <w:left w:val="nil"/>
              <w:bottom w:val="single" w:sz="4" w:space="0" w:color="auto"/>
              <w:right w:val="single" w:sz="4" w:space="0" w:color="auto"/>
            </w:tcBorders>
            <w:shd w:val="clear" w:color="auto" w:fill="auto"/>
            <w:vAlign w:val="center"/>
            <w:hideMark/>
          </w:tcPr>
          <w:p w14:paraId="5958B09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29</w:t>
            </w:r>
          </w:p>
        </w:tc>
        <w:tc>
          <w:tcPr>
            <w:tcW w:w="1221" w:type="dxa"/>
            <w:tcBorders>
              <w:top w:val="nil"/>
              <w:left w:val="nil"/>
              <w:bottom w:val="single" w:sz="4" w:space="0" w:color="auto"/>
              <w:right w:val="single" w:sz="4" w:space="0" w:color="auto"/>
            </w:tcBorders>
            <w:shd w:val="clear" w:color="auto" w:fill="auto"/>
            <w:vAlign w:val="center"/>
            <w:hideMark/>
          </w:tcPr>
          <w:p w14:paraId="3A7AE97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31</w:t>
            </w:r>
          </w:p>
        </w:tc>
        <w:tc>
          <w:tcPr>
            <w:tcW w:w="968" w:type="dxa"/>
            <w:tcBorders>
              <w:top w:val="nil"/>
              <w:left w:val="nil"/>
              <w:bottom w:val="single" w:sz="4" w:space="0" w:color="auto"/>
              <w:right w:val="single" w:sz="4" w:space="0" w:color="auto"/>
            </w:tcBorders>
            <w:shd w:val="clear" w:color="auto" w:fill="auto"/>
            <w:vAlign w:val="center"/>
            <w:hideMark/>
          </w:tcPr>
          <w:p w14:paraId="185A7F6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62D7373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488" w:type="dxa"/>
            <w:tcBorders>
              <w:top w:val="nil"/>
              <w:left w:val="nil"/>
              <w:bottom w:val="single" w:sz="4" w:space="0" w:color="auto"/>
              <w:right w:val="single" w:sz="4" w:space="0" w:color="auto"/>
            </w:tcBorders>
            <w:shd w:val="clear" w:color="auto" w:fill="auto"/>
            <w:vAlign w:val="center"/>
            <w:hideMark/>
          </w:tcPr>
          <w:p w14:paraId="756EF34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44</w:t>
            </w:r>
          </w:p>
        </w:tc>
        <w:tc>
          <w:tcPr>
            <w:tcW w:w="1374" w:type="dxa"/>
            <w:tcBorders>
              <w:top w:val="nil"/>
              <w:left w:val="nil"/>
              <w:bottom w:val="single" w:sz="4" w:space="0" w:color="auto"/>
              <w:right w:val="single" w:sz="4" w:space="0" w:color="auto"/>
            </w:tcBorders>
            <w:shd w:val="clear" w:color="auto" w:fill="auto"/>
            <w:vAlign w:val="center"/>
            <w:hideMark/>
          </w:tcPr>
          <w:p w14:paraId="3C78D08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01E39E5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w:t>
            </w:r>
          </w:p>
        </w:tc>
        <w:tc>
          <w:tcPr>
            <w:tcW w:w="306" w:type="dxa"/>
            <w:tcBorders>
              <w:top w:val="nil"/>
              <w:left w:val="nil"/>
              <w:bottom w:val="single" w:sz="4" w:space="0" w:color="auto"/>
              <w:right w:val="single" w:sz="4" w:space="0" w:color="auto"/>
            </w:tcBorders>
            <w:shd w:val="clear" w:color="auto" w:fill="auto"/>
            <w:vAlign w:val="center"/>
            <w:hideMark/>
          </w:tcPr>
          <w:p w14:paraId="143E08E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22</w:t>
            </w:r>
          </w:p>
        </w:tc>
      </w:tr>
      <w:tr w:rsidR="00BC17A3" w:rsidRPr="00A546AD" w14:paraId="1ECF4324"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A31548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Azerbaijan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184748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28</w:t>
            </w:r>
          </w:p>
        </w:tc>
        <w:tc>
          <w:tcPr>
            <w:tcW w:w="1126" w:type="dxa"/>
            <w:tcBorders>
              <w:top w:val="nil"/>
              <w:left w:val="nil"/>
              <w:bottom w:val="single" w:sz="4" w:space="0" w:color="auto"/>
              <w:right w:val="single" w:sz="4" w:space="0" w:color="auto"/>
            </w:tcBorders>
            <w:shd w:val="clear" w:color="auto" w:fill="auto"/>
            <w:vAlign w:val="center"/>
            <w:hideMark/>
          </w:tcPr>
          <w:p w14:paraId="4177C6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w:t>
            </w:r>
          </w:p>
        </w:tc>
        <w:tc>
          <w:tcPr>
            <w:tcW w:w="1199" w:type="dxa"/>
            <w:tcBorders>
              <w:top w:val="nil"/>
              <w:left w:val="nil"/>
              <w:bottom w:val="single" w:sz="4" w:space="0" w:color="auto"/>
              <w:right w:val="single" w:sz="4" w:space="0" w:color="auto"/>
            </w:tcBorders>
            <w:shd w:val="clear" w:color="auto" w:fill="auto"/>
            <w:vAlign w:val="center"/>
            <w:hideMark/>
          </w:tcPr>
          <w:p w14:paraId="2B06D35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w:t>
            </w:r>
          </w:p>
        </w:tc>
        <w:tc>
          <w:tcPr>
            <w:tcW w:w="1321" w:type="dxa"/>
            <w:tcBorders>
              <w:top w:val="nil"/>
              <w:left w:val="nil"/>
              <w:bottom w:val="single" w:sz="4" w:space="0" w:color="auto"/>
              <w:right w:val="single" w:sz="4" w:space="0" w:color="auto"/>
            </w:tcBorders>
            <w:shd w:val="clear" w:color="auto" w:fill="auto"/>
            <w:vAlign w:val="center"/>
            <w:hideMark/>
          </w:tcPr>
          <w:p w14:paraId="3FE6D5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39</w:t>
            </w:r>
          </w:p>
        </w:tc>
        <w:tc>
          <w:tcPr>
            <w:tcW w:w="1221" w:type="dxa"/>
            <w:tcBorders>
              <w:top w:val="nil"/>
              <w:left w:val="nil"/>
              <w:bottom w:val="single" w:sz="4" w:space="0" w:color="auto"/>
              <w:right w:val="single" w:sz="4" w:space="0" w:color="auto"/>
            </w:tcBorders>
            <w:shd w:val="clear" w:color="auto" w:fill="auto"/>
            <w:vAlign w:val="center"/>
            <w:hideMark/>
          </w:tcPr>
          <w:p w14:paraId="15A0073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44</w:t>
            </w:r>
          </w:p>
        </w:tc>
        <w:tc>
          <w:tcPr>
            <w:tcW w:w="968" w:type="dxa"/>
            <w:tcBorders>
              <w:top w:val="nil"/>
              <w:left w:val="nil"/>
              <w:bottom w:val="single" w:sz="4" w:space="0" w:color="auto"/>
              <w:right w:val="single" w:sz="4" w:space="0" w:color="auto"/>
            </w:tcBorders>
            <w:shd w:val="clear" w:color="auto" w:fill="auto"/>
            <w:vAlign w:val="center"/>
            <w:hideMark/>
          </w:tcPr>
          <w:p w14:paraId="3742B49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246" w:type="dxa"/>
            <w:tcBorders>
              <w:top w:val="nil"/>
              <w:left w:val="nil"/>
              <w:bottom w:val="single" w:sz="4" w:space="0" w:color="auto"/>
              <w:right w:val="single" w:sz="4" w:space="0" w:color="auto"/>
            </w:tcBorders>
            <w:shd w:val="clear" w:color="auto" w:fill="auto"/>
            <w:vAlign w:val="center"/>
            <w:hideMark/>
          </w:tcPr>
          <w:p w14:paraId="15178B6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1488" w:type="dxa"/>
            <w:tcBorders>
              <w:top w:val="nil"/>
              <w:left w:val="nil"/>
              <w:bottom w:val="single" w:sz="4" w:space="0" w:color="auto"/>
              <w:right w:val="single" w:sz="4" w:space="0" w:color="auto"/>
            </w:tcBorders>
            <w:shd w:val="clear" w:color="auto" w:fill="auto"/>
            <w:vAlign w:val="center"/>
            <w:hideMark/>
          </w:tcPr>
          <w:p w14:paraId="434BDA3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39</w:t>
            </w:r>
          </w:p>
        </w:tc>
        <w:tc>
          <w:tcPr>
            <w:tcW w:w="1374" w:type="dxa"/>
            <w:tcBorders>
              <w:top w:val="nil"/>
              <w:left w:val="nil"/>
              <w:bottom w:val="single" w:sz="4" w:space="0" w:color="auto"/>
              <w:right w:val="single" w:sz="4" w:space="0" w:color="auto"/>
            </w:tcBorders>
            <w:shd w:val="clear" w:color="auto" w:fill="auto"/>
            <w:vAlign w:val="center"/>
            <w:hideMark/>
          </w:tcPr>
          <w:p w14:paraId="50003E9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w:t>
            </w:r>
          </w:p>
        </w:tc>
        <w:tc>
          <w:tcPr>
            <w:tcW w:w="1133" w:type="dxa"/>
            <w:tcBorders>
              <w:top w:val="nil"/>
              <w:left w:val="nil"/>
              <w:bottom w:val="single" w:sz="4" w:space="0" w:color="auto"/>
              <w:right w:val="single" w:sz="4" w:space="0" w:color="auto"/>
            </w:tcBorders>
            <w:shd w:val="clear" w:color="auto" w:fill="auto"/>
            <w:vAlign w:val="center"/>
            <w:hideMark/>
          </w:tcPr>
          <w:p w14:paraId="346EC87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c>
          <w:tcPr>
            <w:tcW w:w="306" w:type="dxa"/>
            <w:tcBorders>
              <w:top w:val="nil"/>
              <w:left w:val="nil"/>
              <w:bottom w:val="single" w:sz="4" w:space="0" w:color="auto"/>
              <w:right w:val="single" w:sz="4" w:space="0" w:color="auto"/>
            </w:tcBorders>
            <w:shd w:val="clear" w:color="auto" w:fill="auto"/>
            <w:vAlign w:val="center"/>
            <w:hideMark/>
          </w:tcPr>
          <w:p w14:paraId="190CE58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47</w:t>
            </w:r>
          </w:p>
        </w:tc>
      </w:tr>
      <w:tr w:rsidR="00BC17A3" w:rsidRPr="00A546AD" w14:paraId="1FC5C547"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04F8BA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Russian Federation</w:t>
            </w:r>
          </w:p>
        </w:tc>
        <w:tc>
          <w:tcPr>
            <w:tcW w:w="802" w:type="dxa"/>
            <w:tcBorders>
              <w:top w:val="nil"/>
              <w:left w:val="nil"/>
              <w:bottom w:val="single" w:sz="4" w:space="0" w:color="auto"/>
              <w:right w:val="single" w:sz="4" w:space="0" w:color="auto"/>
            </w:tcBorders>
            <w:shd w:val="clear" w:color="auto" w:fill="auto"/>
            <w:vAlign w:val="center"/>
            <w:hideMark/>
          </w:tcPr>
          <w:p w14:paraId="56AD5BC2"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29</w:t>
            </w:r>
          </w:p>
        </w:tc>
        <w:tc>
          <w:tcPr>
            <w:tcW w:w="1126" w:type="dxa"/>
            <w:tcBorders>
              <w:top w:val="nil"/>
              <w:left w:val="nil"/>
              <w:bottom w:val="single" w:sz="4" w:space="0" w:color="auto"/>
              <w:right w:val="single" w:sz="4" w:space="0" w:color="auto"/>
            </w:tcBorders>
            <w:shd w:val="clear" w:color="auto" w:fill="auto"/>
            <w:vAlign w:val="center"/>
            <w:hideMark/>
          </w:tcPr>
          <w:p w14:paraId="53A6165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39</w:t>
            </w:r>
          </w:p>
        </w:tc>
        <w:tc>
          <w:tcPr>
            <w:tcW w:w="1199" w:type="dxa"/>
            <w:tcBorders>
              <w:top w:val="nil"/>
              <w:left w:val="nil"/>
              <w:bottom w:val="single" w:sz="4" w:space="0" w:color="auto"/>
              <w:right w:val="single" w:sz="4" w:space="0" w:color="auto"/>
            </w:tcBorders>
            <w:shd w:val="clear" w:color="auto" w:fill="auto"/>
            <w:vAlign w:val="center"/>
            <w:hideMark/>
          </w:tcPr>
          <w:p w14:paraId="25B4D56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26</w:t>
            </w:r>
          </w:p>
        </w:tc>
        <w:tc>
          <w:tcPr>
            <w:tcW w:w="1321" w:type="dxa"/>
            <w:tcBorders>
              <w:top w:val="nil"/>
              <w:left w:val="nil"/>
              <w:bottom w:val="single" w:sz="4" w:space="0" w:color="auto"/>
              <w:right w:val="single" w:sz="4" w:space="0" w:color="auto"/>
            </w:tcBorders>
            <w:shd w:val="clear" w:color="auto" w:fill="auto"/>
            <w:vAlign w:val="center"/>
            <w:hideMark/>
          </w:tcPr>
          <w:p w14:paraId="256BFF0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c>
          <w:tcPr>
            <w:tcW w:w="1221" w:type="dxa"/>
            <w:tcBorders>
              <w:top w:val="nil"/>
              <w:left w:val="nil"/>
              <w:bottom w:val="single" w:sz="4" w:space="0" w:color="auto"/>
              <w:right w:val="single" w:sz="4" w:space="0" w:color="auto"/>
            </w:tcBorders>
            <w:shd w:val="clear" w:color="auto" w:fill="auto"/>
            <w:vAlign w:val="center"/>
            <w:hideMark/>
          </w:tcPr>
          <w:p w14:paraId="3B22856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w:t>
            </w:r>
          </w:p>
        </w:tc>
        <w:tc>
          <w:tcPr>
            <w:tcW w:w="968" w:type="dxa"/>
            <w:tcBorders>
              <w:top w:val="nil"/>
              <w:left w:val="nil"/>
              <w:bottom w:val="single" w:sz="4" w:space="0" w:color="auto"/>
              <w:right w:val="single" w:sz="4" w:space="0" w:color="auto"/>
            </w:tcBorders>
            <w:shd w:val="clear" w:color="auto" w:fill="auto"/>
            <w:vAlign w:val="center"/>
            <w:hideMark/>
          </w:tcPr>
          <w:p w14:paraId="3663C70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2CD7743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488" w:type="dxa"/>
            <w:tcBorders>
              <w:top w:val="nil"/>
              <w:left w:val="nil"/>
              <w:bottom w:val="single" w:sz="4" w:space="0" w:color="auto"/>
              <w:right w:val="single" w:sz="4" w:space="0" w:color="auto"/>
            </w:tcBorders>
            <w:shd w:val="clear" w:color="auto" w:fill="auto"/>
            <w:vAlign w:val="center"/>
            <w:hideMark/>
          </w:tcPr>
          <w:p w14:paraId="60925A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c>
          <w:tcPr>
            <w:tcW w:w="1374" w:type="dxa"/>
            <w:tcBorders>
              <w:top w:val="nil"/>
              <w:left w:val="nil"/>
              <w:bottom w:val="single" w:sz="4" w:space="0" w:color="auto"/>
              <w:right w:val="single" w:sz="4" w:space="0" w:color="auto"/>
            </w:tcBorders>
            <w:shd w:val="clear" w:color="auto" w:fill="auto"/>
            <w:vAlign w:val="center"/>
            <w:hideMark/>
          </w:tcPr>
          <w:p w14:paraId="69B6A34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w:t>
            </w:r>
          </w:p>
        </w:tc>
        <w:tc>
          <w:tcPr>
            <w:tcW w:w="1133" w:type="dxa"/>
            <w:tcBorders>
              <w:top w:val="nil"/>
              <w:left w:val="nil"/>
              <w:bottom w:val="single" w:sz="4" w:space="0" w:color="auto"/>
              <w:right w:val="single" w:sz="4" w:space="0" w:color="auto"/>
            </w:tcBorders>
            <w:shd w:val="clear" w:color="auto" w:fill="auto"/>
            <w:vAlign w:val="center"/>
            <w:hideMark/>
          </w:tcPr>
          <w:p w14:paraId="1EA3376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22</w:t>
            </w:r>
          </w:p>
        </w:tc>
        <w:tc>
          <w:tcPr>
            <w:tcW w:w="306" w:type="dxa"/>
            <w:tcBorders>
              <w:top w:val="nil"/>
              <w:left w:val="nil"/>
              <w:bottom w:val="single" w:sz="4" w:space="0" w:color="auto"/>
              <w:right w:val="single" w:sz="4" w:space="0" w:color="auto"/>
            </w:tcBorders>
            <w:shd w:val="clear" w:color="auto" w:fill="auto"/>
            <w:vAlign w:val="center"/>
            <w:hideMark/>
          </w:tcPr>
          <w:p w14:paraId="76907AD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r>
      <w:tr w:rsidR="00BC17A3" w:rsidRPr="00A546AD" w14:paraId="4D60DFD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12E04B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Japan</w:t>
            </w:r>
          </w:p>
        </w:tc>
        <w:tc>
          <w:tcPr>
            <w:tcW w:w="802" w:type="dxa"/>
            <w:tcBorders>
              <w:top w:val="nil"/>
              <w:left w:val="nil"/>
              <w:bottom w:val="single" w:sz="4" w:space="0" w:color="auto"/>
              <w:right w:val="single" w:sz="4" w:space="0" w:color="auto"/>
            </w:tcBorders>
            <w:shd w:val="clear" w:color="auto" w:fill="auto"/>
            <w:vAlign w:val="center"/>
            <w:hideMark/>
          </w:tcPr>
          <w:p w14:paraId="5D78BF98"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30</w:t>
            </w:r>
          </w:p>
        </w:tc>
        <w:tc>
          <w:tcPr>
            <w:tcW w:w="1126" w:type="dxa"/>
            <w:tcBorders>
              <w:top w:val="nil"/>
              <w:left w:val="nil"/>
              <w:bottom w:val="single" w:sz="4" w:space="0" w:color="auto"/>
              <w:right w:val="single" w:sz="4" w:space="0" w:color="auto"/>
            </w:tcBorders>
            <w:shd w:val="clear" w:color="auto" w:fill="auto"/>
            <w:vAlign w:val="center"/>
            <w:hideMark/>
          </w:tcPr>
          <w:p w14:paraId="7C5B0A8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106</w:t>
            </w:r>
          </w:p>
        </w:tc>
        <w:tc>
          <w:tcPr>
            <w:tcW w:w="1199" w:type="dxa"/>
            <w:tcBorders>
              <w:top w:val="nil"/>
              <w:left w:val="nil"/>
              <w:bottom w:val="single" w:sz="4" w:space="0" w:color="auto"/>
              <w:right w:val="single" w:sz="4" w:space="0" w:color="auto"/>
            </w:tcBorders>
            <w:shd w:val="clear" w:color="auto" w:fill="auto"/>
            <w:vAlign w:val="center"/>
            <w:hideMark/>
          </w:tcPr>
          <w:p w14:paraId="4BAEC5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w:t>
            </w:r>
          </w:p>
        </w:tc>
        <w:tc>
          <w:tcPr>
            <w:tcW w:w="1321" w:type="dxa"/>
            <w:tcBorders>
              <w:top w:val="nil"/>
              <w:left w:val="nil"/>
              <w:bottom w:val="single" w:sz="4" w:space="0" w:color="auto"/>
              <w:right w:val="single" w:sz="4" w:space="0" w:color="auto"/>
            </w:tcBorders>
            <w:shd w:val="clear" w:color="auto" w:fill="auto"/>
            <w:vAlign w:val="center"/>
            <w:hideMark/>
          </w:tcPr>
          <w:p w14:paraId="0ADA2E8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w:t>
            </w:r>
          </w:p>
        </w:tc>
        <w:tc>
          <w:tcPr>
            <w:tcW w:w="1221" w:type="dxa"/>
            <w:tcBorders>
              <w:top w:val="nil"/>
              <w:left w:val="nil"/>
              <w:bottom w:val="single" w:sz="4" w:space="0" w:color="auto"/>
              <w:right w:val="single" w:sz="4" w:space="0" w:color="auto"/>
            </w:tcBorders>
            <w:shd w:val="clear" w:color="auto" w:fill="auto"/>
            <w:vAlign w:val="center"/>
            <w:hideMark/>
          </w:tcPr>
          <w:p w14:paraId="6F3822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43</w:t>
            </w:r>
          </w:p>
        </w:tc>
        <w:tc>
          <w:tcPr>
            <w:tcW w:w="968" w:type="dxa"/>
            <w:tcBorders>
              <w:top w:val="nil"/>
              <w:left w:val="nil"/>
              <w:bottom w:val="single" w:sz="4" w:space="0" w:color="auto"/>
              <w:right w:val="single" w:sz="4" w:space="0" w:color="auto"/>
            </w:tcBorders>
            <w:shd w:val="clear" w:color="auto" w:fill="auto"/>
            <w:vAlign w:val="center"/>
            <w:hideMark/>
          </w:tcPr>
          <w:p w14:paraId="578F5A9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31933C9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c>
          <w:tcPr>
            <w:tcW w:w="1488" w:type="dxa"/>
            <w:tcBorders>
              <w:top w:val="nil"/>
              <w:left w:val="nil"/>
              <w:bottom w:val="single" w:sz="4" w:space="0" w:color="auto"/>
              <w:right w:val="single" w:sz="4" w:space="0" w:color="auto"/>
            </w:tcBorders>
            <w:shd w:val="clear" w:color="auto" w:fill="auto"/>
            <w:vAlign w:val="center"/>
            <w:hideMark/>
          </w:tcPr>
          <w:p w14:paraId="7887DE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1374" w:type="dxa"/>
            <w:tcBorders>
              <w:top w:val="nil"/>
              <w:left w:val="nil"/>
              <w:bottom w:val="single" w:sz="4" w:space="0" w:color="auto"/>
              <w:right w:val="single" w:sz="4" w:space="0" w:color="auto"/>
            </w:tcBorders>
            <w:shd w:val="clear" w:color="auto" w:fill="auto"/>
            <w:vAlign w:val="center"/>
            <w:hideMark/>
          </w:tcPr>
          <w:p w14:paraId="0F7FBF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c>
          <w:tcPr>
            <w:tcW w:w="1133" w:type="dxa"/>
            <w:tcBorders>
              <w:top w:val="nil"/>
              <w:left w:val="nil"/>
              <w:bottom w:val="single" w:sz="4" w:space="0" w:color="auto"/>
              <w:right w:val="single" w:sz="4" w:space="0" w:color="auto"/>
            </w:tcBorders>
            <w:shd w:val="clear" w:color="auto" w:fill="auto"/>
            <w:vAlign w:val="center"/>
            <w:hideMark/>
          </w:tcPr>
          <w:p w14:paraId="32E0962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w:t>
            </w:r>
          </w:p>
        </w:tc>
        <w:tc>
          <w:tcPr>
            <w:tcW w:w="306" w:type="dxa"/>
            <w:tcBorders>
              <w:top w:val="nil"/>
              <w:left w:val="nil"/>
              <w:bottom w:val="single" w:sz="4" w:space="0" w:color="auto"/>
              <w:right w:val="single" w:sz="4" w:space="0" w:color="auto"/>
            </w:tcBorders>
            <w:shd w:val="clear" w:color="auto" w:fill="auto"/>
            <w:vAlign w:val="center"/>
            <w:hideMark/>
          </w:tcPr>
          <w:p w14:paraId="6CECA41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w:t>
            </w:r>
          </w:p>
        </w:tc>
      </w:tr>
      <w:tr w:rsidR="00BC17A3" w:rsidRPr="00A546AD" w14:paraId="489FF43A"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87876A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Spain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06CB0F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31</w:t>
            </w:r>
          </w:p>
        </w:tc>
        <w:tc>
          <w:tcPr>
            <w:tcW w:w="1126" w:type="dxa"/>
            <w:tcBorders>
              <w:top w:val="nil"/>
              <w:left w:val="nil"/>
              <w:bottom w:val="single" w:sz="4" w:space="0" w:color="auto"/>
              <w:right w:val="single" w:sz="4" w:space="0" w:color="auto"/>
            </w:tcBorders>
            <w:shd w:val="clear" w:color="auto" w:fill="auto"/>
            <w:vAlign w:val="center"/>
            <w:hideMark/>
          </w:tcPr>
          <w:p w14:paraId="44CD0A4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1199" w:type="dxa"/>
            <w:tcBorders>
              <w:top w:val="nil"/>
              <w:left w:val="nil"/>
              <w:bottom w:val="single" w:sz="4" w:space="0" w:color="auto"/>
              <w:right w:val="single" w:sz="4" w:space="0" w:color="auto"/>
            </w:tcBorders>
            <w:shd w:val="clear" w:color="auto" w:fill="auto"/>
            <w:vAlign w:val="center"/>
            <w:hideMark/>
          </w:tcPr>
          <w:p w14:paraId="09113CB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321" w:type="dxa"/>
            <w:tcBorders>
              <w:top w:val="nil"/>
              <w:left w:val="nil"/>
              <w:bottom w:val="single" w:sz="4" w:space="0" w:color="auto"/>
              <w:right w:val="single" w:sz="4" w:space="0" w:color="auto"/>
            </w:tcBorders>
            <w:shd w:val="clear" w:color="auto" w:fill="auto"/>
            <w:vAlign w:val="center"/>
            <w:hideMark/>
          </w:tcPr>
          <w:p w14:paraId="7553CF7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w:t>
            </w:r>
          </w:p>
        </w:tc>
        <w:tc>
          <w:tcPr>
            <w:tcW w:w="1221" w:type="dxa"/>
            <w:tcBorders>
              <w:top w:val="nil"/>
              <w:left w:val="nil"/>
              <w:bottom w:val="single" w:sz="4" w:space="0" w:color="auto"/>
              <w:right w:val="single" w:sz="4" w:space="0" w:color="auto"/>
            </w:tcBorders>
            <w:shd w:val="clear" w:color="auto" w:fill="auto"/>
            <w:vAlign w:val="center"/>
            <w:hideMark/>
          </w:tcPr>
          <w:p w14:paraId="2B49DF0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w:t>
            </w:r>
          </w:p>
        </w:tc>
        <w:tc>
          <w:tcPr>
            <w:tcW w:w="968" w:type="dxa"/>
            <w:tcBorders>
              <w:top w:val="nil"/>
              <w:left w:val="nil"/>
              <w:bottom w:val="single" w:sz="4" w:space="0" w:color="auto"/>
              <w:right w:val="single" w:sz="4" w:space="0" w:color="auto"/>
            </w:tcBorders>
            <w:shd w:val="clear" w:color="auto" w:fill="auto"/>
            <w:vAlign w:val="center"/>
            <w:hideMark/>
          </w:tcPr>
          <w:p w14:paraId="4BFE7D7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7D1F26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488" w:type="dxa"/>
            <w:tcBorders>
              <w:top w:val="nil"/>
              <w:left w:val="nil"/>
              <w:bottom w:val="single" w:sz="4" w:space="0" w:color="auto"/>
              <w:right w:val="single" w:sz="4" w:space="0" w:color="auto"/>
            </w:tcBorders>
            <w:shd w:val="clear" w:color="auto" w:fill="auto"/>
            <w:vAlign w:val="center"/>
            <w:hideMark/>
          </w:tcPr>
          <w:p w14:paraId="2F1D7CC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w:t>
            </w:r>
          </w:p>
        </w:tc>
        <w:tc>
          <w:tcPr>
            <w:tcW w:w="1374" w:type="dxa"/>
            <w:tcBorders>
              <w:top w:val="nil"/>
              <w:left w:val="nil"/>
              <w:bottom w:val="single" w:sz="4" w:space="0" w:color="auto"/>
              <w:right w:val="single" w:sz="4" w:space="0" w:color="auto"/>
            </w:tcBorders>
            <w:shd w:val="clear" w:color="auto" w:fill="auto"/>
            <w:vAlign w:val="center"/>
            <w:hideMark/>
          </w:tcPr>
          <w:p w14:paraId="19486B4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0A4786B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27</w:t>
            </w:r>
          </w:p>
        </w:tc>
        <w:tc>
          <w:tcPr>
            <w:tcW w:w="306" w:type="dxa"/>
            <w:tcBorders>
              <w:top w:val="nil"/>
              <w:left w:val="nil"/>
              <w:bottom w:val="single" w:sz="4" w:space="0" w:color="auto"/>
              <w:right w:val="single" w:sz="4" w:space="0" w:color="auto"/>
            </w:tcBorders>
            <w:shd w:val="clear" w:color="auto" w:fill="auto"/>
            <w:vAlign w:val="center"/>
            <w:hideMark/>
          </w:tcPr>
          <w:p w14:paraId="7507D5B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w:t>
            </w:r>
          </w:p>
        </w:tc>
      </w:tr>
      <w:tr w:rsidR="00BC17A3" w:rsidRPr="00A546AD" w14:paraId="5AB479C4"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B69280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China</w:t>
            </w:r>
          </w:p>
        </w:tc>
        <w:tc>
          <w:tcPr>
            <w:tcW w:w="802" w:type="dxa"/>
            <w:tcBorders>
              <w:top w:val="nil"/>
              <w:left w:val="nil"/>
              <w:bottom w:val="single" w:sz="4" w:space="0" w:color="auto"/>
              <w:right w:val="single" w:sz="4" w:space="0" w:color="auto"/>
            </w:tcBorders>
            <w:shd w:val="clear" w:color="auto" w:fill="auto"/>
            <w:vAlign w:val="center"/>
            <w:hideMark/>
          </w:tcPr>
          <w:p w14:paraId="4C30FE3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32</w:t>
            </w:r>
          </w:p>
        </w:tc>
        <w:tc>
          <w:tcPr>
            <w:tcW w:w="1126" w:type="dxa"/>
            <w:tcBorders>
              <w:top w:val="nil"/>
              <w:left w:val="nil"/>
              <w:bottom w:val="single" w:sz="4" w:space="0" w:color="auto"/>
              <w:right w:val="single" w:sz="4" w:space="0" w:color="auto"/>
            </w:tcBorders>
            <w:shd w:val="clear" w:color="auto" w:fill="auto"/>
            <w:vAlign w:val="center"/>
            <w:hideMark/>
          </w:tcPr>
          <w:p w14:paraId="0E9558E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1199" w:type="dxa"/>
            <w:tcBorders>
              <w:top w:val="nil"/>
              <w:left w:val="nil"/>
              <w:bottom w:val="single" w:sz="4" w:space="0" w:color="auto"/>
              <w:right w:val="single" w:sz="4" w:space="0" w:color="auto"/>
            </w:tcBorders>
            <w:shd w:val="clear" w:color="auto" w:fill="auto"/>
            <w:vAlign w:val="center"/>
            <w:hideMark/>
          </w:tcPr>
          <w:p w14:paraId="127F5B8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33</w:t>
            </w:r>
          </w:p>
        </w:tc>
        <w:tc>
          <w:tcPr>
            <w:tcW w:w="1321" w:type="dxa"/>
            <w:tcBorders>
              <w:top w:val="nil"/>
              <w:left w:val="nil"/>
              <w:bottom w:val="single" w:sz="4" w:space="0" w:color="auto"/>
              <w:right w:val="single" w:sz="4" w:space="0" w:color="auto"/>
            </w:tcBorders>
            <w:shd w:val="clear" w:color="auto" w:fill="auto"/>
            <w:vAlign w:val="center"/>
            <w:hideMark/>
          </w:tcPr>
          <w:p w14:paraId="3AE5F3F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w:t>
            </w:r>
          </w:p>
        </w:tc>
        <w:tc>
          <w:tcPr>
            <w:tcW w:w="1221" w:type="dxa"/>
            <w:tcBorders>
              <w:top w:val="nil"/>
              <w:left w:val="nil"/>
              <w:bottom w:val="single" w:sz="4" w:space="0" w:color="auto"/>
              <w:right w:val="single" w:sz="4" w:space="0" w:color="auto"/>
            </w:tcBorders>
            <w:shd w:val="clear" w:color="auto" w:fill="auto"/>
            <w:vAlign w:val="center"/>
            <w:hideMark/>
          </w:tcPr>
          <w:p w14:paraId="22CD735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968" w:type="dxa"/>
            <w:tcBorders>
              <w:top w:val="nil"/>
              <w:left w:val="nil"/>
              <w:bottom w:val="single" w:sz="4" w:space="0" w:color="auto"/>
              <w:right w:val="single" w:sz="4" w:space="0" w:color="auto"/>
            </w:tcBorders>
            <w:shd w:val="clear" w:color="auto" w:fill="auto"/>
            <w:vAlign w:val="center"/>
            <w:hideMark/>
          </w:tcPr>
          <w:p w14:paraId="3ECDDEC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7AE8C89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488" w:type="dxa"/>
            <w:tcBorders>
              <w:top w:val="nil"/>
              <w:left w:val="nil"/>
              <w:bottom w:val="single" w:sz="4" w:space="0" w:color="auto"/>
              <w:right w:val="single" w:sz="4" w:space="0" w:color="auto"/>
            </w:tcBorders>
            <w:shd w:val="clear" w:color="auto" w:fill="auto"/>
            <w:vAlign w:val="center"/>
            <w:hideMark/>
          </w:tcPr>
          <w:p w14:paraId="4F64478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1374" w:type="dxa"/>
            <w:tcBorders>
              <w:top w:val="nil"/>
              <w:left w:val="nil"/>
              <w:bottom w:val="single" w:sz="4" w:space="0" w:color="auto"/>
              <w:right w:val="single" w:sz="4" w:space="0" w:color="auto"/>
            </w:tcBorders>
            <w:shd w:val="clear" w:color="auto" w:fill="auto"/>
            <w:vAlign w:val="center"/>
            <w:hideMark/>
          </w:tcPr>
          <w:p w14:paraId="551A18C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w:t>
            </w:r>
          </w:p>
        </w:tc>
        <w:tc>
          <w:tcPr>
            <w:tcW w:w="1133" w:type="dxa"/>
            <w:tcBorders>
              <w:top w:val="nil"/>
              <w:left w:val="nil"/>
              <w:bottom w:val="single" w:sz="4" w:space="0" w:color="auto"/>
              <w:right w:val="single" w:sz="4" w:space="0" w:color="auto"/>
            </w:tcBorders>
            <w:shd w:val="clear" w:color="auto" w:fill="auto"/>
            <w:vAlign w:val="center"/>
            <w:hideMark/>
          </w:tcPr>
          <w:p w14:paraId="653596B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w:t>
            </w:r>
          </w:p>
        </w:tc>
        <w:tc>
          <w:tcPr>
            <w:tcW w:w="306" w:type="dxa"/>
            <w:tcBorders>
              <w:top w:val="nil"/>
              <w:left w:val="nil"/>
              <w:bottom w:val="single" w:sz="4" w:space="0" w:color="auto"/>
              <w:right w:val="single" w:sz="4" w:space="0" w:color="auto"/>
            </w:tcBorders>
            <w:shd w:val="clear" w:color="auto" w:fill="auto"/>
            <w:vAlign w:val="center"/>
            <w:hideMark/>
          </w:tcPr>
          <w:p w14:paraId="53E386B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r>
      <w:tr w:rsidR="00BC17A3" w:rsidRPr="00A546AD" w14:paraId="1C6D6E4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8B0392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France</w:t>
            </w:r>
          </w:p>
        </w:tc>
        <w:tc>
          <w:tcPr>
            <w:tcW w:w="802" w:type="dxa"/>
            <w:tcBorders>
              <w:top w:val="nil"/>
              <w:left w:val="nil"/>
              <w:bottom w:val="single" w:sz="4" w:space="0" w:color="auto"/>
              <w:right w:val="single" w:sz="4" w:space="0" w:color="auto"/>
            </w:tcBorders>
            <w:shd w:val="clear" w:color="auto" w:fill="auto"/>
            <w:vAlign w:val="center"/>
            <w:hideMark/>
          </w:tcPr>
          <w:p w14:paraId="7B8C9A86"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33</w:t>
            </w:r>
          </w:p>
        </w:tc>
        <w:tc>
          <w:tcPr>
            <w:tcW w:w="1126" w:type="dxa"/>
            <w:tcBorders>
              <w:top w:val="nil"/>
              <w:left w:val="nil"/>
              <w:bottom w:val="single" w:sz="4" w:space="0" w:color="auto"/>
              <w:right w:val="single" w:sz="4" w:space="0" w:color="auto"/>
            </w:tcBorders>
            <w:shd w:val="clear" w:color="auto" w:fill="auto"/>
            <w:vAlign w:val="center"/>
            <w:hideMark/>
          </w:tcPr>
          <w:p w14:paraId="5C110A5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36</w:t>
            </w:r>
          </w:p>
        </w:tc>
        <w:tc>
          <w:tcPr>
            <w:tcW w:w="1199" w:type="dxa"/>
            <w:tcBorders>
              <w:top w:val="nil"/>
              <w:left w:val="nil"/>
              <w:bottom w:val="single" w:sz="4" w:space="0" w:color="auto"/>
              <w:right w:val="single" w:sz="4" w:space="0" w:color="auto"/>
            </w:tcBorders>
            <w:shd w:val="clear" w:color="auto" w:fill="auto"/>
            <w:vAlign w:val="center"/>
            <w:hideMark/>
          </w:tcPr>
          <w:p w14:paraId="14C617E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52</w:t>
            </w:r>
          </w:p>
        </w:tc>
        <w:tc>
          <w:tcPr>
            <w:tcW w:w="1321" w:type="dxa"/>
            <w:tcBorders>
              <w:top w:val="nil"/>
              <w:left w:val="nil"/>
              <w:bottom w:val="single" w:sz="4" w:space="0" w:color="auto"/>
              <w:right w:val="single" w:sz="4" w:space="0" w:color="auto"/>
            </w:tcBorders>
            <w:shd w:val="clear" w:color="auto" w:fill="auto"/>
            <w:vAlign w:val="center"/>
            <w:hideMark/>
          </w:tcPr>
          <w:p w14:paraId="0E8FB5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w:t>
            </w:r>
          </w:p>
        </w:tc>
        <w:tc>
          <w:tcPr>
            <w:tcW w:w="1221" w:type="dxa"/>
            <w:tcBorders>
              <w:top w:val="nil"/>
              <w:left w:val="nil"/>
              <w:bottom w:val="single" w:sz="4" w:space="0" w:color="auto"/>
              <w:right w:val="single" w:sz="4" w:space="0" w:color="auto"/>
            </w:tcBorders>
            <w:shd w:val="clear" w:color="auto" w:fill="auto"/>
            <w:vAlign w:val="center"/>
            <w:hideMark/>
          </w:tcPr>
          <w:p w14:paraId="3A25C13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w:t>
            </w:r>
          </w:p>
        </w:tc>
        <w:tc>
          <w:tcPr>
            <w:tcW w:w="968" w:type="dxa"/>
            <w:tcBorders>
              <w:top w:val="nil"/>
              <w:left w:val="nil"/>
              <w:bottom w:val="single" w:sz="4" w:space="0" w:color="auto"/>
              <w:right w:val="single" w:sz="4" w:space="0" w:color="auto"/>
            </w:tcBorders>
            <w:shd w:val="clear" w:color="auto" w:fill="auto"/>
            <w:vAlign w:val="center"/>
            <w:hideMark/>
          </w:tcPr>
          <w:p w14:paraId="5572DE6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32CA294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1488" w:type="dxa"/>
            <w:tcBorders>
              <w:top w:val="nil"/>
              <w:left w:val="nil"/>
              <w:bottom w:val="single" w:sz="4" w:space="0" w:color="auto"/>
              <w:right w:val="single" w:sz="4" w:space="0" w:color="auto"/>
            </w:tcBorders>
            <w:shd w:val="clear" w:color="auto" w:fill="auto"/>
            <w:vAlign w:val="center"/>
            <w:hideMark/>
          </w:tcPr>
          <w:p w14:paraId="109F1E5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w:t>
            </w:r>
          </w:p>
        </w:tc>
        <w:tc>
          <w:tcPr>
            <w:tcW w:w="1374" w:type="dxa"/>
            <w:tcBorders>
              <w:top w:val="nil"/>
              <w:left w:val="nil"/>
              <w:bottom w:val="single" w:sz="4" w:space="0" w:color="auto"/>
              <w:right w:val="single" w:sz="4" w:space="0" w:color="auto"/>
            </w:tcBorders>
            <w:shd w:val="clear" w:color="auto" w:fill="auto"/>
            <w:vAlign w:val="center"/>
            <w:hideMark/>
          </w:tcPr>
          <w:p w14:paraId="435B4E9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20E1C02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w:t>
            </w:r>
          </w:p>
        </w:tc>
        <w:tc>
          <w:tcPr>
            <w:tcW w:w="306" w:type="dxa"/>
            <w:tcBorders>
              <w:top w:val="nil"/>
              <w:left w:val="nil"/>
              <w:bottom w:val="single" w:sz="4" w:space="0" w:color="auto"/>
              <w:right w:val="single" w:sz="4" w:space="0" w:color="auto"/>
            </w:tcBorders>
            <w:shd w:val="clear" w:color="auto" w:fill="auto"/>
            <w:vAlign w:val="center"/>
            <w:hideMark/>
          </w:tcPr>
          <w:p w14:paraId="0F9684B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26</w:t>
            </w:r>
          </w:p>
        </w:tc>
      </w:tr>
      <w:tr w:rsidR="00BC17A3" w:rsidRPr="00A546AD" w14:paraId="633A4192"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D2CED9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Turkey</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FA48CF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34</w:t>
            </w:r>
          </w:p>
        </w:tc>
        <w:tc>
          <w:tcPr>
            <w:tcW w:w="1126" w:type="dxa"/>
            <w:tcBorders>
              <w:top w:val="nil"/>
              <w:left w:val="nil"/>
              <w:bottom w:val="single" w:sz="4" w:space="0" w:color="auto"/>
              <w:right w:val="single" w:sz="4" w:space="0" w:color="auto"/>
            </w:tcBorders>
            <w:shd w:val="clear" w:color="auto" w:fill="auto"/>
            <w:vAlign w:val="center"/>
            <w:hideMark/>
          </w:tcPr>
          <w:p w14:paraId="56C1571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w:t>
            </w:r>
          </w:p>
        </w:tc>
        <w:tc>
          <w:tcPr>
            <w:tcW w:w="1199" w:type="dxa"/>
            <w:tcBorders>
              <w:top w:val="nil"/>
              <w:left w:val="nil"/>
              <w:bottom w:val="single" w:sz="4" w:space="0" w:color="auto"/>
              <w:right w:val="single" w:sz="4" w:space="0" w:color="auto"/>
            </w:tcBorders>
            <w:shd w:val="clear" w:color="auto" w:fill="auto"/>
            <w:vAlign w:val="center"/>
            <w:hideMark/>
          </w:tcPr>
          <w:p w14:paraId="523617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w:t>
            </w:r>
          </w:p>
        </w:tc>
        <w:tc>
          <w:tcPr>
            <w:tcW w:w="1321" w:type="dxa"/>
            <w:tcBorders>
              <w:top w:val="nil"/>
              <w:left w:val="nil"/>
              <w:bottom w:val="single" w:sz="4" w:space="0" w:color="auto"/>
              <w:right w:val="single" w:sz="4" w:space="0" w:color="auto"/>
            </w:tcBorders>
            <w:shd w:val="clear" w:color="auto" w:fill="auto"/>
            <w:vAlign w:val="center"/>
            <w:hideMark/>
          </w:tcPr>
          <w:p w14:paraId="003E80A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42</w:t>
            </w:r>
          </w:p>
        </w:tc>
        <w:tc>
          <w:tcPr>
            <w:tcW w:w="1221" w:type="dxa"/>
            <w:tcBorders>
              <w:top w:val="nil"/>
              <w:left w:val="nil"/>
              <w:bottom w:val="single" w:sz="4" w:space="0" w:color="auto"/>
              <w:right w:val="single" w:sz="4" w:space="0" w:color="auto"/>
            </w:tcBorders>
            <w:shd w:val="clear" w:color="auto" w:fill="auto"/>
            <w:vAlign w:val="center"/>
            <w:hideMark/>
          </w:tcPr>
          <w:p w14:paraId="78DB75A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27</w:t>
            </w:r>
          </w:p>
        </w:tc>
        <w:tc>
          <w:tcPr>
            <w:tcW w:w="968" w:type="dxa"/>
            <w:tcBorders>
              <w:top w:val="nil"/>
              <w:left w:val="nil"/>
              <w:bottom w:val="single" w:sz="4" w:space="0" w:color="auto"/>
              <w:right w:val="single" w:sz="4" w:space="0" w:color="auto"/>
            </w:tcBorders>
            <w:shd w:val="clear" w:color="auto" w:fill="auto"/>
            <w:vAlign w:val="center"/>
            <w:hideMark/>
          </w:tcPr>
          <w:p w14:paraId="163DEE8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46" w:type="dxa"/>
            <w:tcBorders>
              <w:top w:val="nil"/>
              <w:left w:val="nil"/>
              <w:bottom w:val="single" w:sz="4" w:space="0" w:color="auto"/>
              <w:right w:val="single" w:sz="4" w:space="0" w:color="auto"/>
            </w:tcBorders>
            <w:shd w:val="clear" w:color="auto" w:fill="auto"/>
            <w:vAlign w:val="center"/>
            <w:hideMark/>
          </w:tcPr>
          <w:p w14:paraId="60F464F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c>
          <w:tcPr>
            <w:tcW w:w="1488" w:type="dxa"/>
            <w:tcBorders>
              <w:top w:val="nil"/>
              <w:left w:val="nil"/>
              <w:bottom w:val="single" w:sz="4" w:space="0" w:color="auto"/>
              <w:right w:val="single" w:sz="4" w:space="0" w:color="auto"/>
            </w:tcBorders>
            <w:shd w:val="clear" w:color="auto" w:fill="auto"/>
            <w:vAlign w:val="center"/>
            <w:hideMark/>
          </w:tcPr>
          <w:p w14:paraId="1AD2533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26</w:t>
            </w:r>
          </w:p>
        </w:tc>
        <w:tc>
          <w:tcPr>
            <w:tcW w:w="1374" w:type="dxa"/>
            <w:tcBorders>
              <w:top w:val="nil"/>
              <w:left w:val="nil"/>
              <w:bottom w:val="single" w:sz="4" w:space="0" w:color="auto"/>
              <w:right w:val="single" w:sz="4" w:space="0" w:color="auto"/>
            </w:tcBorders>
            <w:shd w:val="clear" w:color="auto" w:fill="auto"/>
            <w:vAlign w:val="center"/>
            <w:hideMark/>
          </w:tcPr>
          <w:p w14:paraId="11CF25A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44</w:t>
            </w:r>
          </w:p>
        </w:tc>
        <w:tc>
          <w:tcPr>
            <w:tcW w:w="1133" w:type="dxa"/>
            <w:tcBorders>
              <w:top w:val="nil"/>
              <w:left w:val="nil"/>
              <w:bottom w:val="single" w:sz="4" w:space="0" w:color="auto"/>
              <w:right w:val="single" w:sz="4" w:space="0" w:color="auto"/>
            </w:tcBorders>
            <w:shd w:val="clear" w:color="auto" w:fill="auto"/>
            <w:vAlign w:val="center"/>
            <w:hideMark/>
          </w:tcPr>
          <w:p w14:paraId="52E3FB6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306" w:type="dxa"/>
            <w:tcBorders>
              <w:top w:val="nil"/>
              <w:left w:val="nil"/>
              <w:bottom w:val="single" w:sz="4" w:space="0" w:color="auto"/>
              <w:right w:val="single" w:sz="4" w:space="0" w:color="auto"/>
            </w:tcBorders>
            <w:shd w:val="clear" w:color="auto" w:fill="auto"/>
            <w:vAlign w:val="center"/>
            <w:hideMark/>
          </w:tcPr>
          <w:p w14:paraId="0F30EE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r>
      <w:tr w:rsidR="00BC17A3" w:rsidRPr="00A546AD" w14:paraId="57031DE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CF26A2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lastRenderedPageBreak/>
              <w:t>Israel</w:t>
            </w:r>
          </w:p>
        </w:tc>
        <w:tc>
          <w:tcPr>
            <w:tcW w:w="802" w:type="dxa"/>
            <w:tcBorders>
              <w:top w:val="nil"/>
              <w:left w:val="nil"/>
              <w:bottom w:val="single" w:sz="4" w:space="0" w:color="auto"/>
              <w:right w:val="single" w:sz="4" w:space="0" w:color="auto"/>
            </w:tcBorders>
            <w:shd w:val="clear" w:color="auto" w:fill="auto"/>
            <w:vAlign w:val="center"/>
            <w:hideMark/>
          </w:tcPr>
          <w:p w14:paraId="0ADF84DC"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35</w:t>
            </w:r>
          </w:p>
        </w:tc>
        <w:tc>
          <w:tcPr>
            <w:tcW w:w="1126" w:type="dxa"/>
            <w:tcBorders>
              <w:top w:val="nil"/>
              <w:left w:val="nil"/>
              <w:bottom w:val="single" w:sz="4" w:space="0" w:color="auto"/>
              <w:right w:val="single" w:sz="4" w:space="0" w:color="auto"/>
            </w:tcBorders>
            <w:shd w:val="clear" w:color="auto" w:fill="auto"/>
            <w:vAlign w:val="center"/>
            <w:hideMark/>
          </w:tcPr>
          <w:p w14:paraId="3BF896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27</w:t>
            </w:r>
          </w:p>
        </w:tc>
        <w:tc>
          <w:tcPr>
            <w:tcW w:w="1199" w:type="dxa"/>
            <w:tcBorders>
              <w:top w:val="nil"/>
              <w:left w:val="nil"/>
              <w:bottom w:val="single" w:sz="4" w:space="0" w:color="auto"/>
              <w:right w:val="single" w:sz="4" w:space="0" w:color="auto"/>
            </w:tcBorders>
            <w:shd w:val="clear" w:color="auto" w:fill="auto"/>
            <w:vAlign w:val="center"/>
            <w:hideMark/>
          </w:tcPr>
          <w:p w14:paraId="4AC02C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35</w:t>
            </w:r>
          </w:p>
        </w:tc>
        <w:tc>
          <w:tcPr>
            <w:tcW w:w="1321" w:type="dxa"/>
            <w:tcBorders>
              <w:top w:val="nil"/>
              <w:left w:val="nil"/>
              <w:bottom w:val="single" w:sz="4" w:space="0" w:color="auto"/>
              <w:right w:val="single" w:sz="4" w:space="0" w:color="auto"/>
            </w:tcBorders>
            <w:shd w:val="clear" w:color="auto" w:fill="auto"/>
            <w:vAlign w:val="center"/>
            <w:hideMark/>
          </w:tcPr>
          <w:p w14:paraId="4976DA6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w:t>
            </w:r>
          </w:p>
        </w:tc>
        <w:tc>
          <w:tcPr>
            <w:tcW w:w="1221" w:type="dxa"/>
            <w:tcBorders>
              <w:top w:val="nil"/>
              <w:left w:val="nil"/>
              <w:bottom w:val="single" w:sz="4" w:space="0" w:color="auto"/>
              <w:right w:val="single" w:sz="4" w:space="0" w:color="auto"/>
            </w:tcBorders>
            <w:shd w:val="clear" w:color="auto" w:fill="auto"/>
            <w:vAlign w:val="center"/>
            <w:hideMark/>
          </w:tcPr>
          <w:p w14:paraId="6FA6517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w:t>
            </w:r>
          </w:p>
        </w:tc>
        <w:tc>
          <w:tcPr>
            <w:tcW w:w="968" w:type="dxa"/>
            <w:tcBorders>
              <w:top w:val="nil"/>
              <w:left w:val="nil"/>
              <w:bottom w:val="single" w:sz="4" w:space="0" w:color="auto"/>
              <w:right w:val="single" w:sz="4" w:space="0" w:color="auto"/>
            </w:tcBorders>
            <w:shd w:val="clear" w:color="auto" w:fill="auto"/>
            <w:vAlign w:val="center"/>
            <w:hideMark/>
          </w:tcPr>
          <w:p w14:paraId="5A9092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7760A3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w:t>
            </w:r>
          </w:p>
        </w:tc>
        <w:tc>
          <w:tcPr>
            <w:tcW w:w="1488" w:type="dxa"/>
            <w:tcBorders>
              <w:top w:val="nil"/>
              <w:left w:val="nil"/>
              <w:bottom w:val="single" w:sz="4" w:space="0" w:color="auto"/>
              <w:right w:val="single" w:sz="4" w:space="0" w:color="auto"/>
            </w:tcBorders>
            <w:shd w:val="clear" w:color="auto" w:fill="auto"/>
            <w:vAlign w:val="center"/>
            <w:hideMark/>
          </w:tcPr>
          <w:p w14:paraId="5160C7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c>
          <w:tcPr>
            <w:tcW w:w="1374" w:type="dxa"/>
            <w:tcBorders>
              <w:top w:val="nil"/>
              <w:left w:val="nil"/>
              <w:bottom w:val="single" w:sz="4" w:space="0" w:color="auto"/>
              <w:right w:val="single" w:sz="4" w:space="0" w:color="auto"/>
            </w:tcBorders>
            <w:shd w:val="clear" w:color="auto" w:fill="auto"/>
            <w:vAlign w:val="center"/>
            <w:hideMark/>
          </w:tcPr>
          <w:p w14:paraId="08D1236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133" w:type="dxa"/>
            <w:tcBorders>
              <w:top w:val="nil"/>
              <w:left w:val="nil"/>
              <w:bottom w:val="single" w:sz="4" w:space="0" w:color="auto"/>
              <w:right w:val="single" w:sz="4" w:space="0" w:color="auto"/>
            </w:tcBorders>
            <w:shd w:val="clear" w:color="auto" w:fill="auto"/>
            <w:vAlign w:val="center"/>
            <w:hideMark/>
          </w:tcPr>
          <w:p w14:paraId="5A490E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w:t>
            </w:r>
          </w:p>
        </w:tc>
        <w:tc>
          <w:tcPr>
            <w:tcW w:w="306" w:type="dxa"/>
            <w:tcBorders>
              <w:top w:val="nil"/>
              <w:left w:val="nil"/>
              <w:bottom w:val="single" w:sz="4" w:space="0" w:color="auto"/>
              <w:right w:val="single" w:sz="4" w:space="0" w:color="auto"/>
            </w:tcBorders>
            <w:shd w:val="clear" w:color="auto" w:fill="auto"/>
            <w:vAlign w:val="center"/>
            <w:hideMark/>
          </w:tcPr>
          <w:p w14:paraId="3FCA82A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29</w:t>
            </w:r>
          </w:p>
        </w:tc>
      </w:tr>
      <w:tr w:rsidR="00BC17A3" w:rsidRPr="00A546AD" w14:paraId="2CABE31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D9E191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Switzerland</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534F40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36</w:t>
            </w:r>
          </w:p>
        </w:tc>
        <w:tc>
          <w:tcPr>
            <w:tcW w:w="1126" w:type="dxa"/>
            <w:tcBorders>
              <w:top w:val="nil"/>
              <w:left w:val="nil"/>
              <w:bottom w:val="single" w:sz="4" w:space="0" w:color="auto"/>
              <w:right w:val="single" w:sz="4" w:space="0" w:color="auto"/>
            </w:tcBorders>
            <w:shd w:val="clear" w:color="auto" w:fill="auto"/>
            <w:vAlign w:val="center"/>
            <w:hideMark/>
          </w:tcPr>
          <w:p w14:paraId="7B82694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w:t>
            </w:r>
          </w:p>
        </w:tc>
        <w:tc>
          <w:tcPr>
            <w:tcW w:w="1199" w:type="dxa"/>
            <w:tcBorders>
              <w:top w:val="nil"/>
              <w:left w:val="nil"/>
              <w:bottom w:val="single" w:sz="4" w:space="0" w:color="auto"/>
              <w:right w:val="single" w:sz="4" w:space="0" w:color="auto"/>
            </w:tcBorders>
            <w:shd w:val="clear" w:color="auto" w:fill="auto"/>
            <w:vAlign w:val="center"/>
            <w:hideMark/>
          </w:tcPr>
          <w:p w14:paraId="550D1C6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w:t>
            </w:r>
          </w:p>
        </w:tc>
        <w:tc>
          <w:tcPr>
            <w:tcW w:w="1321" w:type="dxa"/>
            <w:tcBorders>
              <w:top w:val="nil"/>
              <w:left w:val="nil"/>
              <w:bottom w:val="single" w:sz="4" w:space="0" w:color="auto"/>
              <w:right w:val="single" w:sz="4" w:space="0" w:color="auto"/>
            </w:tcBorders>
            <w:shd w:val="clear" w:color="auto" w:fill="auto"/>
            <w:vAlign w:val="center"/>
            <w:hideMark/>
          </w:tcPr>
          <w:p w14:paraId="7308BA2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c>
          <w:tcPr>
            <w:tcW w:w="1221" w:type="dxa"/>
            <w:tcBorders>
              <w:top w:val="nil"/>
              <w:left w:val="nil"/>
              <w:bottom w:val="single" w:sz="4" w:space="0" w:color="auto"/>
              <w:right w:val="single" w:sz="4" w:space="0" w:color="auto"/>
            </w:tcBorders>
            <w:shd w:val="clear" w:color="auto" w:fill="auto"/>
            <w:vAlign w:val="center"/>
            <w:hideMark/>
          </w:tcPr>
          <w:p w14:paraId="30DA05E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w:t>
            </w:r>
          </w:p>
        </w:tc>
        <w:tc>
          <w:tcPr>
            <w:tcW w:w="968" w:type="dxa"/>
            <w:tcBorders>
              <w:top w:val="nil"/>
              <w:left w:val="nil"/>
              <w:bottom w:val="single" w:sz="4" w:space="0" w:color="auto"/>
              <w:right w:val="single" w:sz="4" w:space="0" w:color="auto"/>
            </w:tcBorders>
            <w:shd w:val="clear" w:color="auto" w:fill="auto"/>
            <w:vAlign w:val="center"/>
            <w:hideMark/>
          </w:tcPr>
          <w:p w14:paraId="3720DDC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02E844D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1488" w:type="dxa"/>
            <w:tcBorders>
              <w:top w:val="nil"/>
              <w:left w:val="nil"/>
              <w:bottom w:val="single" w:sz="4" w:space="0" w:color="auto"/>
              <w:right w:val="single" w:sz="4" w:space="0" w:color="auto"/>
            </w:tcBorders>
            <w:shd w:val="clear" w:color="auto" w:fill="auto"/>
            <w:vAlign w:val="center"/>
            <w:hideMark/>
          </w:tcPr>
          <w:p w14:paraId="23A53B5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20</w:t>
            </w:r>
          </w:p>
        </w:tc>
        <w:tc>
          <w:tcPr>
            <w:tcW w:w="1374" w:type="dxa"/>
            <w:tcBorders>
              <w:top w:val="nil"/>
              <w:left w:val="nil"/>
              <w:bottom w:val="single" w:sz="4" w:space="0" w:color="auto"/>
              <w:right w:val="single" w:sz="4" w:space="0" w:color="auto"/>
            </w:tcBorders>
            <w:shd w:val="clear" w:color="auto" w:fill="auto"/>
            <w:vAlign w:val="center"/>
            <w:hideMark/>
          </w:tcPr>
          <w:p w14:paraId="14E1D5D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26</w:t>
            </w:r>
          </w:p>
        </w:tc>
        <w:tc>
          <w:tcPr>
            <w:tcW w:w="1133" w:type="dxa"/>
            <w:tcBorders>
              <w:top w:val="nil"/>
              <w:left w:val="nil"/>
              <w:bottom w:val="single" w:sz="4" w:space="0" w:color="auto"/>
              <w:right w:val="single" w:sz="4" w:space="0" w:color="auto"/>
            </w:tcBorders>
            <w:shd w:val="clear" w:color="auto" w:fill="auto"/>
            <w:vAlign w:val="center"/>
            <w:hideMark/>
          </w:tcPr>
          <w:p w14:paraId="36D57F2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c>
          <w:tcPr>
            <w:tcW w:w="306" w:type="dxa"/>
            <w:tcBorders>
              <w:top w:val="nil"/>
              <w:left w:val="nil"/>
              <w:bottom w:val="single" w:sz="4" w:space="0" w:color="auto"/>
              <w:right w:val="single" w:sz="4" w:space="0" w:color="auto"/>
            </w:tcBorders>
            <w:shd w:val="clear" w:color="auto" w:fill="auto"/>
            <w:vAlign w:val="center"/>
            <w:hideMark/>
          </w:tcPr>
          <w:p w14:paraId="377C0A8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w:t>
            </w:r>
          </w:p>
        </w:tc>
      </w:tr>
      <w:tr w:rsidR="00BC17A3" w:rsidRPr="00A546AD" w14:paraId="45A8DD9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9329B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Slovenia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57FA56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37</w:t>
            </w:r>
          </w:p>
        </w:tc>
        <w:tc>
          <w:tcPr>
            <w:tcW w:w="1126" w:type="dxa"/>
            <w:tcBorders>
              <w:top w:val="nil"/>
              <w:left w:val="nil"/>
              <w:bottom w:val="single" w:sz="4" w:space="0" w:color="auto"/>
              <w:right w:val="single" w:sz="4" w:space="0" w:color="auto"/>
            </w:tcBorders>
            <w:shd w:val="clear" w:color="auto" w:fill="auto"/>
            <w:vAlign w:val="center"/>
            <w:hideMark/>
          </w:tcPr>
          <w:p w14:paraId="0CF9B0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40</w:t>
            </w:r>
          </w:p>
        </w:tc>
        <w:tc>
          <w:tcPr>
            <w:tcW w:w="1199" w:type="dxa"/>
            <w:tcBorders>
              <w:top w:val="nil"/>
              <w:left w:val="nil"/>
              <w:bottom w:val="single" w:sz="4" w:space="0" w:color="auto"/>
              <w:right w:val="single" w:sz="4" w:space="0" w:color="auto"/>
            </w:tcBorders>
            <w:shd w:val="clear" w:color="auto" w:fill="auto"/>
            <w:vAlign w:val="center"/>
            <w:hideMark/>
          </w:tcPr>
          <w:p w14:paraId="62003B0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321" w:type="dxa"/>
            <w:tcBorders>
              <w:top w:val="nil"/>
              <w:left w:val="nil"/>
              <w:bottom w:val="single" w:sz="4" w:space="0" w:color="auto"/>
              <w:right w:val="single" w:sz="4" w:space="0" w:color="auto"/>
            </w:tcBorders>
            <w:shd w:val="clear" w:color="auto" w:fill="auto"/>
            <w:vAlign w:val="center"/>
            <w:hideMark/>
          </w:tcPr>
          <w:p w14:paraId="3DE663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23</w:t>
            </w:r>
          </w:p>
        </w:tc>
        <w:tc>
          <w:tcPr>
            <w:tcW w:w="1221" w:type="dxa"/>
            <w:tcBorders>
              <w:top w:val="nil"/>
              <w:left w:val="nil"/>
              <w:bottom w:val="single" w:sz="4" w:space="0" w:color="auto"/>
              <w:right w:val="single" w:sz="4" w:space="0" w:color="auto"/>
            </w:tcBorders>
            <w:shd w:val="clear" w:color="auto" w:fill="auto"/>
            <w:vAlign w:val="center"/>
            <w:hideMark/>
          </w:tcPr>
          <w:p w14:paraId="4A8C8FA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54</w:t>
            </w:r>
          </w:p>
        </w:tc>
        <w:tc>
          <w:tcPr>
            <w:tcW w:w="968" w:type="dxa"/>
            <w:tcBorders>
              <w:top w:val="nil"/>
              <w:left w:val="nil"/>
              <w:bottom w:val="single" w:sz="4" w:space="0" w:color="auto"/>
              <w:right w:val="single" w:sz="4" w:space="0" w:color="auto"/>
            </w:tcBorders>
            <w:shd w:val="clear" w:color="auto" w:fill="auto"/>
            <w:vAlign w:val="center"/>
            <w:hideMark/>
          </w:tcPr>
          <w:p w14:paraId="0D70565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29ACD21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w:t>
            </w:r>
          </w:p>
        </w:tc>
        <w:tc>
          <w:tcPr>
            <w:tcW w:w="1488" w:type="dxa"/>
            <w:tcBorders>
              <w:top w:val="nil"/>
              <w:left w:val="nil"/>
              <w:bottom w:val="single" w:sz="4" w:space="0" w:color="auto"/>
              <w:right w:val="single" w:sz="4" w:space="0" w:color="auto"/>
            </w:tcBorders>
            <w:shd w:val="clear" w:color="auto" w:fill="auto"/>
            <w:vAlign w:val="center"/>
            <w:hideMark/>
          </w:tcPr>
          <w:p w14:paraId="6604CD0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1374" w:type="dxa"/>
            <w:tcBorders>
              <w:top w:val="nil"/>
              <w:left w:val="nil"/>
              <w:bottom w:val="single" w:sz="4" w:space="0" w:color="auto"/>
              <w:right w:val="single" w:sz="4" w:space="0" w:color="auto"/>
            </w:tcBorders>
            <w:shd w:val="clear" w:color="auto" w:fill="auto"/>
            <w:vAlign w:val="center"/>
            <w:hideMark/>
          </w:tcPr>
          <w:p w14:paraId="613AEF2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2CF62C1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112</w:t>
            </w:r>
          </w:p>
        </w:tc>
        <w:tc>
          <w:tcPr>
            <w:tcW w:w="306" w:type="dxa"/>
            <w:tcBorders>
              <w:top w:val="nil"/>
              <w:left w:val="nil"/>
              <w:bottom w:val="single" w:sz="4" w:space="0" w:color="auto"/>
              <w:right w:val="single" w:sz="4" w:space="0" w:color="auto"/>
            </w:tcBorders>
            <w:shd w:val="clear" w:color="auto" w:fill="auto"/>
            <w:vAlign w:val="center"/>
            <w:hideMark/>
          </w:tcPr>
          <w:p w14:paraId="7B068F0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w:t>
            </w:r>
          </w:p>
        </w:tc>
      </w:tr>
      <w:tr w:rsidR="00BC17A3" w:rsidRPr="00A546AD" w14:paraId="2D24BA1C"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A4B08E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Rwanda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BA0A410"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38</w:t>
            </w:r>
          </w:p>
        </w:tc>
        <w:tc>
          <w:tcPr>
            <w:tcW w:w="1126" w:type="dxa"/>
            <w:tcBorders>
              <w:top w:val="nil"/>
              <w:left w:val="nil"/>
              <w:bottom w:val="single" w:sz="4" w:space="0" w:color="auto"/>
              <w:right w:val="single" w:sz="4" w:space="0" w:color="auto"/>
            </w:tcBorders>
            <w:shd w:val="clear" w:color="auto" w:fill="auto"/>
            <w:vAlign w:val="center"/>
            <w:hideMark/>
          </w:tcPr>
          <w:p w14:paraId="4CC2CB4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w:t>
            </w:r>
          </w:p>
        </w:tc>
        <w:tc>
          <w:tcPr>
            <w:tcW w:w="1199" w:type="dxa"/>
            <w:tcBorders>
              <w:top w:val="nil"/>
              <w:left w:val="nil"/>
              <w:bottom w:val="single" w:sz="4" w:space="0" w:color="auto"/>
              <w:right w:val="single" w:sz="4" w:space="0" w:color="auto"/>
            </w:tcBorders>
            <w:shd w:val="clear" w:color="auto" w:fill="auto"/>
            <w:vAlign w:val="center"/>
            <w:hideMark/>
          </w:tcPr>
          <w:p w14:paraId="67FC8D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w:t>
            </w:r>
          </w:p>
        </w:tc>
        <w:tc>
          <w:tcPr>
            <w:tcW w:w="1321" w:type="dxa"/>
            <w:tcBorders>
              <w:top w:val="nil"/>
              <w:left w:val="nil"/>
              <w:bottom w:val="single" w:sz="4" w:space="0" w:color="auto"/>
              <w:right w:val="single" w:sz="4" w:space="0" w:color="auto"/>
            </w:tcBorders>
            <w:shd w:val="clear" w:color="auto" w:fill="auto"/>
            <w:vAlign w:val="center"/>
            <w:hideMark/>
          </w:tcPr>
          <w:p w14:paraId="5ED9B23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w:t>
            </w:r>
          </w:p>
        </w:tc>
        <w:tc>
          <w:tcPr>
            <w:tcW w:w="1221" w:type="dxa"/>
            <w:tcBorders>
              <w:top w:val="nil"/>
              <w:left w:val="nil"/>
              <w:bottom w:val="single" w:sz="4" w:space="0" w:color="auto"/>
              <w:right w:val="single" w:sz="4" w:space="0" w:color="auto"/>
            </w:tcBorders>
            <w:shd w:val="clear" w:color="auto" w:fill="auto"/>
            <w:vAlign w:val="center"/>
            <w:hideMark/>
          </w:tcPr>
          <w:p w14:paraId="6097BF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w:t>
            </w:r>
          </w:p>
        </w:tc>
        <w:tc>
          <w:tcPr>
            <w:tcW w:w="968" w:type="dxa"/>
            <w:tcBorders>
              <w:top w:val="nil"/>
              <w:left w:val="nil"/>
              <w:bottom w:val="single" w:sz="4" w:space="0" w:color="auto"/>
              <w:right w:val="single" w:sz="4" w:space="0" w:color="auto"/>
            </w:tcBorders>
            <w:shd w:val="clear" w:color="auto" w:fill="auto"/>
            <w:vAlign w:val="center"/>
            <w:hideMark/>
          </w:tcPr>
          <w:p w14:paraId="388D11B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1246" w:type="dxa"/>
            <w:tcBorders>
              <w:top w:val="nil"/>
              <w:left w:val="nil"/>
              <w:bottom w:val="single" w:sz="4" w:space="0" w:color="auto"/>
              <w:right w:val="single" w:sz="4" w:space="0" w:color="auto"/>
            </w:tcBorders>
            <w:shd w:val="clear" w:color="auto" w:fill="auto"/>
            <w:vAlign w:val="center"/>
            <w:hideMark/>
          </w:tcPr>
          <w:p w14:paraId="16ED451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1488" w:type="dxa"/>
            <w:tcBorders>
              <w:top w:val="nil"/>
              <w:left w:val="nil"/>
              <w:bottom w:val="single" w:sz="4" w:space="0" w:color="auto"/>
              <w:right w:val="single" w:sz="4" w:space="0" w:color="auto"/>
            </w:tcBorders>
            <w:shd w:val="clear" w:color="auto" w:fill="auto"/>
            <w:vAlign w:val="center"/>
            <w:hideMark/>
          </w:tcPr>
          <w:p w14:paraId="2780524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374" w:type="dxa"/>
            <w:tcBorders>
              <w:top w:val="nil"/>
              <w:left w:val="nil"/>
              <w:bottom w:val="single" w:sz="4" w:space="0" w:color="auto"/>
              <w:right w:val="single" w:sz="4" w:space="0" w:color="auto"/>
            </w:tcBorders>
            <w:shd w:val="clear" w:color="auto" w:fill="auto"/>
            <w:vAlign w:val="center"/>
            <w:hideMark/>
          </w:tcPr>
          <w:p w14:paraId="00E06B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133" w:type="dxa"/>
            <w:tcBorders>
              <w:top w:val="nil"/>
              <w:left w:val="nil"/>
              <w:bottom w:val="single" w:sz="4" w:space="0" w:color="auto"/>
              <w:right w:val="single" w:sz="4" w:space="0" w:color="auto"/>
            </w:tcBorders>
            <w:shd w:val="clear" w:color="auto" w:fill="auto"/>
            <w:vAlign w:val="center"/>
            <w:hideMark/>
          </w:tcPr>
          <w:p w14:paraId="3C913F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32</w:t>
            </w:r>
          </w:p>
        </w:tc>
        <w:tc>
          <w:tcPr>
            <w:tcW w:w="306" w:type="dxa"/>
            <w:tcBorders>
              <w:top w:val="nil"/>
              <w:left w:val="nil"/>
              <w:bottom w:val="single" w:sz="4" w:space="0" w:color="auto"/>
              <w:right w:val="single" w:sz="4" w:space="0" w:color="auto"/>
            </w:tcBorders>
            <w:shd w:val="clear" w:color="auto" w:fill="auto"/>
            <w:vAlign w:val="center"/>
            <w:hideMark/>
          </w:tcPr>
          <w:p w14:paraId="2B2E5FF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w:t>
            </w:r>
          </w:p>
        </w:tc>
      </w:tr>
      <w:tr w:rsidR="00BC17A3" w:rsidRPr="00A546AD" w14:paraId="525E5022"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50498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Portugal</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C4E74D9"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39</w:t>
            </w:r>
          </w:p>
        </w:tc>
        <w:tc>
          <w:tcPr>
            <w:tcW w:w="1126" w:type="dxa"/>
            <w:tcBorders>
              <w:top w:val="nil"/>
              <w:left w:val="nil"/>
              <w:bottom w:val="single" w:sz="4" w:space="0" w:color="auto"/>
              <w:right w:val="single" w:sz="4" w:space="0" w:color="auto"/>
            </w:tcBorders>
            <w:shd w:val="clear" w:color="auto" w:fill="auto"/>
            <w:vAlign w:val="center"/>
            <w:hideMark/>
          </w:tcPr>
          <w:p w14:paraId="78E590C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w:t>
            </w:r>
          </w:p>
        </w:tc>
        <w:tc>
          <w:tcPr>
            <w:tcW w:w="1199" w:type="dxa"/>
            <w:tcBorders>
              <w:top w:val="nil"/>
              <w:left w:val="nil"/>
              <w:bottom w:val="single" w:sz="4" w:space="0" w:color="auto"/>
              <w:right w:val="single" w:sz="4" w:space="0" w:color="auto"/>
            </w:tcBorders>
            <w:shd w:val="clear" w:color="auto" w:fill="auto"/>
            <w:vAlign w:val="center"/>
            <w:hideMark/>
          </w:tcPr>
          <w:p w14:paraId="19EF39D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w:t>
            </w:r>
          </w:p>
        </w:tc>
        <w:tc>
          <w:tcPr>
            <w:tcW w:w="1321" w:type="dxa"/>
            <w:tcBorders>
              <w:top w:val="nil"/>
              <w:left w:val="nil"/>
              <w:bottom w:val="single" w:sz="4" w:space="0" w:color="auto"/>
              <w:right w:val="single" w:sz="4" w:space="0" w:color="auto"/>
            </w:tcBorders>
            <w:shd w:val="clear" w:color="auto" w:fill="auto"/>
            <w:vAlign w:val="center"/>
            <w:hideMark/>
          </w:tcPr>
          <w:p w14:paraId="098AE58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w:t>
            </w:r>
          </w:p>
        </w:tc>
        <w:tc>
          <w:tcPr>
            <w:tcW w:w="1221" w:type="dxa"/>
            <w:tcBorders>
              <w:top w:val="nil"/>
              <w:left w:val="nil"/>
              <w:bottom w:val="single" w:sz="4" w:space="0" w:color="auto"/>
              <w:right w:val="single" w:sz="4" w:space="0" w:color="auto"/>
            </w:tcBorders>
            <w:shd w:val="clear" w:color="auto" w:fill="auto"/>
            <w:vAlign w:val="center"/>
            <w:hideMark/>
          </w:tcPr>
          <w:p w14:paraId="3093CE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35</w:t>
            </w:r>
          </w:p>
        </w:tc>
        <w:tc>
          <w:tcPr>
            <w:tcW w:w="968" w:type="dxa"/>
            <w:tcBorders>
              <w:top w:val="nil"/>
              <w:left w:val="nil"/>
              <w:bottom w:val="single" w:sz="4" w:space="0" w:color="auto"/>
              <w:right w:val="single" w:sz="4" w:space="0" w:color="auto"/>
            </w:tcBorders>
            <w:shd w:val="clear" w:color="auto" w:fill="auto"/>
            <w:vAlign w:val="center"/>
            <w:hideMark/>
          </w:tcPr>
          <w:p w14:paraId="31722E4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0466010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488" w:type="dxa"/>
            <w:tcBorders>
              <w:top w:val="nil"/>
              <w:left w:val="nil"/>
              <w:bottom w:val="single" w:sz="4" w:space="0" w:color="auto"/>
              <w:right w:val="single" w:sz="4" w:space="0" w:color="auto"/>
            </w:tcBorders>
            <w:shd w:val="clear" w:color="auto" w:fill="auto"/>
            <w:vAlign w:val="center"/>
            <w:hideMark/>
          </w:tcPr>
          <w:p w14:paraId="584356D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42</w:t>
            </w:r>
          </w:p>
        </w:tc>
        <w:tc>
          <w:tcPr>
            <w:tcW w:w="1374" w:type="dxa"/>
            <w:tcBorders>
              <w:top w:val="nil"/>
              <w:left w:val="nil"/>
              <w:bottom w:val="single" w:sz="4" w:space="0" w:color="auto"/>
              <w:right w:val="single" w:sz="4" w:space="0" w:color="auto"/>
            </w:tcBorders>
            <w:shd w:val="clear" w:color="auto" w:fill="auto"/>
            <w:vAlign w:val="center"/>
            <w:hideMark/>
          </w:tcPr>
          <w:p w14:paraId="2A667C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38D154E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w:t>
            </w:r>
          </w:p>
        </w:tc>
        <w:tc>
          <w:tcPr>
            <w:tcW w:w="306" w:type="dxa"/>
            <w:tcBorders>
              <w:top w:val="nil"/>
              <w:left w:val="nil"/>
              <w:bottom w:val="single" w:sz="4" w:space="0" w:color="auto"/>
              <w:right w:val="single" w:sz="4" w:space="0" w:color="auto"/>
            </w:tcBorders>
            <w:shd w:val="clear" w:color="auto" w:fill="auto"/>
            <w:vAlign w:val="center"/>
            <w:hideMark/>
          </w:tcPr>
          <w:p w14:paraId="51B2C5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r>
      <w:tr w:rsidR="00BC17A3" w:rsidRPr="00A546AD" w14:paraId="0A01142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7350AD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Poland</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8EC749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40</w:t>
            </w:r>
          </w:p>
        </w:tc>
        <w:tc>
          <w:tcPr>
            <w:tcW w:w="1126" w:type="dxa"/>
            <w:tcBorders>
              <w:top w:val="nil"/>
              <w:left w:val="nil"/>
              <w:bottom w:val="single" w:sz="4" w:space="0" w:color="auto"/>
              <w:right w:val="single" w:sz="4" w:space="0" w:color="auto"/>
            </w:tcBorders>
            <w:shd w:val="clear" w:color="auto" w:fill="auto"/>
            <w:vAlign w:val="center"/>
            <w:hideMark/>
          </w:tcPr>
          <w:p w14:paraId="424203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199" w:type="dxa"/>
            <w:tcBorders>
              <w:top w:val="nil"/>
              <w:left w:val="nil"/>
              <w:bottom w:val="single" w:sz="4" w:space="0" w:color="auto"/>
              <w:right w:val="single" w:sz="4" w:space="0" w:color="auto"/>
            </w:tcBorders>
            <w:shd w:val="clear" w:color="auto" w:fill="auto"/>
            <w:vAlign w:val="center"/>
            <w:hideMark/>
          </w:tcPr>
          <w:p w14:paraId="799795D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39</w:t>
            </w:r>
          </w:p>
        </w:tc>
        <w:tc>
          <w:tcPr>
            <w:tcW w:w="1321" w:type="dxa"/>
            <w:tcBorders>
              <w:top w:val="nil"/>
              <w:left w:val="nil"/>
              <w:bottom w:val="single" w:sz="4" w:space="0" w:color="auto"/>
              <w:right w:val="single" w:sz="4" w:space="0" w:color="auto"/>
            </w:tcBorders>
            <w:shd w:val="clear" w:color="auto" w:fill="auto"/>
            <w:vAlign w:val="center"/>
            <w:hideMark/>
          </w:tcPr>
          <w:p w14:paraId="475D8F2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221" w:type="dxa"/>
            <w:tcBorders>
              <w:top w:val="nil"/>
              <w:left w:val="nil"/>
              <w:bottom w:val="single" w:sz="4" w:space="0" w:color="auto"/>
              <w:right w:val="single" w:sz="4" w:space="0" w:color="auto"/>
            </w:tcBorders>
            <w:shd w:val="clear" w:color="auto" w:fill="auto"/>
            <w:vAlign w:val="center"/>
            <w:hideMark/>
          </w:tcPr>
          <w:p w14:paraId="6B4906C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968" w:type="dxa"/>
            <w:tcBorders>
              <w:top w:val="nil"/>
              <w:left w:val="nil"/>
              <w:bottom w:val="single" w:sz="4" w:space="0" w:color="auto"/>
              <w:right w:val="single" w:sz="4" w:space="0" w:color="auto"/>
            </w:tcBorders>
            <w:shd w:val="clear" w:color="auto" w:fill="auto"/>
            <w:vAlign w:val="center"/>
            <w:hideMark/>
          </w:tcPr>
          <w:p w14:paraId="6B95208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46" w:type="dxa"/>
            <w:tcBorders>
              <w:top w:val="nil"/>
              <w:left w:val="nil"/>
              <w:bottom w:val="single" w:sz="4" w:space="0" w:color="auto"/>
              <w:right w:val="single" w:sz="4" w:space="0" w:color="auto"/>
            </w:tcBorders>
            <w:shd w:val="clear" w:color="auto" w:fill="auto"/>
            <w:vAlign w:val="center"/>
            <w:hideMark/>
          </w:tcPr>
          <w:p w14:paraId="530DFC8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1488" w:type="dxa"/>
            <w:tcBorders>
              <w:top w:val="nil"/>
              <w:left w:val="nil"/>
              <w:bottom w:val="single" w:sz="4" w:space="0" w:color="auto"/>
              <w:right w:val="single" w:sz="4" w:space="0" w:color="auto"/>
            </w:tcBorders>
            <w:shd w:val="clear" w:color="auto" w:fill="auto"/>
            <w:vAlign w:val="center"/>
            <w:hideMark/>
          </w:tcPr>
          <w:p w14:paraId="5A9D183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w:t>
            </w:r>
          </w:p>
        </w:tc>
        <w:tc>
          <w:tcPr>
            <w:tcW w:w="1374" w:type="dxa"/>
            <w:tcBorders>
              <w:top w:val="nil"/>
              <w:left w:val="nil"/>
              <w:bottom w:val="single" w:sz="4" w:space="0" w:color="auto"/>
              <w:right w:val="single" w:sz="4" w:space="0" w:color="auto"/>
            </w:tcBorders>
            <w:shd w:val="clear" w:color="auto" w:fill="auto"/>
            <w:vAlign w:val="center"/>
            <w:hideMark/>
          </w:tcPr>
          <w:p w14:paraId="57B6BBA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184A3FC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w:t>
            </w:r>
          </w:p>
        </w:tc>
        <w:tc>
          <w:tcPr>
            <w:tcW w:w="306" w:type="dxa"/>
            <w:tcBorders>
              <w:top w:val="nil"/>
              <w:left w:val="nil"/>
              <w:bottom w:val="single" w:sz="4" w:space="0" w:color="auto"/>
              <w:right w:val="single" w:sz="4" w:space="0" w:color="auto"/>
            </w:tcBorders>
            <w:shd w:val="clear" w:color="auto" w:fill="auto"/>
            <w:vAlign w:val="center"/>
            <w:hideMark/>
          </w:tcPr>
          <w:p w14:paraId="737C7E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r>
      <w:tr w:rsidR="00BC17A3" w:rsidRPr="00A546AD" w14:paraId="57386F0E"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66F28F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Czech Republic</w:t>
            </w:r>
          </w:p>
        </w:tc>
        <w:tc>
          <w:tcPr>
            <w:tcW w:w="802" w:type="dxa"/>
            <w:tcBorders>
              <w:top w:val="nil"/>
              <w:left w:val="nil"/>
              <w:bottom w:val="single" w:sz="4" w:space="0" w:color="auto"/>
              <w:right w:val="single" w:sz="4" w:space="0" w:color="auto"/>
            </w:tcBorders>
            <w:shd w:val="clear" w:color="auto" w:fill="auto"/>
            <w:vAlign w:val="center"/>
            <w:hideMark/>
          </w:tcPr>
          <w:p w14:paraId="5183247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41</w:t>
            </w:r>
          </w:p>
        </w:tc>
        <w:tc>
          <w:tcPr>
            <w:tcW w:w="1126" w:type="dxa"/>
            <w:tcBorders>
              <w:top w:val="nil"/>
              <w:left w:val="nil"/>
              <w:bottom w:val="single" w:sz="4" w:space="0" w:color="auto"/>
              <w:right w:val="single" w:sz="4" w:space="0" w:color="auto"/>
            </w:tcBorders>
            <w:shd w:val="clear" w:color="auto" w:fill="auto"/>
            <w:vAlign w:val="center"/>
            <w:hideMark/>
          </w:tcPr>
          <w:p w14:paraId="2F1A741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134</w:t>
            </w:r>
          </w:p>
        </w:tc>
        <w:tc>
          <w:tcPr>
            <w:tcW w:w="1199" w:type="dxa"/>
            <w:tcBorders>
              <w:top w:val="nil"/>
              <w:left w:val="nil"/>
              <w:bottom w:val="single" w:sz="4" w:space="0" w:color="auto"/>
              <w:right w:val="single" w:sz="4" w:space="0" w:color="auto"/>
            </w:tcBorders>
            <w:shd w:val="clear" w:color="auto" w:fill="auto"/>
            <w:vAlign w:val="center"/>
            <w:hideMark/>
          </w:tcPr>
          <w:p w14:paraId="24E4A38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1321" w:type="dxa"/>
            <w:tcBorders>
              <w:top w:val="nil"/>
              <w:left w:val="nil"/>
              <w:bottom w:val="single" w:sz="4" w:space="0" w:color="auto"/>
              <w:right w:val="single" w:sz="4" w:space="0" w:color="auto"/>
            </w:tcBorders>
            <w:shd w:val="clear" w:color="auto" w:fill="auto"/>
            <w:vAlign w:val="center"/>
            <w:hideMark/>
          </w:tcPr>
          <w:p w14:paraId="7262073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w:t>
            </w:r>
          </w:p>
        </w:tc>
        <w:tc>
          <w:tcPr>
            <w:tcW w:w="1221" w:type="dxa"/>
            <w:tcBorders>
              <w:top w:val="nil"/>
              <w:left w:val="nil"/>
              <w:bottom w:val="single" w:sz="4" w:space="0" w:color="auto"/>
              <w:right w:val="single" w:sz="4" w:space="0" w:color="auto"/>
            </w:tcBorders>
            <w:shd w:val="clear" w:color="auto" w:fill="auto"/>
            <w:vAlign w:val="center"/>
            <w:hideMark/>
          </w:tcPr>
          <w:p w14:paraId="35BCE53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32</w:t>
            </w:r>
          </w:p>
        </w:tc>
        <w:tc>
          <w:tcPr>
            <w:tcW w:w="968" w:type="dxa"/>
            <w:tcBorders>
              <w:top w:val="nil"/>
              <w:left w:val="nil"/>
              <w:bottom w:val="single" w:sz="4" w:space="0" w:color="auto"/>
              <w:right w:val="single" w:sz="4" w:space="0" w:color="auto"/>
            </w:tcBorders>
            <w:shd w:val="clear" w:color="auto" w:fill="auto"/>
            <w:vAlign w:val="center"/>
            <w:hideMark/>
          </w:tcPr>
          <w:p w14:paraId="2AB317A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339E0D0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488" w:type="dxa"/>
            <w:tcBorders>
              <w:top w:val="nil"/>
              <w:left w:val="nil"/>
              <w:bottom w:val="single" w:sz="4" w:space="0" w:color="auto"/>
              <w:right w:val="single" w:sz="4" w:space="0" w:color="auto"/>
            </w:tcBorders>
            <w:shd w:val="clear" w:color="auto" w:fill="auto"/>
            <w:vAlign w:val="center"/>
            <w:hideMark/>
          </w:tcPr>
          <w:p w14:paraId="516665F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w:t>
            </w:r>
          </w:p>
        </w:tc>
        <w:tc>
          <w:tcPr>
            <w:tcW w:w="1374" w:type="dxa"/>
            <w:tcBorders>
              <w:top w:val="nil"/>
              <w:left w:val="nil"/>
              <w:bottom w:val="single" w:sz="4" w:space="0" w:color="auto"/>
              <w:right w:val="single" w:sz="4" w:space="0" w:color="auto"/>
            </w:tcBorders>
            <w:shd w:val="clear" w:color="auto" w:fill="auto"/>
            <w:vAlign w:val="center"/>
            <w:hideMark/>
          </w:tcPr>
          <w:p w14:paraId="6063675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6080329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103</w:t>
            </w:r>
          </w:p>
        </w:tc>
        <w:tc>
          <w:tcPr>
            <w:tcW w:w="306" w:type="dxa"/>
            <w:tcBorders>
              <w:top w:val="nil"/>
              <w:left w:val="nil"/>
              <w:bottom w:val="single" w:sz="4" w:space="0" w:color="auto"/>
              <w:right w:val="single" w:sz="4" w:space="0" w:color="auto"/>
            </w:tcBorders>
            <w:shd w:val="clear" w:color="auto" w:fill="auto"/>
            <w:vAlign w:val="center"/>
            <w:hideMark/>
          </w:tcPr>
          <w:p w14:paraId="3120ED3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w:t>
            </w:r>
          </w:p>
        </w:tc>
      </w:tr>
      <w:tr w:rsidR="00BC17A3" w:rsidRPr="00A546AD" w14:paraId="2644A7B7"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B0948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Netherlands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E2B428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42</w:t>
            </w:r>
          </w:p>
        </w:tc>
        <w:tc>
          <w:tcPr>
            <w:tcW w:w="1126" w:type="dxa"/>
            <w:tcBorders>
              <w:top w:val="nil"/>
              <w:left w:val="nil"/>
              <w:bottom w:val="single" w:sz="4" w:space="0" w:color="auto"/>
              <w:right w:val="single" w:sz="4" w:space="0" w:color="auto"/>
            </w:tcBorders>
            <w:shd w:val="clear" w:color="auto" w:fill="auto"/>
            <w:vAlign w:val="center"/>
            <w:hideMark/>
          </w:tcPr>
          <w:p w14:paraId="7CA3135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24</w:t>
            </w:r>
          </w:p>
        </w:tc>
        <w:tc>
          <w:tcPr>
            <w:tcW w:w="1199" w:type="dxa"/>
            <w:tcBorders>
              <w:top w:val="nil"/>
              <w:left w:val="nil"/>
              <w:bottom w:val="single" w:sz="4" w:space="0" w:color="auto"/>
              <w:right w:val="single" w:sz="4" w:space="0" w:color="auto"/>
            </w:tcBorders>
            <w:shd w:val="clear" w:color="auto" w:fill="auto"/>
            <w:vAlign w:val="center"/>
            <w:hideMark/>
          </w:tcPr>
          <w:p w14:paraId="172A17E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321" w:type="dxa"/>
            <w:tcBorders>
              <w:top w:val="nil"/>
              <w:left w:val="nil"/>
              <w:bottom w:val="single" w:sz="4" w:space="0" w:color="auto"/>
              <w:right w:val="single" w:sz="4" w:space="0" w:color="auto"/>
            </w:tcBorders>
            <w:shd w:val="clear" w:color="auto" w:fill="auto"/>
            <w:vAlign w:val="center"/>
            <w:hideMark/>
          </w:tcPr>
          <w:p w14:paraId="44E4837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w:t>
            </w:r>
          </w:p>
        </w:tc>
        <w:tc>
          <w:tcPr>
            <w:tcW w:w="1221" w:type="dxa"/>
            <w:tcBorders>
              <w:top w:val="nil"/>
              <w:left w:val="nil"/>
              <w:bottom w:val="single" w:sz="4" w:space="0" w:color="auto"/>
              <w:right w:val="single" w:sz="4" w:space="0" w:color="auto"/>
            </w:tcBorders>
            <w:shd w:val="clear" w:color="auto" w:fill="auto"/>
            <w:vAlign w:val="center"/>
            <w:hideMark/>
          </w:tcPr>
          <w:p w14:paraId="0D933D3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30</w:t>
            </w:r>
          </w:p>
        </w:tc>
        <w:tc>
          <w:tcPr>
            <w:tcW w:w="968" w:type="dxa"/>
            <w:tcBorders>
              <w:top w:val="nil"/>
              <w:left w:val="nil"/>
              <w:bottom w:val="single" w:sz="4" w:space="0" w:color="auto"/>
              <w:right w:val="single" w:sz="4" w:space="0" w:color="auto"/>
            </w:tcBorders>
            <w:shd w:val="clear" w:color="auto" w:fill="auto"/>
            <w:vAlign w:val="center"/>
            <w:hideMark/>
          </w:tcPr>
          <w:p w14:paraId="649F9B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5A18A78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488" w:type="dxa"/>
            <w:tcBorders>
              <w:top w:val="nil"/>
              <w:left w:val="nil"/>
              <w:bottom w:val="single" w:sz="4" w:space="0" w:color="auto"/>
              <w:right w:val="single" w:sz="4" w:space="0" w:color="auto"/>
            </w:tcBorders>
            <w:shd w:val="clear" w:color="auto" w:fill="auto"/>
            <w:vAlign w:val="center"/>
            <w:hideMark/>
          </w:tcPr>
          <w:p w14:paraId="7EDF2D2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22</w:t>
            </w:r>
          </w:p>
        </w:tc>
        <w:tc>
          <w:tcPr>
            <w:tcW w:w="1374" w:type="dxa"/>
            <w:tcBorders>
              <w:top w:val="nil"/>
              <w:left w:val="nil"/>
              <w:bottom w:val="single" w:sz="4" w:space="0" w:color="auto"/>
              <w:right w:val="single" w:sz="4" w:space="0" w:color="auto"/>
            </w:tcBorders>
            <w:shd w:val="clear" w:color="auto" w:fill="auto"/>
            <w:vAlign w:val="center"/>
            <w:hideMark/>
          </w:tcPr>
          <w:p w14:paraId="52D4CFF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493C29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w:t>
            </w:r>
          </w:p>
        </w:tc>
        <w:tc>
          <w:tcPr>
            <w:tcW w:w="306" w:type="dxa"/>
            <w:tcBorders>
              <w:top w:val="nil"/>
              <w:left w:val="nil"/>
              <w:bottom w:val="single" w:sz="4" w:space="0" w:color="auto"/>
              <w:right w:val="single" w:sz="4" w:space="0" w:color="auto"/>
            </w:tcBorders>
            <w:shd w:val="clear" w:color="auto" w:fill="auto"/>
            <w:vAlign w:val="center"/>
            <w:hideMark/>
          </w:tcPr>
          <w:p w14:paraId="240D1E0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r>
      <w:tr w:rsidR="00BC17A3" w:rsidRPr="00A546AD" w14:paraId="4664BB6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2E2D66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Bahrain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348B6E4"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43</w:t>
            </w:r>
          </w:p>
        </w:tc>
        <w:tc>
          <w:tcPr>
            <w:tcW w:w="1126" w:type="dxa"/>
            <w:tcBorders>
              <w:top w:val="nil"/>
              <w:left w:val="nil"/>
              <w:bottom w:val="single" w:sz="4" w:space="0" w:color="auto"/>
              <w:right w:val="single" w:sz="4" w:space="0" w:color="auto"/>
            </w:tcBorders>
            <w:shd w:val="clear" w:color="auto" w:fill="auto"/>
            <w:vAlign w:val="center"/>
            <w:hideMark/>
          </w:tcPr>
          <w:p w14:paraId="579D118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199" w:type="dxa"/>
            <w:tcBorders>
              <w:top w:val="nil"/>
              <w:left w:val="nil"/>
              <w:bottom w:val="single" w:sz="4" w:space="0" w:color="auto"/>
              <w:right w:val="single" w:sz="4" w:space="0" w:color="auto"/>
            </w:tcBorders>
            <w:shd w:val="clear" w:color="auto" w:fill="auto"/>
            <w:vAlign w:val="center"/>
            <w:hideMark/>
          </w:tcPr>
          <w:p w14:paraId="3FB5896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w:t>
            </w:r>
          </w:p>
        </w:tc>
        <w:tc>
          <w:tcPr>
            <w:tcW w:w="1321" w:type="dxa"/>
            <w:tcBorders>
              <w:top w:val="nil"/>
              <w:left w:val="nil"/>
              <w:bottom w:val="single" w:sz="4" w:space="0" w:color="auto"/>
              <w:right w:val="single" w:sz="4" w:space="0" w:color="auto"/>
            </w:tcBorders>
            <w:shd w:val="clear" w:color="auto" w:fill="auto"/>
            <w:vAlign w:val="center"/>
            <w:hideMark/>
          </w:tcPr>
          <w:p w14:paraId="32654B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w:t>
            </w:r>
          </w:p>
        </w:tc>
        <w:tc>
          <w:tcPr>
            <w:tcW w:w="1221" w:type="dxa"/>
            <w:tcBorders>
              <w:top w:val="nil"/>
              <w:left w:val="nil"/>
              <w:bottom w:val="single" w:sz="4" w:space="0" w:color="auto"/>
              <w:right w:val="single" w:sz="4" w:space="0" w:color="auto"/>
            </w:tcBorders>
            <w:shd w:val="clear" w:color="auto" w:fill="auto"/>
            <w:vAlign w:val="center"/>
            <w:hideMark/>
          </w:tcPr>
          <w:p w14:paraId="7301C28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w:t>
            </w:r>
          </w:p>
        </w:tc>
        <w:tc>
          <w:tcPr>
            <w:tcW w:w="968" w:type="dxa"/>
            <w:tcBorders>
              <w:top w:val="nil"/>
              <w:left w:val="nil"/>
              <w:bottom w:val="single" w:sz="4" w:space="0" w:color="auto"/>
              <w:right w:val="single" w:sz="4" w:space="0" w:color="auto"/>
            </w:tcBorders>
            <w:shd w:val="clear" w:color="auto" w:fill="auto"/>
            <w:vAlign w:val="center"/>
            <w:hideMark/>
          </w:tcPr>
          <w:p w14:paraId="258FC1C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170AC7E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1488" w:type="dxa"/>
            <w:tcBorders>
              <w:top w:val="nil"/>
              <w:left w:val="nil"/>
              <w:bottom w:val="single" w:sz="4" w:space="0" w:color="auto"/>
              <w:right w:val="single" w:sz="4" w:space="0" w:color="auto"/>
            </w:tcBorders>
            <w:shd w:val="clear" w:color="auto" w:fill="auto"/>
            <w:vAlign w:val="center"/>
            <w:hideMark/>
          </w:tcPr>
          <w:p w14:paraId="13A3375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374" w:type="dxa"/>
            <w:tcBorders>
              <w:top w:val="nil"/>
              <w:left w:val="nil"/>
              <w:bottom w:val="single" w:sz="4" w:space="0" w:color="auto"/>
              <w:right w:val="single" w:sz="4" w:space="0" w:color="auto"/>
            </w:tcBorders>
            <w:shd w:val="clear" w:color="auto" w:fill="auto"/>
            <w:vAlign w:val="center"/>
            <w:hideMark/>
          </w:tcPr>
          <w:p w14:paraId="778DEE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w:t>
            </w:r>
          </w:p>
        </w:tc>
        <w:tc>
          <w:tcPr>
            <w:tcW w:w="1133" w:type="dxa"/>
            <w:tcBorders>
              <w:top w:val="nil"/>
              <w:left w:val="nil"/>
              <w:bottom w:val="single" w:sz="4" w:space="0" w:color="auto"/>
              <w:right w:val="single" w:sz="4" w:space="0" w:color="auto"/>
            </w:tcBorders>
            <w:shd w:val="clear" w:color="auto" w:fill="auto"/>
            <w:vAlign w:val="center"/>
            <w:hideMark/>
          </w:tcPr>
          <w:p w14:paraId="1B0FEA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w:t>
            </w:r>
          </w:p>
        </w:tc>
        <w:tc>
          <w:tcPr>
            <w:tcW w:w="306" w:type="dxa"/>
            <w:tcBorders>
              <w:top w:val="nil"/>
              <w:left w:val="nil"/>
              <w:bottom w:val="single" w:sz="4" w:space="0" w:color="auto"/>
              <w:right w:val="single" w:sz="4" w:space="0" w:color="auto"/>
            </w:tcBorders>
            <w:shd w:val="clear" w:color="auto" w:fill="auto"/>
            <w:vAlign w:val="center"/>
            <w:hideMark/>
          </w:tcPr>
          <w:p w14:paraId="4CAA900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w:t>
            </w:r>
          </w:p>
        </w:tc>
      </w:tr>
      <w:tr w:rsidR="00BC17A3" w:rsidRPr="00A546AD" w14:paraId="75099E6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17559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Serbia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DFFCDB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44</w:t>
            </w:r>
          </w:p>
        </w:tc>
        <w:tc>
          <w:tcPr>
            <w:tcW w:w="1126" w:type="dxa"/>
            <w:tcBorders>
              <w:top w:val="nil"/>
              <w:left w:val="nil"/>
              <w:bottom w:val="single" w:sz="4" w:space="0" w:color="auto"/>
              <w:right w:val="single" w:sz="4" w:space="0" w:color="auto"/>
            </w:tcBorders>
            <w:shd w:val="clear" w:color="auto" w:fill="auto"/>
            <w:vAlign w:val="center"/>
            <w:hideMark/>
          </w:tcPr>
          <w:p w14:paraId="4984F36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w:t>
            </w:r>
          </w:p>
        </w:tc>
        <w:tc>
          <w:tcPr>
            <w:tcW w:w="1199" w:type="dxa"/>
            <w:tcBorders>
              <w:top w:val="nil"/>
              <w:left w:val="nil"/>
              <w:bottom w:val="single" w:sz="4" w:space="0" w:color="auto"/>
              <w:right w:val="single" w:sz="4" w:space="0" w:color="auto"/>
            </w:tcBorders>
            <w:shd w:val="clear" w:color="auto" w:fill="auto"/>
            <w:vAlign w:val="center"/>
            <w:hideMark/>
          </w:tcPr>
          <w:p w14:paraId="0C7B6AA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w:t>
            </w:r>
          </w:p>
        </w:tc>
        <w:tc>
          <w:tcPr>
            <w:tcW w:w="1321" w:type="dxa"/>
            <w:tcBorders>
              <w:top w:val="nil"/>
              <w:left w:val="nil"/>
              <w:bottom w:val="single" w:sz="4" w:space="0" w:color="auto"/>
              <w:right w:val="single" w:sz="4" w:space="0" w:color="auto"/>
            </w:tcBorders>
            <w:shd w:val="clear" w:color="auto" w:fill="auto"/>
            <w:vAlign w:val="center"/>
            <w:hideMark/>
          </w:tcPr>
          <w:p w14:paraId="75B82C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w:t>
            </w:r>
          </w:p>
        </w:tc>
        <w:tc>
          <w:tcPr>
            <w:tcW w:w="1221" w:type="dxa"/>
            <w:tcBorders>
              <w:top w:val="nil"/>
              <w:left w:val="nil"/>
              <w:bottom w:val="single" w:sz="4" w:space="0" w:color="auto"/>
              <w:right w:val="single" w:sz="4" w:space="0" w:color="auto"/>
            </w:tcBorders>
            <w:shd w:val="clear" w:color="auto" w:fill="auto"/>
            <w:vAlign w:val="center"/>
            <w:hideMark/>
          </w:tcPr>
          <w:p w14:paraId="359649F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w:t>
            </w:r>
          </w:p>
        </w:tc>
        <w:tc>
          <w:tcPr>
            <w:tcW w:w="968" w:type="dxa"/>
            <w:tcBorders>
              <w:top w:val="nil"/>
              <w:left w:val="nil"/>
              <w:bottom w:val="single" w:sz="4" w:space="0" w:color="auto"/>
              <w:right w:val="single" w:sz="4" w:space="0" w:color="auto"/>
            </w:tcBorders>
            <w:shd w:val="clear" w:color="auto" w:fill="auto"/>
            <w:vAlign w:val="center"/>
            <w:hideMark/>
          </w:tcPr>
          <w:p w14:paraId="61A0DBF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7322FB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488" w:type="dxa"/>
            <w:tcBorders>
              <w:top w:val="nil"/>
              <w:left w:val="nil"/>
              <w:bottom w:val="single" w:sz="4" w:space="0" w:color="auto"/>
              <w:right w:val="single" w:sz="4" w:space="0" w:color="auto"/>
            </w:tcBorders>
            <w:shd w:val="clear" w:color="auto" w:fill="auto"/>
            <w:vAlign w:val="center"/>
            <w:hideMark/>
          </w:tcPr>
          <w:p w14:paraId="200BD26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w:t>
            </w:r>
          </w:p>
        </w:tc>
        <w:tc>
          <w:tcPr>
            <w:tcW w:w="1374" w:type="dxa"/>
            <w:tcBorders>
              <w:top w:val="nil"/>
              <w:left w:val="nil"/>
              <w:bottom w:val="single" w:sz="4" w:space="0" w:color="auto"/>
              <w:right w:val="single" w:sz="4" w:space="0" w:color="auto"/>
            </w:tcBorders>
            <w:shd w:val="clear" w:color="auto" w:fill="auto"/>
            <w:vAlign w:val="center"/>
            <w:hideMark/>
          </w:tcPr>
          <w:p w14:paraId="0092C10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23</w:t>
            </w:r>
          </w:p>
        </w:tc>
        <w:tc>
          <w:tcPr>
            <w:tcW w:w="1133" w:type="dxa"/>
            <w:tcBorders>
              <w:top w:val="nil"/>
              <w:left w:val="nil"/>
              <w:bottom w:val="single" w:sz="4" w:space="0" w:color="auto"/>
              <w:right w:val="single" w:sz="4" w:space="0" w:color="auto"/>
            </w:tcBorders>
            <w:shd w:val="clear" w:color="auto" w:fill="auto"/>
            <w:vAlign w:val="center"/>
            <w:hideMark/>
          </w:tcPr>
          <w:p w14:paraId="1903478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w:t>
            </w:r>
          </w:p>
        </w:tc>
        <w:tc>
          <w:tcPr>
            <w:tcW w:w="306" w:type="dxa"/>
            <w:tcBorders>
              <w:top w:val="nil"/>
              <w:left w:val="nil"/>
              <w:bottom w:val="single" w:sz="4" w:space="0" w:color="auto"/>
              <w:right w:val="single" w:sz="4" w:space="0" w:color="auto"/>
            </w:tcBorders>
            <w:shd w:val="clear" w:color="auto" w:fill="auto"/>
            <w:vAlign w:val="center"/>
            <w:hideMark/>
          </w:tcPr>
          <w:p w14:paraId="2DDC3C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w:t>
            </w:r>
          </w:p>
        </w:tc>
      </w:tr>
      <w:tr w:rsidR="00BC17A3" w:rsidRPr="00A546AD" w14:paraId="7D9839B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D0FAC5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Slovak</w:t>
            </w:r>
            <w:proofErr w:type="spellEnd"/>
            <w:r w:rsidRPr="00A546AD">
              <w:rPr>
                <w:rFonts w:ascii="Times New Roman" w:eastAsia="Times New Roman" w:hAnsi="Times New Roman" w:cs="Times New Roman"/>
                <w:sz w:val="20"/>
                <w:szCs w:val="20"/>
                <w:lang w:val="ru-RU" w:eastAsia="ru-RU" w:bidi="ar-SA"/>
              </w:rPr>
              <w:t xml:space="preserve"> Republic</w:t>
            </w:r>
          </w:p>
        </w:tc>
        <w:tc>
          <w:tcPr>
            <w:tcW w:w="802" w:type="dxa"/>
            <w:tcBorders>
              <w:top w:val="nil"/>
              <w:left w:val="nil"/>
              <w:bottom w:val="single" w:sz="4" w:space="0" w:color="auto"/>
              <w:right w:val="single" w:sz="4" w:space="0" w:color="auto"/>
            </w:tcBorders>
            <w:shd w:val="clear" w:color="auto" w:fill="auto"/>
            <w:vAlign w:val="center"/>
            <w:hideMark/>
          </w:tcPr>
          <w:p w14:paraId="2D52E3F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45</w:t>
            </w:r>
          </w:p>
        </w:tc>
        <w:tc>
          <w:tcPr>
            <w:tcW w:w="1126" w:type="dxa"/>
            <w:tcBorders>
              <w:top w:val="nil"/>
              <w:left w:val="nil"/>
              <w:bottom w:val="single" w:sz="4" w:space="0" w:color="auto"/>
              <w:right w:val="single" w:sz="4" w:space="0" w:color="auto"/>
            </w:tcBorders>
            <w:shd w:val="clear" w:color="auto" w:fill="auto"/>
            <w:vAlign w:val="center"/>
            <w:hideMark/>
          </w:tcPr>
          <w:p w14:paraId="60003F3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118</w:t>
            </w:r>
          </w:p>
        </w:tc>
        <w:tc>
          <w:tcPr>
            <w:tcW w:w="1199" w:type="dxa"/>
            <w:tcBorders>
              <w:top w:val="nil"/>
              <w:left w:val="nil"/>
              <w:bottom w:val="single" w:sz="4" w:space="0" w:color="auto"/>
              <w:right w:val="single" w:sz="4" w:space="0" w:color="auto"/>
            </w:tcBorders>
            <w:shd w:val="clear" w:color="auto" w:fill="auto"/>
            <w:vAlign w:val="center"/>
            <w:hideMark/>
          </w:tcPr>
          <w:p w14:paraId="0485FB9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146</w:t>
            </w:r>
          </w:p>
        </w:tc>
        <w:tc>
          <w:tcPr>
            <w:tcW w:w="1321" w:type="dxa"/>
            <w:tcBorders>
              <w:top w:val="nil"/>
              <w:left w:val="nil"/>
              <w:bottom w:val="single" w:sz="4" w:space="0" w:color="auto"/>
              <w:right w:val="single" w:sz="4" w:space="0" w:color="auto"/>
            </w:tcBorders>
            <w:shd w:val="clear" w:color="auto" w:fill="auto"/>
            <w:vAlign w:val="center"/>
            <w:hideMark/>
          </w:tcPr>
          <w:p w14:paraId="2310DAA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w:t>
            </w:r>
          </w:p>
        </w:tc>
        <w:tc>
          <w:tcPr>
            <w:tcW w:w="1221" w:type="dxa"/>
            <w:tcBorders>
              <w:top w:val="nil"/>
              <w:left w:val="nil"/>
              <w:bottom w:val="single" w:sz="4" w:space="0" w:color="auto"/>
              <w:right w:val="single" w:sz="4" w:space="0" w:color="auto"/>
            </w:tcBorders>
            <w:shd w:val="clear" w:color="auto" w:fill="auto"/>
            <w:vAlign w:val="center"/>
            <w:hideMark/>
          </w:tcPr>
          <w:p w14:paraId="58A1A8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w:t>
            </w:r>
          </w:p>
        </w:tc>
        <w:tc>
          <w:tcPr>
            <w:tcW w:w="968" w:type="dxa"/>
            <w:tcBorders>
              <w:top w:val="nil"/>
              <w:left w:val="nil"/>
              <w:bottom w:val="single" w:sz="4" w:space="0" w:color="auto"/>
              <w:right w:val="single" w:sz="4" w:space="0" w:color="auto"/>
            </w:tcBorders>
            <w:shd w:val="clear" w:color="auto" w:fill="auto"/>
            <w:vAlign w:val="center"/>
            <w:hideMark/>
          </w:tcPr>
          <w:p w14:paraId="4CD053B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6F28FB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488" w:type="dxa"/>
            <w:tcBorders>
              <w:top w:val="nil"/>
              <w:left w:val="nil"/>
              <w:bottom w:val="single" w:sz="4" w:space="0" w:color="auto"/>
              <w:right w:val="single" w:sz="4" w:space="0" w:color="auto"/>
            </w:tcBorders>
            <w:shd w:val="clear" w:color="auto" w:fill="auto"/>
            <w:vAlign w:val="center"/>
            <w:hideMark/>
          </w:tcPr>
          <w:p w14:paraId="1251FE7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w:t>
            </w:r>
          </w:p>
        </w:tc>
        <w:tc>
          <w:tcPr>
            <w:tcW w:w="1374" w:type="dxa"/>
            <w:tcBorders>
              <w:top w:val="nil"/>
              <w:left w:val="nil"/>
              <w:bottom w:val="single" w:sz="4" w:space="0" w:color="auto"/>
              <w:right w:val="single" w:sz="4" w:space="0" w:color="auto"/>
            </w:tcBorders>
            <w:shd w:val="clear" w:color="auto" w:fill="auto"/>
            <w:vAlign w:val="center"/>
            <w:hideMark/>
          </w:tcPr>
          <w:p w14:paraId="6E9CA84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0AF14F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w:t>
            </w:r>
          </w:p>
        </w:tc>
        <w:tc>
          <w:tcPr>
            <w:tcW w:w="306" w:type="dxa"/>
            <w:tcBorders>
              <w:top w:val="nil"/>
              <w:left w:val="nil"/>
              <w:bottom w:val="single" w:sz="4" w:space="0" w:color="auto"/>
              <w:right w:val="single" w:sz="4" w:space="0" w:color="auto"/>
            </w:tcBorders>
            <w:shd w:val="clear" w:color="auto" w:fill="auto"/>
            <w:vAlign w:val="center"/>
            <w:hideMark/>
          </w:tcPr>
          <w:p w14:paraId="6691AC9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w:t>
            </w:r>
          </w:p>
        </w:tc>
      </w:tr>
      <w:tr w:rsidR="00BC17A3" w:rsidRPr="00A546AD" w14:paraId="3B26FCE7"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3EACED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Belgium</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20CD75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46</w:t>
            </w:r>
          </w:p>
        </w:tc>
        <w:tc>
          <w:tcPr>
            <w:tcW w:w="1126" w:type="dxa"/>
            <w:tcBorders>
              <w:top w:val="nil"/>
              <w:left w:val="nil"/>
              <w:bottom w:val="single" w:sz="4" w:space="0" w:color="auto"/>
              <w:right w:val="single" w:sz="4" w:space="0" w:color="auto"/>
            </w:tcBorders>
            <w:shd w:val="clear" w:color="auto" w:fill="auto"/>
            <w:vAlign w:val="center"/>
            <w:hideMark/>
          </w:tcPr>
          <w:p w14:paraId="71AE971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199" w:type="dxa"/>
            <w:tcBorders>
              <w:top w:val="nil"/>
              <w:left w:val="nil"/>
              <w:bottom w:val="single" w:sz="4" w:space="0" w:color="auto"/>
              <w:right w:val="single" w:sz="4" w:space="0" w:color="auto"/>
            </w:tcBorders>
            <w:shd w:val="clear" w:color="auto" w:fill="auto"/>
            <w:vAlign w:val="center"/>
            <w:hideMark/>
          </w:tcPr>
          <w:p w14:paraId="51E685A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1321" w:type="dxa"/>
            <w:tcBorders>
              <w:top w:val="nil"/>
              <w:left w:val="nil"/>
              <w:bottom w:val="single" w:sz="4" w:space="0" w:color="auto"/>
              <w:right w:val="single" w:sz="4" w:space="0" w:color="auto"/>
            </w:tcBorders>
            <w:shd w:val="clear" w:color="auto" w:fill="auto"/>
            <w:vAlign w:val="center"/>
            <w:hideMark/>
          </w:tcPr>
          <w:p w14:paraId="13A211B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108</w:t>
            </w:r>
          </w:p>
        </w:tc>
        <w:tc>
          <w:tcPr>
            <w:tcW w:w="1221" w:type="dxa"/>
            <w:tcBorders>
              <w:top w:val="nil"/>
              <w:left w:val="nil"/>
              <w:bottom w:val="single" w:sz="4" w:space="0" w:color="auto"/>
              <w:right w:val="single" w:sz="4" w:space="0" w:color="auto"/>
            </w:tcBorders>
            <w:shd w:val="clear" w:color="auto" w:fill="auto"/>
            <w:vAlign w:val="center"/>
            <w:hideMark/>
          </w:tcPr>
          <w:p w14:paraId="4B8F50B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139</w:t>
            </w:r>
          </w:p>
        </w:tc>
        <w:tc>
          <w:tcPr>
            <w:tcW w:w="968" w:type="dxa"/>
            <w:tcBorders>
              <w:top w:val="nil"/>
              <w:left w:val="nil"/>
              <w:bottom w:val="single" w:sz="4" w:space="0" w:color="auto"/>
              <w:right w:val="single" w:sz="4" w:space="0" w:color="auto"/>
            </w:tcBorders>
            <w:shd w:val="clear" w:color="auto" w:fill="auto"/>
            <w:vAlign w:val="center"/>
            <w:hideMark/>
          </w:tcPr>
          <w:p w14:paraId="5419044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5EC6ED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1488" w:type="dxa"/>
            <w:tcBorders>
              <w:top w:val="nil"/>
              <w:left w:val="nil"/>
              <w:bottom w:val="single" w:sz="4" w:space="0" w:color="auto"/>
              <w:right w:val="single" w:sz="4" w:space="0" w:color="auto"/>
            </w:tcBorders>
            <w:shd w:val="clear" w:color="auto" w:fill="auto"/>
            <w:vAlign w:val="center"/>
            <w:hideMark/>
          </w:tcPr>
          <w:p w14:paraId="1085536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w:t>
            </w:r>
          </w:p>
        </w:tc>
        <w:tc>
          <w:tcPr>
            <w:tcW w:w="1374" w:type="dxa"/>
            <w:tcBorders>
              <w:top w:val="nil"/>
              <w:left w:val="nil"/>
              <w:bottom w:val="single" w:sz="4" w:space="0" w:color="auto"/>
              <w:right w:val="single" w:sz="4" w:space="0" w:color="auto"/>
            </w:tcBorders>
            <w:shd w:val="clear" w:color="auto" w:fill="auto"/>
            <w:vAlign w:val="center"/>
            <w:hideMark/>
          </w:tcPr>
          <w:p w14:paraId="65DC720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550F3C7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w:t>
            </w:r>
          </w:p>
        </w:tc>
        <w:tc>
          <w:tcPr>
            <w:tcW w:w="306" w:type="dxa"/>
            <w:tcBorders>
              <w:top w:val="nil"/>
              <w:left w:val="nil"/>
              <w:bottom w:val="single" w:sz="4" w:space="0" w:color="auto"/>
              <w:right w:val="single" w:sz="4" w:space="0" w:color="auto"/>
            </w:tcBorders>
            <w:shd w:val="clear" w:color="auto" w:fill="auto"/>
            <w:vAlign w:val="center"/>
            <w:hideMark/>
          </w:tcPr>
          <w:p w14:paraId="448EF3A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w:t>
            </w:r>
          </w:p>
        </w:tc>
      </w:tr>
      <w:tr w:rsidR="00BC17A3" w:rsidRPr="00A546AD" w14:paraId="049F572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1C1079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Armenia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54C948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47</w:t>
            </w:r>
          </w:p>
        </w:tc>
        <w:tc>
          <w:tcPr>
            <w:tcW w:w="1126" w:type="dxa"/>
            <w:tcBorders>
              <w:top w:val="nil"/>
              <w:left w:val="nil"/>
              <w:bottom w:val="single" w:sz="4" w:space="0" w:color="auto"/>
              <w:right w:val="single" w:sz="4" w:space="0" w:color="auto"/>
            </w:tcBorders>
            <w:shd w:val="clear" w:color="auto" w:fill="auto"/>
            <w:vAlign w:val="center"/>
            <w:hideMark/>
          </w:tcPr>
          <w:p w14:paraId="25EBD29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w:t>
            </w:r>
          </w:p>
        </w:tc>
        <w:tc>
          <w:tcPr>
            <w:tcW w:w="1199" w:type="dxa"/>
            <w:tcBorders>
              <w:top w:val="nil"/>
              <w:left w:val="nil"/>
              <w:bottom w:val="single" w:sz="4" w:space="0" w:color="auto"/>
              <w:right w:val="single" w:sz="4" w:space="0" w:color="auto"/>
            </w:tcBorders>
            <w:shd w:val="clear" w:color="auto" w:fill="auto"/>
            <w:vAlign w:val="center"/>
            <w:hideMark/>
          </w:tcPr>
          <w:p w14:paraId="62FBD8B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w:t>
            </w:r>
          </w:p>
        </w:tc>
        <w:tc>
          <w:tcPr>
            <w:tcW w:w="1321" w:type="dxa"/>
            <w:tcBorders>
              <w:top w:val="nil"/>
              <w:left w:val="nil"/>
              <w:bottom w:val="single" w:sz="4" w:space="0" w:color="auto"/>
              <w:right w:val="single" w:sz="4" w:space="0" w:color="auto"/>
            </w:tcBorders>
            <w:shd w:val="clear" w:color="auto" w:fill="auto"/>
            <w:vAlign w:val="center"/>
            <w:hideMark/>
          </w:tcPr>
          <w:p w14:paraId="72B655E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30</w:t>
            </w:r>
          </w:p>
        </w:tc>
        <w:tc>
          <w:tcPr>
            <w:tcW w:w="1221" w:type="dxa"/>
            <w:tcBorders>
              <w:top w:val="nil"/>
              <w:left w:val="nil"/>
              <w:bottom w:val="single" w:sz="4" w:space="0" w:color="auto"/>
              <w:right w:val="single" w:sz="4" w:space="0" w:color="auto"/>
            </w:tcBorders>
            <w:shd w:val="clear" w:color="auto" w:fill="auto"/>
            <w:vAlign w:val="center"/>
            <w:hideMark/>
          </w:tcPr>
          <w:p w14:paraId="580A3B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c>
          <w:tcPr>
            <w:tcW w:w="968" w:type="dxa"/>
            <w:tcBorders>
              <w:top w:val="nil"/>
              <w:left w:val="nil"/>
              <w:bottom w:val="single" w:sz="4" w:space="0" w:color="auto"/>
              <w:right w:val="single" w:sz="4" w:space="0" w:color="auto"/>
            </w:tcBorders>
            <w:shd w:val="clear" w:color="auto" w:fill="auto"/>
            <w:vAlign w:val="center"/>
            <w:hideMark/>
          </w:tcPr>
          <w:p w14:paraId="1BA64E2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5610AD4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488" w:type="dxa"/>
            <w:tcBorders>
              <w:top w:val="nil"/>
              <w:left w:val="nil"/>
              <w:bottom w:val="single" w:sz="4" w:space="0" w:color="auto"/>
              <w:right w:val="single" w:sz="4" w:space="0" w:color="auto"/>
            </w:tcBorders>
            <w:shd w:val="clear" w:color="auto" w:fill="auto"/>
            <w:vAlign w:val="center"/>
            <w:hideMark/>
          </w:tcPr>
          <w:p w14:paraId="58D4030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52</w:t>
            </w:r>
          </w:p>
        </w:tc>
        <w:tc>
          <w:tcPr>
            <w:tcW w:w="1374" w:type="dxa"/>
            <w:tcBorders>
              <w:top w:val="nil"/>
              <w:left w:val="nil"/>
              <w:bottom w:val="single" w:sz="4" w:space="0" w:color="auto"/>
              <w:right w:val="single" w:sz="4" w:space="0" w:color="auto"/>
            </w:tcBorders>
            <w:shd w:val="clear" w:color="auto" w:fill="auto"/>
            <w:vAlign w:val="center"/>
            <w:hideMark/>
          </w:tcPr>
          <w:p w14:paraId="588466D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43</w:t>
            </w:r>
          </w:p>
        </w:tc>
        <w:tc>
          <w:tcPr>
            <w:tcW w:w="1133" w:type="dxa"/>
            <w:tcBorders>
              <w:top w:val="nil"/>
              <w:left w:val="nil"/>
              <w:bottom w:val="single" w:sz="4" w:space="0" w:color="auto"/>
              <w:right w:val="single" w:sz="4" w:space="0" w:color="auto"/>
            </w:tcBorders>
            <w:shd w:val="clear" w:color="auto" w:fill="auto"/>
            <w:vAlign w:val="center"/>
            <w:hideMark/>
          </w:tcPr>
          <w:p w14:paraId="6A6A8E1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30</w:t>
            </w:r>
          </w:p>
        </w:tc>
        <w:tc>
          <w:tcPr>
            <w:tcW w:w="306" w:type="dxa"/>
            <w:tcBorders>
              <w:top w:val="nil"/>
              <w:left w:val="nil"/>
              <w:bottom w:val="single" w:sz="4" w:space="0" w:color="auto"/>
              <w:right w:val="single" w:sz="4" w:space="0" w:color="auto"/>
            </w:tcBorders>
            <w:shd w:val="clear" w:color="auto" w:fill="auto"/>
            <w:vAlign w:val="center"/>
            <w:hideMark/>
          </w:tcPr>
          <w:p w14:paraId="14D9DA7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w:t>
            </w:r>
          </w:p>
        </w:tc>
      </w:tr>
      <w:tr w:rsidR="00BC17A3" w:rsidRPr="00A546AD" w14:paraId="4CE101F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FDF756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Moldova</w:t>
            </w:r>
          </w:p>
        </w:tc>
        <w:tc>
          <w:tcPr>
            <w:tcW w:w="802" w:type="dxa"/>
            <w:tcBorders>
              <w:top w:val="nil"/>
              <w:left w:val="nil"/>
              <w:bottom w:val="single" w:sz="4" w:space="0" w:color="auto"/>
              <w:right w:val="single" w:sz="4" w:space="0" w:color="auto"/>
            </w:tcBorders>
            <w:shd w:val="clear" w:color="auto" w:fill="auto"/>
            <w:vAlign w:val="center"/>
            <w:hideMark/>
          </w:tcPr>
          <w:p w14:paraId="6AA771B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48</w:t>
            </w:r>
          </w:p>
        </w:tc>
        <w:tc>
          <w:tcPr>
            <w:tcW w:w="1126" w:type="dxa"/>
            <w:tcBorders>
              <w:top w:val="nil"/>
              <w:left w:val="nil"/>
              <w:bottom w:val="single" w:sz="4" w:space="0" w:color="auto"/>
              <w:right w:val="single" w:sz="4" w:space="0" w:color="auto"/>
            </w:tcBorders>
            <w:shd w:val="clear" w:color="auto" w:fill="auto"/>
            <w:vAlign w:val="center"/>
            <w:hideMark/>
          </w:tcPr>
          <w:p w14:paraId="34C1709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c>
          <w:tcPr>
            <w:tcW w:w="1199" w:type="dxa"/>
            <w:tcBorders>
              <w:top w:val="nil"/>
              <w:left w:val="nil"/>
              <w:bottom w:val="single" w:sz="4" w:space="0" w:color="auto"/>
              <w:right w:val="single" w:sz="4" w:space="0" w:color="auto"/>
            </w:tcBorders>
            <w:shd w:val="clear" w:color="auto" w:fill="auto"/>
            <w:vAlign w:val="center"/>
            <w:hideMark/>
          </w:tcPr>
          <w:p w14:paraId="7C0909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156</w:t>
            </w:r>
          </w:p>
        </w:tc>
        <w:tc>
          <w:tcPr>
            <w:tcW w:w="1321" w:type="dxa"/>
            <w:tcBorders>
              <w:top w:val="nil"/>
              <w:left w:val="nil"/>
              <w:bottom w:val="single" w:sz="4" w:space="0" w:color="auto"/>
              <w:right w:val="single" w:sz="4" w:space="0" w:color="auto"/>
            </w:tcBorders>
            <w:shd w:val="clear" w:color="auto" w:fill="auto"/>
            <w:vAlign w:val="center"/>
            <w:hideMark/>
          </w:tcPr>
          <w:p w14:paraId="01C9D91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w:t>
            </w:r>
          </w:p>
        </w:tc>
        <w:tc>
          <w:tcPr>
            <w:tcW w:w="1221" w:type="dxa"/>
            <w:tcBorders>
              <w:top w:val="nil"/>
              <w:left w:val="nil"/>
              <w:bottom w:val="single" w:sz="4" w:space="0" w:color="auto"/>
              <w:right w:val="single" w:sz="4" w:space="0" w:color="auto"/>
            </w:tcBorders>
            <w:shd w:val="clear" w:color="auto" w:fill="auto"/>
            <w:vAlign w:val="center"/>
            <w:hideMark/>
          </w:tcPr>
          <w:p w14:paraId="379AE6B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22</w:t>
            </w:r>
          </w:p>
        </w:tc>
        <w:tc>
          <w:tcPr>
            <w:tcW w:w="968" w:type="dxa"/>
            <w:tcBorders>
              <w:top w:val="nil"/>
              <w:left w:val="nil"/>
              <w:bottom w:val="single" w:sz="4" w:space="0" w:color="auto"/>
              <w:right w:val="single" w:sz="4" w:space="0" w:color="auto"/>
            </w:tcBorders>
            <w:shd w:val="clear" w:color="auto" w:fill="auto"/>
            <w:vAlign w:val="center"/>
            <w:hideMark/>
          </w:tcPr>
          <w:p w14:paraId="4C9177E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03B2F5E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1488" w:type="dxa"/>
            <w:tcBorders>
              <w:top w:val="nil"/>
              <w:left w:val="nil"/>
              <w:bottom w:val="single" w:sz="4" w:space="0" w:color="auto"/>
              <w:right w:val="single" w:sz="4" w:space="0" w:color="auto"/>
            </w:tcBorders>
            <w:shd w:val="clear" w:color="auto" w:fill="auto"/>
            <w:vAlign w:val="center"/>
            <w:hideMark/>
          </w:tcPr>
          <w:p w14:paraId="0391405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32</w:t>
            </w:r>
          </w:p>
        </w:tc>
        <w:tc>
          <w:tcPr>
            <w:tcW w:w="1374" w:type="dxa"/>
            <w:tcBorders>
              <w:top w:val="nil"/>
              <w:left w:val="nil"/>
              <w:bottom w:val="single" w:sz="4" w:space="0" w:color="auto"/>
              <w:right w:val="single" w:sz="4" w:space="0" w:color="auto"/>
            </w:tcBorders>
            <w:shd w:val="clear" w:color="auto" w:fill="auto"/>
            <w:vAlign w:val="center"/>
            <w:hideMark/>
          </w:tcPr>
          <w:p w14:paraId="765F239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w:t>
            </w:r>
          </w:p>
        </w:tc>
        <w:tc>
          <w:tcPr>
            <w:tcW w:w="1133" w:type="dxa"/>
            <w:tcBorders>
              <w:top w:val="nil"/>
              <w:left w:val="nil"/>
              <w:bottom w:val="single" w:sz="4" w:space="0" w:color="auto"/>
              <w:right w:val="single" w:sz="4" w:space="0" w:color="auto"/>
            </w:tcBorders>
            <w:shd w:val="clear" w:color="auto" w:fill="auto"/>
            <w:vAlign w:val="center"/>
            <w:hideMark/>
          </w:tcPr>
          <w:p w14:paraId="3AE683E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w:t>
            </w:r>
          </w:p>
        </w:tc>
        <w:tc>
          <w:tcPr>
            <w:tcW w:w="306" w:type="dxa"/>
            <w:tcBorders>
              <w:top w:val="nil"/>
              <w:left w:val="nil"/>
              <w:bottom w:val="single" w:sz="4" w:space="0" w:color="auto"/>
              <w:right w:val="single" w:sz="4" w:space="0" w:color="auto"/>
            </w:tcBorders>
            <w:shd w:val="clear" w:color="auto" w:fill="auto"/>
            <w:vAlign w:val="center"/>
            <w:hideMark/>
          </w:tcPr>
          <w:p w14:paraId="385FC3A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r>
      <w:tr w:rsidR="00BC17A3" w:rsidRPr="00A546AD" w14:paraId="1CBCABF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F14E14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Belarus</w:t>
            </w:r>
          </w:p>
        </w:tc>
        <w:tc>
          <w:tcPr>
            <w:tcW w:w="802" w:type="dxa"/>
            <w:tcBorders>
              <w:top w:val="nil"/>
              <w:left w:val="nil"/>
              <w:bottom w:val="single" w:sz="4" w:space="0" w:color="auto"/>
              <w:right w:val="single" w:sz="4" w:space="0" w:color="auto"/>
            </w:tcBorders>
            <w:shd w:val="clear" w:color="auto" w:fill="auto"/>
            <w:vAlign w:val="center"/>
            <w:hideMark/>
          </w:tcPr>
          <w:p w14:paraId="0F125ED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49</w:t>
            </w:r>
          </w:p>
        </w:tc>
        <w:tc>
          <w:tcPr>
            <w:tcW w:w="1126" w:type="dxa"/>
            <w:tcBorders>
              <w:top w:val="nil"/>
              <w:left w:val="nil"/>
              <w:bottom w:val="single" w:sz="4" w:space="0" w:color="auto"/>
              <w:right w:val="single" w:sz="4" w:space="0" w:color="auto"/>
            </w:tcBorders>
            <w:shd w:val="clear" w:color="auto" w:fill="auto"/>
            <w:vAlign w:val="center"/>
            <w:hideMark/>
          </w:tcPr>
          <w:p w14:paraId="4ECE45F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29</w:t>
            </w:r>
          </w:p>
        </w:tc>
        <w:tc>
          <w:tcPr>
            <w:tcW w:w="1199" w:type="dxa"/>
            <w:tcBorders>
              <w:top w:val="nil"/>
              <w:left w:val="nil"/>
              <w:bottom w:val="single" w:sz="4" w:space="0" w:color="auto"/>
              <w:right w:val="single" w:sz="4" w:space="0" w:color="auto"/>
            </w:tcBorders>
            <w:shd w:val="clear" w:color="auto" w:fill="auto"/>
            <w:vAlign w:val="center"/>
            <w:hideMark/>
          </w:tcPr>
          <w:p w14:paraId="5A5FBE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321" w:type="dxa"/>
            <w:tcBorders>
              <w:top w:val="nil"/>
              <w:left w:val="nil"/>
              <w:bottom w:val="single" w:sz="4" w:space="0" w:color="auto"/>
              <w:right w:val="single" w:sz="4" w:space="0" w:color="auto"/>
            </w:tcBorders>
            <w:shd w:val="clear" w:color="auto" w:fill="auto"/>
            <w:vAlign w:val="center"/>
            <w:hideMark/>
          </w:tcPr>
          <w:p w14:paraId="261BE1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20</w:t>
            </w:r>
          </w:p>
        </w:tc>
        <w:tc>
          <w:tcPr>
            <w:tcW w:w="1221" w:type="dxa"/>
            <w:tcBorders>
              <w:top w:val="nil"/>
              <w:left w:val="nil"/>
              <w:bottom w:val="single" w:sz="4" w:space="0" w:color="auto"/>
              <w:right w:val="single" w:sz="4" w:space="0" w:color="auto"/>
            </w:tcBorders>
            <w:shd w:val="clear" w:color="auto" w:fill="auto"/>
            <w:vAlign w:val="center"/>
            <w:hideMark/>
          </w:tcPr>
          <w:p w14:paraId="16B37E1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w:t>
            </w:r>
          </w:p>
        </w:tc>
        <w:tc>
          <w:tcPr>
            <w:tcW w:w="968" w:type="dxa"/>
            <w:tcBorders>
              <w:top w:val="nil"/>
              <w:left w:val="nil"/>
              <w:bottom w:val="single" w:sz="4" w:space="0" w:color="auto"/>
              <w:right w:val="single" w:sz="4" w:space="0" w:color="auto"/>
            </w:tcBorders>
            <w:shd w:val="clear" w:color="auto" w:fill="auto"/>
            <w:vAlign w:val="center"/>
            <w:hideMark/>
          </w:tcPr>
          <w:p w14:paraId="7EF9572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3E9062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488" w:type="dxa"/>
            <w:tcBorders>
              <w:top w:val="nil"/>
              <w:left w:val="nil"/>
              <w:bottom w:val="single" w:sz="4" w:space="0" w:color="auto"/>
              <w:right w:val="single" w:sz="4" w:space="0" w:color="auto"/>
            </w:tcBorders>
            <w:shd w:val="clear" w:color="auto" w:fill="auto"/>
            <w:vAlign w:val="center"/>
            <w:hideMark/>
          </w:tcPr>
          <w:p w14:paraId="442D4BB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w:t>
            </w:r>
          </w:p>
        </w:tc>
        <w:tc>
          <w:tcPr>
            <w:tcW w:w="1374" w:type="dxa"/>
            <w:tcBorders>
              <w:top w:val="nil"/>
              <w:left w:val="nil"/>
              <w:bottom w:val="single" w:sz="4" w:space="0" w:color="auto"/>
              <w:right w:val="single" w:sz="4" w:space="0" w:color="auto"/>
            </w:tcBorders>
            <w:shd w:val="clear" w:color="auto" w:fill="auto"/>
            <w:vAlign w:val="center"/>
            <w:hideMark/>
          </w:tcPr>
          <w:p w14:paraId="18BDA0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24</w:t>
            </w:r>
          </w:p>
        </w:tc>
        <w:tc>
          <w:tcPr>
            <w:tcW w:w="1133" w:type="dxa"/>
            <w:tcBorders>
              <w:top w:val="nil"/>
              <w:left w:val="nil"/>
              <w:bottom w:val="single" w:sz="4" w:space="0" w:color="auto"/>
              <w:right w:val="single" w:sz="4" w:space="0" w:color="auto"/>
            </w:tcBorders>
            <w:shd w:val="clear" w:color="auto" w:fill="auto"/>
            <w:vAlign w:val="center"/>
            <w:hideMark/>
          </w:tcPr>
          <w:p w14:paraId="3DD116C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40</w:t>
            </w:r>
          </w:p>
        </w:tc>
        <w:tc>
          <w:tcPr>
            <w:tcW w:w="306" w:type="dxa"/>
            <w:tcBorders>
              <w:top w:val="nil"/>
              <w:left w:val="nil"/>
              <w:bottom w:val="single" w:sz="4" w:space="0" w:color="auto"/>
              <w:right w:val="single" w:sz="4" w:space="0" w:color="auto"/>
            </w:tcBorders>
            <w:shd w:val="clear" w:color="auto" w:fill="auto"/>
            <w:vAlign w:val="center"/>
            <w:hideMark/>
          </w:tcPr>
          <w:p w14:paraId="196397A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w:t>
            </w:r>
          </w:p>
        </w:tc>
      </w:tr>
      <w:tr w:rsidR="00BC17A3" w:rsidRPr="00A546AD" w14:paraId="2226658E"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D1E109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Montenegro</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556EBC2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50</w:t>
            </w:r>
          </w:p>
        </w:tc>
        <w:tc>
          <w:tcPr>
            <w:tcW w:w="1126" w:type="dxa"/>
            <w:tcBorders>
              <w:top w:val="nil"/>
              <w:left w:val="nil"/>
              <w:bottom w:val="single" w:sz="4" w:space="0" w:color="auto"/>
              <w:right w:val="single" w:sz="4" w:space="0" w:color="auto"/>
            </w:tcBorders>
            <w:shd w:val="clear" w:color="auto" w:fill="auto"/>
            <w:vAlign w:val="center"/>
            <w:hideMark/>
          </w:tcPr>
          <w:p w14:paraId="1436165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101</w:t>
            </w:r>
          </w:p>
        </w:tc>
        <w:tc>
          <w:tcPr>
            <w:tcW w:w="1199" w:type="dxa"/>
            <w:tcBorders>
              <w:top w:val="nil"/>
              <w:left w:val="nil"/>
              <w:bottom w:val="single" w:sz="4" w:space="0" w:color="auto"/>
              <w:right w:val="single" w:sz="4" w:space="0" w:color="auto"/>
            </w:tcBorders>
            <w:shd w:val="clear" w:color="auto" w:fill="auto"/>
            <w:vAlign w:val="center"/>
            <w:hideMark/>
          </w:tcPr>
          <w:p w14:paraId="7A02E09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40</w:t>
            </w:r>
          </w:p>
        </w:tc>
        <w:tc>
          <w:tcPr>
            <w:tcW w:w="1321" w:type="dxa"/>
            <w:tcBorders>
              <w:top w:val="nil"/>
              <w:left w:val="nil"/>
              <w:bottom w:val="single" w:sz="4" w:space="0" w:color="auto"/>
              <w:right w:val="single" w:sz="4" w:space="0" w:color="auto"/>
            </w:tcBorders>
            <w:shd w:val="clear" w:color="auto" w:fill="auto"/>
            <w:vAlign w:val="center"/>
            <w:hideMark/>
          </w:tcPr>
          <w:p w14:paraId="5B6EDF6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134</w:t>
            </w:r>
          </w:p>
        </w:tc>
        <w:tc>
          <w:tcPr>
            <w:tcW w:w="1221" w:type="dxa"/>
            <w:tcBorders>
              <w:top w:val="nil"/>
              <w:left w:val="nil"/>
              <w:bottom w:val="single" w:sz="4" w:space="0" w:color="auto"/>
              <w:right w:val="single" w:sz="4" w:space="0" w:color="auto"/>
            </w:tcBorders>
            <w:shd w:val="clear" w:color="auto" w:fill="auto"/>
            <w:vAlign w:val="center"/>
            <w:hideMark/>
          </w:tcPr>
          <w:p w14:paraId="477DC85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w:t>
            </w:r>
          </w:p>
        </w:tc>
        <w:tc>
          <w:tcPr>
            <w:tcW w:w="968" w:type="dxa"/>
            <w:tcBorders>
              <w:top w:val="nil"/>
              <w:left w:val="nil"/>
              <w:bottom w:val="single" w:sz="4" w:space="0" w:color="auto"/>
              <w:right w:val="single" w:sz="4" w:space="0" w:color="auto"/>
            </w:tcBorders>
            <w:shd w:val="clear" w:color="auto" w:fill="auto"/>
            <w:vAlign w:val="center"/>
            <w:hideMark/>
          </w:tcPr>
          <w:p w14:paraId="3F7B7B7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246" w:type="dxa"/>
            <w:tcBorders>
              <w:top w:val="nil"/>
              <w:left w:val="nil"/>
              <w:bottom w:val="single" w:sz="4" w:space="0" w:color="auto"/>
              <w:right w:val="single" w:sz="4" w:space="0" w:color="auto"/>
            </w:tcBorders>
            <w:shd w:val="clear" w:color="auto" w:fill="auto"/>
            <w:vAlign w:val="center"/>
            <w:hideMark/>
          </w:tcPr>
          <w:p w14:paraId="7F3D21A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488" w:type="dxa"/>
            <w:tcBorders>
              <w:top w:val="nil"/>
              <w:left w:val="nil"/>
              <w:bottom w:val="single" w:sz="4" w:space="0" w:color="auto"/>
              <w:right w:val="single" w:sz="4" w:space="0" w:color="auto"/>
            </w:tcBorders>
            <w:shd w:val="clear" w:color="auto" w:fill="auto"/>
            <w:vAlign w:val="center"/>
            <w:hideMark/>
          </w:tcPr>
          <w:p w14:paraId="674018A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w:t>
            </w:r>
          </w:p>
        </w:tc>
        <w:tc>
          <w:tcPr>
            <w:tcW w:w="1374" w:type="dxa"/>
            <w:tcBorders>
              <w:top w:val="nil"/>
              <w:left w:val="nil"/>
              <w:bottom w:val="single" w:sz="4" w:space="0" w:color="auto"/>
              <w:right w:val="single" w:sz="4" w:space="0" w:color="auto"/>
            </w:tcBorders>
            <w:shd w:val="clear" w:color="auto" w:fill="auto"/>
            <w:vAlign w:val="center"/>
            <w:hideMark/>
          </w:tcPr>
          <w:p w14:paraId="20FF49A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w:t>
            </w:r>
          </w:p>
        </w:tc>
        <w:tc>
          <w:tcPr>
            <w:tcW w:w="1133" w:type="dxa"/>
            <w:tcBorders>
              <w:top w:val="nil"/>
              <w:left w:val="nil"/>
              <w:bottom w:val="single" w:sz="4" w:space="0" w:color="auto"/>
              <w:right w:val="single" w:sz="4" w:space="0" w:color="auto"/>
            </w:tcBorders>
            <w:shd w:val="clear" w:color="auto" w:fill="auto"/>
            <w:vAlign w:val="center"/>
            <w:hideMark/>
          </w:tcPr>
          <w:p w14:paraId="7CB8D32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44</w:t>
            </w:r>
          </w:p>
        </w:tc>
        <w:tc>
          <w:tcPr>
            <w:tcW w:w="306" w:type="dxa"/>
            <w:tcBorders>
              <w:top w:val="nil"/>
              <w:left w:val="nil"/>
              <w:bottom w:val="single" w:sz="4" w:space="0" w:color="auto"/>
              <w:right w:val="single" w:sz="4" w:space="0" w:color="auto"/>
            </w:tcBorders>
            <w:shd w:val="clear" w:color="auto" w:fill="auto"/>
            <w:vAlign w:val="center"/>
            <w:hideMark/>
          </w:tcPr>
          <w:p w14:paraId="598A1A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43</w:t>
            </w:r>
          </w:p>
        </w:tc>
      </w:tr>
      <w:tr w:rsidR="00BC17A3" w:rsidRPr="00A546AD" w14:paraId="29A8766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612CB0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Croatia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A02DE14"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51</w:t>
            </w:r>
          </w:p>
        </w:tc>
        <w:tc>
          <w:tcPr>
            <w:tcW w:w="1126" w:type="dxa"/>
            <w:tcBorders>
              <w:top w:val="nil"/>
              <w:left w:val="nil"/>
              <w:bottom w:val="single" w:sz="4" w:space="0" w:color="auto"/>
              <w:right w:val="single" w:sz="4" w:space="0" w:color="auto"/>
            </w:tcBorders>
            <w:shd w:val="clear" w:color="auto" w:fill="auto"/>
            <w:vAlign w:val="center"/>
            <w:hideMark/>
          </w:tcPr>
          <w:p w14:paraId="2B0E4A4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1199" w:type="dxa"/>
            <w:tcBorders>
              <w:top w:val="nil"/>
              <w:left w:val="nil"/>
              <w:bottom w:val="single" w:sz="4" w:space="0" w:color="auto"/>
              <w:right w:val="single" w:sz="4" w:space="0" w:color="auto"/>
            </w:tcBorders>
            <w:shd w:val="clear" w:color="auto" w:fill="auto"/>
            <w:vAlign w:val="center"/>
            <w:hideMark/>
          </w:tcPr>
          <w:p w14:paraId="5E447BA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150</w:t>
            </w:r>
          </w:p>
        </w:tc>
        <w:tc>
          <w:tcPr>
            <w:tcW w:w="1321" w:type="dxa"/>
            <w:tcBorders>
              <w:top w:val="nil"/>
              <w:left w:val="nil"/>
              <w:bottom w:val="single" w:sz="4" w:space="0" w:color="auto"/>
              <w:right w:val="single" w:sz="4" w:space="0" w:color="auto"/>
            </w:tcBorders>
            <w:shd w:val="clear" w:color="auto" w:fill="auto"/>
            <w:vAlign w:val="center"/>
            <w:hideMark/>
          </w:tcPr>
          <w:p w14:paraId="0448AB2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21" w:type="dxa"/>
            <w:tcBorders>
              <w:top w:val="nil"/>
              <w:left w:val="nil"/>
              <w:bottom w:val="single" w:sz="4" w:space="0" w:color="auto"/>
              <w:right w:val="single" w:sz="4" w:space="0" w:color="auto"/>
            </w:tcBorders>
            <w:shd w:val="clear" w:color="auto" w:fill="auto"/>
            <w:vAlign w:val="center"/>
            <w:hideMark/>
          </w:tcPr>
          <w:p w14:paraId="72DAF0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w:t>
            </w:r>
          </w:p>
        </w:tc>
        <w:tc>
          <w:tcPr>
            <w:tcW w:w="968" w:type="dxa"/>
            <w:tcBorders>
              <w:top w:val="nil"/>
              <w:left w:val="nil"/>
              <w:bottom w:val="single" w:sz="4" w:space="0" w:color="auto"/>
              <w:right w:val="single" w:sz="4" w:space="0" w:color="auto"/>
            </w:tcBorders>
            <w:shd w:val="clear" w:color="auto" w:fill="auto"/>
            <w:vAlign w:val="center"/>
            <w:hideMark/>
          </w:tcPr>
          <w:p w14:paraId="543CD59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3CDB341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488" w:type="dxa"/>
            <w:tcBorders>
              <w:top w:val="nil"/>
              <w:left w:val="nil"/>
              <w:bottom w:val="single" w:sz="4" w:space="0" w:color="auto"/>
              <w:right w:val="single" w:sz="4" w:space="0" w:color="auto"/>
            </w:tcBorders>
            <w:shd w:val="clear" w:color="auto" w:fill="auto"/>
            <w:vAlign w:val="center"/>
            <w:hideMark/>
          </w:tcPr>
          <w:p w14:paraId="406AF4B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w:t>
            </w:r>
          </w:p>
        </w:tc>
        <w:tc>
          <w:tcPr>
            <w:tcW w:w="1374" w:type="dxa"/>
            <w:tcBorders>
              <w:top w:val="nil"/>
              <w:left w:val="nil"/>
              <w:bottom w:val="single" w:sz="4" w:space="0" w:color="auto"/>
              <w:right w:val="single" w:sz="4" w:space="0" w:color="auto"/>
            </w:tcBorders>
            <w:shd w:val="clear" w:color="auto" w:fill="auto"/>
            <w:vAlign w:val="center"/>
            <w:hideMark/>
          </w:tcPr>
          <w:p w14:paraId="623B8C9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218E455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306" w:type="dxa"/>
            <w:tcBorders>
              <w:top w:val="nil"/>
              <w:left w:val="nil"/>
              <w:bottom w:val="single" w:sz="4" w:space="0" w:color="auto"/>
              <w:right w:val="single" w:sz="4" w:space="0" w:color="auto"/>
            </w:tcBorders>
            <w:shd w:val="clear" w:color="auto" w:fill="auto"/>
            <w:vAlign w:val="center"/>
            <w:hideMark/>
          </w:tcPr>
          <w:p w14:paraId="6A0700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w:t>
            </w:r>
          </w:p>
        </w:tc>
      </w:tr>
      <w:tr w:rsidR="00BC17A3" w:rsidRPr="00A546AD" w14:paraId="2D4B7CE6"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ED2D2E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Hungary</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8F1324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52</w:t>
            </w:r>
          </w:p>
        </w:tc>
        <w:tc>
          <w:tcPr>
            <w:tcW w:w="1126" w:type="dxa"/>
            <w:tcBorders>
              <w:top w:val="nil"/>
              <w:left w:val="nil"/>
              <w:bottom w:val="single" w:sz="4" w:space="0" w:color="auto"/>
              <w:right w:val="single" w:sz="4" w:space="0" w:color="auto"/>
            </w:tcBorders>
            <w:shd w:val="clear" w:color="auto" w:fill="auto"/>
            <w:vAlign w:val="center"/>
            <w:hideMark/>
          </w:tcPr>
          <w:p w14:paraId="182258C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w:t>
            </w:r>
          </w:p>
        </w:tc>
        <w:tc>
          <w:tcPr>
            <w:tcW w:w="1199" w:type="dxa"/>
            <w:tcBorders>
              <w:top w:val="nil"/>
              <w:left w:val="nil"/>
              <w:bottom w:val="single" w:sz="4" w:space="0" w:color="auto"/>
              <w:right w:val="single" w:sz="4" w:space="0" w:color="auto"/>
            </w:tcBorders>
            <w:shd w:val="clear" w:color="auto" w:fill="auto"/>
            <w:vAlign w:val="center"/>
            <w:hideMark/>
          </w:tcPr>
          <w:p w14:paraId="78B5CB9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108</w:t>
            </w:r>
          </w:p>
        </w:tc>
        <w:tc>
          <w:tcPr>
            <w:tcW w:w="1321" w:type="dxa"/>
            <w:tcBorders>
              <w:top w:val="nil"/>
              <w:left w:val="nil"/>
              <w:bottom w:val="single" w:sz="4" w:space="0" w:color="auto"/>
              <w:right w:val="single" w:sz="4" w:space="0" w:color="auto"/>
            </w:tcBorders>
            <w:shd w:val="clear" w:color="auto" w:fill="auto"/>
            <w:vAlign w:val="center"/>
            <w:hideMark/>
          </w:tcPr>
          <w:p w14:paraId="714FA01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125</w:t>
            </w:r>
          </w:p>
        </w:tc>
        <w:tc>
          <w:tcPr>
            <w:tcW w:w="1221" w:type="dxa"/>
            <w:tcBorders>
              <w:top w:val="nil"/>
              <w:left w:val="nil"/>
              <w:bottom w:val="single" w:sz="4" w:space="0" w:color="auto"/>
              <w:right w:val="single" w:sz="4" w:space="0" w:color="auto"/>
            </w:tcBorders>
            <w:shd w:val="clear" w:color="auto" w:fill="auto"/>
            <w:vAlign w:val="center"/>
            <w:hideMark/>
          </w:tcPr>
          <w:p w14:paraId="16BD7C8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29</w:t>
            </w:r>
          </w:p>
        </w:tc>
        <w:tc>
          <w:tcPr>
            <w:tcW w:w="968" w:type="dxa"/>
            <w:tcBorders>
              <w:top w:val="nil"/>
              <w:left w:val="nil"/>
              <w:bottom w:val="single" w:sz="4" w:space="0" w:color="auto"/>
              <w:right w:val="single" w:sz="4" w:space="0" w:color="auto"/>
            </w:tcBorders>
            <w:shd w:val="clear" w:color="auto" w:fill="auto"/>
            <w:vAlign w:val="center"/>
            <w:hideMark/>
          </w:tcPr>
          <w:p w14:paraId="7E5F2FB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46" w:type="dxa"/>
            <w:tcBorders>
              <w:top w:val="nil"/>
              <w:left w:val="nil"/>
              <w:bottom w:val="single" w:sz="4" w:space="0" w:color="auto"/>
              <w:right w:val="single" w:sz="4" w:space="0" w:color="auto"/>
            </w:tcBorders>
            <w:shd w:val="clear" w:color="auto" w:fill="auto"/>
            <w:vAlign w:val="center"/>
            <w:hideMark/>
          </w:tcPr>
          <w:p w14:paraId="24B6762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1488" w:type="dxa"/>
            <w:tcBorders>
              <w:top w:val="nil"/>
              <w:left w:val="nil"/>
              <w:bottom w:val="single" w:sz="4" w:space="0" w:color="auto"/>
              <w:right w:val="single" w:sz="4" w:space="0" w:color="auto"/>
            </w:tcBorders>
            <w:shd w:val="clear" w:color="auto" w:fill="auto"/>
            <w:vAlign w:val="center"/>
            <w:hideMark/>
          </w:tcPr>
          <w:p w14:paraId="06E01EA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w:t>
            </w:r>
          </w:p>
        </w:tc>
        <w:tc>
          <w:tcPr>
            <w:tcW w:w="1374" w:type="dxa"/>
            <w:tcBorders>
              <w:top w:val="nil"/>
              <w:left w:val="nil"/>
              <w:bottom w:val="single" w:sz="4" w:space="0" w:color="auto"/>
              <w:right w:val="single" w:sz="4" w:space="0" w:color="auto"/>
            </w:tcBorders>
            <w:shd w:val="clear" w:color="auto" w:fill="auto"/>
            <w:vAlign w:val="center"/>
            <w:hideMark/>
          </w:tcPr>
          <w:p w14:paraId="5F05782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6FDFA84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26</w:t>
            </w:r>
          </w:p>
        </w:tc>
        <w:tc>
          <w:tcPr>
            <w:tcW w:w="306" w:type="dxa"/>
            <w:tcBorders>
              <w:top w:val="nil"/>
              <w:left w:val="nil"/>
              <w:bottom w:val="single" w:sz="4" w:space="0" w:color="auto"/>
              <w:right w:val="single" w:sz="4" w:space="0" w:color="auto"/>
            </w:tcBorders>
            <w:shd w:val="clear" w:color="auto" w:fill="auto"/>
            <w:vAlign w:val="center"/>
            <w:hideMark/>
          </w:tcPr>
          <w:p w14:paraId="72471DB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w:t>
            </w:r>
          </w:p>
        </w:tc>
      </w:tr>
      <w:tr w:rsidR="00BC17A3" w:rsidRPr="00A546AD" w14:paraId="6C1F0B6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4035CC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Morocco</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500BBE66"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53</w:t>
            </w:r>
          </w:p>
        </w:tc>
        <w:tc>
          <w:tcPr>
            <w:tcW w:w="1126" w:type="dxa"/>
            <w:tcBorders>
              <w:top w:val="nil"/>
              <w:left w:val="nil"/>
              <w:bottom w:val="single" w:sz="4" w:space="0" w:color="auto"/>
              <w:right w:val="single" w:sz="4" w:space="0" w:color="auto"/>
            </w:tcBorders>
            <w:shd w:val="clear" w:color="auto" w:fill="auto"/>
            <w:vAlign w:val="center"/>
            <w:hideMark/>
          </w:tcPr>
          <w:p w14:paraId="6D9423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42</w:t>
            </w:r>
          </w:p>
        </w:tc>
        <w:tc>
          <w:tcPr>
            <w:tcW w:w="1199" w:type="dxa"/>
            <w:tcBorders>
              <w:top w:val="nil"/>
              <w:left w:val="nil"/>
              <w:bottom w:val="single" w:sz="4" w:space="0" w:color="auto"/>
              <w:right w:val="single" w:sz="4" w:space="0" w:color="auto"/>
            </w:tcBorders>
            <w:shd w:val="clear" w:color="auto" w:fill="auto"/>
            <w:vAlign w:val="center"/>
            <w:hideMark/>
          </w:tcPr>
          <w:p w14:paraId="671174F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w:t>
            </w:r>
          </w:p>
        </w:tc>
        <w:tc>
          <w:tcPr>
            <w:tcW w:w="1321" w:type="dxa"/>
            <w:tcBorders>
              <w:top w:val="nil"/>
              <w:left w:val="nil"/>
              <w:bottom w:val="single" w:sz="4" w:space="0" w:color="auto"/>
              <w:right w:val="single" w:sz="4" w:space="0" w:color="auto"/>
            </w:tcBorders>
            <w:shd w:val="clear" w:color="auto" w:fill="auto"/>
            <w:vAlign w:val="center"/>
            <w:hideMark/>
          </w:tcPr>
          <w:p w14:paraId="23C0763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w:t>
            </w:r>
          </w:p>
        </w:tc>
        <w:tc>
          <w:tcPr>
            <w:tcW w:w="1221" w:type="dxa"/>
            <w:tcBorders>
              <w:top w:val="nil"/>
              <w:left w:val="nil"/>
              <w:bottom w:val="single" w:sz="4" w:space="0" w:color="auto"/>
              <w:right w:val="single" w:sz="4" w:space="0" w:color="auto"/>
            </w:tcBorders>
            <w:shd w:val="clear" w:color="auto" w:fill="auto"/>
            <w:vAlign w:val="center"/>
            <w:hideMark/>
          </w:tcPr>
          <w:p w14:paraId="2983804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w:t>
            </w:r>
          </w:p>
        </w:tc>
        <w:tc>
          <w:tcPr>
            <w:tcW w:w="968" w:type="dxa"/>
            <w:tcBorders>
              <w:top w:val="nil"/>
              <w:left w:val="nil"/>
              <w:bottom w:val="single" w:sz="4" w:space="0" w:color="auto"/>
              <w:right w:val="single" w:sz="4" w:space="0" w:color="auto"/>
            </w:tcBorders>
            <w:shd w:val="clear" w:color="auto" w:fill="auto"/>
            <w:vAlign w:val="center"/>
            <w:hideMark/>
          </w:tcPr>
          <w:p w14:paraId="34DC35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7F0B9A4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488" w:type="dxa"/>
            <w:tcBorders>
              <w:top w:val="nil"/>
              <w:left w:val="nil"/>
              <w:bottom w:val="single" w:sz="4" w:space="0" w:color="auto"/>
              <w:right w:val="single" w:sz="4" w:space="0" w:color="auto"/>
            </w:tcBorders>
            <w:shd w:val="clear" w:color="auto" w:fill="auto"/>
            <w:vAlign w:val="center"/>
            <w:hideMark/>
          </w:tcPr>
          <w:p w14:paraId="7B2B8A8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24</w:t>
            </w:r>
          </w:p>
        </w:tc>
        <w:tc>
          <w:tcPr>
            <w:tcW w:w="1374" w:type="dxa"/>
            <w:tcBorders>
              <w:top w:val="nil"/>
              <w:left w:val="nil"/>
              <w:bottom w:val="single" w:sz="4" w:space="0" w:color="auto"/>
              <w:right w:val="single" w:sz="4" w:space="0" w:color="auto"/>
            </w:tcBorders>
            <w:shd w:val="clear" w:color="auto" w:fill="auto"/>
            <w:vAlign w:val="center"/>
            <w:hideMark/>
          </w:tcPr>
          <w:p w14:paraId="506F834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w:t>
            </w:r>
          </w:p>
        </w:tc>
        <w:tc>
          <w:tcPr>
            <w:tcW w:w="1133" w:type="dxa"/>
            <w:tcBorders>
              <w:top w:val="nil"/>
              <w:left w:val="nil"/>
              <w:bottom w:val="single" w:sz="4" w:space="0" w:color="auto"/>
              <w:right w:val="single" w:sz="4" w:space="0" w:color="auto"/>
            </w:tcBorders>
            <w:shd w:val="clear" w:color="auto" w:fill="auto"/>
            <w:vAlign w:val="center"/>
            <w:hideMark/>
          </w:tcPr>
          <w:p w14:paraId="610B902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w:t>
            </w:r>
          </w:p>
        </w:tc>
        <w:tc>
          <w:tcPr>
            <w:tcW w:w="306" w:type="dxa"/>
            <w:tcBorders>
              <w:top w:val="nil"/>
              <w:left w:val="nil"/>
              <w:bottom w:val="single" w:sz="4" w:space="0" w:color="auto"/>
              <w:right w:val="single" w:sz="4" w:space="0" w:color="auto"/>
            </w:tcBorders>
            <w:shd w:val="clear" w:color="auto" w:fill="auto"/>
            <w:vAlign w:val="center"/>
            <w:hideMark/>
          </w:tcPr>
          <w:p w14:paraId="13A641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w:t>
            </w:r>
          </w:p>
        </w:tc>
      </w:tr>
      <w:tr w:rsidR="00BC17A3" w:rsidRPr="00A546AD" w14:paraId="63E2B4E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E044C4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Cyprus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5EEF09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54</w:t>
            </w:r>
          </w:p>
        </w:tc>
        <w:tc>
          <w:tcPr>
            <w:tcW w:w="1126" w:type="dxa"/>
            <w:tcBorders>
              <w:top w:val="nil"/>
              <w:left w:val="nil"/>
              <w:bottom w:val="single" w:sz="4" w:space="0" w:color="auto"/>
              <w:right w:val="single" w:sz="4" w:space="0" w:color="auto"/>
            </w:tcBorders>
            <w:shd w:val="clear" w:color="auto" w:fill="auto"/>
            <w:vAlign w:val="center"/>
            <w:hideMark/>
          </w:tcPr>
          <w:p w14:paraId="3A8FF4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w:t>
            </w:r>
          </w:p>
        </w:tc>
        <w:tc>
          <w:tcPr>
            <w:tcW w:w="1199" w:type="dxa"/>
            <w:tcBorders>
              <w:top w:val="nil"/>
              <w:left w:val="nil"/>
              <w:bottom w:val="single" w:sz="4" w:space="0" w:color="auto"/>
              <w:right w:val="single" w:sz="4" w:space="0" w:color="auto"/>
            </w:tcBorders>
            <w:shd w:val="clear" w:color="auto" w:fill="auto"/>
            <w:vAlign w:val="center"/>
            <w:hideMark/>
          </w:tcPr>
          <w:p w14:paraId="3FA27A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125</w:t>
            </w:r>
          </w:p>
        </w:tc>
        <w:tc>
          <w:tcPr>
            <w:tcW w:w="1321" w:type="dxa"/>
            <w:tcBorders>
              <w:top w:val="nil"/>
              <w:left w:val="nil"/>
              <w:bottom w:val="single" w:sz="4" w:space="0" w:color="auto"/>
              <w:right w:val="single" w:sz="4" w:space="0" w:color="auto"/>
            </w:tcBorders>
            <w:shd w:val="clear" w:color="auto" w:fill="auto"/>
            <w:vAlign w:val="center"/>
            <w:hideMark/>
          </w:tcPr>
          <w:p w14:paraId="5750068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w:t>
            </w:r>
          </w:p>
        </w:tc>
        <w:tc>
          <w:tcPr>
            <w:tcW w:w="1221" w:type="dxa"/>
            <w:tcBorders>
              <w:top w:val="nil"/>
              <w:left w:val="nil"/>
              <w:bottom w:val="single" w:sz="4" w:space="0" w:color="auto"/>
              <w:right w:val="single" w:sz="4" w:space="0" w:color="auto"/>
            </w:tcBorders>
            <w:shd w:val="clear" w:color="auto" w:fill="auto"/>
            <w:vAlign w:val="center"/>
            <w:hideMark/>
          </w:tcPr>
          <w:p w14:paraId="3417B3F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w:t>
            </w:r>
          </w:p>
        </w:tc>
        <w:tc>
          <w:tcPr>
            <w:tcW w:w="968" w:type="dxa"/>
            <w:tcBorders>
              <w:top w:val="nil"/>
              <w:left w:val="nil"/>
              <w:bottom w:val="single" w:sz="4" w:space="0" w:color="auto"/>
              <w:right w:val="single" w:sz="4" w:space="0" w:color="auto"/>
            </w:tcBorders>
            <w:shd w:val="clear" w:color="auto" w:fill="auto"/>
            <w:vAlign w:val="center"/>
            <w:hideMark/>
          </w:tcPr>
          <w:p w14:paraId="0C5F46A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3E25175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c>
          <w:tcPr>
            <w:tcW w:w="1488" w:type="dxa"/>
            <w:tcBorders>
              <w:top w:val="nil"/>
              <w:left w:val="nil"/>
              <w:bottom w:val="single" w:sz="4" w:space="0" w:color="auto"/>
              <w:right w:val="single" w:sz="4" w:space="0" w:color="auto"/>
            </w:tcBorders>
            <w:shd w:val="clear" w:color="auto" w:fill="auto"/>
            <w:vAlign w:val="center"/>
            <w:hideMark/>
          </w:tcPr>
          <w:p w14:paraId="2FFCDBF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29</w:t>
            </w:r>
          </w:p>
        </w:tc>
        <w:tc>
          <w:tcPr>
            <w:tcW w:w="1374" w:type="dxa"/>
            <w:tcBorders>
              <w:top w:val="nil"/>
              <w:left w:val="nil"/>
              <w:bottom w:val="single" w:sz="4" w:space="0" w:color="auto"/>
              <w:right w:val="single" w:sz="4" w:space="0" w:color="auto"/>
            </w:tcBorders>
            <w:shd w:val="clear" w:color="auto" w:fill="auto"/>
            <w:vAlign w:val="center"/>
            <w:hideMark/>
          </w:tcPr>
          <w:p w14:paraId="1290570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w:t>
            </w:r>
          </w:p>
        </w:tc>
        <w:tc>
          <w:tcPr>
            <w:tcW w:w="1133" w:type="dxa"/>
            <w:tcBorders>
              <w:top w:val="nil"/>
              <w:left w:val="nil"/>
              <w:bottom w:val="single" w:sz="4" w:space="0" w:color="auto"/>
              <w:right w:val="single" w:sz="4" w:space="0" w:color="auto"/>
            </w:tcBorders>
            <w:shd w:val="clear" w:color="auto" w:fill="auto"/>
            <w:vAlign w:val="center"/>
            <w:hideMark/>
          </w:tcPr>
          <w:p w14:paraId="46673A0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142</w:t>
            </w:r>
          </w:p>
        </w:tc>
        <w:tc>
          <w:tcPr>
            <w:tcW w:w="306" w:type="dxa"/>
            <w:tcBorders>
              <w:top w:val="nil"/>
              <w:left w:val="nil"/>
              <w:bottom w:val="single" w:sz="4" w:space="0" w:color="auto"/>
              <w:right w:val="single" w:sz="4" w:space="0" w:color="auto"/>
            </w:tcBorders>
            <w:shd w:val="clear" w:color="auto" w:fill="auto"/>
            <w:vAlign w:val="center"/>
            <w:hideMark/>
          </w:tcPr>
          <w:p w14:paraId="012AD96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31</w:t>
            </w:r>
          </w:p>
        </w:tc>
      </w:tr>
      <w:tr w:rsidR="00BC17A3" w:rsidRPr="00A546AD" w14:paraId="20310B12"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B43117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Romania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70281E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55</w:t>
            </w:r>
          </w:p>
        </w:tc>
        <w:tc>
          <w:tcPr>
            <w:tcW w:w="1126" w:type="dxa"/>
            <w:tcBorders>
              <w:top w:val="nil"/>
              <w:left w:val="nil"/>
              <w:bottom w:val="single" w:sz="4" w:space="0" w:color="auto"/>
              <w:right w:val="single" w:sz="4" w:space="0" w:color="auto"/>
            </w:tcBorders>
            <w:shd w:val="clear" w:color="auto" w:fill="auto"/>
            <w:vAlign w:val="center"/>
            <w:hideMark/>
          </w:tcPr>
          <w:p w14:paraId="263DB20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w:t>
            </w:r>
          </w:p>
        </w:tc>
        <w:tc>
          <w:tcPr>
            <w:tcW w:w="1199" w:type="dxa"/>
            <w:tcBorders>
              <w:top w:val="nil"/>
              <w:left w:val="nil"/>
              <w:bottom w:val="single" w:sz="4" w:space="0" w:color="auto"/>
              <w:right w:val="single" w:sz="4" w:space="0" w:color="auto"/>
            </w:tcBorders>
            <w:shd w:val="clear" w:color="auto" w:fill="auto"/>
            <w:vAlign w:val="center"/>
            <w:hideMark/>
          </w:tcPr>
          <w:p w14:paraId="27E301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1321" w:type="dxa"/>
            <w:tcBorders>
              <w:top w:val="nil"/>
              <w:left w:val="nil"/>
              <w:bottom w:val="single" w:sz="4" w:space="0" w:color="auto"/>
              <w:right w:val="single" w:sz="4" w:space="0" w:color="auto"/>
            </w:tcBorders>
            <w:shd w:val="clear" w:color="auto" w:fill="auto"/>
            <w:vAlign w:val="center"/>
            <w:hideMark/>
          </w:tcPr>
          <w:p w14:paraId="4AABE8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1221" w:type="dxa"/>
            <w:tcBorders>
              <w:top w:val="nil"/>
              <w:left w:val="nil"/>
              <w:bottom w:val="single" w:sz="4" w:space="0" w:color="auto"/>
              <w:right w:val="single" w:sz="4" w:space="0" w:color="auto"/>
            </w:tcBorders>
            <w:shd w:val="clear" w:color="auto" w:fill="auto"/>
            <w:vAlign w:val="center"/>
            <w:hideMark/>
          </w:tcPr>
          <w:p w14:paraId="4009FAF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w:t>
            </w:r>
          </w:p>
        </w:tc>
        <w:tc>
          <w:tcPr>
            <w:tcW w:w="968" w:type="dxa"/>
            <w:tcBorders>
              <w:top w:val="nil"/>
              <w:left w:val="nil"/>
              <w:bottom w:val="single" w:sz="4" w:space="0" w:color="auto"/>
              <w:right w:val="single" w:sz="4" w:space="0" w:color="auto"/>
            </w:tcBorders>
            <w:shd w:val="clear" w:color="auto" w:fill="auto"/>
            <w:vAlign w:val="center"/>
            <w:hideMark/>
          </w:tcPr>
          <w:p w14:paraId="59EE499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258B3B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488" w:type="dxa"/>
            <w:tcBorders>
              <w:top w:val="nil"/>
              <w:left w:val="nil"/>
              <w:bottom w:val="single" w:sz="4" w:space="0" w:color="auto"/>
              <w:right w:val="single" w:sz="4" w:space="0" w:color="auto"/>
            </w:tcBorders>
            <w:shd w:val="clear" w:color="auto" w:fill="auto"/>
            <w:vAlign w:val="center"/>
            <w:hideMark/>
          </w:tcPr>
          <w:p w14:paraId="69829FB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31</w:t>
            </w:r>
          </w:p>
        </w:tc>
        <w:tc>
          <w:tcPr>
            <w:tcW w:w="1374" w:type="dxa"/>
            <w:tcBorders>
              <w:top w:val="nil"/>
              <w:left w:val="nil"/>
              <w:bottom w:val="single" w:sz="4" w:space="0" w:color="auto"/>
              <w:right w:val="single" w:sz="4" w:space="0" w:color="auto"/>
            </w:tcBorders>
            <w:shd w:val="clear" w:color="auto" w:fill="auto"/>
            <w:vAlign w:val="center"/>
            <w:hideMark/>
          </w:tcPr>
          <w:p w14:paraId="5335DA5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5406118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20</w:t>
            </w:r>
          </w:p>
        </w:tc>
        <w:tc>
          <w:tcPr>
            <w:tcW w:w="306" w:type="dxa"/>
            <w:tcBorders>
              <w:top w:val="nil"/>
              <w:left w:val="nil"/>
              <w:bottom w:val="single" w:sz="4" w:space="0" w:color="auto"/>
              <w:right w:val="single" w:sz="4" w:space="0" w:color="auto"/>
            </w:tcBorders>
            <w:shd w:val="clear" w:color="auto" w:fill="auto"/>
            <w:vAlign w:val="center"/>
            <w:hideMark/>
          </w:tcPr>
          <w:p w14:paraId="07DC0ED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w:t>
            </w:r>
          </w:p>
        </w:tc>
      </w:tr>
      <w:tr w:rsidR="00BC17A3" w:rsidRPr="00A546AD" w14:paraId="4C6F07DE"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4826C4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Kenya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A80EF94"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56</w:t>
            </w:r>
          </w:p>
        </w:tc>
        <w:tc>
          <w:tcPr>
            <w:tcW w:w="1126" w:type="dxa"/>
            <w:tcBorders>
              <w:top w:val="nil"/>
              <w:left w:val="nil"/>
              <w:bottom w:val="single" w:sz="4" w:space="0" w:color="auto"/>
              <w:right w:val="single" w:sz="4" w:space="0" w:color="auto"/>
            </w:tcBorders>
            <w:shd w:val="clear" w:color="auto" w:fill="auto"/>
            <w:vAlign w:val="center"/>
            <w:hideMark/>
          </w:tcPr>
          <w:p w14:paraId="6F73F06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129</w:t>
            </w:r>
          </w:p>
        </w:tc>
        <w:tc>
          <w:tcPr>
            <w:tcW w:w="1199" w:type="dxa"/>
            <w:tcBorders>
              <w:top w:val="nil"/>
              <w:left w:val="nil"/>
              <w:bottom w:val="single" w:sz="4" w:space="0" w:color="auto"/>
              <w:right w:val="single" w:sz="4" w:space="0" w:color="auto"/>
            </w:tcBorders>
            <w:shd w:val="clear" w:color="auto" w:fill="auto"/>
            <w:vAlign w:val="center"/>
            <w:hideMark/>
          </w:tcPr>
          <w:p w14:paraId="4DDAB85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1321" w:type="dxa"/>
            <w:tcBorders>
              <w:top w:val="nil"/>
              <w:left w:val="nil"/>
              <w:bottom w:val="single" w:sz="4" w:space="0" w:color="auto"/>
              <w:right w:val="single" w:sz="4" w:space="0" w:color="auto"/>
            </w:tcBorders>
            <w:shd w:val="clear" w:color="auto" w:fill="auto"/>
            <w:vAlign w:val="center"/>
            <w:hideMark/>
          </w:tcPr>
          <w:p w14:paraId="5ADEFDD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w:t>
            </w:r>
          </w:p>
        </w:tc>
        <w:tc>
          <w:tcPr>
            <w:tcW w:w="1221" w:type="dxa"/>
            <w:tcBorders>
              <w:top w:val="nil"/>
              <w:left w:val="nil"/>
              <w:bottom w:val="single" w:sz="4" w:space="0" w:color="auto"/>
              <w:right w:val="single" w:sz="4" w:space="0" w:color="auto"/>
            </w:tcBorders>
            <w:shd w:val="clear" w:color="auto" w:fill="auto"/>
            <w:vAlign w:val="center"/>
            <w:hideMark/>
          </w:tcPr>
          <w:p w14:paraId="37BCA38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134</w:t>
            </w:r>
          </w:p>
        </w:tc>
        <w:tc>
          <w:tcPr>
            <w:tcW w:w="968" w:type="dxa"/>
            <w:tcBorders>
              <w:top w:val="nil"/>
              <w:left w:val="nil"/>
              <w:bottom w:val="single" w:sz="4" w:space="0" w:color="auto"/>
              <w:right w:val="single" w:sz="4" w:space="0" w:color="auto"/>
            </w:tcBorders>
            <w:shd w:val="clear" w:color="auto" w:fill="auto"/>
            <w:vAlign w:val="center"/>
            <w:hideMark/>
          </w:tcPr>
          <w:p w14:paraId="5AD95E8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1246" w:type="dxa"/>
            <w:tcBorders>
              <w:top w:val="nil"/>
              <w:left w:val="nil"/>
              <w:bottom w:val="single" w:sz="4" w:space="0" w:color="auto"/>
              <w:right w:val="single" w:sz="4" w:space="0" w:color="auto"/>
            </w:tcBorders>
            <w:shd w:val="clear" w:color="auto" w:fill="auto"/>
            <w:vAlign w:val="center"/>
            <w:hideMark/>
          </w:tcPr>
          <w:p w14:paraId="600B887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488" w:type="dxa"/>
            <w:tcBorders>
              <w:top w:val="nil"/>
              <w:left w:val="nil"/>
              <w:bottom w:val="single" w:sz="4" w:space="0" w:color="auto"/>
              <w:right w:val="single" w:sz="4" w:space="0" w:color="auto"/>
            </w:tcBorders>
            <w:shd w:val="clear" w:color="auto" w:fill="auto"/>
            <w:vAlign w:val="center"/>
            <w:hideMark/>
          </w:tcPr>
          <w:p w14:paraId="357F95B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w:t>
            </w:r>
          </w:p>
        </w:tc>
        <w:tc>
          <w:tcPr>
            <w:tcW w:w="1374" w:type="dxa"/>
            <w:tcBorders>
              <w:top w:val="nil"/>
              <w:left w:val="nil"/>
              <w:bottom w:val="single" w:sz="4" w:space="0" w:color="auto"/>
              <w:right w:val="single" w:sz="4" w:space="0" w:color="auto"/>
            </w:tcBorders>
            <w:shd w:val="clear" w:color="auto" w:fill="auto"/>
            <w:vAlign w:val="center"/>
            <w:hideMark/>
          </w:tcPr>
          <w:p w14:paraId="7A9EC4A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117</w:t>
            </w:r>
          </w:p>
        </w:tc>
        <w:tc>
          <w:tcPr>
            <w:tcW w:w="1133" w:type="dxa"/>
            <w:tcBorders>
              <w:top w:val="nil"/>
              <w:left w:val="nil"/>
              <w:bottom w:val="single" w:sz="4" w:space="0" w:color="auto"/>
              <w:right w:val="single" w:sz="4" w:space="0" w:color="auto"/>
            </w:tcBorders>
            <w:shd w:val="clear" w:color="auto" w:fill="auto"/>
            <w:vAlign w:val="center"/>
            <w:hideMark/>
          </w:tcPr>
          <w:p w14:paraId="37EAFF3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w:t>
            </w:r>
          </w:p>
        </w:tc>
        <w:tc>
          <w:tcPr>
            <w:tcW w:w="306" w:type="dxa"/>
            <w:tcBorders>
              <w:top w:val="nil"/>
              <w:left w:val="nil"/>
              <w:bottom w:val="single" w:sz="4" w:space="0" w:color="auto"/>
              <w:right w:val="single" w:sz="4" w:space="0" w:color="auto"/>
            </w:tcBorders>
            <w:shd w:val="clear" w:color="auto" w:fill="auto"/>
            <w:vAlign w:val="center"/>
            <w:hideMark/>
          </w:tcPr>
          <w:p w14:paraId="4D4E35B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w:t>
            </w:r>
          </w:p>
        </w:tc>
      </w:tr>
      <w:tr w:rsidR="00BC17A3" w:rsidRPr="00A546AD" w14:paraId="005606B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A8DA27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Kosovo</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69DBE3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57</w:t>
            </w:r>
          </w:p>
        </w:tc>
        <w:tc>
          <w:tcPr>
            <w:tcW w:w="1126" w:type="dxa"/>
            <w:tcBorders>
              <w:top w:val="nil"/>
              <w:left w:val="nil"/>
              <w:bottom w:val="single" w:sz="4" w:space="0" w:color="auto"/>
              <w:right w:val="single" w:sz="4" w:space="0" w:color="auto"/>
            </w:tcBorders>
            <w:shd w:val="clear" w:color="auto" w:fill="auto"/>
            <w:vAlign w:val="center"/>
            <w:hideMark/>
          </w:tcPr>
          <w:p w14:paraId="6C98074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w:t>
            </w:r>
          </w:p>
        </w:tc>
        <w:tc>
          <w:tcPr>
            <w:tcW w:w="1199" w:type="dxa"/>
            <w:tcBorders>
              <w:top w:val="nil"/>
              <w:left w:val="nil"/>
              <w:bottom w:val="single" w:sz="4" w:space="0" w:color="auto"/>
              <w:right w:val="single" w:sz="4" w:space="0" w:color="auto"/>
            </w:tcBorders>
            <w:shd w:val="clear" w:color="auto" w:fill="auto"/>
            <w:vAlign w:val="center"/>
            <w:hideMark/>
          </w:tcPr>
          <w:p w14:paraId="1F5CBFF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160</w:t>
            </w:r>
          </w:p>
        </w:tc>
        <w:tc>
          <w:tcPr>
            <w:tcW w:w="1321" w:type="dxa"/>
            <w:tcBorders>
              <w:top w:val="nil"/>
              <w:left w:val="nil"/>
              <w:bottom w:val="single" w:sz="4" w:space="0" w:color="auto"/>
              <w:right w:val="single" w:sz="4" w:space="0" w:color="auto"/>
            </w:tcBorders>
            <w:shd w:val="clear" w:color="auto" w:fill="auto"/>
            <w:vAlign w:val="center"/>
            <w:hideMark/>
          </w:tcPr>
          <w:p w14:paraId="443DE43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w:t>
            </w:r>
          </w:p>
        </w:tc>
        <w:tc>
          <w:tcPr>
            <w:tcW w:w="1221" w:type="dxa"/>
            <w:tcBorders>
              <w:top w:val="nil"/>
              <w:left w:val="nil"/>
              <w:bottom w:val="single" w:sz="4" w:space="0" w:color="auto"/>
              <w:right w:val="single" w:sz="4" w:space="0" w:color="auto"/>
            </w:tcBorders>
            <w:shd w:val="clear" w:color="auto" w:fill="auto"/>
            <w:vAlign w:val="center"/>
            <w:hideMark/>
          </w:tcPr>
          <w:p w14:paraId="1568D84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968" w:type="dxa"/>
            <w:tcBorders>
              <w:top w:val="nil"/>
              <w:left w:val="nil"/>
              <w:bottom w:val="single" w:sz="4" w:space="0" w:color="auto"/>
              <w:right w:val="single" w:sz="4" w:space="0" w:color="auto"/>
            </w:tcBorders>
            <w:shd w:val="clear" w:color="auto" w:fill="auto"/>
            <w:vAlign w:val="center"/>
            <w:hideMark/>
          </w:tcPr>
          <w:p w14:paraId="723D6AB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246" w:type="dxa"/>
            <w:tcBorders>
              <w:top w:val="nil"/>
              <w:left w:val="nil"/>
              <w:bottom w:val="single" w:sz="4" w:space="0" w:color="auto"/>
              <w:right w:val="single" w:sz="4" w:space="0" w:color="auto"/>
            </w:tcBorders>
            <w:shd w:val="clear" w:color="auto" w:fill="auto"/>
            <w:vAlign w:val="center"/>
            <w:hideMark/>
          </w:tcPr>
          <w:p w14:paraId="3933C94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488" w:type="dxa"/>
            <w:tcBorders>
              <w:top w:val="nil"/>
              <w:left w:val="nil"/>
              <w:bottom w:val="single" w:sz="4" w:space="0" w:color="auto"/>
              <w:right w:val="single" w:sz="4" w:space="0" w:color="auto"/>
            </w:tcBorders>
            <w:shd w:val="clear" w:color="auto" w:fill="auto"/>
            <w:vAlign w:val="center"/>
            <w:hideMark/>
          </w:tcPr>
          <w:p w14:paraId="12BE21C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374" w:type="dxa"/>
            <w:tcBorders>
              <w:top w:val="nil"/>
              <w:left w:val="nil"/>
              <w:bottom w:val="single" w:sz="4" w:space="0" w:color="auto"/>
              <w:right w:val="single" w:sz="4" w:space="0" w:color="auto"/>
            </w:tcBorders>
            <w:shd w:val="clear" w:color="auto" w:fill="auto"/>
            <w:vAlign w:val="center"/>
            <w:hideMark/>
          </w:tcPr>
          <w:p w14:paraId="2322BFD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31</w:t>
            </w:r>
          </w:p>
        </w:tc>
        <w:tc>
          <w:tcPr>
            <w:tcW w:w="1133" w:type="dxa"/>
            <w:tcBorders>
              <w:top w:val="nil"/>
              <w:left w:val="nil"/>
              <w:bottom w:val="single" w:sz="4" w:space="0" w:color="auto"/>
              <w:right w:val="single" w:sz="4" w:space="0" w:color="auto"/>
            </w:tcBorders>
            <w:shd w:val="clear" w:color="auto" w:fill="auto"/>
            <w:vAlign w:val="center"/>
            <w:hideMark/>
          </w:tcPr>
          <w:p w14:paraId="072647D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w:t>
            </w:r>
          </w:p>
        </w:tc>
        <w:tc>
          <w:tcPr>
            <w:tcW w:w="306" w:type="dxa"/>
            <w:tcBorders>
              <w:top w:val="nil"/>
              <w:left w:val="nil"/>
              <w:bottom w:val="single" w:sz="4" w:space="0" w:color="auto"/>
              <w:right w:val="single" w:sz="4" w:space="0" w:color="auto"/>
            </w:tcBorders>
            <w:shd w:val="clear" w:color="auto" w:fill="auto"/>
            <w:vAlign w:val="center"/>
            <w:hideMark/>
          </w:tcPr>
          <w:p w14:paraId="629EC77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r>
      <w:tr w:rsidR="00BC17A3" w:rsidRPr="00A546AD" w14:paraId="1A29250E"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F4BFA4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Italy</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0CCB22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58</w:t>
            </w:r>
          </w:p>
        </w:tc>
        <w:tc>
          <w:tcPr>
            <w:tcW w:w="1126" w:type="dxa"/>
            <w:tcBorders>
              <w:top w:val="nil"/>
              <w:left w:val="nil"/>
              <w:bottom w:val="single" w:sz="4" w:space="0" w:color="auto"/>
              <w:right w:val="single" w:sz="4" w:space="0" w:color="auto"/>
            </w:tcBorders>
            <w:shd w:val="clear" w:color="auto" w:fill="auto"/>
            <w:vAlign w:val="center"/>
            <w:hideMark/>
          </w:tcPr>
          <w:p w14:paraId="67DAA9D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w:t>
            </w:r>
          </w:p>
        </w:tc>
        <w:tc>
          <w:tcPr>
            <w:tcW w:w="1199" w:type="dxa"/>
            <w:tcBorders>
              <w:top w:val="nil"/>
              <w:left w:val="nil"/>
              <w:bottom w:val="single" w:sz="4" w:space="0" w:color="auto"/>
              <w:right w:val="single" w:sz="4" w:space="0" w:color="auto"/>
            </w:tcBorders>
            <w:shd w:val="clear" w:color="auto" w:fill="auto"/>
            <w:vAlign w:val="center"/>
            <w:hideMark/>
          </w:tcPr>
          <w:p w14:paraId="4AB1FDE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1321" w:type="dxa"/>
            <w:tcBorders>
              <w:top w:val="nil"/>
              <w:left w:val="nil"/>
              <w:bottom w:val="single" w:sz="4" w:space="0" w:color="auto"/>
              <w:right w:val="single" w:sz="4" w:space="0" w:color="auto"/>
            </w:tcBorders>
            <w:shd w:val="clear" w:color="auto" w:fill="auto"/>
            <w:vAlign w:val="center"/>
            <w:hideMark/>
          </w:tcPr>
          <w:p w14:paraId="2967A47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w:t>
            </w:r>
          </w:p>
        </w:tc>
        <w:tc>
          <w:tcPr>
            <w:tcW w:w="1221" w:type="dxa"/>
            <w:tcBorders>
              <w:top w:val="nil"/>
              <w:left w:val="nil"/>
              <w:bottom w:val="single" w:sz="4" w:space="0" w:color="auto"/>
              <w:right w:val="single" w:sz="4" w:space="0" w:color="auto"/>
            </w:tcBorders>
            <w:shd w:val="clear" w:color="auto" w:fill="auto"/>
            <w:vAlign w:val="center"/>
            <w:hideMark/>
          </w:tcPr>
          <w:p w14:paraId="081C957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26</w:t>
            </w:r>
          </w:p>
        </w:tc>
        <w:tc>
          <w:tcPr>
            <w:tcW w:w="968" w:type="dxa"/>
            <w:tcBorders>
              <w:top w:val="nil"/>
              <w:left w:val="nil"/>
              <w:bottom w:val="single" w:sz="4" w:space="0" w:color="auto"/>
              <w:right w:val="single" w:sz="4" w:space="0" w:color="auto"/>
            </w:tcBorders>
            <w:shd w:val="clear" w:color="auto" w:fill="auto"/>
            <w:vAlign w:val="center"/>
            <w:hideMark/>
          </w:tcPr>
          <w:p w14:paraId="4B9EA6D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20741B5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1488" w:type="dxa"/>
            <w:tcBorders>
              <w:top w:val="nil"/>
              <w:left w:val="nil"/>
              <w:bottom w:val="single" w:sz="4" w:space="0" w:color="auto"/>
              <w:right w:val="single" w:sz="4" w:space="0" w:color="auto"/>
            </w:tcBorders>
            <w:shd w:val="clear" w:color="auto" w:fill="auto"/>
            <w:vAlign w:val="center"/>
            <w:hideMark/>
          </w:tcPr>
          <w:p w14:paraId="2149B52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374" w:type="dxa"/>
            <w:tcBorders>
              <w:top w:val="nil"/>
              <w:left w:val="nil"/>
              <w:bottom w:val="single" w:sz="4" w:space="0" w:color="auto"/>
              <w:right w:val="single" w:sz="4" w:space="0" w:color="auto"/>
            </w:tcBorders>
            <w:shd w:val="clear" w:color="auto" w:fill="auto"/>
            <w:vAlign w:val="center"/>
            <w:hideMark/>
          </w:tcPr>
          <w:p w14:paraId="23B70C6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4064B67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122</w:t>
            </w:r>
          </w:p>
        </w:tc>
        <w:tc>
          <w:tcPr>
            <w:tcW w:w="306" w:type="dxa"/>
            <w:tcBorders>
              <w:top w:val="nil"/>
              <w:left w:val="nil"/>
              <w:bottom w:val="single" w:sz="4" w:space="0" w:color="auto"/>
              <w:right w:val="single" w:sz="4" w:space="0" w:color="auto"/>
            </w:tcBorders>
            <w:shd w:val="clear" w:color="auto" w:fill="auto"/>
            <w:vAlign w:val="center"/>
            <w:hideMark/>
          </w:tcPr>
          <w:p w14:paraId="72B80F2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r>
      <w:tr w:rsidR="00BC17A3" w:rsidRPr="00A546AD" w14:paraId="10F26CAA"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77F494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Chile</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929FAD0"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59</w:t>
            </w:r>
          </w:p>
        </w:tc>
        <w:tc>
          <w:tcPr>
            <w:tcW w:w="1126" w:type="dxa"/>
            <w:tcBorders>
              <w:top w:val="nil"/>
              <w:left w:val="nil"/>
              <w:bottom w:val="single" w:sz="4" w:space="0" w:color="auto"/>
              <w:right w:val="single" w:sz="4" w:space="0" w:color="auto"/>
            </w:tcBorders>
            <w:shd w:val="clear" w:color="auto" w:fill="auto"/>
            <w:vAlign w:val="center"/>
            <w:hideMark/>
          </w:tcPr>
          <w:p w14:paraId="4A87B9E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c>
          <w:tcPr>
            <w:tcW w:w="1199" w:type="dxa"/>
            <w:tcBorders>
              <w:top w:val="nil"/>
              <w:left w:val="nil"/>
              <w:bottom w:val="single" w:sz="4" w:space="0" w:color="auto"/>
              <w:right w:val="single" w:sz="4" w:space="0" w:color="auto"/>
            </w:tcBorders>
            <w:shd w:val="clear" w:color="auto" w:fill="auto"/>
            <w:vAlign w:val="center"/>
            <w:hideMark/>
          </w:tcPr>
          <w:p w14:paraId="53F2CF0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w:t>
            </w:r>
          </w:p>
        </w:tc>
        <w:tc>
          <w:tcPr>
            <w:tcW w:w="1321" w:type="dxa"/>
            <w:tcBorders>
              <w:top w:val="nil"/>
              <w:left w:val="nil"/>
              <w:bottom w:val="single" w:sz="4" w:space="0" w:color="auto"/>
              <w:right w:val="single" w:sz="4" w:space="0" w:color="auto"/>
            </w:tcBorders>
            <w:shd w:val="clear" w:color="auto" w:fill="auto"/>
            <w:vAlign w:val="center"/>
            <w:hideMark/>
          </w:tcPr>
          <w:p w14:paraId="24FDBED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40</w:t>
            </w:r>
          </w:p>
        </w:tc>
        <w:tc>
          <w:tcPr>
            <w:tcW w:w="1221" w:type="dxa"/>
            <w:tcBorders>
              <w:top w:val="nil"/>
              <w:left w:val="nil"/>
              <w:bottom w:val="single" w:sz="4" w:space="0" w:color="auto"/>
              <w:right w:val="single" w:sz="4" w:space="0" w:color="auto"/>
            </w:tcBorders>
            <w:shd w:val="clear" w:color="auto" w:fill="auto"/>
            <w:vAlign w:val="center"/>
            <w:hideMark/>
          </w:tcPr>
          <w:p w14:paraId="358E78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w:t>
            </w:r>
          </w:p>
        </w:tc>
        <w:tc>
          <w:tcPr>
            <w:tcW w:w="968" w:type="dxa"/>
            <w:tcBorders>
              <w:top w:val="nil"/>
              <w:left w:val="nil"/>
              <w:bottom w:val="single" w:sz="4" w:space="0" w:color="auto"/>
              <w:right w:val="single" w:sz="4" w:space="0" w:color="auto"/>
            </w:tcBorders>
            <w:shd w:val="clear" w:color="auto" w:fill="auto"/>
            <w:vAlign w:val="center"/>
            <w:hideMark/>
          </w:tcPr>
          <w:p w14:paraId="35BA236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40ED0A3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1488" w:type="dxa"/>
            <w:tcBorders>
              <w:top w:val="nil"/>
              <w:left w:val="nil"/>
              <w:bottom w:val="single" w:sz="4" w:space="0" w:color="auto"/>
              <w:right w:val="single" w:sz="4" w:space="0" w:color="auto"/>
            </w:tcBorders>
            <w:shd w:val="clear" w:color="auto" w:fill="auto"/>
            <w:vAlign w:val="center"/>
            <w:hideMark/>
          </w:tcPr>
          <w:p w14:paraId="60AE047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w:t>
            </w:r>
          </w:p>
        </w:tc>
        <w:tc>
          <w:tcPr>
            <w:tcW w:w="1374" w:type="dxa"/>
            <w:tcBorders>
              <w:top w:val="nil"/>
              <w:left w:val="nil"/>
              <w:bottom w:val="single" w:sz="4" w:space="0" w:color="auto"/>
              <w:right w:val="single" w:sz="4" w:space="0" w:color="auto"/>
            </w:tcBorders>
            <w:shd w:val="clear" w:color="auto" w:fill="auto"/>
            <w:vAlign w:val="center"/>
            <w:hideMark/>
          </w:tcPr>
          <w:p w14:paraId="0EED7E2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w:t>
            </w:r>
          </w:p>
        </w:tc>
        <w:tc>
          <w:tcPr>
            <w:tcW w:w="1133" w:type="dxa"/>
            <w:tcBorders>
              <w:top w:val="nil"/>
              <w:left w:val="nil"/>
              <w:bottom w:val="single" w:sz="4" w:space="0" w:color="auto"/>
              <w:right w:val="single" w:sz="4" w:space="0" w:color="auto"/>
            </w:tcBorders>
            <w:shd w:val="clear" w:color="auto" w:fill="auto"/>
            <w:vAlign w:val="center"/>
            <w:hideMark/>
          </w:tcPr>
          <w:p w14:paraId="480D77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54</w:t>
            </w:r>
          </w:p>
        </w:tc>
        <w:tc>
          <w:tcPr>
            <w:tcW w:w="306" w:type="dxa"/>
            <w:tcBorders>
              <w:top w:val="nil"/>
              <w:left w:val="nil"/>
              <w:bottom w:val="single" w:sz="4" w:space="0" w:color="auto"/>
              <w:right w:val="single" w:sz="4" w:space="0" w:color="auto"/>
            </w:tcBorders>
            <w:shd w:val="clear" w:color="auto" w:fill="auto"/>
            <w:vAlign w:val="center"/>
            <w:hideMark/>
          </w:tcPr>
          <w:p w14:paraId="47BBF6A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w:t>
            </w:r>
          </w:p>
        </w:tc>
      </w:tr>
      <w:tr w:rsidR="00BC17A3" w:rsidRPr="00A546AD" w14:paraId="39BF80B4"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F3F833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Mexico</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29A6799"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60</w:t>
            </w:r>
          </w:p>
        </w:tc>
        <w:tc>
          <w:tcPr>
            <w:tcW w:w="1126" w:type="dxa"/>
            <w:tcBorders>
              <w:top w:val="nil"/>
              <w:left w:val="nil"/>
              <w:bottom w:val="single" w:sz="4" w:space="0" w:color="auto"/>
              <w:right w:val="single" w:sz="4" w:space="0" w:color="auto"/>
            </w:tcBorders>
            <w:shd w:val="clear" w:color="auto" w:fill="auto"/>
            <w:vAlign w:val="center"/>
            <w:hideMark/>
          </w:tcPr>
          <w:p w14:paraId="7885010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107</w:t>
            </w:r>
          </w:p>
        </w:tc>
        <w:tc>
          <w:tcPr>
            <w:tcW w:w="1199" w:type="dxa"/>
            <w:tcBorders>
              <w:top w:val="nil"/>
              <w:left w:val="nil"/>
              <w:bottom w:val="single" w:sz="4" w:space="0" w:color="auto"/>
              <w:right w:val="single" w:sz="4" w:space="0" w:color="auto"/>
            </w:tcBorders>
            <w:shd w:val="clear" w:color="auto" w:fill="auto"/>
            <w:vAlign w:val="center"/>
            <w:hideMark/>
          </w:tcPr>
          <w:p w14:paraId="2185E02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w:t>
            </w:r>
          </w:p>
        </w:tc>
        <w:tc>
          <w:tcPr>
            <w:tcW w:w="1321" w:type="dxa"/>
            <w:tcBorders>
              <w:top w:val="nil"/>
              <w:left w:val="nil"/>
              <w:bottom w:val="single" w:sz="4" w:space="0" w:color="auto"/>
              <w:right w:val="single" w:sz="4" w:space="0" w:color="auto"/>
            </w:tcBorders>
            <w:shd w:val="clear" w:color="auto" w:fill="auto"/>
            <w:vAlign w:val="center"/>
            <w:hideMark/>
          </w:tcPr>
          <w:p w14:paraId="27F460B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106</w:t>
            </w:r>
          </w:p>
        </w:tc>
        <w:tc>
          <w:tcPr>
            <w:tcW w:w="1221" w:type="dxa"/>
            <w:tcBorders>
              <w:top w:val="nil"/>
              <w:left w:val="nil"/>
              <w:bottom w:val="single" w:sz="4" w:space="0" w:color="auto"/>
              <w:right w:val="single" w:sz="4" w:space="0" w:color="auto"/>
            </w:tcBorders>
            <w:shd w:val="clear" w:color="auto" w:fill="auto"/>
            <w:vAlign w:val="center"/>
            <w:hideMark/>
          </w:tcPr>
          <w:p w14:paraId="652F9A6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968" w:type="dxa"/>
            <w:tcBorders>
              <w:top w:val="nil"/>
              <w:left w:val="nil"/>
              <w:bottom w:val="single" w:sz="4" w:space="0" w:color="auto"/>
              <w:right w:val="single" w:sz="4" w:space="0" w:color="auto"/>
            </w:tcBorders>
            <w:shd w:val="clear" w:color="auto" w:fill="auto"/>
            <w:vAlign w:val="center"/>
            <w:hideMark/>
          </w:tcPr>
          <w:p w14:paraId="6E42812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w:t>
            </w:r>
          </w:p>
        </w:tc>
        <w:tc>
          <w:tcPr>
            <w:tcW w:w="1246" w:type="dxa"/>
            <w:tcBorders>
              <w:top w:val="nil"/>
              <w:left w:val="nil"/>
              <w:bottom w:val="single" w:sz="4" w:space="0" w:color="auto"/>
              <w:right w:val="single" w:sz="4" w:space="0" w:color="auto"/>
            </w:tcBorders>
            <w:shd w:val="clear" w:color="auto" w:fill="auto"/>
            <w:vAlign w:val="center"/>
            <w:hideMark/>
          </w:tcPr>
          <w:p w14:paraId="0860E5E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488" w:type="dxa"/>
            <w:tcBorders>
              <w:top w:val="nil"/>
              <w:left w:val="nil"/>
              <w:bottom w:val="single" w:sz="4" w:space="0" w:color="auto"/>
              <w:right w:val="single" w:sz="4" w:space="0" w:color="auto"/>
            </w:tcBorders>
            <w:shd w:val="clear" w:color="auto" w:fill="auto"/>
            <w:vAlign w:val="center"/>
            <w:hideMark/>
          </w:tcPr>
          <w:p w14:paraId="0860557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374" w:type="dxa"/>
            <w:tcBorders>
              <w:top w:val="nil"/>
              <w:left w:val="nil"/>
              <w:bottom w:val="single" w:sz="4" w:space="0" w:color="auto"/>
              <w:right w:val="single" w:sz="4" w:space="0" w:color="auto"/>
            </w:tcBorders>
            <w:shd w:val="clear" w:color="auto" w:fill="auto"/>
            <w:vAlign w:val="center"/>
            <w:hideMark/>
          </w:tcPr>
          <w:p w14:paraId="72BA7BF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w:t>
            </w:r>
          </w:p>
        </w:tc>
        <w:tc>
          <w:tcPr>
            <w:tcW w:w="1133" w:type="dxa"/>
            <w:tcBorders>
              <w:top w:val="nil"/>
              <w:left w:val="nil"/>
              <w:bottom w:val="single" w:sz="4" w:space="0" w:color="auto"/>
              <w:right w:val="single" w:sz="4" w:space="0" w:color="auto"/>
            </w:tcBorders>
            <w:shd w:val="clear" w:color="auto" w:fill="auto"/>
            <w:vAlign w:val="center"/>
            <w:hideMark/>
          </w:tcPr>
          <w:p w14:paraId="773250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43</w:t>
            </w:r>
          </w:p>
        </w:tc>
        <w:tc>
          <w:tcPr>
            <w:tcW w:w="306" w:type="dxa"/>
            <w:tcBorders>
              <w:top w:val="nil"/>
              <w:left w:val="nil"/>
              <w:bottom w:val="single" w:sz="4" w:space="0" w:color="auto"/>
              <w:right w:val="single" w:sz="4" w:space="0" w:color="auto"/>
            </w:tcBorders>
            <w:shd w:val="clear" w:color="auto" w:fill="auto"/>
            <w:vAlign w:val="center"/>
            <w:hideMark/>
          </w:tcPr>
          <w:p w14:paraId="6051B5F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33</w:t>
            </w:r>
          </w:p>
        </w:tc>
      </w:tr>
      <w:tr w:rsidR="00BC17A3" w:rsidRPr="00A546AD" w14:paraId="6741EC04"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2B9526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Bulgaria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A9B3188"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61</w:t>
            </w:r>
          </w:p>
        </w:tc>
        <w:tc>
          <w:tcPr>
            <w:tcW w:w="1126" w:type="dxa"/>
            <w:tcBorders>
              <w:top w:val="nil"/>
              <w:left w:val="nil"/>
              <w:bottom w:val="single" w:sz="4" w:space="0" w:color="auto"/>
              <w:right w:val="single" w:sz="4" w:space="0" w:color="auto"/>
            </w:tcBorders>
            <w:shd w:val="clear" w:color="auto" w:fill="auto"/>
            <w:vAlign w:val="center"/>
            <w:hideMark/>
          </w:tcPr>
          <w:p w14:paraId="4EC7E8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113</w:t>
            </w:r>
          </w:p>
        </w:tc>
        <w:tc>
          <w:tcPr>
            <w:tcW w:w="1199" w:type="dxa"/>
            <w:tcBorders>
              <w:top w:val="nil"/>
              <w:left w:val="nil"/>
              <w:bottom w:val="single" w:sz="4" w:space="0" w:color="auto"/>
              <w:right w:val="single" w:sz="4" w:space="0" w:color="auto"/>
            </w:tcBorders>
            <w:shd w:val="clear" w:color="auto" w:fill="auto"/>
            <w:vAlign w:val="center"/>
            <w:hideMark/>
          </w:tcPr>
          <w:p w14:paraId="662B988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43</w:t>
            </w:r>
          </w:p>
        </w:tc>
        <w:tc>
          <w:tcPr>
            <w:tcW w:w="1321" w:type="dxa"/>
            <w:tcBorders>
              <w:top w:val="nil"/>
              <w:left w:val="nil"/>
              <w:bottom w:val="single" w:sz="4" w:space="0" w:color="auto"/>
              <w:right w:val="single" w:sz="4" w:space="0" w:color="auto"/>
            </w:tcBorders>
            <w:shd w:val="clear" w:color="auto" w:fill="auto"/>
            <w:vAlign w:val="center"/>
            <w:hideMark/>
          </w:tcPr>
          <w:p w14:paraId="318736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151</w:t>
            </w:r>
          </w:p>
        </w:tc>
        <w:tc>
          <w:tcPr>
            <w:tcW w:w="1221" w:type="dxa"/>
            <w:tcBorders>
              <w:top w:val="nil"/>
              <w:left w:val="nil"/>
              <w:bottom w:val="single" w:sz="4" w:space="0" w:color="auto"/>
              <w:right w:val="single" w:sz="4" w:space="0" w:color="auto"/>
            </w:tcBorders>
            <w:shd w:val="clear" w:color="auto" w:fill="auto"/>
            <w:vAlign w:val="center"/>
            <w:hideMark/>
          </w:tcPr>
          <w:p w14:paraId="2B33731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w:t>
            </w:r>
          </w:p>
        </w:tc>
        <w:tc>
          <w:tcPr>
            <w:tcW w:w="968" w:type="dxa"/>
            <w:tcBorders>
              <w:top w:val="nil"/>
              <w:left w:val="nil"/>
              <w:bottom w:val="single" w:sz="4" w:space="0" w:color="auto"/>
              <w:right w:val="single" w:sz="4" w:space="0" w:color="auto"/>
            </w:tcBorders>
            <w:shd w:val="clear" w:color="auto" w:fill="auto"/>
            <w:vAlign w:val="center"/>
            <w:hideMark/>
          </w:tcPr>
          <w:p w14:paraId="6FD3058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0D890E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488" w:type="dxa"/>
            <w:tcBorders>
              <w:top w:val="nil"/>
              <w:left w:val="nil"/>
              <w:bottom w:val="single" w:sz="4" w:space="0" w:color="auto"/>
              <w:right w:val="single" w:sz="4" w:space="0" w:color="auto"/>
            </w:tcBorders>
            <w:shd w:val="clear" w:color="auto" w:fill="auto"/>
            <w:vAlign w:val="center"/>
            <w:hideMark/>
          </w:tcPr>
          <w:p w14:paraId="5DF9410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1374" w:type="dxa"/>
            <w:tcBorders>
              <w:top w:val="nil"/>
              <w:left w:val="nil"/>
              <w:bottom w:val="single" w:sz="4" w:space="0" w:color="auto"/>
              <w:right w:val="single" w:sz="4" w:space="0" w:color="auto"/>
            </w:tcBorders>
            <w:shd w:val="clear" w:color="auto" w:fill="auto"/>
            <w:vAlign w:val="center"/>
            <w:hideMark/>
          </w:tcPr>
          <w:p w14:paraId="3E40A6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21</w:t>
            </w:r>
          </w:p>
        </w:tc>
        <w:tc>
          <w:tcPr>
            <w:tcW w:w="1133" w:type="dxa"/>
            <w:tcBorders>
              <w:top w:val="nil"/>
              <w:left w:val="nil"/>
              <w:bottom w:val="single" w:sz="4" w:space="0" w:color="auto"/>
              <w:right w:val="single" w:sz="4" w:space="0" w:color="auto"/>
            </w:tcBorders>
            <w:shd w:val="clear" w:color="auto" w:fill="auto"/>
            <w:vAlign w:val="center"/>
            <w:hideMark/>
          </w:tcPr>
          <w:p w14:paraId="5146FB5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42</w:t>
            </w:r>
          </w:p>
        </w:tc>
        <w:tc>
          <w:tcPr>
            <w:tcW w:w="306" w:type="dxa"/>
            <w:tcBorders>
              <w:top w:val="nil"/>
              <w:left w:val="nil"/>
              <w:bottom w:val="single" w:sz="4" w:space="0" w:color="auto"/>
              <w:right w:val="single" w:sz="4" w:space="0" w:color="auto"/>
            </w:tcBorders>
            <w:shd w:val="clear" w:color="auto" w:fill="auto"/>
            <w:vAlign w:val="center"/>
            <w:hideMark/>
          </w:tcPr>
          <w:p w14:paraId="2B25E15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r>
      <w:tr w:rsidR="00BC17A3" w:rsidRPr="00A546AD" w14:paraId="6630FA2C"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7083E8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lastRenderedPageBreak/>
              <w:t>India</w:t>
            </w:r>
          </w:p>
        </w:tc>
        <w:tc>
          <w:tcPr>
            <w:tcW w:w="802" w:type="dxa"/>
            <w:tcBorders>
              <w:top w:val="nil"/>
              <w:left w:val="nil"/>
              <w:bottom w:val="single" w:sz="4" w:space="0" w:color="auto"/>
              <w:right w:val="single" w:sz="4" w:space="0" w:color="auto"/>
            </w:tcBorders>
            <w:shd w:val="clear" w:color="auto" w:fill="auto"/>
            <w:vAlign w:val="center"/>
            <w:hideMark/>
          </w:tcPr>
          <w:p w14:paraId="4252A7A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62</w:t>
            </w:r>
          </w:p>
        </w:tc>
        <w:tc>
          <w:tcPr>
            <w:tcW w:w="1126" w:type="dxa"/>
            <w:tcBorders>
              <w:top w:val="nil"/>
              <w:left w:val="nil"/>
              <w:bottom w:val="single" w:sz="4" w:space="0" w:color="auto"/>
              <w:right w:val="single" w:sz="4" w:space="0" w:color="auto"/>
            </w:tcBorders>
            <w:shd w:val="clear" w:color="auto" w:fill="auto"/>
            <w:vAlign w:val="center"/>
            <w:hideMark/>
          </w:tcPr>
          <w:p w14:paraId="77F7059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c>
          <w:tcPr>
            <w:tcW w:w="1199" w:type="dxa"/>
            <w:tcBorders>
              <w:top w:val="nil"/>
              <w:left w:val="nil"/>
              <w:bottom w:val="single" w:sz="4" w:space="0" w:color="auto"/>
              <w:right w:val="single" w:sz="4" w:space="0" w:color="auto"/>
            </w:tcBorders>
            <w:shd w:val="clear" w:color="auto" w:fill="auto"/>
            <w:vAlign w:val="center"/>
            <w:hideMark/>
          </w:tcPr>
          <w:p w14:paraId="5A9D593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27</w:t>
            </w:r>
          </w:p>
        </w:tc>
        <w:tc>
          <w:tcPr>
            <w:tcW w:w="1321" w:type="dxa"/>
            <w:tcBorders>
              <w:top w:val="nil"/>
              <w:left w:val="nil"/>
              <w:bottom w:val="single" w:sz="4" w:space="0" w:color="auto"/>
              <w:right w:val="single" w:sz="4" w:space="0" w:color="auto"/>
            </w:tcBorders>
            <w:shd w:val="clear" w:color="auto" w:fill="auto"/>
            <w:vAlign w:val="center"/>
            <w:hideMark/>
          </w:tcPr>
          <w:p w14:paraId="6174DF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22</w:t>
            </w:r>
          </w:p>
        </w:tc>
        <w:tc>
          <w:tcPr>
            <w:tcW w:w="1221" w:type="dxa"/>
            <w:tcBorders>
              <w:top w:val="nil"/>
              <w:left w:val="nil"/>
              <w:bottom w:val="single" w:sz="4" w:space="0" w:color="auto"/>
              <w:right w:val="single" w:sz="4" w:space="0" w:color="auto"/>
            </w:tcBorders>
            <w:shd w:val="clear" w:color="auto" w:fill="auto"/>
            <w:vAlign w:val="center"/>
            <w:hideMark/>
          </w:tcPr>
          <w:p w14:paraId="5BBEBF5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154</w:t>
            </w:r>
          </w:p>
        </w:tc>
        <w:tc>
          <w:tcPr>
            <w:tcW w:w="968" w:type="dxa"/>
            <w:tcBorders>
              <w:top w:val="nil"/>
              <w:left w:val="nil"/>
              <w:bottom w:val="single" w:sz="4" w:space="0" w:color="auto"/>
              <w:right w:val="single" w:sz="4" w:space="0" w:color="auto"/>
            </w:tcBorders>
            <w:shd w:val="clear" w:color="auto" w:fill="auto"/>
            <w:vAlign w:val="center"/>
            <w:hideMark/>
          </w:tcPr>
          <w:p w14:paraId="3FBE5FD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056EA32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c>
          <w:tcPr>
            <w:tcW w:w="1488" w:type="dxa"/>
            <w:tcBorders>
              <w:top w:val="nil"/>
              <w:left w:val="nil"/>
              <w:bottom w:val="single" w:sz="4" w:space="0" w:color="auto"/>
              <w:right w:val="single" w:sz="4" w:space="0" w:color="auto"/>
            </w:tcBorders>
            <w:shd w:val="clear" w:color="auto" w:fill="auto"/>
            <w:vAlign w:val="center"/>
            <w:hideMark/>
          </w:tcPr>
          <w:p w14:paraId="0075DAE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115</w:t>
            </w:r>
          </w:p>
        </w:tc>
        <w:tc>
          <w:tcPr>
            <w:tcW w:w="1374" w:type="dxa"/>
            <w:tcBorders>
              <w:top w:val="nil"/>
              <w:left w:val="nil"/>
              <w:bottom w:val="single" w:sz="4" w:space="0" w:color="auto"/>
              <w:right w:val="single" w:sz="4" w:space="0" w:color="auto"/>
            </w:tcBorders>
            <w:shd w:val="clear" w:color="auto" w:fill="auto"/>
            <w:vAlign w:val="center"/>
            <w:hideMark/>
          </w:tcPr>
          <w:p w14:paraId="445C5BB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w:t>
            </w:r>
          </w:p>
        </w:tc>
        <w:tc>
          <w:tcPr>
            <w:tcW w:w="1133" w:type="dxa"/>
            <w:tcBorders>
              <w:top w:val="nil"/>
              <w:left w:val="nil"/>
              <w:bottom w:val="single" w:sz="4" w:space="0" w:color="auto"/>
              <w:right w:val="single" w:sz="4" w:space="0" w:color="auto"/>
            </w:tcBorders>
            <w:shd w:val="clear" w:color="auto" w:fill="auto"/>
            <w:vAlign w:val="center"/>
            <w:hideMark/>
          </w:tcPr>
          <w:p w14:paraId="2637360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163</w:t>
            </w:r>
          </w:p>
        </w:tc>
        <w:tc>
          <w:tcPr>
            <w:tcW w:w="306" w:type="dxa"/>
            <w:tcBorders>
              <w:top w:val="nil"/>
              <w:left w:val="nil"/>
              <w:bottom w:val="single" w:sz="4" w:space="0" w:color="auto"/>
              <w:right w:val="single" w:sz="4" w:space="0" w:color="auto"/>
            </w:tcBorders>
            <w:shd w:val="clear" w:color="auto" w:fill="auto"/>
            <w:vAlign w:val="center"/>
            <w:hideMark/>
          </w:tcPr>
          <w:p w14:paraId="2F1F7DF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52</w:t>
            </w:r>
          </w:p>
        </w:tc>
      </w:tr>
      <w:tr w:rsidR="00BC17A3" w:rsidRPr="00A546AD" w14:paraId="06D3AE8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FFA4AB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Saudi </w:t>
            </w:r>
            <w:proofErr w:type="spellStart"/>
            <w:r w:rsidRPr="00A546AD">
              <w:rPr>
                <w:rFonts w:ascii="Times New Roman" w:eastAsia="Times New Roman" w:hAnsi="Times New Roman" w:cs="Times New Roman"/>
                <w:sz w:val="20"/>
                <w:szCs w:val="20"/>
                <w:lang w:val="ru-RU" w:eastAsia="ru-RU" w:bidi="ar-SA"/>
              </w:rPr>
              <w:t>Arabia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0113B6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63</w:t>
            </w:r>
          </w:p>
        </w:tc>
        <w:tc>
          <w:tcPr>
            <w:tcW w:w="1126" w:type="dxa"/>
            <w:tcBorders>
              <w:top w:val="nil"/>
              <w:left w:val="nil"/>
              <w:bottom w:val="single" w:sz="4" w:space="0" w:color="auto"/>
              <w:right w:val="single" w:sz="4" w:space="0" w:color="auto"/>
            </w:tcBorders>
            <w:shd w:val="clear" w:color="auto" w:fill="auto"/>
            <w:vAlign w:val="center"/>
            <w:hideMark/>
          </w:tcPr>
          <w:p w14:paraId="7021A2A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199" w:type="dxa"/>
            <w:tcBorders>
              <w:top w:val="nil"/>
              <w:left w:val="nil"/>
              <w:bottom w:val="single" w:sz="4" w:space="0" w:color="auto"/>
              <w:right w:val="single" w:sz="4" w:space="0" w:color="auto"/>
            </w:tcBorders>
            <w:shd w:val="clear" w:color="auto" w:fill="auto"/>
            <w:vAlign w:val="center"/>
            <w:hideMark/>
          </w:tcPr>
          <w:p w14:paraId="5568F91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321" w:type="dxa"/>
            <w:tcBorders>
              <w:top w:val="nil"/>
              <w:left w:val="nil"/>
              <w:bottom w:val="single" w:sz="4" w:space="0" w:color="auto"/>
              <w:right w:val="single" w:sz="4" w:space="0" w:color="auto"/>
            </w:tcBorders>
            <w:shd w:val="clear" w:color="auto" w:fill="auto"/>
            <w:vAlign w:val="center"/>
            <w:hideMark/>
          </w:tcPr>
          <w:p w14:paraId="3729CCD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w:t>
            </w:r>
          </w:p>
        </w:tc>
        <w:tc>
          <w:tcPr>
            <w:tcW w:w="1221" w:type="dxa"/>
            <w:tcBorders>
              <w:top w:val="nil"/>
              <w:left w:val="nil"/>
              <w:bottom w:val="single" w:sz="4" w:space="0" w:color="auto"/>
              <w:right w:val="single" w:sz="4" w:space="0" w:color="auto"/>
            </w:tcBorders>
            <w:shd w:val="clear" w:color="auto" w:fill="auto"/>
            <w:vAlign w:val="center"/>
            <w:hideMark/>
          </w:tcPr>
          <w:p w14:paraId="59A41E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w:t>
            </w:r>
          </w:p>
        </w:tc>
        <w:tc>
          <w:tcPr>
            <w:tcW w:w="968" w:type="dxa"/>
            <w:tcBorders>
              <w:top w:val="nil"/>
              <w:left w:val="nil"/>
              <w:bottom w:val="single" w:sz="4" w:space="0" w:color="auto"/>
              <w:right w:val="single" w:sz="4" w:space="0" w:color="auto"/>
            </w:tcBorders>
            <w:shd w:val="clear" w:color="auto" w:fill="auto"/>
            <w:vAlign w:val="center"/>
            <w:hideMark/>
          </w:tcPr>
          <w:p w14:paraId="0841A89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59ED25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w:t>
            </w:r>
          </w:p>
        </w:tc>
        <w:tc>
          <w:tcPr>
            <w:tcW w:w="1488" w:type="dxa"/>
            <w:tcBorders>
              <w:top w:val="nil"/>
              <w:left w:val="nil"/>
              <w:bottom w:val="single" w:sz="4" w:space="0" w:color="auto"/>
              <w:right w:val="single" w:sz="4" w:space="0" w:color="auto"/>
            </w:tcBorders>
            <w:shd w:val="clear" w:color="auto" w:fill="auto"/>
            <w:vAlign w:val="center"/>
            <w:hideMark/>
          </w:tcPr>
          <w:p w14:paraId="79D2389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w:t>
            </w:r>
          </w:p>
        </w:tc>
        <w:tc>
          <w:tcPr>
            <w:tcW w:w="1374" w:type="dxa"/>
            <w:tcBorders>
              <w:top w:val="nil"/>
              <w:left w:val="nil"/>
              <w:bottom w:val="single" w:sz="4" w:space="0" w:color="auto"/>
              <w:right w:val="single" w:sz="4" w:space="0" w:color="auto"/>
            </w:tcBorders>
            <w:shd w:val="clear" w:color="auto" w:fill="auto"/>
            <w:vAlign w:val="center"/>
            <w:hideMark/>
          </w:tcPr>
          <w:p w14:paraId="10D1161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w:t>
            </w:r>
          </w:p>
        </w:tc>
        <w:tc>
          <w:tcPr>
            <w:tcW w:w="1133" w:type="dxa"/>
            <w:tcBorders>
              <w:top w:val="nil"/>
              <w:left w:val="nil"/>
              <w:bottom w:val="single" w:sz="4" w:space="0" w:color="auto"/>
              <w:right w:val="single" w:sz="4" w:space="0" w:color="auto"/>
            </w:tcBorders>
            <w:shd w:val="clear" w:color="auto" w:fill="auto"/>
            <w:vAlign w:val="center"/>
            <w:hideMark/>
          </w:tcPr>
          <w:p w14:paraId="4049AE0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306" w:type="dxa"/>
            <w:tcBorders>
              <w:top w:val="nil"/>
              <w:left w:val="nil"/>
              <w:bottom w:val="single" w:sz="4" w:space="0" w:color="auto"/>
              <w:right w:val="single" w:sz="4" w:space="0" w:color="auto"/>
            </w:tcBorders>
            <w:shd w:val="clear" w:color="auto" w:fill="auto"/>
            <w:vAlign w:val="center"/>
            <w:hideMark/>
          </w:tcPr>
          <w:p w14:paraId="65A5059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1D5E01D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1DA0CA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Ukraine</w:t>
            </w:r>
          </w:p>
        </w:tc>
        <w:tc>
          <w:tcPr>
            <w:tcW w:w="802" w:type="dxa"/>
            <w:tcBorders>
              <w:top w:val="nil"/>
              <w:left w:val="nil"/>
              <w:bottom w:val="single" w:sz="4" w:space="0" w:color="auto"/>
              <w:right w:val="single" w:sz="4" w:space="0" w:color="auto"/>
            </w:tcBorders>
            <w:shd w:val="clear" w:color="auto" w:fill="auto"/>
            <w:vAlign w:val="center"/>
            <w:hideMark/>
          </w:tcPr>
          <w:p w14:paraId="25249706"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64</w:t>
            </w:r>
          </w:p>
        </w:tc>
        <w:tc>
          <w:tcPr>
            <w:tcW w:w="1126" w:type="dxa"/>
            <w:tcBorders>
              <w:top w:val="nil"/>
              <w:left w:val="nil"/>
              <w:bottom w:val="single" w:sz="4" w:space="0" w:color="auto"/>
              <w:right w:val="single" w:sz="4" w:space="0" w:color="auto"/>
            </w:tcBorders>
            <w:shd w:val="clear" w:color="auto" w:fill="auto"/>
            <w:vAlign w:val="center"/>
            <w:hideMark/>
          </w:tcPr>
          <w:p w14:paraId="07C27CA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199" w:type="dxa"/>
            <w:tcBorders>
              <w:top w:val="nil"/>
              <w:left w:val="nil"/>
              <w:bottom w:val="single" w:sz="4" w:space="0" w:color="auto"/>
              <w:right w:val="single" w:sz="4" w:space="0" w:color="auto"/>
            </w:tcBorders>
            <w:shd w:val="clear" w:color="auto" w:fill="auto"/>
            <w:vAlign w:val="center"/>
            <w:hideMark/>
          </w:tcPr>
          <w:p w14:paraId="4B35CB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20</w:t>
            </w:r>
          </w:p>
        </w:tc>
        <w:tc>
          <w:tcPr>
            <w:tcW w:w="1321" w:type="dxa"/>
            <w:tcBorders>
              <w:top w:val="nil"/>
              <w:left w:val="nil"/>
              <w:bottom w:val="single" w:sz="4" w:space="0" w:color="auto"/>
              <w:right w:val="single" w:sz="4" w:space="0" w:color="auto"/>
            </w:tcBorders>
            <w:shd w:val="clear" w:color="auto" w:fill="auto"/>
            <w:vAlign w:val="center"/>
            <w:hideMark/>
          </w:tcPr>
          <w:p w14:paraId="69DAE7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221" w:type="dxa"/>
            <w:tcBorders>
              <w:top w:val="nil"/>
              <w:left w:val="nil"/>
              <w:bottom w:val="single" w:sz="4" w:space="0" w:color="auto"/>
              <w:right w:val="single" w:sz="4" w:space="0" w:color="auto"/>
            </w:tcBorders>
            <w:shd w:val="clear" w:color="auto" w:fill="auto"/>
            <w:vAlign w:val="center"/>
            <w:hideMark/>
          </w:tcPr>
          <w:p w14:paraId="0DEB450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968" w:type="dxa"/>
            <w:tcBorders>
              <w:top w:val="nil"/>
              <w:left w:val="nil"/>
              <w:bottom w:val="single" w:sz="4" w:space="0" w:color="auto"/>
              <w:right w:val="single" w:sz="4" w:space="0" w:color="auto"/>
            </w:tcBorders>
            <w:shd w:val="clear" w:color="auto" w:fill="auto"/>
            <w:vAlign w:val="center"/>
            <w:hideMark/>
          </w:tcPr>
          <w:p w14:paraId="15C3569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46" w:type="dxa"/>
            <w:tcBorders>
              <w:top w:val="nil"/>
              <w:left w:val="nil"/>
              <w:bottom w:val="single" w:sz="4" w:space="0" w:color="auto"/>
              <w:right w:val="single" w:sz="4" w:space="0" w:color="auto"/>
            </w:tcBorders>
            <w:shd w:val="clear" w:color="auto" w:fill="auto"/>
            <w:vAlign w:val="center"/>
            <w:hideMark/>
          </w:tcPr>
          <w:p w14:paraId="01DD91D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1488" w:type="dxa"/>
            <w:tcBorders>
              <w:top w:val="nil"/>
              <w:left w:val="nil"/>
              <w:bottom w:val="single" w:sz="4" w:space="0" w:color="auto"/>
              <w:right w:val="single" w:sz="4" w:space="0" w:color="auto"/>
            </w:tcBorders>
            <w:shd w:val="clear" w:color="auto" w:fill="auto"/>
            <w:vAlign w:val="center"/>
            <w:hideMark/>
          </w:tcPr>
          <w:p w14:paraId="2C2F79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w:t>
            </w:r>
          </w:p>
        </w:tc>
        <w:tc>
          <w:tcPr>
            <w:tcW w:w="1374" w:type="dxa"/>
            <w:tcBorders>
              <w:top w:val="nil"/>
              <w:left w:val="nil"/>
              <w:bottom w:val="single" w:sz="4" w:space="0" w:color="auto"/>
              <w:right w:val="single" w:sz="4" w:space="0" w:color="auto"/>
            </w:tcBorders>
            <w:shd w:val="clear" w:color="auto" w:fill="auto"/>
            <w:vAlign w:val="center"/>
            <w:hideMark/>
          </w:tcPr>
          <w:p w14:paraId="34534D6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w:t>
            </w:r>
          </w:p>
        </w:tc>
        <w:tc>
          <w:tcPr>
            <w:tcW w:w="1133" w:type="dxa"/>
            <w:tcBorders>
              <w:top w:val="nil"/>
              <w:left w:val="nil"/>
              <w:bottom w:val="single" w:sz="4" w:space="0" w:color="auto"/>
              <w:right w:val="single" w:sz="4" w:space="0" w:color="auto"/>
            </w:tcBorders>
            <w:shd w:val="clear" w:color="auto" w:fill="auto"/>
            <w:vAlign w:val="center"/>
            <w:hideMark/>
          </w:tcPr>
          <w:p w14:paraId="7ACC64D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w:t>
            </w:r>
          </w:p>
        </w:tc>
        <w:tc>
          <w:tcPr>
            <w:tcW w:w="306" w:type="dxa"/>
            <w:tcBorders>
              <w:top w:val="nil"/>
              <w:left w:val="nil"/>
              <w:bottom w:val="single" w:sz="4" w:space="0" w:color="auto"/>
              <w:right w:val="single" w:sz="4" w:space="0" w:color="auto"/>
            </w:tcBorders>
            <w:shd w:val="clear" w:color="auto" w:fill="auto"/>
            <w:vAlign w:val="center"/>
            <w:hideMark/>
          </w:tcPr>
          <w:p w14:paraId="0E458DC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146</w:t>
            </w:r>
          </w:p>
        </w:tc>
      </w:tr>
      <w:tr w:rsidR="00BC17A3" w:rsidRPr="00A546AD" w14:paraId="4F2550BC"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A7A2F9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Puerto</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Rico</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C805F16"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65</w:t>
            </w:r>
          </w:p>
        </w:tc>
        <w:tc>
          <w:tcPr>
            <w:tcW w:w="1126" w:type="dxa"/>
            <w:tcBorders>
              <w:top w:val="nil"/>
              <w:left w:val="nil"/>
              <w:bottom w:val="single" w:sz="4" w:space="0" w:color="auto"/>
              <w:right w:val="single" w:sz="4" w:space="0" w:color="auto"/>
            </w:tcBorders>
            <w:shd w:val="clear" w:color="auto" w:fill="auto"/>
            <w:vAlign w:val="center"/>
            <w:hideMark/>
          </w:tcPr>
          <w:p w14:paraId="63CCC7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w:t>
            </w:r>
          </w:p>
        </w:tc>
        <w:tc>
          <w:tcPr>
            <w:tcW w:w="1199" w:type="dxa"/>
            <w:tcBorders>
              <w:top w:val="nil"/>
              <w:left w:val="nil"/>
              <w:bottom w:val="single" w:sz="4" w:space="0" w:color="auto"/>
              <w:right w:val="single" w:sz="4" w:space="0" w:color="auto"/>
            </w:tcBorders>
            <w:shd w:val="clear" w:color="auto" w:fill="auto"/>
            <w:vAlign w:val="center"/>
            <w:hideMark/>
          </w:tcPr>
          <w:p w14:paraId="4218EFA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c>
          <w:tcPr>
            <w:tcW w:w="1321" w:type="dxa"/>
            <w:tcBorders>
              <w:top w:val="nil"/>
              <w:left w:val="nil"/>
              <w:bottom w:val="single" w:sz="4" w:space="0" w:color="auto"/>
              <w:right w:val="single" w:sz="4" w:space="0" w:color="auto"/>
            </w:tcBorders>
            <w:shd w:val="clear" w:color="auto" w:fill="auto"/>
            <w:vAlign w:val="center"/>
            <w:hideMark/>
          </w:tcPr>
          <w:p w14:paraId="51AE31F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21" w:type="dxa"/>
            <w:tcBorders>
              <w:top w:val="nil"/>
              <w:left w:val="nil"/>
              <w:bottom w:val="single" w:sz="4" w:space="0" w:color="auto"/>
              <w:right w:val="single" w:sz="4" w:space="0" w:color="auto"/>
            </w:tcBorders>
            <w:shd w:val="clear" w:color="auto" w:fill="auto"/>
            <w:vAlign w:val="center"/>
            <w:hideMark/>
          </w:tcPr>
          <w:p w14:paraId="22BF538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161</w:t>
            </w:r>
          </w:p>
        </w:tc>
        <w:tc>
          <w:tcPr>
            <w:tcW w:w="968" w:type="dxa"/>
            <w:tcBorders>
              <w:top w:val="nil"/>
              <w:left w:val="nil"/>
              <w:bottom w:val="single" w:sz="4" w:space="0" w:color="auto"/>
              <w:right w:val="single" w:sz="4" w:space="0" w:color="auto"/>
            </w:tcBorders>
            <w:shd w:val="clear" w:color="auto" w:fill="auto"/>
            <w:vAlign w:val="center"/>
            <w:hideMark/>
          </w:tcPr>
          <w:p w14:paraId="20F34AF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1246" w:type="dxa"/>
            <w:tcBorders>
              <w:top w:val="nil"/>
              <w:left w:val="nil"/>
              <w:bottom w:val="single" w:sz="4" w:space="0" w:color="auto"/>
              <w:right w:val="single" w:sz="4" w:space="0" w:color="auto"/>
            </w:tcBorders>
            <w:shd w:val="clear" w:color="auto" w:fill="auto"/>
            <w:vAlign w:val="center"/>
            <w:hideMark/>
          </w:tcPr>
          <w:p w14:paraId="30909E8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488" w:type="dxa"/>
            <w:tcBorders>
              <w:top w:val="nil"/>
              <w:left w:val="nil"/>
              <w:bottom w:val="single" w:sz="4" w:space="0" w:color="auto"/>
              <w:right w:val="single" w:sz="4" w:space="0" w:color="auto"/>
            </w:tcBorders>
            <w:shd w:val="clear" w:color="auto" w:fill="auto"/>
            <w:vAlign w:val="center"/>
            <w:hideMark/>
          </w:tcPr>
          <w:p w14:paraId="371F94D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163</w:t>
            </w:r>
          </w:p>
        </w:tc>
        <w:tc>
          <w:tcPr>
            <w:tcW w:w="1374" w:type="dxa"/>
            <w:tcBorders>
              <w:top w:val="nil"/>
              <w:left w:val="nil"/>
              <w:bottom w:val="single" w:sz="4" w:space="0" w:color="auto"/>
              <w:right w:val="single" w:sz="4" w:space="0" w:color="auto"/>
            </w:tcBorders>
            <w:shd w:val="clear" w:color="auto" w:fill="auto"/>
            <w:vAlign w:val="center"/>
            <w:hideMark/>
          </w:tcPr>
          <w:p w14:paraId="519DBB1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w:t>
            </w:r>
          </w:p>
        </w:tc>
        <w:tc>
          <w:tcPr>
            <w:tcW w:w="1133" w:type="dxa"/>
            <w:tcBorders>
              <w:top w:val="nil"/>
              <w:left w:val="nil"/>
              <w:bottom w:val="single" w:sz="4" w:space="0" w:color="auto"/>
              <w:right w:val="single" w:sz="4" w:space="0" w:color="auto"/>
            </w:tcBorders>
            <w:shd w:val="clear" w:color="auto" w:fill="auto"/>
            <w:vAlign w:val="center"/>
            <w:hideMark/>
          </w:tcPr>
          <w:p w14:paraId="2B2064E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w:t>
            </w:r>
          </w:p>
        </w:tc>
        <w:tc>
          <w:tcPr>
            <w:tcW w:w="306" w:type="dxa"/>
            <w:tcBorders>
              <w:top w:val="nil"/>
              <w:left w:val="nil"/>
              <w:bottom w:val="single" w:sz="4" w:space="0" w:color="auto"/>
              <w:right w:val="single" w:sz="4" w:space="0" w:color="auto"/>
            </w:tcBorders>
            <w:shd w:val="clear" w:color="auto" w:fill="auto"/>
            <w:vAlign w:val="center"/>
            <w:hideMark/>
          </w:tcPr>
          <w:p w14:paraId="14CB1D0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w:t>
            </w:r>
          </w:p>
        </w:tc>
      </w:tr>
      <w:tr w:rsidR="00BC17A3" w:rsidRPr="00A546AD" w14:paraId="15917FEA"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59729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Brunei</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Darussalam</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3132D89"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66</w:t>
            </w:r>
          </w:p>
        </w:tc>
        <w:tc>
          <w:tcPr>
            <w:tcW w:w="1126" w:type="dxa"/>
            <w:tcBorders>
              <w:top w:val="nil"/>
              <w:left w:val="nil"/>
              <w:bottom w:val="single" w:sz="4" w:space="0" w:color="auto"/>
              <w:right w:val="single" w:sz="4" w:space="0" w:color="auto"/>
            </w:tcBorders>
            <w:shd w:val="clear" w:color="auto" w:fill="auto"/>
            <w:vAlign w:val="center"/>
            <w:hideMark/>
          </w:tcPr>
          <w:p w14:paraId="41C6D59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w:t>
            </w:r>
          </w:p>
        </w:tc>
        <w:tc>
          <w:tcPr>
            <w:tcW w:w="1199" w:type="dxa"/>
            <w:tcBorders>
              <w:top w:val="nil"/>
              <w:left w:val="nil"/>
              <w:bottom w:val="single" w:sz="4" w:space="0" w:color="auto"/>
              <w:right w:val="single" w:sz="4" w:space="0" w:color="auto"/>
            </w:tcBorders>
            <w:shd w:val="clear" w:color="auto" w:fill="auto"/>
            <w:vAlign w:val="center"/>
            <w:hideMark/>
          </w:tcPr>
          <w:p w14:paraId="03FC95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54</w:t>
            </w:r>
          </w:p>
        </w:tc>
        <w:tc>
          <w:tcPr>
            <w:tcW w:w="1321" w:type="dxa"/>
            <w:tcBorders>
              <w:top w:val="nil"/>
              <w:left w:val="nil"/>
              <w:bottom w:val="single" w:sz="4" w:space="0" w:color="auto"/>
              <w:right w:val="single" w:sz="4" w:space="0" w:color="auto"/>
            </w:tcBorders>
            <w:shd w:val="clear" w:color="auto" w:fill="auto"/>
            <w:vAlign w:val="center"/>
            <w:hideMark/>
          </w:tcPr>
          <w:p w14:paraId="0C0E05D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31</w:t>
            </w:r>
          </w:p>
        </w:tc>
        <w:tc>
          <w:tcPr>
            <w:tcW w:w="1221" w:type="dxa"/>
            <w:tcBorders>
              <w:top w:val="nil"/>
              <w:left w:val="nil"/>
              <w:bottom w:val="single" w:sz="4" w:space="0" w:color="auto"/>
              <w:right w:val="single" w:sz="4" w:space="0" w:color="auto"/>
            </w:tcBorders>
            <w:shd w:val="clear" w:color="auto" w:fill="auto"/>
            <w:vAlign w:val="center"/>
            <w:hideMark/>
          </w:tcPr>
          <w:p w14:paraId="1103F38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968" w:type="dxa"/>
            <w:tcBorders>
              <w:top w:val="nil"/>
              <w:left w:val="nil"/>
              <w:bottom w:val="single" w:sz="4" w:space="0" w:color="auto"/>
              <w:right w:val="single" w:sz="4" w:space="0" w:color="auto"/>
            </w:tcBorders>
            <w:shd w:val="clear" w:color="auto" w:fill="auto"/>
            <w:vAlign w:val="center"/>
            <w:hideMark/>
          </w:tcPr>
          <w:p w14:paraId="5FA2991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246" w:type="dxa"/>
            <w:tcBorders>
              <w:top w:val="nil"/>
              <w:left w:val="nil"/>
              <w:bottom w:val="single" w:sz="4" w:space="0" w:color="auto"/>
              <w:right w:val="single" w:sz="4" w:space="0" w:color="auto"/>
            </w:tcBorders>
            <w:shd w:val="clear" w:color="auto" w:fill="auto"/>
            <w:vAlign w:val="center"/>
            <w:hideMark/>
          </w:tcPr>
          <w:p w14:paraId="7BD8351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488" w:type="dxa"/>
            <w:tcBorders>
              <w:top w:val="nil"/>
              <w:left w:val="nil"/>
              <w:bottom w:val="single" w:sz="4" w:space="0" w:color="auto"/>
              <w:right w:val="single" w:sz="4" w:space="0" w:color="auto"/>
            </w:tcBorders>
            <w:shd w:val="clear" w:color="auto" w:fill="auto"/>
            <w:vAlign w:val="center"/>
            <w:hideMark/>
          </w:tcPr>
          <w:p w14:paraId="307A7BF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w:t>
            </w:r>
          </w:p>
        </w:tc>
        <w:tc>
          <w:tcPr>
            <w:tcW w:w="1374" w:type="dxa"/>
            <w:tcBorders>
              <w:top w:val="nil"/>
              <w:left w:val="nil"/>
              <w:bottom w:val="single" w:sz="4" w:space="0" w:color="auto"/>
              <w:right w:val="single" w:sz="4" w:space="0" w:color="auto"/>
            </w:tcBorders>
            <w:shd w:val="clear" w:color="auto" w:fill="auto"/>
            <w:vAlign w:val="center"/>
            <w:hideMark/>
          </w:tcPr>
          <w:p w14:paraId="65F38C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149</w:t>
            </w:r>
          </w:p>
        </w:tc>
        <w:tc>
          <w:tcPr>
            <w:tcW w:w="1133" w:type="dxa"/>
            <w:tcBorders>
              <w:top w:val="nil"/>
              <w:left w:val="nil"/>
              <w:bottom w:val="single" w:sz="4" w:space="0" w:color="auto"/>
              <w:right w:val="single" w:sz="4" w:space="0" w:color="auto"/>
            </w:tcBorders>
            <w:shd w:val="clear" w:color="auto" w:fill="auto"/>
            <w:vAlign w:val="center"/>
            <w:hideMark/>
          </w:tcPr>
          <w:p w14:paraId="4B6E546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w:t>
            </w:r>
          </w:p>
        </w:tc>
        <w:tc>
          <w:tcPr>
            <w:tcW w:w="306" w:type="dxa"/>
            <w:tcBorders>
              <w:top w:val="nil"/>
              <w:left w:val="nil"/>
              <w:bottom w:val="single" w:sz="4" w:space="0" w:color="auto"/>
              <w:right w:val="single" w:sz="4" w:space="0" w:color="auto"/>
            </w:tcBorders>
            <w:shd w:val="clear" w:color="auto" w:fill="auto"/>
            <w:vAlign w:val="center"/>
            <w:hideMark/>
          </w:tcPr>
          <w:p w14:paraId="62A9579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w:t>
            </w:r>
          </w:p>
        </w:tc>
      </w:tr>
      <w:tr w:rsidR="00BC17A3" w:rsidRPr="00A546AD" w14:paraId="6DA8099C"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9E501D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Colombia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1852432"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67</w:t>
            </w:r>
          </w:p>
        </w:tc>
        <w:tc>
          <w:tcPr>
            <w:tcW w:w="1126" w:type="dxa"/>
            <w:tcBorders>
              <w:top w:val="nil"/>
              <w:left w:val="nil"/>
              <w:bottom w:val="single" w:sz="4" w:space="0" w:color="auto"/>
              <w:right w:val="single" w:sz="4" w:space="0" w:color="auto"/>
            </w:tcBorders>
            <w:shd w:val="clear" w:color="auto" w:fill="auto"/>
            <w:vAlign w:val="center"/>
            <w:hideMark/>
          </w:tcPr>
          <w:p w14:paraId="5BCA72B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w:t>
            </w:r>
          </w:p>
        </w:tc>
        <w:tc>
          <w:tcPr>
            <w:tcW w:w="1199" w:type="dxa"/>
            <w:tcBorders>
              <w:top w:val="nil"/>
              <w:left w:val="nil"/>
              <w:bottom w:val="single" w:sz="4" w:space="0" w:color="auto"/>
              <w:right w:val="single" w:sz="4" w:space="0" w:color="auto"/>
            </w:tcBorders>
            <w:shd w:val="clear" w:color="auto" w:fill="auto"/>
            <w:vAlign w:val="center"/>
            <w:hideMark/>
          </w:tcPr>
          <w:p w14:paraId="00A0E8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w:t>
            </w:r>
          </w:p>
        </w:tc>
        <w:tc>
          <w:tcPr>
            <w:tcW w:w="1321" w:type="dxa"/>
            <w:tcBorders>
              <w:top w:val="nil"/>
              <w:left w:val="nil"/>
              <w:bottom w:val="single" w:sz="4" w:space="0" w:color="auto"/>
              <w:right w:val="single" w:sz="4" w:space="0" w:color="auto"/>
            </w:tcBorders>
            <w:shd w:val="clear" w:color="auto" w:fill="auto"/>
            <w:vAlign w:val="center"/>
            <w:hideMark/>
          </w:tcPr>
          <w:p w14:paraId="380050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w:t>
            </w:r>
          </w:p>
        </w:tc>
        <w:tc>
          <w:tcPr>
            <w:tcW w:w="1221" w:type="dxa"/>
            <w:tcBorders>
              <w:top w:val="nil"/>
              <w:left w:val="nil"/>
              <w:bottom w:val="single" w:sz="4" w:space="0" w:color="auto"/>
              <w:right w:val="single" w:sz="4" w:space="0" w:color="auto"/>
            </w:tcBorders>
            <w:shd w:val="clear" w:color="auto" w:fill="auto"/>
            <w:vAlign w:val="center"/>
            <w:hideMark/>
          </w:tcPr>
          <w:p w14:paraId="7F2951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w:t>
            </w:r>
          </w:p>
        </w:tc>
        <w:tc>
          <w:tcPr>
            <w:tcW w:w="968" w:type="dxa"/>
            <w:tcBorders>
              <w:top w:val="nil"/>
              <w:left w:val="nil"/>
              <w:bottom w:val="single" w:sz="4" w:space="0" w:color="auto"/>
              <w:right w:val="single" w:sz="4" w:space="0" w:color="auto"/>
            </w:tcBorders>
            <w:shd w:val="clear" w:color="auto" w:fill="auto"/>
            <w:vAlign w:val="center"/>
            <w:hideMark/>
          </w:tcPr>
          <w:p w14:paraId="6F36A52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w:t>
            </w:r>
          </w:p>
        </w:tc>
        <w:tc>
          <w:tcPr>
            <w:tcW w:w="1246" w:type="dxa"/>
            <w:tcBorders>
              <w:top w:val="nil"/>
              <w:left w:val="nil"/>
              <w:bottom w:val="single" w:sz="4" w:space="0" w:color="auto"/>
              <w:right w:val="single" w:sz="4" w:space="0" w:color="auto"/>
            </w:tcBorders>
            <w:shd w:val="clear" w:color="auto" w:fill="auto"/>
            <w:vAlign w:val="center"/>
            <w:hideMark/>
          </w:tcPr>
          <w:p w14:paraId="1E6BFF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c>
          <w:tcPr>
            <w:tcW w:w="1488" w:type="dxa"/>
            <w:tcBorders>
              <w:top w:val="nil"/>
              <w:left w:val="nil"/>
              <w:bottom w:val="single" w:sz="4" w:space="0" w:color="auto"/>
              <w:right w:val="single" w:sz="4" w:space="0" w:color="auto"/>
            </w:tcBorders>
            <w:shd w:val="clear" w:color="auto" w:fill="auto"/>
            <w:vAlign w:val="center"/>
            <w:hideMark/>
          </w:tcPr>
          <w:p w14:paraId="3043FB5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148</w:t>
            </w:r>
          </w:p>
        </w:tc>
        <w:tc>
          <w:tcPr>
            <w:tcW w:w="1374" w:type="dxa"/>
            <w:tcBorders>
              <w:top w:val="nil"/>
              <w:left w:val="nil"/>
              <w:bottom w:val="single" w:sz="4" w:space="0" w:color="auto"/>
              <w:right w:val="single" w:sz="4" w:space="0" w:color="auto"/>
            </w:tcBorders>
            <w:shd w:val="clear" w:color="auto" w:fill="auto"/>
            <w:vAlign w:val="center"/>
            <w:hideMark/>
          </w:tcPr>
          <w:p w14:paraId="3B0DC63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133</w:t>
            </w:r>
          </w:p>
        </w:tc>
        <w:tc>
          <w:tcPr>
            <w:tcW w:w="1133" w:type="dxa"/>
            <w:tcBorders>
              <w:top w:val="nil"/>
              <w:left w:val="nil"/>
              <w:bottom w:val="single" w:sz="4" w:space="0" w:color="auto"/>
              <w:right w:val="single" w:sz="4" w:space="0" w:color="auto"/>
            </w:tcBorders>
            <w:shd w:val="clear" w:color="auto" w:fill="auto"/>
            <w:vAlign w:val="center"/>
            <w:hideMark/>
          </w:tcPr>
          <w:p w14:paraId="1A7B149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177</w:t>
            </w:r>
          </w:p>
        </w:tc>
        <w:tc>
          <w:tcPr>
            <w:tcW w:w="306" w:type="dxa"/>
            <w:tcBorders>
              <w:top w:val="nil"/>
              <w:left w:val="nil"/>
              <w:bottom w:val="single" w:sz="4" w:space="0" w:color="auto"/>
              <w:right w:val="single" w:sz="4" w:space="0" w:color="auto"/>
            </w:tcBorders>
            <w:shd w:val="clear" w:color="auto" w:fill="auto"/>
            <w:vAlign w:val="center"/>
            <w:hideMark/>
          </w:tcPr>
          <w:p w14:paraId="7ED2879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32</w:t>
            </w:r>
          </w:p>
        </w:tc>
      </w:tr>
      <w:tr w:rsidR="00BC17A3" w:rsidRPr="00A546AD" w14:paraId="40FFF1D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285A59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Oman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C2DD4A4"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68</w:t>
            </w:r>
          </w:p>
        </w:tc>
        <w:tc>
          <w:tcPr>
            <w:tcW w:w="1126" w:type="dxa"/>
            <w:tcBorders>
              <w:top w:val="nil"/>
              <w:left w:val="nil"/>
              <w:bottom w:val="single" w:sz="4" w:space="0" w:color="auto"/>
              <w:right w:val="single" w:sz="4" w:space="0" w:color="auto"/>
            </w:tcBorders>
            <w:shd w:val="clear" w:color="auto" w:fill="auto"/>
            <w:vAlign w:val="center"/>
            <w:hideMark/>
          </w:tcPr>
          <w:p w14:paraId="4543620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31</w:t>
            </w:r>
          </w:p>
        </w:tc>
        <w:tc>
          <w:tcPr>
            <w:tcW w:w="1199" w:type="dxa"/>
            <w:tcBorders>
              <w:top w:val="nil"/>
              <w:left w:val="nil"/>
              <w:bottom w:val="single" w:sz="4" w:space="0" w:color="auto"/>
              <w:right w:val="single" w:sz="4" w:space="0" w:color="auto"/>
            </w:tcBorders>
            <w:shd w:val="clear" w:color="auto" w:fill="auto"/>
            <w:vAlign w:val="center"/>
            <w:hideMark/>
          </w:tcPr>
          <w:p w14:paraId="4515A20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47</w:t>
            </w:r>
          </w:p>
        </w:tc>
        <w:tc>
          <w:tcPr>
            <w:tcW w:w="1321" w:type="dxa"/>
            <w:tcBorders>
              <w:top w:val="nil"/>
              <w:left w:val="nil"/>
              <w:bottom w:val="single" w:sz="4" w:space="0" w:color="auto"/>
              <w:right w:val="single" w:sz="4" w:space="0" w:color="auto"/>
            </w:tcBorders>
            <w:shd w:val="clear" w:color="auto" w:fill="auto"/>
            <w:vAlign w:val="center"/>
            <w:hideMark/>
          </w:tcPr>
          <w:p w14:paraId="69F6CD4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35</w:t>
            </w:r>
          </w:p>
        </w:tc>
        <w:tc>
          <w:tcPr>
            <w:tcW w:w="1221" w:type="dxa"/>
            <w:tcBorders>
              <w:top w:val="nil"/>
              <w:left w:val="nil"/>
              <w:bottom w:val="single" w:sz="4" w:space="0" w:color="auto"/>
              <w:right w:val="single" w:sz="4" w:space="0" w:color="auto"/>
            </w:tcBorders>
            <w:shd w:val="clear" w:color="auto" w:fill="auto"/>
            <w:vAlign w:val="center"/>
            <w:hideMark/>
          </w:tcPr>
          <w:p w14:paraId="3C2ED12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52</w:t>
            </w:r>
          </w:p>
        </w:tc>
        <w:tc>
          <w:tcPr>
            <w:tcW w:w="968" w:type="dxa"/>
            <w:tcBorders>
              <w:top w:val="nil"/>
              <w:left w:val="nil"/>
              <w:bottom w:val="single" w:sz="4" w:space="0" w:color="auto"/>
              <w:right w:val="single" w:sz="4" w:space="0" w:color="auto"/>
            </w:tcBorders>
            <w:shd w:val="clear" w:color="auto" w:fill="auto"/>
            <w:vAlign w:val="center"/>
            <w:hideMark/>
          </w:tcPr>
          <w:p w14:paraId="6B197D6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246" w:type="dxa"/>
            <w:tcBorders>
              <w:top w:val="nil"/>
              <w:left w:val="nil"/>
              <w:bottom w:val="single" w:sz="4" w:space="0" w:color="auto"/>
              <w:right w:val="single" w:sz="4" w:space="0" w:color="auto"/>
            </w:tcBorders>
            <w:shd w:val="clear" w:color="auto" w:fill="auto"/>
            <w:vAlign w:val="center"/>
            <w:hideMark/>
          </w:tcPr>
          <w:p w14:paraId="4BECF53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488" w:type="dxa"/>
            <w:tcBorders>
              <w:top w:val="nil"/>
              <w:left w:val="nil"/>
              <w:bottom w:val="single" w:sz="4" w:space="0" w:color="auto"/>
              <w:right w:val="single" w:sz="4" w:space="0" w:color="auto"/>
            </w:tcBorders>
            <w:shd w:val="clear" w:color="auto" w:fill="auto"/>
            <w:vAlign w:val="center"/>
            <w:hideMark/>
          </w:tcPr>
          <w:p w14:paraId="5C892C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w:t>
            </w:r>
          </w:p>
        </w:tc>
        <w:tc>
          <w:tcPr>
            <w:tcW w:w="1374" w:type="dxa"/>
            <w:tcBorders>
              <w:top w:val="nil"/>
              <w:left w:val="nil"/>
              <w:bottom w:val="single" w:sz="4" w:space="0" w:color="auto"/>
              <w:right w:val="single" w:sz="4" w:space="0" w:color="auto"/>
            </w:tcBorders>
            <w:shd w:val="clear" w:color="auto" w:fill="auto"/>
            <w:vAlign w:val="center"/>
            <w:hideMark/>
          </w:tcPr>
          <w:p w14:paraId="156DE6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w:t>
            </w:r>
          </w:p>
        </w:tc>
        <w:tc>
          <w:tcPr>
            <w:tcW w:w="1133" w:type="dxa"/>
            <w:tcBorders>
              <w:top w:val="nil"/>
              <w:left w:val="nil"/>
              <w:bottom w:val="single" w:sz="4" w:space="0" w:color="auto"/>
              <w:right w:val="single" w:sz="4" w:space="0" w:color="auto"/>
            </w:tcBorders>
            <w:shd w:val="clear" w:color="auto" w:fill="auto"/>
            <w:vAlign w:val="center"/>
            <w:hideMark/>
          </w:tcPr>
          <w:p w14:paraId="343CC60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w:t>
            </w:r>
          </w:p>
        </w:tc>
        <w:tc>
          <w:tcPr>
            <w:tcW w:w="306" w:type="dxa"/>
            <w:tcBorders>
              <w:top w:val="nil"/>
              <w:left w:val="nil"/>
              <w:bottom w:val="single" w:sz="4" w:space="0" w:color="auto"/>
              <w:right w:val="single" w:sz="4" w:space="0" w:color="auto"/>
            </w:tcBorders>
            <w:shd w:val="clear" w:color="auto" w:fill="auto"/>
            <w:vAlign w:val="center"/>
            <w:hideMark/>
          </w:tcPr>
          <w:p w14:paraId="1A86D0A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r>
      <w:tr w:rsidR="00BC17A3" w:rsidRPr="00A546AD" w14:paraId="7FB55176"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5ED5DA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Uzbekistan</w:t>
            </w:r>
          </w:p>
        </w:tc>
        <w:tc>
          <w:tcPr>
            <w:tcW w:w="802" w:type="dxa"/>
            <w:tcBorders>
              <w:top w:val="nil"/>
              <w:left w:val="nil"/>
              <w:bottom w:val="single" w:sz="4" w:space="0" w:color="auto"/>
              <w:right w:val="single" w:sz="4" w:space="0" w:color="auto"/>
            </w:tcBorders>
            <w:shd w:val="clear" w:color="auto" w:fill="auto"/>
            <w:vAlign w:val="center"/>
            <w:hideMark/>
          </w:tcPr>
          <w:p w14:paraId="6E2FCC3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69</w:t>
            </w:r>
          </w:p>
        </w:tc>
        <w:tc>
          <w:tcPr>
            <w:tcW w:w="1126" w:type="dxa"/>
            <w:tcBorders>
              <w:top w:val="nil"/>
              <w:left w:val="nil"/>
              <w:bottom w:val="single" w:sz="4" w:space="0" w:color="auto"/>
              <w:right w:val="single" w:sz="4" w:space="0" w:color="auto"/>
            </w:tcBorders>
            <w:shd w:val="clear" w:color="auto" w:fill="auto"/>
            <w:vAlign w:val="center"/>
            <w:hideMark/>
          </w:tcPr>
          <w:p w14:paraId="3ABABC1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w:t>
            </w:r>
          </w:p>
        </w:tc>
        <w:tc>
          <w:tcPr>
            <w:tcW w:w="1199" w:type="dxa"/>
            <w:tcBorders>
              <w:top w:val="nil"/>
              <w:left w:val="nil"/>
              <w:bottom w:val="single" w:sz="4" w:space="0" w:color="auto"/>
              <w:right w:val="single" w:sz="4" w:space="0" w:color="auto"/>
            </w:tcBorders>
            <w:shd w:val="clear" w:color="auto" w:fill="auto"/>
            <w:vAlign w:val="center"/>
            <w:hideMark/>
          </w:tcPr>
          <w:p w14:paraId="28CF85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321" w:type="dxa"/>
            <w:tcBorders>
              <w:top w:val="nil"/>
              <w:left w:val="nil"/>
              <w:bottom w:val="single" w:sz="4" w:space="0" w:color="auto"/>
              <w:right w:val="single" w:sz="4" w:space="0" w:color="auto"/>
            </w:tcBorders>
            <w:shd w:val="clear" w:color="auto" w:fill="auto"/>
            <w:vAlign w:val="center"/>
            <w:hideMark/>
          </w:tcPr>
          <w:p w14:paraId="3C4F6D9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36</w:t>
            </w:r>
          </w:p>
        </w:tc>
        <w:tc>
          <w:tcPr>
            <w:tcW w:w="1221" w:type="dxa"/>
            <w:tcBorders>
              <w:top w:val="nil"/>
              <w:left w:val="nil"/>
              <w:bottom w:val="single" w:sz="4" w:space="0" w:color="auto"/>
              <w:right w:val="single" w:sz="4" w:space="0" w:color="auto"/>
            </w:tcBorders>
            <w:shd w:val="clear" w:color="auto" w:fill="auto"/>
            <w:vAlign w:val="center"/>
            <w:hideMark/>
          </w:tcPr>
          <w:p w14:paraId="4E2D035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968" w:type="dxa"/>
            <w:tcBorders>
              <w:top w:val="nil"/>
              <w:left w:val="nil"/>
              <w:bottom w:val="single" w:sz="4" w:space="0" w:color="auto"/>
              <w:right w:val="single" w:sz="4" w:space="0" w:color="auto"/>
            </w:tcBorders>
            <w:shd w:val="clear" w:color="auto" w:fill="auto"/>
            <w:vAlign w:val="center"/>
            <w:hideMark/>
          </w:tcPr>
          <w:p w14:paraId="2FE507C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00673BF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488" w:type="dxa"/>
            <w:tcBorders>
              <w:top w:val="nil"/>
              <w:left w:val="nil"/>
              <w:bottom w:val="single" w:sz="4" w:space="0" w:color="auto"/>
              <w:right w:val="single" w:sz="4" w:space="0" w:color="auto"/>
            </w:tcBorders>
            <w:shd w:val="clear" w:color="auto" w:fill="auto"/>
            <w:vAlign w:val="center"/>
            <w:hideMark/>
          </w:tcPr>
          <w:p w14:paraId="1374968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w:t>
            </w:r>
          </w:p>
        </w:tc>
        <w:tc>
          <w:tcPr>
            <w:tcW w:w="1374" w:type="dxa"/>
            <w:tcBorders>
              <w:top w:val="nil"/>
              <w:left w:val="nil"/>
              <w:bottom w:val="single" w:sz="4" w:space="0" w:color="auto"/>
              <w:right w:val="single" w:sz="4" w:space="0" w:color="auto"/>
            </w:tcBorders>
            <w:shd w:val="clear" w:color="auto" w:fill="auto"/>
            <w:vAlign w:val="center"/>
            <w:hideMark/>
          </w:tcPr>
          <w:p w14:paraId="7ABF6F1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133" w:type="dxa"/>
            <w:tcBorders>
              <w:top w:val="nil"/>
              <w:left w:val="nil"/>
              <w:bottom w:val="single" w:sz="4" w:space="0" w:color="auto"/>
              <w:right w:val="single" w:sz="4" w:space="0" w:color="auto"/>
            </w:tcBorders>
            <w:shd w:val="clear" w:color="auto" w:fill="auto"/>
            <w:vAlign w:val="center"/>
            <w:hideMark/>
          </w:tcPr>
          <w:p w14:paraId="1D14C5F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23</w:t>
            </w:r>
          </w:p>
        </w:tc>
        <w:tc>
          <w:tcPr>
            <w:tcW w:w="306" w:type="dxa"/>
            <w:tcBorders>
              <w:top w:val="nil"/>
              <w:left w:val="nil"/>
              <w:bottom w:val="single" w:sz="4" w:space="0" w:color="auto"/>
              <w:right w:val="single" w:sz="4" w:space="0" w:color="auto"/>
            </w:tcBorders>
            <w:shd w:val="clear" w:color="auto" w:fill="auto"/>
            <w:vAlign w:val="center"/>
            <w:hideMark/>
          </w:tcPr>
          <w:p w14:paraId="40FB31E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w:t>
            </w:r>
          </w:p>
        </w:tc>
      </w:tr>
      <w:tr w:rsidR="00BC17A3" w:rsidRPr="00A546AD" w14:paraId="25823DD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A031C1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Vietnam</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458B04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70</w:t>
            </w:r>
          </w:p>
        </w:tc>
        <w:tc>
          <w:tcPr>
            <w:tcW w:w="1126" w:type="dxa"/>
            <w:tcBorders>
              <w:top w:val="nil"/>
              <w:left w:val="nil"/>
              <w:bottom w:val="single" w:sz="4" w:space="0" w:color="auto"/>
              <w:right w:val="single" w:sz="4" w:space="0" w:color="auto"/>
            </w:tcBorders>
            <w:shd w:val="clear" w:color="auto" w:fill="auto"/>
            <w:vAlign w:val="center"/>
            <w:hideMark/>
          </w:tcPr>
          <w:p w14:paraId="296FC0E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115</w:t>
            </w:r>
          </w:p>
        </w:tc>
        <w:tc>
          <w:tcPr>
            <w:tcW w:w="1199" w:type="dxa"/>
            <w:tcBorders>
              <w:top w:val="nil"/>
              <w:left w:val="nil"/>
              <w:bottom w:val="single" w:sz="4" w:space="0" w:color="auto"/>
              <w:right w:val="single" w:sz="4" w:space="0" w:color="auto"/>
            </w:tcBorders>
            <w:shd w:val="clear" w:color="auto" w:fill="auto"/>
            <w:vAlign w:val="center"/>
            <w:hideMark/>
          </w:tcPr>
          <w:p w14:paraId="3F4741D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321" w:type="dxa"/>
            <w:tcBorders>
              <w:top w:val="nil"/>
              <w:left w:val="nil"/>
              <w:bottom w:val="single" w:sz="4" w:space="0" w:color="auto"/>
              <w:right w:val="single" w:sz="4" w:space="0" w:color="auto"/>
            </w:tcBorders>
            <w:shd w:val="clear" w:color="auto" w:fill="auto"/>
            <w:vAlign w:val="center"/>
            <w:hideMark/>
          </w:tcPr>
          <w:p w14:paraId="2BB5C79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27</w:t>
            </w:r>
          </w:p>
        </w:tc>
        <w:tc>
          <w:tcPr>
            <w:tcW w:w="1221" w:type="dxa"/>
            <w:tcBorders>
              <w:top w:val="nil"/>
              <w:left w:val="nil"/>
              <w:bottom w:val="single" w:sz="4" w:space="0" w:color="auto"/>
              <w:right w:val="single" w:sz="4" w:space="0" w:color="auto"/>
            </w:tcBorders>
            <w:shd w:val="clear" w:color="auto" w:fill="auto"/>
            <w:vAlign w:val="center"/>
            <w:hideMark/>
          </w:tcPr>
          <w:p w14:paraId="77B7010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w:t>
            </w:r>
          </w:p>
        </w:tc>
        <w:tc>
          <w:tcPr>
            <w:tcW w:w="968" w:type="dxa"/>
            <w:tcBorders>
              <w:top w:val="nil"/>
              <w:left w:val="nil"/>
              <w:bottom w:val="single" w:sz="4" w:space="0" w:color="auto"/>
              <w:right w:val="single" w:sz="4" w:space="0" w:color="auto"/>
            </w:tcBorders>
            <w:shd w:val="clear" w:color="auto" w:fill="auto"/>
            <w:vAlign w:val="center"/>
            <w:hideMark/>
          </w:tcPr>
          <w:p w14:paraId="42AFA8E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67EFC92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1488" w:type="dxa"/>
            <w:tcBorders>
              <w:top w:val="nil"/>
              <w:left w:val="nil"/>
              <w:bottom w:val="single" w:sz="4" w:space="0" w:color="auto"/>
              <w:right w:val="single" w:sz="4" w:space="0" w:color="auto"/>
            </w:tcBorders>
            <w:shd w:val="clear" w:color="auto" w:fill="auto"/>
            <w:vAlign w:val="center"/>
            <w:hideMark/>
          </w:tcPr>
          <w:p w14:paraId="7506086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109</w:t>
            </w:r>
          </w:p>
        </w:tc>
        <w:tc>
          <w:tcPr>
            <w:tcW w:w="1374" w:type="dxa"/>
            <w:tcBorders>
              <w:top w:val="nil"/>
              <w:left w:val="nil"/>
              <w:bottom w:val="single" w:sz="4" w:space="0" w:color="auto"/>
              <w:right w:val="single" w:sz="4" w:space="0" w:color="auto"/>
            </w:tcBorders>
            <w:shd w:val="clear" w:color="auto" w:fill="auto"/>
            <w:vAlign w:val="center"/>
            <w:hideMark/>
          </w:tcPr>
          <w:p w14:paraId="037D73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133" w:type="dxa"/>
            <w:tcBorders>
              <w:top w:val="nil"/>
              <w:left w:val="nil"/>
              <w:bottom w:val="single" w:sz="4" w:space="0" w:color="auto"/>
              <w:right w:val="single" w:sz="4" w:space="0" w:color="auto"/>
            </w:tcBorders>
            <w:shd w:val="clear" w:color="auto" w:fill="auto"/>
            <w:vAlign w:val="center"/>
            <w:hideMark/>
          </w:tcPr>
          <w:p w14:paraId="7EB351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w:t>
            </w:r>
          </w:p>
        </w:tc>
        <w:tc>
          <w:tcPr>
            <w:tcW w:w="306" w:type="dxa"/>
            <w:tcBorders>
              <w:top w:val="nil"/>
              <w:left w:val="nil"/>
              <w:bottom w:val="single" w:sz="4" w:space="0" w:color="auto"/>
              <w:right w:val="single" w:sz="4" w:space="0" w:color="auto"/>
            </w:tcBorders>
            <w:shd w:val="clear" w:color="auto" w:fill="auto"/>
            <w:vAlign w:val="center"/>
            <w:hideMark/>
          </w:tcPr>
          <w:p w14:paraId="403DFF9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122</w:t>
            </w:r>
          </w:p>
        </w:tc>
      </w:tr>
      <w:tr w:rsidR="00BC17A3" w:rsidRPr="00A546AD" w14:paraId="7B15BBA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08A09C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Jamaica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AA5565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71</w:t>
            </w:r>
          </w:p>
        </w:tc>
        <w:tc>
          <w:tcPr>
            <w:tcW w:w="1126" w:type="dxa"/>
            <w:tcBorders>
              <w:top w:val="nil"/>
              <w:left w:val="nil"/>
              <w:bottom w:val="single" w:sz="4" w:space="0" w:color="auto"/>
              <w:right w:val="single" w:sz="4" w:space="0" w:color="auto"/>
            </w:tcBorders>
            <w:shd w:val="clear" w:color="auto" w:fill="auto"/>
            <w:vAlign w:val="center"/>
            <w:hideMark/>
          </w:tcPr>
          <w:p w14:paraId="53EDC23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w:t>
            </w:r>
          </w:p>
        </w:tc>
        <w:tc>
          <w:tcPr>
            <w:tcW w:w="1199" w:type="dxa"/>
            <w:tcBorders>
              <w:top w:val="nil"/>
              <w:left w:val="nil"/>
              <w:bottom w:val="single" w:sz="4" w:space="0" w:color="auto"/>
              <w:right w:val="single" w:sz="4" w:space="0" w:color="auto"/>
            </w:tcBorders>
            <w:shd w:val="clear" w:color="auto" w:fill="auto"/>
            <w:vAlign w:val="center"/>
            <w:hideMark/>
          </w:tcPr>
          <w:p w14:paraId="634068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w:t>
            </w:r>
          </w:p>
        </w:tc>
        <w:tc>
          <w:tcPr>
            <w:tcW w:w="1321" w:type="dxa"/>
            <w:tcBorders>
              <w:top w:val="nil"/>
              <w:left w:val="nil"/>
              <w:bottom w:val="single" w:sz="4" w:space="0" w:color="auto"/>
              <w:right w:val="single" w:sz="4" w:space="0" w:color="auto"/>
            </w:tcBorders>
            <w:shd w:val="clear" w:color="auto" w:fill="auto"/>
            <w:vAlign w:val="center"/>
            <w:hideMark/>
          </w:tcPr>
          <w:p w14:paraId="38F43E5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221" w:type="dxa"/>
            <w:tcBorders>
              <w:top w:val="nil"/>
              <w:left w:val="nil"/>
              <w:bottom w:val="single" w:sz="4" w:space="0" w:color="auto"/>
              <w:right w:val="single" w:sz="4" w:space="0" w:color="auto"/>
            </w:tcBorders>
            <w:shd w:val="clear" w:color="auto" w:fill="auto"/>
            <w:vAlign w:val="center"/>
            <w:hideMark/>
          </w:tcPr>
          <w:p w14:paraId="0D08C11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w:t>
            </w:r>
          </w:p>
        </w:tc>
        <w:tc>
          <w:tcPr>
            <w:tcW w:w="968" w:type="dxa"/>
            <w:tcBorders>
              <w:top w:val="nil"/>
              <w:left w:val="nil"/>
              <w:bottom w:val="single" w:sz="4" w:space="0" w:color="auto"/>
              <w:right w:val="single" w:sz="4" w:space="0" w:color="auto"/>
            </w:tcBorders>
            <w:shd w:val="clear" w:color="auto" w:fill="auto"/>
            <w:vAlign w:val="center"/>
            <w:hideMark/>
          </w:tcPr>
          <w:p w14:paraId="23E534C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246" w:type="dxa"/>
            <w:tcBorders>
              <w:top w:val="nil"/>
              <w:left w:val="nil"/>
              <w:bottom w:val="single" w:sz="4" w:space="0" w:color="auto"/>
              <w:right w:val="single" w:sz="4" w:space="0" w:color="auto"/>
            </w:tcBorders>
            <w:shd w:val="clear" w:color="auto" w:fill="auto"/>
            <w:vAlign w:val="center"/>
            <w:hideMark/>
          </w:tcPr>
          <w:p w14:paraId="2B2675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488" w:type="dxa"/>
            <w:tcBorders>
              <w:top w:val="nil"/>
              <w:left w:val="nil"/>
              <w:bottom w:val="single" w:sz="4" w:space="0" w:color="auto"/>
              <w:right w:val="single" w:sz="4" w:space="0" w:color="auto"/>
            </w:tcBorders>
            <w:shd w:val="clear" w:color="auto" w:fill="auto"/>
            <w:vAlign w:val="center"/>
            <w:hideMark/>
          </w:tcPr>
          <w:p w14:paraId="7D74E80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124</w:t>
            </w:r>
          </w:p>
        </w:tc>
        <w:tc>
          <w:tcPr>
            <w:tcW w:w="1374" w:type="dxa"/>
            <w:tcBorders>
              <w:top w:val="nil"/>
              <w:left w:val="nil"/>
              <w:bottom w:val="single" w:sz="4" w:space="0" w:color="auto"/>
              <w:right w:val="single" w:sz="4" w:space="0" w:color="auto"/>
            </w:tcBorders>
            <w:shd w:val="clear" w:color="auto" w:fill="auto"/>
            <w:vAlign w:val="center"/>
            <w:hideMark/>
          </w:tcPr>
          <w:p w14:paraId="08F790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c>
          <w:tcPr>
            <w:tcW w:w="1133" w:type="dxa"/>
            <w:tcBorders>
              <w:top w:val="nil"/>
              <w:left w:val="nil"/>
              <w:bottom w:val="single" w:sz="4" w:space="0" w:color="auto"/>
              <w:right w:val="single" w:sz="4" w:space="0" w:color="auto"/>
            </w:tcBorders>
            <w:shd w:val="clear" w:color="auto" w:fill="auto"/>
            <w:vAlign w:val="center"/>
            <w:hideMark/>
          </w:tcPr>
          <w:p w14:paraId="1C6F142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306" w:type="dxa"/>
            <w:tcBorders>
              <w:top w:val="nil"/>
              <w:left w:val="nil"/>
              <w:bottom w:val="single" w:sz="4" w:space="0" w:color="auto"/>
              <w:right w:val="single" w:sz="4" w:space="0" w:color="auto"/>
            </w:tcBorders>
            <w:shd w:val="clear" w:color="auto" w:fill="auto"/>
            <w:vAlign w:val="center"/>
            <w:hideMark/>
          </w:tcPr>
          <w:p w14:paraId="6C6508F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w:t>
            </w:r>
          </w:p>
        </w:tc>
      </w:tr>
      <w:tr w:rsidR="00BC17A3" w:rsidRPr="00A546AD" w14:paraId="7F27FC84"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BCDD4D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Luxembourg</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26BBCE2"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72</w:t>
            </w:r>
          </w:p>
        </w:tc>
        <w:tc>
          <w:tcPr>
            <w:tcW w:w="1126" w:type="dxa"/>
            <w:tcBorders>
              <w:top w:val="nil"/>
              <w:left w:val="nil"/>
              <w:bottom w:val="single" w:sz="4" w:space="0" w:color="auto"/>
              <w:right w:val="single" w:sz="4" w:space="0" w:color="auto"/>
            </w:tcBorders>
            <w:shd w:val="clear" w:color="auto" w:fill="auto"/>
            <w:vAlign w:val="center"/>
            <w:hideMark/>
          </w:tcPr>
          <w:p w14:paraId="2A3A167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w:t>
            </w:r>
          </w:p>
        </w:tc>
        <w:tc>
          <w:tcPr>
            <w:tcW w:w="1199" w:type="dxa"/>
            <w:tcBorders>
              <w:top w:val="nil"/>
              <w:left w:val="nil"/>
              <w:bottom w:val="single" w:sz="4" w:space="0" w:color="auto"/>
              <w:right w:val="single" w:sz="4" w:space="0" w:color="auto"/>
            </w:tcBorders>
            <w:shd w:val="clear" w:color="auto" w:fill="auto"/>
            <w:vAlign w:val="center"/>
            <w:hideMark/>
          </w:tcPr>
          <w:p w14:paraId="117C066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w:t>
            </w:r>
          </w:p>
        </w:tc>
        <w:tc>
          <w:tcPr>
            <w:tcW w:w="1321" w:type="dxa"/>
            <w:tcBorders>
              <w:top w:val="nil"/>
              <w:left w:val="nil"/>
              <w:bottom w:val="single" w:sz="4" w:space="0" w:color="auto"/>
              <w:right w:val="single" w:sz="4" w:space="0" w:color="auto"/>
            </w:tcBorders>
            <w:shd w:val="clear" w:color="auto" w:fill="auto"/>
            <w:vAlign w:val="center"/>
            <w:hideMark/>
          </w:tcPr>
          <w:p w14:paraId="5E0F7C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w:t>
            </w:r>
          </w:p>
        </w:tc>
        <w:tc>
          <w:tcPr>
            <w:tcW w:w="1221" w:type="dxa"/>
            <w:tcBorders>
              <w:top w:val="nil"/>
              <w:left w:val="nil"/>
              <w:bottom w:val="single" w:sz="4" w:space="0" w:color="auto"/>
              <w:right w:val="single" w:sz="4" w:space="0" w:color="auto"/>
            </w:tcBorders>
            <w:shd w:val="clear" w:color="auto" w:fill="auto"/>
            <w:vAlign w:val="center"/>
            <w:hideMark/>
          </w:tcPr>
          <w:p w14:paraId="1334CD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w:t>
            </w:r>
          </w:p>
        </w:tc>
        <w:tc>
          <w:tcPr>
            <w:tcW w:w="968" w:type="dxa"/>
            <w:tcBorders>
              <w:top w:val="nil"/>
              <w:left w:val="nil"/>
              <w:bottom w:val="single" w:sz="4" w:space="0" w:color="auto"/>
              <w:right w:val="single" w:sz="4" w:space="0" w:color="auto"/>
            </w:tcBorders>
            <w:shd w:val="clear" w:color="auto" w:fill="auto"/>
            <w:vAlign w:val="center"/>
            <w:hideMark/>
          </w:tcPr>
          <w:p w14:paraId="6BAFE9F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246" w:type="dxa"/>
            <w:tcBorders>
              <w:top w:val="nil"/>
              <w:left w:val="nil"/>
              <w:bottom w:val="single" w:sz="4" w:space="0" w:color="auto"/>
              <w:right w:val="single" w:sz="4" w:space="0" w:color="auto"/>
            </w:tcBorders>
            <w:shd w:val="clear" w:color="auto" w:fill="auto"/>
            <w:vAlign w:val="center"/>
            <w:hideMark/>
          </w:tcPr>
          <w:p w14:paraId="56B0D3B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1488" w:type="dxa"/>
            <w:tcBorders>
              <w:top w:val="nil"/>
              <w:left w:val="nil"/>
              <w:bottom w:val="single" w:sz="4" w:space="0" w:color="auto"/>
              <w:right w:val="single" w:sz="4" w:space="0" w:color="auto"/>
            </w:tcBorders>
            <w:shd w:val="clear" w:color="auto" w:fill="auto"/>
            <w:vAlign w:val="center"/>
            <w:hideMark/>
          </w:tcPr>
          <w:p w14:paraId="58B826D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23</w:t>
            </w:r>
          </w:p>
        </w:tc>
        <w:tc>
          <w:tcPr>
            <w:tcW w:w="1374" w:type="dxa"/>
            <w:tcBorders>
              <w:top w:val="nil"/>
              <w:left w:val="nil"/>
              <w:bottom w:val="single" w:sz="4" w:space="0" w:color="auto"/>
              <w:right w:val="single" w:sz="4" w:space="0" w:color="auto"/>
            </w:tcBorders>
            <w:shd w:val="clear" w:color="auto" w:fill="auto"/>
            <w:vAlign w:val="center"/>
            <w:hideMark/>
          </w:tcPr>
          <w:p w14:paraId="2BB6175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1133" w:type="dxa"/>
            <w:tcBorders>
              <w:top w:val="nil"/>
              <w:left w:val="nil"/>
              <w:bottom w:val="single" w:sz="4" w:space="0" w:color="auto"/>
              <w:right w:val="single" w:sz="4" w:space="0" w:color="auto"/>
            </w:tcBorders>
            <w:shd w:val="clear" w:color="auto" w:fill="auto"/>
            <w:vAlign w:val="center"/>
            <w:hideMark/>
          </w:tcPr>
          <w:p w14:paraId="03AB12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w:t>
            </w:r>
          </w:p>
        </w:tc>
        <w:tc>
          <w:tcPr>
            <w:tcW w:w="306" w:type="dxa"/>
            <w:tcBorders>
              <w:top w:val="nil"/>
              <w:left w:val="nil"/>
              <w:bottom w:val="single" w:sz="4" w:space="0" w:color="auto"/>
              <w:right w:val="single" w:sz="4" w:space="0" w:color="auto"/>
            </w:tcBorders>
            <w:shd w:val="clear" w:color="auto" w:fill="auto"/>
            <w:vAlign w:val="center"/>
            <w:hideMark/>
          </w:tcPr>
          <w:p w14:paraId="54FCBE9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w:t>
            </w:r>
          </w:p>
        </w:tc>
      </w:tr>
      <w:tr w:rsidR="00BC17A3" w:rsidRPr="00A546AD" w14:paraId="72E6AFA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C0F62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Indonesia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5415BA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73</w:t>
            </w:r>
          </w:p>
        </w:tc>
        <w:tc>
          <w:tcPr>
            <w:tcW w:w="1126" w:type="dxa"/>
            <w:tcBorders>
              <w:top w:val="nil"/>
              <w:left w:val="nil"/>
              <w:bottom w:val="single" w:sz="4" w:space="0" w:color="auto"/>
              <w:right w:val="single" w:sz="4" w:space="0" w:color="auto"/>
            </w:tcBorders>
            <w:shd w:val="clear" w:color="auto" w:fill="auto"/>
            <w:vAlign w:val="center"/>
            <w:hideMark/>
          </w:tcPr>
          <w:p w14:paraId="2765E92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140</w:t>
            </w:r>
          </w:p>
        </w:tc>
        <w:tc>
          <w:tcPr>
            <w:tcW w:w="1199" w:type="dxa"/>
            <w:tcBorders>
              <w:top w:val="nil"/>
              <w:left w:val="nil"/>
              <w:bottom w:val="single" w:sz="4" w:space="0" w:color="auto"/>
              <w:right w:val="single" w:sz="4" w:space="0" w:color="auto"/>
            </w:tcBorders>
            <w:shd w:val="clear" w:color="auto" w:fill="auto"/>
            <w:vAlign w:val="center"/>
            <w:hideMark/>
          </w:tcPr>
          <w:p w14:paraId="0BADCAE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110</w:t>
            </w:r>
          </w:p>
        </w:tc>
        <w:tc>
          <w:tcPr>
            <w:tcW w:w="1321" w:type="dxa"/>
            <w:tcBorders>
              <w:top w:val="nil"/>
              <w:left w:val="nil"/>
              <w:bottom w:val="single" w:sz="4" w:space="0" w:color="auto"/>
              <w:right w:val="single" w:sz="4" w:space="0" w:color="auto"/>
            </w:tcBorders>
            <w:shd w:val="clear" w:color="auto" w:fill="auto"/>
            <w:vAlign w:val="center"/>
            <w:hideMark/>
          </w:tcPr>
          <w:p w14:paraId="254D6B3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33</w:t>
            </w:r>
          </w:p>
        </w:tc>
        <w:tc>
          <w:tcPr>
            <w:tcW w:w="1221" w:type="dxa"/>
            <w:tcBorders>
              <w:top w:val="nil"/>
              <w:left w:val="nil"/>
              <w:bottom w:val="single" w:sz="4" w:space="0" w:color="auto"/>
              <w:right w:val="single" w:sz="4" w:space="0" w:color="auto"/>
            </w:tcBorders>
            <w:shd w:val="clear" w:color="auto" w:fill="auto"/>
            <w:vAlign w:val="center"/>
            <w:hideMark/>
          </w:tcPr>
          <w:p w14:paraId="2617D7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106</w:t>
            </w:r>
          </w:p>
        </w:tc>
        <w:tc>
          <w:tcPr>
            <w:tcW w:w="968" w:type="dxa"/>
            <w:tcBorders>
              <w:top w:val="nil"/>
              <w:left w:val="nil"/>
              <w:bottom w:val="single" w:sz="4" w:space="0" w:color="auto"/>
              <w:right w:val="single" w:sz="4" w:space="0" w:color="auto"/>
            </w:tcBorders>
            <w:shd w:val="clear" w:color="auto" w:fill="auto"/>
            <w:vAlign w:val="center"/>
            <w:hideMark/>
          </w:tcPr>
          <w:p w14:paraId="7BC2A3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7505F14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488" w:type="dxa"/>
            <w:tcBorders>
              <w:top w:val="nil"/>
              <w:left w:val="nil"/>
              <w:bottom w:val="single" w:sz="4" w:space="0" w:color="auto"/>
              <w:right w:val="single" w:sz="4" w:space="0" w:color="auto"/>
            </w:tcBorders>
            <w:shd w:val="clear" w:color="auto" w:fill="auto"/>
            <w:vAlign w:val="center"/>
            <w:hideMark/>
          </w:tcPr>
          <w:p w14:paraId="00073EE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w:t>
            </w:r>
          </w:p>
        </w:tc>
        <w:tc>
          <w:tcPr>
            <w:tcW w:w="1374" w:type="dxa"/>
            <w:tcBorders>
              <w:top w:val="nil"/>
              <w:left w:val="nil"/>
              <w:bottom w:val="single" w:sz="4" w:space="0" w:color="auto"/>
              <w:right w:val="single" w:sz="4" w:space="0" w:color="auto"/>
            </w:tcBorders>
            <w:shd w:val="clear" w:color="auto" w:fill="auto"/>
            <w:vAlign w:val="center"/>
            <w:hideMark/>
          </w:tcPr>
          <w:p w14:paraId="3104668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116</w:t>
            </w:r>
          </w:p>
        </w:tc>
        <w:tc>
          <w:tcPr>
            <w:tcW w:w="1133" w:type="dxa"/>
            <w:tcBorders>
              <w:top w:val="nil"/>
              <w:left w:val="nil"/>
              <w:bottom w:val="single" w:sz="4" w:space="0" w:color="auto"/>
              <w:right w:val="single" w:sz="4" w:space="0" w:color="auto"/>
            </w:tcBorders>
            <w:shd w:val="clear" w:color="auto" w:fill="auto"/>
            <w:vAlign w:val="center"/>
            <w:hideMark/>
          </w:tcPr>
          <w:p w14:paraId="10DF122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139</w:t>
            </w:r>
          </w:p>
        </w:tc>
        <w:tc>
          <w:tcPr>
            <w:tcW w:w="306" w:type="dxa"/>
            <w:tcBorders>
              <w:top w:val="nil"/>
              <w:left w:val="nil"/>
              <w:bottom w:val="single" w:sz="4" w:space="0" w:color="auto"/>
              <w:right w:val="single" w:sz="4" w:space="0" w:color="auto"/>
            </w:tcBorders>
            <w:shd w:val="clear" w:color="auto" w:fill="auto"/>
            <w:vAlign w:val="center"/>
            <w:hideMark/>
          </w:tcPr>
          <w:p w14:paraId="58C75A7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w:t>
            </w:r>
          </w:p>
        </w:tc>
      </w:tr>
      <w:tr w:rsidR="00BC17A3" w:rsidRPr="00A546AD" w14:paraId="539F2683"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6EE198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Costa</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Rica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756F56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74</w:t>
            </w:r>
          </w:p>
        </w:tc>
        <w:tc>
          <w:tcPr>
            <w:tcW w:w="1126" w:type="dxa"/>
            <w:tcBorders>
              <w:top w:val="nil"/>
              <w:left w:val="nil"/>
              <w:bottom w:val="single" w:sz="4" w:space="0" w:color="auto"/>
              <w:right w:val="single" w:sz="4" w:space="0" w:color="auto"/>
            </w:tcBorders>
            <w:shd w:val="clear" w:color="auto" w:fill="auto"/>
            <w:vAlign w:val="center"/>
            <w:hideMark/>
          </w:tcPr>
          <w:p w14:paraId="6E10B58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199" w:type="dxa"/>
            <w:tcBorders>
              <w:top w:val="nil"/>
              <w:left w:val="nil"/>
              <w:bottom w:val="single" w:sz="4" w:space="0" w:color="auto"/>
              <w:right w:val="single" w:sz="4" w:space="0" w:color="auto"/>
            </w:tcBorders>
            <w:shd w:val="clear" w:color="auto" w:fill="auto"/>
            <w:vAlign w:val="center"/>
            <w:hideMark/>
          </w:tcPr>
          <w:p w14:paraId="1210B85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w:t>
            </w:r>
          </w:p>
        </w:tc>
        <w:tc>
          <w:tcPr>
            <w:tcW w:w="1321" w:type="dxa"/>
            <w:tcBorders>
              <w:top w:val="nil"/>
              <w:left w:val="nil"/>
              <w:bottom w:val="single" w:sz="4" w:space="0" w:color="auto"/>
              <w:right w:val="single" w:sz="4" w:space="0" w:color="auto"/>
            </w:tcBorders>
            <w:shd w:val="clear" w:color="auto" w:fill="auto"/>
            <w:vAlign w:val="center"/>
            <w:hideMark/>
          </w:tcPr>
          <w:p w14:paraId="267D83C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21" w:type="dxa"/>
            <w:tcBorders>
              <w:top w:val="nil"/>
              <w:left w:val="nil"/>
              <w:bottom w:val="single" w:sz="4" w:space="0" w:color="auto"/>
              <w:right w:val="single" w:sz="4" w:space="0" w:color="auto"/>
            </w:tcBorders>
            <w:shd w:val="clear" w:color="auto" w:fill="auto"/>
            <w:vAlign w:val="center"/>
            <w:hideMark/>
          </w:tcPr>
          <w:p w14:paraId="38363C4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w:t>
            </w:r>
          </w:p>
        </w:tc>
        <w:tc>
          <w:tcPr>
            <w:tcW w:w="968" w:type="dxa"/>
            <w:tcBorders>
              <w:top w:val="nil"/>
              <w:left w:val="nil"/>
              <w:bottom w:val="single" w:sz="4" w:space="0" w:color="auto"/>
              <w:right w:val="single" w:sz="4" w:space="0" w:color="auto"/>
            </w:tcBorders>
            <w:shd w:val="clear" w:color="auto" w:fill="auto"/>
            <w:vAlign w:val="center"/>
            <w:hideMark/>
          </w:tcPr>
          <w:p w14:paraId="13B2F30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246" w:type="dxa"/>
            <w:tcBorders>
              <w:top w:val="nil"/>
              <w:left w:val="nil"/>
              <w:bottom w:val="single" w:sz="4" w:space="0" w:color="auto"/>
              <w:right w:val="single" w:sz="4" w:space="0" w:color="auto"/>
            </w:tcBorders>
            <w:shd w:val="clear" w:color="auto" w:fill="auto"/>
            <w:vAlign w:val="center"/>
            <w:hideMark/>
          </w:tcPr>
          <w:p w14:paraId="5321B30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110</w:t>
            </w:r>
          </w:p>
        </w:tc>
        <w:tc>
          <w:tcPr>
            <w:tcW w:w="1488" w:type="dxa"/>
            <w:tcBorders>
              <w:top w:val="nil"/>
              <w:left w:val="nil"/>
              <w:bottom w:val="single" w:sz="4" w:space="0" w:color="auto"/>
              <w:right w:val="single" w:sz="4" w:space="0" w:color="auto"/>
            </w:tcBorders>
            <w:shd w:val="clear" w:color="auto" w:fill="auto"/>
            <w:vAlign w:val="center"/>
            <w:hideMark/>
          </w:tcPr>
          <w:p w14:paraId="4EDDCD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w:t>
            </w:r>
          </w:p>
        </w:tc>
        <w:tc>
          <w:tcPr>
            <w:tcW w:w="1374" w:type="dxa"/>
            <w:tcBorders>
              <w:top w:val="nil"/>
              <w:left w:val="nil"/>
              <w:bottom w:val="single" w:sz="4" w:space="0" w:color="auto"/>
              <w:right w:val="single" w:sz="4" w:space="0" w:color="auto"/>
            </w:tcBorders>
            <w:shd w:val="clear" w:color="auto" w:fill="auto"/>
            <w:vAlign w:val="center"/>
            <w:hideMark/>
          </w:tcPr>
          <w:p w14:paraId="2E20115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w:t>
            </w:r>
          </w:p>
        </w:tc>
        <w:tc>
          <w:tcPr>
            <w:tcW w:w="1133" w:type="dxa"/>
            <w:tcBorders>
              <w:top w:val="nil"/>
              <w:left w:val="nil"/>
              <w:bottom w:val="single" w:sz="4" w:space="0" w:color="auto"/>
              <w:right w:val="single" w:sz="4" w:space="0" w:color="auto"/>
            </w:tcBorders>
            <w:shd w:val="clear" w:color="auto" w:fill="auto"/>
            <w:vAlign w:val="center"/>
            <w:hideMark/>
          </w:tcPr>
          <w:p w14:paraId="1F4713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111</w:t>
            </w:r>
          </w:p>
        </w:tc>
        <w:tc>
          <w:tcPr>
            <w:tcW w:w="306" w:type="dxa"/>
            <w:tcBorders>
              <w:top w:val="nil"/>
              <w:left w:val="nil"/>
              <w:bottom w:val="single" w:sz="4" w:space="0" w:color="auto"/>
              <w:right w:val="single" w:sz="4" w:space="0" w:color="auto"/>
            </w:tcBorders>
            <w:shd w:val="clear" w:color="auto" w:fill="auto"/>
            <w:vAlign w:val="center"/>
            <w:hideMark/>
          </w:tcPr>
          <w:p w14:paraId="04BFF82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137</w:t>
            </w:r>
          </w:p>
        </w:tc>
      </w:tr>
      <w:tr w:rsidR="00BC17A3" w:rsidRPr="00A546AD" w14:paraId="1430FED3"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B955A9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Jordan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BC11504"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75</w:t>
            </w:r>
          </w:p>
        </w:tc>
        <w:tc>
          <w:tcPr>
            <w:tcW w:w="1126" w:type="dxa"/>
            <w:tcBorders>
              <w:top w:val="nil"/>
              <w:left w:val="nil"/>
              <w:bottom w:val="single" w:sz="4" w:space="0" w:color="auto"/>
              <w:right w:val="single" w:sz="4" w:space="0" w:color="auto"/>
            </w:tcBorders>
            <w:shd w:val="clear" w:color="auto" w:fill="auto"/>
            <w:vAlign w:val="center"/>
            <w:hideMark/>
          </w:tcPr>
          <w:p w14:paraId="4950233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199" w:type="dxa"/>
            <w:tcBorders>
              <w:top w:val="nil"/>
              <w:left w:val="nil"/>
              <w:bottom w:val="single" w:sz="4" w:space="0" w:color="auto"/>
              <w:right w:val="single" w:sz="4" w:space="0" w:color="auto"/>
            </w:tcBorders>
            <w:shd w:val="clear" w:color="auto" w:fill="auto"/>
            <w:vAlign w:val="center"/>
            <w:hideMark/>
          </w:tcPr>
          <w:p w14:paraId="2263592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138</w:t>
            </w:r>
          </w:p>
        </w:tc>
        <w:tc>
          <w:tcPr>
            <w:tcW w:w="1321" w:type="dxa"/>
            <w:tcBorders>
              <w:top w:val="nil"/>
              <w:left w:val="nil"/>
              <w:bottom w:val="single" w:sz="4" w:space="0" w:color="auto"/>
              <w:right w:val="single" w:sz="4" w:space="0" w:color="auto"/>
            </w:tcBorders>
            <w:shd w:val="clear" w:color="auto" w:fill="auto"/>
            <w:vAlign w:val="center"/>
            <w:hideMark/>
          </w:tcPr>
          <w:p w14:paraId="58612B0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w:t>
            </w:r>
          </w:p>
        </w:tc>
        <w:tc>
          <w:tcPr>
            <w:tcW w:w="1221" w:type="dxa"/>
            <w:tcBorders>
              <w:top w:val="nil"/>
              <w:left w:val="nil"/>
              <w:bottom w:val="single" w:sz="4" w:space="0" w:color="auto"/>
              <w:right w:val="single" w:sz="4" w:space="0" w:color="auto"/>
            </w:tcBorders>
            <w:shd w:val="clear" w:color="auto" w:fill="auto"/>
            <w:vAlign w:val="center"/>
            <w:hideMark/>
          </w:tcPr>
          <w:p w14:paraId="22BB916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w:t>
            </w:r>
          </w:p>
        </w:tc>
        <w:tc>
          <w:tcPr>
            <w:tcW w:w="968" w:type="dxa"/>
            <w:tcBorders>
              <w:top w:val="nil"/>
              <w:left w:val="nil"/>
              <w:bottom w:val="single" w:sz="4" w:space="0" w:color="auto"/>
              <w:right w:val="single" w:sz="4" w:space="0" w:color="auto"/>
            </w:tcBorders>
            <w:shd w:val="clear" w:color="auto" w:fill="auto"/>
            <w:vAlign w:val="center"/>
            <w:hideMark/>
          </w:tcPr>
          <w:p w14:paraId="10C6775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1246" w:type="dxa"/>
            <w:tcBorders>
              <w:top w:val="nil"/>
              <w:left w:val="nil"/>
              <w:bottom w:val="single" w:sz="4" w:space="0" w:color="auto"/>
              <w:right w:val="single" w:sz="4" w:space="0" w:color="auto"/>
            </w:tcBorders>
            <w:shd w:val="clear" w:color="auto" w:fill="auto"/>
            <w:vAlign w:val="center"/>
            <w:hideMark/>
          </w:tcPr>
          <w:p w14:paraId="28DDD4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1488" w:type="dxa"/>
            <w:tcBorders>
              <w:top w:val="nil"/>
              <w:left w:val="nil"/>
              <w:bottom w:val="single" w:sz="4" w:space="0" w:color="auto"/>
              <w:right w:val="single" w:sz="4" w:space="0" w:color="auto"/>
            </w:tcBorders>
            <w:shd w:val="clear" w:color="auto" w:fill="auto"/>
            <w:vAlign w:val="center"/>
            <w:hideMark/>
          </w:tcPr>
          <w:p w14:paraId="613A524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374" w:type="dxa"/>
            <w:tcBorders>
              <w:top w:val="nil"/>
              <w:left w:val="nil"/>
              <w:bottom w:val="single" w:sz="4" w:space="0" w:color="auto"/>
              <w:right w:val="single" w:sz="4" w:space="0" w:color="auto"/>
            </w:tcBorders>
            <w:shd w:val="clear" w:color="auto" w:fill="auto"/>
            <w:vAlign w:val="center"/>
            <w:hideMark/>
          </w:tcPr>
          <w:p w14:paraId="1574684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w:t>
            </w:r>
          </w:p>
        </w:tc>
        <w:tc>
          <w:tcPr>
            <w:tcW w:w="1133" w:type="dxa"/>
            <w:tcBorders>
              <w:top w:val="nil"/>
              <w:left w:val="nil"/>
              <w:bottom w:val="single" w:sz="4" w:space="0" w:color="auto"/>
              <w:right w:val="single" w:sz="4" w:space="0" w:color="auto"/>
            </w:tcBorders>
            <w:shd w:val="clear" w:color="auto" w:fill="auto"/>
            <w:vAlign w:val="center"/>
            <w:hideMark/>
          </w:tcPr>
          <w:p w14:paraId="2DD0715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110</w:t>
            </w:r>
          </w:p>
        </w:tc>
        <w:tc>
          <w:tcPr>
            <w:tcW w:w="306" w:type="dxa"/>
            <w:tcBorders>
              <w:top w:val="nil"/>
              <w:left w:val="nil"/>
              <w:bottom w:val="single" w:sz="4" w:space="0" w:color="auto"/>
              <w:right w:val="single" w:sz="4" w:space="0" w:color="auto"/>
            </w:tcBorders>
            <w:shd w:val="clear" w:color="auto" w:fill="auto"/>
            <w:vAlign w:val="center"/>
            <w:hideMark/>
          </w:tcPr>
          <w:p w14:paraId="3099B7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112</w:t>
            </w:r>
          </w:p>
        </w:tc>
      </w:tr>
      <w:tr w:rsidR="00BC17A3" w:rsidRPr="00A546AD" w14:paraId="50DE8BB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6AC995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Peru</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682F998"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76</w:t>
            </w:r>
          </w:p>
        </w:tc>
        <w:tc>
          <w:tcPr>
            <w:tcW w:w="1126" w:type="dxa"/>
            <w:tcBorders>
              <w:top w:val="nil"/>
              <w:left w:val="nil"/>
              <w:bottom w:val="single" w:sz="4" w:space="0" w:color="auto"/>
              <w:right w:val="single" w:sz="4" w:space="0" w:color="auto"/>
            </w:tcBorders>
            <w:shd w:val="clear" w:color="auto" w:fill="auto"/>
            <w:vAlign w:val="center"/>
            <w:hideMark/>
          </w:tcPr>
          <w:p w14:paraId="39ADFA0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133</w:t>
            </w:r>
          </w:p>
        </w:tc>
        <w:tc>
          <w:tcPr>
            <w:tcW w:w="1199" w:type="dxa"/>
            <w:tcBorders>
              <w:top w:val="nil"/>
              <w:left w:val="nil"/>
              <w:bottom w:val="single" w:sz="4" w:space="0" w:color="auto"/>
              <w:right w:val="single" w:sz="4" w:space="0" w:color="auto"/>
            </w:tcBorders>
            <w:shd w:val="clear" w:color="auto" w:fill="auto"/>
            <w:vAlign w:val="center"/>
            <w:hideMark/>
          </w:tcPr>
          <w:p w14:paraId="625DFF7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w:t>
            </w:r>
          </w:p>
        </w:tc>
        <w:tc>
          <w:tcPr>
            <w:tcW w:w="1321" w:type="dxa"/>
            <w:tcBorders>
              <w:top w:val="nil"/>
              <w:left w:val="nil"/>
              <w:bottom w:val="single" w:sz="4" w:space="0" w:color="auto"/>
              <w:right w:val="single" w:sz="4" w:space="0" w:color="auto"/>
            </w:tcBorders>
            <w:shd w:val="clear" w:color="auto" w:fill="auto"/>
            <w:vAlign w:val="center"/>
            <w:hideMark/>
          </w:tcPr>
          <w:p w14:paraId="4B1F3E8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221" w:type="dxa"/>
            <w:tcBorders>
              <w:top w:val="nil"/>
              <w:left w:val="nil"/>
              <w:bottom w:val="single" w:sz="4" w:space="0" w:color="auto"/>
              <w:right w:val="single" w:sz="4" w:space="0" w:color="auto"/>
            </w:tcBorders>
            <w:shd w:val="clear" w:color="auto" w:fill="auto"/>
            <w:vAlign w:val="center"/>
            <w:hideMark/>
          </w:tcPr>
          <w:p w14:paraId="08AF361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w:t>
            </w:r>
          </w:p>
        </w:tc>
        <w:tc>
          <w:tcPr>
            <w:tcW w:w="968" w:type="dxa"/>
            <w:tcBorders>
              <w:top w:val="nil"/>
              <w:left w:val="nil"/>
              <w:bottom w:val="single" w:sz="4" w:space="0" w:color="auto"/>
              <w:right w:val="single" w:sz="4" w:space="0" w:color="auto"/>
            </w:tcBorders>
            <w:shd w:val="clear" w:color="auto" w:fill="auto"/>
            <w:vAlign w:val="center"/>
            <w:hideMark/>
          </w:tcPr>
          <w:p w14:paraId="44B9B5F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46" w:type="dxa"/>
            <w:tcBorders>
              <w:top w:val="nil"/>
              <w:left w:val="nil"/>
              <w:bottom w:val="single" w:sz="4" w:space="0" w:color="auto"/>
              <w:right w:val="single" w:sz="4" w:space="0" w:color="auto"/>
            </w:tcBorders>
            <w:shd w:val="clear" w:color="auto" w:fill="auto"/>
            <w:vAlign w:val="center"/>
            <w:hideMark/>
          </w:tcPr>
          <w:p w14:paraId="2385A5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1488" w:type="dxa"/>
            <w:tcBorders>
              <w:top w:val="nil"/>
              <w:left w:val="nil"/>
              <w:bottom w:val="single" w:sz="4" w:space="0" w:color="auto"/>
              <w:right w:val="single" w:sz="4" w:space="0" w:color="auto"/>
            </w:tcBorders>
            <w:shd w:val="clear" w:color="auto" w:fill="auto"/>
            <w:vAlign w:val="center"/>
            <w:hideMark/>
          </w:tcPr>
          <w:p w14:paraId="5939A5F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121</w:t>
            </w:r>
          </w:p>
        </w:tc>
        <w:tc>
          <w:tcPr>
            <w:tcW w:w="1374" w:type="dxa"/>
            <w:tcBorders>
              <w:top w:val="nil"/>
              <w:left w:val="nil"/>
              <w:bottom w:val="single" w:sz="4" w:space="0" w:color="auto"/>
              <w:right w:val="single" w:sz="4" w:space="0" w:color="auto"/>
            </w:tcBorders>
            <w:shd w:val="clear" w:color="auto" w:fill="auto"/>
            <w:vAlign w:val="center"/>
            <w:hideMark/>
          </w:tcPr>
          <w:p w14:paraId="139FFC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102</w:t>
            </w:r>
          </w:p>
        </w:tc>
        <w:tc>
          <w:tcPr>
            <w:tcW w:w="1133" w:type="dxa"/>
            <w:tcBorders>
              <w:top w:val="nil"/>
              <w:left w:val="nil"/>
              <w:bottom w:val="single" w:sz="4" w:space="0" w:color="auto"/>
              <w:right w:val="single" w:sz="4" w:space="0" w:color="auto"/>
            </w:tcBorders>
            <w:shd w:val="clear" w:color="auto" w:fill="auto"/>
            <w:vAlign w:val="center"/>
            <w:hideMark/>
          </w:tcPr>
          <w:p w14:paraId="7BA2937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w:t>
            </w:r>
          </w:p>
        </w:tc>
        <w:tc>
          <w:tcPr>
            <w:tcW w:w="306" w:type="dxa"/>
            <w:tcBorders>
              <w:top w:val="nil"/>
              <w:left w:val="nil"/>
              <w:bottom w:val="single" w:sz="4" w:space="0" w:color="auto"/>
              <w:right w:val="single" w:sz="4" w:space="0" w:color="auto"/>
            </w:tcBorders>
            <w:shd w:val="clear" w:color="auto" w:fill="auto"/>
            <w:vAlign w:val="center"/>
            <w:hideMark/>
          </w:tcPr>
          <w:p w14:paraId="270048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w:t>
            </w:r>
          </w:p>
        </w:tc>
      </w:tr>
      <w:tr w:rsidR="00BC17A3" w:rsidRPr="00A546AD" w14:paraId="1E5EA1F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4A1E3D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Qatar</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51AF519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77</w:t>
            </w:r>
          </w:p>
        </w:tc>
        <w:tc>
          <w:tcPr>
            <w:tcW w:w="1126" w:type="dxa"/>
            <w:tcBorders>
              <w:top w:val="nil"/>
              <w:left w:val="nil"/>
              <w:bottom w:val="single" w:sz="4" w:space="0" w:color="auto"/>
              <w:right w:val="single" w:sz="4" w:space="0" w:color="auto"/>
            </w:tcBorders>
            <w:shd w:val="clear" w:color="auto" w:fill="auto"/>
            <w:vAlign w:val="center"/>
            <w:hideMark/>
          </w:tcPr>
          <w:p w14:paraId="4DDA634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108</w:t>
            </w:r>
          </w:p>
        </w:tc>
        <w:tc>
          <w:tcPr>
            <w:tcW w:w="1199" w:type="dxa"/>
            <w:tcBorders>
              <w:top w:val="nil"/>
              <w:left w:val="nil"/>
              <w:bottom w:val="single" w:sz="4" w:space="0" w:color="auto"/>
              <w:right w:val="single" w:sz="4" w:space="0" w:color="auto"/>
            </w:tcBorders>
            <w:shd w:val="clear" w:color="auto" w:fill="auto"/>
            <w:vAlign w:val="center"/>
            <w:hideMark/>
          </w:tcPr>
          <w:p w14:paraId="4E1E741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c>
          <w:tcPr>
            <w:tcW w:w="1321" w:type="dxa"/>
            <w:tcBorders>
              <w:top w:val="nil"/>
              <w:left w:val="nil"/>
              <w:bottom w:val="single" w:sz="4" w:space="0" w:color="auto"/>
              <w:right w:val="single" w:sz="4" w:space="0" w:color="auto"/>
            </w:tcBorders>
            <w:shd w:val="clear" w:color="auto" w:fill="auto"/>
            <w:vAlign w:val="center"/>
            <w:hideMark/>
          </w:tcPr>
          <w:p w14:paraId="0157F75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w:t>
            </w:r>
          </w:p>
        </w:tc>
        <w:tc>
          <w:tcPr>
            <w:tcW w:w="1221" w:type="dxa"/>
            <w:tcBorders>
              <w:top w:val="nil"/>
              <w:left w:val="nil"/>
              <w:bottom w:val="single" w:sz="4" w:space="0" w:color="auto"/>
              <w:right w:val="single" w:sz="4" w:space="0" w:color="auto"/>
            </w:tcBorders>
            <w:shd w:val="clear" w:color="auto" w:fill="auto"/>
            <w:vAlign w:val="center"/>
            <w:hideMark/>
          </w:tcPr>
          <w:p w14:paraId="26B8707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w:t>
            </w:r>
          </w:p>
        </w:tc>
        <w:tc>
          <w:tcPr>
            <w:tcW w:w="968" w:type="dxa"/>
            <w:tcBorders>
              <w:top w:val="nil"/>
              <w:left w:val="nil"/>
              <w:bottom w:val="single" w:sz="4" w:space="0" w:color="auto"/>
              <w:right w:val="single" w:sz="4" w:space="0" w:color="auto"/>
            </w:tcBorders>
            <w:shd w:val="clear" w:color="auto" w:fill="auto"/>
            <w:vAlign w:val="center"/>
            <w:hideMark/>
          </w:tcPr>
          <w:p w14:paraId="0CBE5C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7DEF310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1488" w:type="dxa"/>
            <w:tcBorders>
              <w:top w:val="nil"/>
              <w:left w:val="nil"/>
              <w:bottom w:val="single" w:sz="4" w:space="0" w:color="auto"/>
              <w:right w:val="single" w:sz="4" w:space="0" w:color="auto"/>
            </w:tcBorders>
            <w:shd w:val="clear" w:color="auto" w:fill="auto"/>
            <w:vAlign w:val="center"/>
            <w:hideMark/>
          </w:tcPr>
          <w:p w14:paraId="5C38437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w:t>
            </w:r>
          </w:p>
        </w:tc>
        <w:tc>
          <w:tcPr>
            <w:tcW w:w="1374" w:type="dxa"/>
            <w:tcBorders>
              <w:top w:val="nil"/>
              <w:left w:val="nil"/>
              <w:bottom w:val="single" w:sz="4" w:space="0" w:color="auto"/>
              <w:right w:val="single" w:sz="4" w:space="0" w:color="auto"/>
            </w:tcBorders>
            <w:shd w:val="clear" w:color="auto" w:fill="auto"/>
            <w:vAlign w:val="center"/>
            <w:hideMark/>
          </w:tcPr>
          <w:p w14:paraId="758179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101</w:t>
            </w:r>
          </w:p>
        </w:tc>
        <w:tc>
          <w:tcPr>
            <w:tcW w:w="1133" w:type="dxa"/>
            <w:tcBorders>
              <w:top w:val="nil"/>
              <w:left w:val="nil"/>
              <w:bottom w:val="single" w:sz="4" w:space="0" w:color="auto"/>
              <w:right w:val="single" w:sz="4" w:space="0" w:color="auto"/>
            </w:tcBorders>
            <w:shd w:val="clear" w:color="auto" w:fill="auto"/>
            <w:vAlign w:val="center"/>
            <w:hideMark/>
          </w:tcPr>
          <w:p w14:paraId="031D6B0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115</w:t>
            </w:r>
          </w:p>
        </w:tc>
        <w:tc>
          <w:tcPr>
            <w:tcW w:w="306" w:type="dxa"/>
            <w:tcBorders>
              <w:top w:val="nil"/>
              <w:left w:val="nil"/>
              <w:bottom w:val="single" w:sz="4" w:space="0" w:color="auto"/>
              <w:right w:val="single" w:sz="4" w:space="0" w:color="auto"/>
            </w:tcBorders>
            <w:shd w:val="clear" w:color="auto" w:fill="auto"/>
            <w:vAlign w:val="center"/>
            <w:hideMark/>
          </w:tcPr>
          <w:p w14:paraId="1AA09AC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123</w:t>
            </w:r>
          </w:p>
        </w:tc>
      </w:tr>
      <w:tr w:rsidR="00BC17A3" w:rsidRPr="00A546AD" w14:paraId="417BD98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F78006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Tunisia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9B5604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78</w:t>
            </w:r>
          </w:p>
        </w:tc>
        <w:tc>
          <w:tcPr>
            <w:tcW w:w="1126" w:type="dxa"/>
            <w:tcBorders>
              <w:top w:val="nil"/>
              <w:left w:val="nil"/>
              <w:bottom w:val="single" w:sz="4" w:space="0" w:color="auto"/>
              <w:right w:val="single" w:sz="4" w:space="0" w:color="auto"/>
            </w:tcBorders>
            <w:shd w:val="clear" w:color="auto" w:fill="auto"/>
            <w:vAlign w:val="center"/>
            <w:hideMark/>
          </w:tcPr>
          <w:p w14:paraId="2E3BD90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w:t>
            </w:r>
          </w:p>
        </w:tc>
        <w:tc>
          <w:tcPr>
            <w:tcW w:w="1199" w:type="dxa"/>
            <w:tcBorders>
              <w:top w:val="nil"/>
              <w:left w:val="nil"/>
              <w:bottom w:val="single" w:sz="4" w:space="0" w:color="auto"/>
              <w:right w:val="single" w:sz="4" w:space="0" w:color="auto"/>
            </w:tcBorders>
            <w:shd w:val="clear" w:color="auto" w:fill="auto"/>
            <w:vAlign w:val="center"/>
            <w:hideMark/>
          </w:tcPr>
          <w:p w14:paraId="49022C8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32</w:t>
            </w:r>
          </w:p>
        </w:tc>
        <w:tc>
          <w:tcPr>
            <w:tcW w:w="1321" w:type="dxa"/>
            <w:tcBorders>
              <w:top w:val="nil"/>
              <w:left w:val="nil"/>
              <w:bottom w:val="single" w:sz="4" w:space="0" w:color="auto"/>
              <w:right w:val="single" w:sz="4" w:space="0" w:color="auto"/>
            </w:tcBorders>
            <w:shd w:val="clear" w:color="auto" w:fill="auto"/>
            <w:vAlign w:val="center"/>
            <w:hideMark/>
          </w:tcPr>
          <w:p w14:paraId="7372ECF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w:t>
            </w:r>
          </w:p>
        </w:tc>
        <w:tc>
          <w:tcPr>
            <w:tcW w:w="1221" w:type="dxa"/>
            <w:tcBorders>
              <w:top w:val="nil"/>
              <w:left w:val="nil"/>
              <w:bottom w:val="single" w:sz="4" w:space="0" w:color="auto"/>
              <w:right w:val="single" w:sz="4" w:space="0" w:color="auto"/>
            </w:tcBorders>
            <w:shd w:val="clear" w:color="auto" w:fill="auto"/>
            <w:vAlign w:val="center"/>
            <w:hideMark/>
          </w:tcPr>
          <w:p w14:paraId="1AFA9D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w:t>
            </w:r>
          </w:p>
        </w:tc>
        <w:tc>
          <w:tcPr>
            <w:tcW w:w="968" w:type="dxa"/>
            <w:tcBorders>
              <w:top w:val="nil"/>
              <w:left w:val="nil"/>
              <w:bottom w:val="single" w:sz="4" w:space="0" w:color="auto"/>
              <w:right w:val="single" w:sz="4" w:space="0" w:color="auto"/>
            </w:tcBorders>
            <w:shd w:val="clear" w:color="auto" w:fill="auto"/>
            <w:vAlign w:val="center"/>
            <w:hideMark/>
          </w:tcPr>
          <w:p w14:paraId="1B8186C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531BEEC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488" w:type="dxa"/>
            <w:tcBorders>
              <w:top w:val="nil"/>
              <w:left w:val="nil"/>
              <w:bottom w:val="single" w:sz="4" w:space="0" w:color="auto"/>
              <w:right w:val="single" w:sz="4" w:space="0" w:color="auto"/>
            </w:tcBorders>
            <w:shd w:val="clear" w:color="auto" w:fill="auto"/>
            <w:vAlign w:val="center"/>
            <w:hideMark/>
          </w:tcPr>
          <w:p w14:paraId="71A3755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108</w:t>
            </w:r>
          </w:p>
        </w:tc>
        <w:tc>
          <w:tcPr>
            <w:tcW w:w="1374" w:type="dxa"/>
            <w:tcBorders>
              <w:top w:val="nil"/>
              <w:left w:val="nil"/>
              <w:bottom w:val="single" w:sz="4" w:space="0" w:color="auto"/>
              <w:right w:val="single" w:sz="4" w:space="0" w:color="auto"/>
            </w:tcBorders>
            <w:shd w:val="clear" w:color="auto" w:fill="auto"/>
            <w:vAlign w:val="center"/>
            <w:hideMark/>
          </w:tcPr>
          <w:p w14:paraId="26D9AE4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w:t>
            </w:r>
          </w:p>
        </w:tc>
        <w:tc>
          <w:tcPr>
            <w:tcW w:w="1133" w:type="dxa"/>
            <w:tcBorders>
              <w:top w:val="nil"/>
              <w:left w:val="nil"/>
              <w:bottom w:val="single" w:sz="4" w:space="0" w:color="auto"/>
              <w:right w:val="single" w:sz="4" w:space="0" w:color="auto"/>
            </w:tcBorders>
            <w:shd w:val="clear" w:color="auto" w:fill="auto"/>
            <w:vAlign w:val="center"/>
            <w:hideMark/>
          </w:tcPr>
          <w:p w14:paraId="07FE9BB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306" w:type="dxa"/>
            <w:tcBorders>
              <w:top w:val="nil"/>
              <w:left w:val="nil"/>
              <w:bottom w:val="single" w:sz="4" w:space="0" w:color="auto"/>
              <w:right w:val="single" w:sz="4" w:space="0" w:color="auto"/>
            </w:tcBorders>
            <w:shd w:val="clear" w:color="auto" w:fill="auto"/>
            <w:vAlign w:val="center"/>
            <w:hideMark/>
          </w:tcPr>
          <w:p w14:paraId="4DA802A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w:t>
            </w:r>
          </w:p>
        </w:tc>
      </w:tr>
      <w:tr w:rsidR="00BC17A3" w:rsidRPr="00A546AD" w14:paraId="69754534"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755D83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Greece</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355196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79</w:t>
            </w:r>
          </w:p>
        </w:tc>
        <w:tc>
          <w:tcPr>
            <w:tcW w:w="1126" w:type="dxa"/>
            <w:tcBorders>
              <w:top w:val="nil"/>
              <w:left w:val="nil"/>
              <w:bottom w:val="single" w:sz="4" w:space="0" w:color="auto"/>
              <w:right w:val="single" w:sz="4" w:space="0" w:color="auto"/>
            </w:tcBorders>
            <w:shd w:val="clear" w:color="auto" w:fill="auto"/>
            <w:vAlign w:val="center"/>
            <w:hideMark/>
          </w:tcPr>
          <w:p w14:paraId="32BBCF8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w:t>
            </w:r>
          </w:p>
        </w:tc>
        <w:tc>
          <w:tcPr>
            <w:tcW w:w="1199" w:type="dxa"/>
            <w:tcBorders>
              <w:top w:val="nil"/>
              <w:left w:val="nil"/>
              <w:bottom w:val="single" w:sz="4" w:space="0" w:color="auto"/>
              <w:right w:val="single" w:sz="4" w:space="0" w:color="auto"/>
            </w:tcBorders>
            <w:shd w:val="clear" w:color="auto" w:fill="auto"/>
            <w:vAlign w:val="center"/>
            <w:hideMark/>
          </w:tcPr>
          <w:p w14:paraId="6A14F20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w:t>
            </w:r>
          </w:p>
        </w:tc>
        <w:tc>
          <w:tcPr>
            <w:tcW w:w="1321" w:type="dxa"/>
            <w:tcBorders>
              <w:top w:val="nil"/>
              <w:left w:val="nil"/>
              <w:bottom w:val="single" w:sz="4" w:space="0" w:color="auto"/>
              <w:right w:val="single" w:sz="4" w:space="0" w:color="auto"/>
            </w:tcBorders>
            <w:shd w:val="clear" w:color="auto" w:fill="auto"/>
            <w:vAlign w:val="center"/>
            <w:hideMark/>
          </w:tcPr>
          <w:p w14:paraId="40954EF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w:t>
            </w:r>
          </w:p>
        </w:tc>
        <w:tc>
          <w:tcPr>
            <w:tcW w:w="1221" w:type="dxa"/>
            <w:tcBorders>
              <w:top w:val="nil"/>
              <w:left w:val="nil"/>
              <w:bottom w:val="single" w:sz="4" w:space="0" w:color="auto"/>
              <w:right w:val="single" w:sz="4" w:space="0" w:color="auto"/>
            </w:tcBorders>
            <w:shd w:val="clear" w:color="auto" w:fill="auto"/>
            <w:vAlign w:val="center"/>
            <w:hideMark/>
          </w:tcPr>
          <w:p w14:paraId="3B03D09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156</w:t>
            </w:r>
          </w:p>
        </w:tc>
        <w:tc>
          <w:tcPr>
            <w:tcW w:w="968" w:type="dxa"/>
            <w:tcBorders>
              <w:top w:val="nil"/>
              <w:left w:val="nil"/>
              <w:bottom w:val="single" w:sz="4" w:space="0" w:color="auto"/>
              <w:right w:val="single" w:sz="4" w:space="0" w:color="auto"/>
            </w:tcBorders>
            <w:shd w:val="clear" w:color="auto" w:fill="auto"/>
            <w:vAlign w:val="center"/>
            <w:hideMark/>
          </w:tcPr>
          <w:p w14:paraId="1C672AA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3CDBCF5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488" w:type="dxa"/>
            <w:tcBorders>
              <w:top w:val="nil"/>
              <w:left w:val="nil"/>
              <w:bottom w:val="single" w:sz="4" w:space="0" w:color="auto"/>
              <w:right w:val="single" w:sz="4" w:space="0" w:color="auto"/>
            </w:tcBorders>
            <w:shd w:val="clear" w:color="auto" w:fill="auto"/>
            <w:vAlign w:val="center"/>
            <w:hideMark/>
          </w:tcPr>
          <w:p w14:paraId="57ADF67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374" w:type="dxa"/>
            <w:tcBorders>
              <w:top w:val="nil"/>
              <w:left w:val="nil"/>
              <w:bottom w:val="single" w:sz="4" w:space="0" w:color="auto"/>
              <w:right w:val="single" w:sz="4" w:space="0" w:color="auto"/>
            </w:tcBorders>
            <w:shd w:val="clear" w:color="auto" w:fill="auto"/>
            <w:vAlign w:val="center"/>
            <w:hideMark/>
          </w:tcPr>
          <w:p w14:paraId="47D47C4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34</w:t>
            </w:r>
          </w:p>
        </w:tc>
        <w:tc>
          <w:tcPr>
            <w:tcW w:w="1133" w:type="dxa"/>
            <w:tcBorders>
              <w:top w:val="nil"/>
              <w:left w:val="nil"/>
              <w:bottom w:val="single" w:sz="4" w:space="0" w:color="auto"/>
              <w:right w:val="single" w:sz="4" w:space="0" w:color="auto"/>
            </w:tcBorders>
            <w:shd w:val="clear" w:color="auto" w:fill="auto"/>
            <w:vAlign w:val="center"/>
            <w:hideMark/>
          </w:tcPr>
          <w:p w14:paraId="3DB1B71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146</w:t>
            </w:r>
          </w:p>
        </w:tc>
        <w:tc>
          <w:tcPr>
            <w:tcW w:w="306" w:type="dxa"/>
            <w:tcBorders>
              <w:top w:val="nil"/>
              <w:left w:val="nil"/>
              <w:bottom w:val="single" w:sz="4" w:space="0" w:color="auto"/>
              <w:right w:val="single" w:sz="4" w:space="0" w:color="auto"/>
            </w:tcBorders>
            <w:shd w:val="clear" w:color="auto" w:fill="auto"/>
            <w:vAlign w:val="center"/>
            <w:hideMark/>
          </w:tcPr>
          <w:p w14:paraId="65C8F53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r>
      <w:tr w:rsidR="00BC17A3" w:rsidRPr="00A546AD" w14:paraId="27C0E8AE"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2ECDB7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Kyrgyz</w:t>
            </w:r>
            <w:proofErr w:type="spellEnd"/>
            <w:r w:rsidRPr="00A546AD">
              <w:rPr>
                <w:rFonts w:ascii="Times New Roman" w:eastAsia="Times New Roman" w:hAnsi="Times New Roman" w:cs="Times New Roman"/>
                <w:sz w:val="20"/>
                <w:szCs w:val="20"/>
                <w:lang w:val="ru-RU" w:eastAsia="ru-RU" w:bidi="ar-SA"/>
              </w:rPr>
              <w:t xml:space="preserve"> Republic</w:t>
            </w:r>
          </w:p>
        </w:tc>
        <w:tc>
          <w:tcPr>
            <w:tcW w:w="802" w:type="dxa"/>
            <w:tcBorders>
              <w:top w:val="nil"/>
              <w:left w:val="nil"/>
              <w:bottom w:val="single" w:sz="4" w:space="0" w:color="auto"/>
              <w:right w:val="single" w:sz="4" w:space="0" w:color="auto"/>
            </w:tcBorders>
            <w:shd w:val="clear" w:color="auto" w:fill="auto"/>
            <w:vAlign w:val="center"/>
            <w:hideMark/>
          </w:tcPr>
          <w:p w14:paraId="63AD576C"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80</w:t>
            </w:r>
          </w:p>
        </w:tc>
        <w:tc>
          <w:tcPr>
            <w:tcW w:w="1126" w:type="dxa"/>
            <w:tcBorders>
              <w:top w:val="nil"/>
              <w:left w:val="nil"/>
              <w:bottom w:val="single" w:sz="4" w:space="0" w:color="auto"/>
              <w:right w:val="single" w:sz="4" w:space="0" w:color="auto"/>
            </w:tcBorders>
            <w:shd w:val="clear" w:color="auto" w:fill="auto"/>
            <w:vAlign w:val="center"/>
            <w:hideMark/>
          </w:tcPr>
          <w:p w14:paraId="0BFFC49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w:t>
            </w:r>
          </w:p>
        </w:tc>
        <w:tc>
          <w:tcPr>
            <w:tcW w:w="1199" w:type="dxa"/>
            <w:tcBorders>
              <w:top w:val="nil"/>
              <w:left w:val="nil"/>
              <w:bottom w:val="single" w:sz="4" w:space="0" w:color="auto"/>
              <w:right w:val="single" w:sz="4" w:space="0" w:color="auto"/>
            </w:tcBorders>
            <w:shd w:val="clear" w:color="auto" w:fill="auto"/>
            <w:vAlign w:val="center"/>
            <w:hideMark/>
          </w:tcPr>
          <w:p w14:paraId="6E25C67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w:t>
            </w:r>
          </w:p>
        </w:tc>
        <w:tc>
          <w:tcPr>
            <w:tcW w:w="1321" w:type="dxa"/>
            <w:tcBorders>
              <w:top w:val="nil"/>
              <w:left w:val="nil"/>
              <w:bottom w:val="single" w:sz="4" w:space="0" w:color="auto"/>
              <w:right w:val="single" w:sz="4" w:space="0" w:color="auto"/>
            </w:tcBorders>
            <w:shd w:val="clear" w:color="auto" w:fill="auto"/>
            <w:vAlign w:val="center"/>
            <w:hideMark/>
          </w:tcPr>
          <w:p w14:paraId="3A3AEB5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c>
          <w:tcPr>
            <w:tcW w:w="1221" w:type="dxa"/>
            <w:tcBorders>
              <w:top w:val="nil"/>
              <w:left w:val="nil"/>
              <w:bottom w:val="single" w:sz="4" w:space="0" w:color="auto"/>
              <w:right w:val="single" w:sz="4" w:space="0" w:color="auto"/>
            </w:tcBorders>
            <w:shd w:val="clear" w:color="auto" w:fill="auto"/>
            <w:vAlign w:val="center"/>
            <w:hideMark/>
          </w:tcPr>
          <w:p w14:paraId="0163400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w:t>
            </w:r>
          </w:p>
        </w:tc>
        <w:tc>
          <w:tcPr>
            <w:tcW w:w="968" w:type="dxa"/>
            <w:tcBorders>
              <w:top w:val="nil"/>
              <w:left w:val="nil"/>
              <w:bottom w:val="single" w:sz="4" w:space="0" w:color="auto"/>
              <w:right w:val="single" w:sz="4" w:space="0" w:color="auto"/>
            </w:tcBorders>
            <w:shd w:val="clear" w:color="auto" w:fill="auto"/>
            <w:vAlign w:val="center"/>
            <w:hideMark/>
          </w:tcPr>
          <w:p w14:paraId="579CE53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246" w:type="dxa"/>
            <w:tcBorders>
              <w:top w:val="nil"/>
              <w:left w:val="nil"/>
              <w:bottom w:val="single" w:sz="4" w:space="0" w:color="auto"/>
              <w:right w:val="single" w:sz="4" w:space="0" w:color="auto"/>
            </w:tcBorders>
            <w:shd w:val="clear" w:color="auto" w:fill="auto"/>
            <w:vAlign w:val="center"/>
            <w:hideMark/>
          </w:tcPr>
          <w:p w14:paraId="3912A5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488" w:type="dxa"/>
            <w:tcBorders>
              <w:top w:val="nil"/>
              <w:left w:val="nil"/>
              <w:bottom w:val="single" w:sz="4" w:space="0" w:color="auto"/>
              <w:right w:val="single" w:sz="4" w:space="0" w:color="auto"/>
            </w:tcBorders>
            <w:shd w:val="clear" w:color="auto" w:fill="auto"/>
            <w:vAlign w:val="center"/>
            <w:hideMark/>
          </w:tcPr>
          <w:p w14:paraId="1B729CC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117</w:t>
            </w:r>
          </w:p>
        </w:tc>
        <w:tc>
          <w:tcPr>
            <w:tcW w:w="1374" w:type="dxa"/>
            <w:tcBorders>
              <w:top w:val="nil"/>
              <w:left w:val="nil"/>
              <w:bottom w:val="single" w:sz="4" w:space="0" w:color="auto"/>
              <w:right w:val="single" w:sz="4" w:space="0" w:color="auto"/>
            </w:tcBorders>
            <w:shd w:val="clear" w:color="auto" w:fill="auto"/>
            <w:vAlign w:val="center"/>
            <w:hideMark/>
          </w:tcPr>
          <w:p w14:paraId="16F64C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w:t>
            </w:r>
          </w:p>
        </w:tc>
        <w:tc>
          <w:tcPr>
            <w:tcW w:w="1133" w:type="dxa"/>
            <w:tcBorders>
              <w:top w:val="nil"/>
              <w:left w:val="nil"/>
              <w:bottom w:val="single" w:sz="4" w:space="0" w:color="auto"/>
              <w:right w:val="single" w:sz="4" w:space="0" w:color="auto"/>
            </w:tcBorders>
            <w:shd w:val="clear" w:color="auto" w:fill="auto"/>
            <w:vAlign w:val="center"/>
            <w:hideMark/>
          </w:tcPr>
          <w:p w14:paraId="01D51CD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134</w:t>
            </w:r>
          </w:p>
        </w:tc>
        <w:tc>
          <w:tcPr>
            <w:tcW w:w="306" w:type="dxa"/>
            <w:tcBorders>
              <w:top w:val="nil"/>
              <w:left w:val="nil"/>
              <w:bottom w:val="single" w:sz="4" w:space="0" w:color="auto"/>
              <w:right w:val="single" w:sz="4" w:space="0" w:color="auto"/>
            </w:tcBorders>
            <w:shd w:val="clear" w:color="auto" w:fill="auto"/>
            <w:vAlign w:val="center"/>
            <w:hideMark/>
          </w:tcPr>
          <w:p w14:paraId="67BF0F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w:t>
            </w:r>
          </w:p>
        </w:tc>
      </w:tr>
      <w:tr w:rsidR="00BC17A3" w:rsidRPr="00A546AD" w14:paraId="2D12FEF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EAB184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Mongolia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4CF370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81</w:t>
            </w:r>
          </w:p>
        </w:tc>
        <w:tc>
          <w:tcPr>
            <w:tcW w:w="1126" w:type="dxa"/>
            <w:tcBorders>
              <w:top w:val="nil"/>
              <w:left w:val="nil"/>
              <w:bottom w:val="single" w:sz="4" w:space="0" w:color="auto"/>
              <w:right w:val="single" w:sz="4" w:space="0" w:color="auto"/>
            </w:tcBorders>
            <w:shd w:val="clear" w:color="auto" w:fill="auto"/>
            <w:vAlign w:val="center"/>
            <w:hideMark/>
          </w:tcPr>
          <w:p w14:paraId="4C7FF71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w:t>
            </w:r>
          </w:p>
        </w:tc>
        <w:tc>
          <w:tcPr>
            <w:tcW w:w="1199" w:type="dxa"/>
            <w:tcBorders>
              <w:top w:val="nil"/>
              <w:left w:val="nil"/>
              <w:bottom w:val="single" w:sz="4" w:space="0" w:color="auto"/>
              <w:right w:val="single" w:sz="4" w:space="0" w:color="auto"/>
            </w:tcBorders>
            <w:shd w:val="clear" w:color="auto" w:fill="auto"/>
            <w:vAlign w:val="center"/>
            <w:hideMark/>
          </w:tcPr>
          <w:p w14:paraId="64361F1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29</w:t>
            </w:r>
          </w:p>
        </w:tc>
        <w:tc>
          <w:tcPr>
            <w:tcW w:w="1321" w:type="dxa"/>
            <w:tcBorders>
              <w:top w:val="nil"/>
              <w:left w:val="nil"/>
              <w:bottom w:val="single" w:sz="4" w:space="0" w:color="auto"/>
              <w:right w:val="single" w:sz="4" w:space="0" w:color="auto"/>
            </w:tcBorders>
            <w:shd w:val="clear" w:color="auto" w:fill="auto"/>
            <w:vAlign w:val="center"/>
            <w:hideMark/>
          </w:tcPr>
          <w:p w14:paraId="0B52AB7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21" w:type="dxa"/>
            <w:tcBorders>
              <w:top w:val="nil"/>
              <w:left w:val="nil"/>
              <w:bottom w:val="single" w:sz="4" w:space="0" w:color="auto"/>
              <w:right w:val="single" w:sz="4" w:space="0" w:color="auto"/>
            </w:tcBorders>
            <w:shd w:val="clear" w:color="auto" w:fill="auto"/>
            <w:vAlign w:val="center"/>
            <w:hideMark/>
          </w:tcPr>
          <w:p w14:paraId="7D89AB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w:t>
            </w:r>
          </w:p>
        </w:tc>
        <w:tc>
          <w:tcPr>
            <w:tcW w:w="968" w:type="dxa"/>
            <w:tcBorders>
              <w:top w:val="nil"/>
              <w:left w:val="nil"/>
              <w:bottom w:val="single" w:sz="4" w:space="0" w:color="auto"/>
              <w:right w:val="single" w:sz="4" w:space="0" w:color="auto"/>
            </w:tcBorders>
            <w:shd w:val="clear" w:color="auto" w:fill="auto"/>
            <w:vAlign w:val="center"/>
            <w:hideMark/>
          </w:tcPr>
          <w:p w14:paraId="2592DB6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0DF7FF8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488" w:type="dxa"/>
            <w:tcBorders>
              <w:top w:val="nil"/>
              <w:left w:val="nil"/>
              <w:bottom w:val="single" w:sz="4" w:space="0" w:color="auto"/>
              <w:right w:val="single" w:sz="4" w:space="0" w:color="auto"/>
            </w:tcBorders>
            <w:shd w:val="clear" w:color="auto" w:fill="auto"/>
            <w:vAlign w:val="center"/>
            <w:hideMark/>
          </w:tcPr>
          <w:p w14:paraId="7E1269E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w:t>
            </w:r>
          </w:p>
        </w:tc>
        <w:tc>
          <w:tcPr>
            <w:tcW w:w="1374" w:type="dxa"/>
            <w:tcBorders>
              <w:top w:val="nil"/>
              <w:left w:val="nil"/>
              <w:bottom w:val="single" w:sz="4" w:space="0" w:color="auto"/>
              <w:right w:val="single" w:sz="4" w:space="0" w:color="auto"/>
            </w:tcBorders>
            <w:shd w:val="clear" w:color="auto" w:fill="auto"/>
            <w:vAlign w:val="center"/>
            <w:hideMark/>
          </w:tcPr>
          <w:p w14:paraId="2374D1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c>
          <w:tcPr>
            <w:tcW w:w="1133" w:type="dxa"/>
            <w:tcBorders>
              <w:top w:val="nil"/>
              <w:left w:val="nil"/>
              <w:bottom w:val="single" w:sz="4" w:space="0" w:color="auto"/>
              <w:right w:val="single" w:sz="4" w:space="0" w:color="auto"/>
            </w:tcBorders>
            <w:shd w:val="clear" w:color="auto" w:fill="auto"/>
            <w:vAlign w:val="center"/>
            <w:hideMark/>
          </w:tcPr>
          <w:p w14:paraId="53922F3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w:t>
            </w:r>
          </w:p>
        </w:tc>
        <w:tc>
          <w:tcPr>
            <w:tcW w:w="306" w:type="dxa"/>
            <w:tcBorders>
              <w:top w:val="nil"/>
              <w:left w:val="nil"/>
              <w:bottom w:val="single" w:sz="4" w:space="0" w:color="auto"/>
              <w:right w:val="single" w:sz="4" w:space="0" w:color="auto"/>
            </w:tcBorders>
            <w:shd w:val="clear" w:color="auto" w:fill="auto"/>
            <w:vAlign w:val="center"/>
            <w:hideMark/>
          </w:tcPr>
          <w:p w14:paraId="2A2A1FC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150</w:t>
            </w:r>
          </w:p>
        </w:tc>
      </w:tr>
      <w:tr w:rsidR="00BC17A3" w:rsidRPr="00A546AD" w14:paraId="30D2F1E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CCC67D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Albania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58B813E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82</w:t>
            </w:r>
          </w:p>
        </w:tc>
        <w:tc>
          <w:tcPr>
            <w:tcW w:w="1126" w:type="dxa"/>
            <w:tcBorders>
              <w:top w:val="nil"/>
              <w:left w:val="nil"/>
              <w:bottom w:val="single" w:sz="4" w:space="0" w:color="auto"/>
              <w:right w:val="single" w:sz="4" w:space="0" w:color="auto"/>
            </w:tcBorders>
            <w:shd w:val="clear" w:color="auto" w:fill="auto"/>
            <w:vAlign w:val="center"/>
            <w:hideMark/>
          </w:tcPr>
          <w:p w14:paraId="28E016E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w:t>
            </w:r>
          </w:p>
        </w:tc>
        <w:tc>
          <w:tcPr>
            <w:tcW w:w="1199" w:type="dxa"/>
            <w:tcBorders>
              <w:top w:val="nil"/>
              <w:left w:val="nil"/>
              <w:bottom w:val="single" w:sz="4" w:space="0" w:color="auto"/>
              <w:right w:val="single" w:sz="4" w:space="0" w:color="auto"/>
            </w:tcBorders>
            <w:shd w:val="clear" w:color="auto" w:fill="auto"/>
            <w:vAlign w:val="center"/>
            <w:hideMark/>
          </w:tcPr>
          <w:p w14:paraId="37DB66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166</w:t>
            </w:r>
          </w:p>
        </w:tc>
        <w:tc>
          <w:tcPr>
            <w:tcW w:w="1321" w:type="dxa"/>
            <w:tcBorders>
              <w:top w:val="nil"/>
              <w:left w:val="nil"/>
              <w:bottom w:val="single" w:sz="4" w:space="0" w:color="auto"/>
              <w:right w:val="single" w:sz="4" w:space="0" w:color="auto"/>
            </w:tcBorders>
            <w:shd w:val="clear" w:color="auto" w:fill="auto"/>
            <w:vAlign w:val="center"/>
            <w:hideMark/>
          </w:tcPr>
          <w:p w14:paraId="76EB80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107</w:t>
            </w:r>
          </w:p>
        </w:tc>
        <w:tc>
          <w:tcPr>
            <w:tcW w:w="1221" w:type="dxa"/>
            <w:tcBorders>
              <w:top w:val="nil"/>
              <w:left w:val="nil"/>
              <w:bottom w:val="single" w:sz="4" w:space="0" w:color="auto"/>
              <w:right w:val="single" w:sz="4" w:space="0" w:color="auto"/>
            </w:tcBorders>
            <w:shd w:val="clear" w:color="auto" w:fill="auto"/>
            <w:vAlign w:val="center"/>
            <w:hideMark/>
          </w:tcPr>
          <w:p w14:paraId="439C32F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w:t>
            </w:r>
          </w:p>
        </w:tc>
        <w:tc>
          <w:tcPr>
            <w:tcW w:w="968" w:type="dxa"/>
            <w:tcBorders>
              <w:top w:val="nil"/>
              <w:left w:val="nil"/>
              <w:bottom w:val="single" w:sz="4" w:space="0" w:color="auto"/>
              <w:right w:val="single" w:sz="4" w:space="0" w:color="auto"/>
            </w:tcBorders>
            <w:shd w:val="clear" w:color="auto" w:fill="auto"/>
            <w:vAlign w:val="center"/>
            <w:hideMark/>
          </w:tcPr>
          <w:p w14:paraId="5A5AEE4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6D7463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111</w:t>
            </w:r>
          </w:p>
        </w:tc>
        <w:tc>
          <w:tcPr>
            <w:tcW w:w="1488" w:type="dxa"/>
            <w:tcBorders>
              <w:top w:val="nil"/>
              <w:left w:val="nil"/>
              <w:bottom w:val="single" w:sz="4" w:space="0" w:color="auto"/>
              <w:right w:val="single" w:sz="4" w:space="0" w:color="auto"/>
            </w:tcBorders>
            <w:shd w:val="clear" w:color="auto" w:fill="auto"/>
            <w:vAlign w:val="center"/>
            <w:hideMark/>
          </w:tcPr>
          <w:p w14:paraId="250E7EF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123</w:t>
            </w:r>
          </w:p>
        </w:tc>
        <w:tc>
          <w:tcPr>
            <w:tcW w:w="1374" w:type="dxa"/>
            <w:tcBorders>
              <w:top w:val="nil"/>
              <w:left w:val="nil"/>
              <w:bottom w:val="single" w:sz="4" w:space="0" w:color="auto"/>
              <w:right w:val="single" w:sz="4" w:space="0" w:color="auto"/>
            </w:tcBorders>
            <w:shd w:val="clear" w:color="auto" w:fill="auto"/>
            <w:vAlign w:val="center"/>
            <w:hideMark/>
          </w:tcPr>
          <w:p w14:paraId="3829585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133" w:type="dxa"/>
            <w:tcBorders>
              <w:top w:val="nil"/>
              <w:left w:val="nil"/>
              <w:bottom w:val="single" w:sz="4" w:space="0" w:color="auto"/>
              <w:right w:val="single" w:sz="4" w:space="0" w:color="auto"/>
            </w:tcBorders>
            <w:shd w:val="clear" w:color="auto" w:fill="auto"/>
            <w:vAlign w:val="center"/>
            <w:hideMark/>
          </w:tcPr>
          <w:p w14:paraId="252EEB8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306" w:type="dxa"/>
            <w:tcBorders>
              <w:top w:val="nil"/>
              <w:left w:val="nil"/>
              <w:bottom w:val="single" w:sz="4" w:space="0" w:color="auto"/>
              <w:right w:val="single" w:sz="4" w:space="0" w:color="auto"/>
            </w:tcBorders>
            <w:shd w:val="clear" w:color="auto" w:fill="auto"/>
            <w:vAlign w:val="center"/>
            <w:hideMark/>
          </w:tcPr>
          <w:p w14:paraId="140F7A4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39</w:t>
            </w:r>
          </w:p>
        </w:tc>
      </w:tr>
      <w:tr w:rsidR="00BC17A3" w:rsidRPr="00A546AD" w14:paraId="00BB0A1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795F06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Kuwait</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E35351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83</w:t>
            </w:r>
          </w:p>
        </w:tc>
        <w:tc>
          <w:tcPr>
            <w:tcW w:w="1126" w:type="dxa"/>
            <w:tcBorders>
              <w:top w:val="nil"/>
              <w:left w:val="nil"/>
              <w:bottom w:val="single" w:sz="4" w:space="0" w:color="auto"/>
              <w:right w:val="single" w:sz="4" w:space="0" w:color="auto"/>
            </w:tcBorders>
            <w:shd w:val="clear" w:color="auto" w:fill="auto"/>
            <w:vAlign w:val="center"/>
            <w:hideMark/>
          </w:tcPr>
          <w:p w14:paraId="1A4306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w:t>
            </w:r>
          </w:p>
        </w:tc>
        <w:tc>
          <w:tcPr>
            <w:tcW w:w="1199" w:type="dxa"/>
            <w:tcBorders>
              <w:top w:val="nil"/>
              <w:left w:val="nil"/>
              <w:bottom w:val="single" w:sz="4" w:space="0" w:color="auto"/>
              <w:right w:val="single" w:sz="4" w:space="0" w:color="auto"/>
            </w:tcBorders>
            <w:shd w:val="clear" w:color="auto" w:fill="auto"/>
            <w:vAlign w:val="center"/>
            <w:hideMark/>
          </w:tcPr>
          <w:p w14:paraId="185A779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w:t>
            </w:r>
          </w:p>
        </w:tc>
        <w:tc>
          <w:tcPr>
            <w:tcW w:w="1321" w:type="dxa"/>
            <w:tcBorders>
              <w:top w:val="nil"/>
              <w:left w:val="nil"/>
              <w:bottom w:val="single" w:sz="4" w:space="0" w:color="auto"/>
              <w:right w:val="single" w:sz="4" w:space="0" w:color="auto"/>
            </w:tcBorders>
            <w:shd w:val="clear" w:color="auto" w:fill="auto"/>
            <w:vAlign w:val="center"/>
            <w:hideMark/>
          </w:tcPr>
          <w:p w14:paraId="61AA963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21" w:type="dxa"/>
            <w:tcBorders>
              <w:top w:val="nil"/>
              <w:left w:val="nil"/>
              <w:bottom w:val="single" w:sz="4" w:space="0" w:color="auto"/>
              <w:right w:val="single" w:sz="4" w:space="0" w:color="auto"/>
            </w:tcBorders>
            <w:shd w:val="clear" w:color="auto" w:fill="auto"/>
            <w:vAlign w:val="center"/>
            <w:hideMark/>
          </w:tcPr>
          <w:p w14:paraId="6851F5A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45</w:t>
            </w:r>
          </w:p>
        </w:tc>
        <w:tc>
          <w:tcPr>
            <w:tcW w:w="968" w:type="dxa"/>
            <w:tcBorders>
              <w:top w:val="nil"/>
              <w:left w:val="nil"/>
              <w:bottom w:val="single" w:sz="4" w:space="0" w:color="auto"/>
              <w:right w:val="single" w:sz="4" w:space="0" w:color="auto"/>
            </w:tcBorders>
            <w:shd w:val="clear" w:color="auto" w:fill="auto"/>
            <w:vAlign w:val="center"/>
            <w:hideMark/>
          </w:tcPr>
          <w:p w14:paraId="2B49E58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4CF842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1488" w:type="dxa"/>
            <w:tcBorders>
              <w:top w:val="nil"/>
              <w:left w:val="nil"/>
              <w:bottom w:val="single" w:sz="4" w:space="0" w:color="auto"/>
              <w:right w:val="single" w:sz="4" w:space="0" w:color="auto"/>
            </w:tcBorders>
            <w:shd w:val="clear" w:color="auto" w:fill="auto"/>
            <w:vAlign w:val="center"/>
            <w:hideMark/>
          </w:tcPr>
          <w:p w14:paraId="6B2BEC0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w:t>
            </w:r>
          </w:p>
        </w:tc>
        <w:tc>
          <w:tcPr>
            <w:tcW w:w="1374" w:type="dxa"/>
            <w:tcBorders>
              <w:top w:val="nil"/>
              <w:left w:val="nil"/>
              <w:bottom w:val="single" w:sz="4" w:space="0" w:color="auto"/>
              <w:right w:val="single" w:sz="4" w:space="0" w:color="auto"/>
            </w:tcBorders>
            <w:shd w:val="clear" w:color="auto" w:fill="auto"/>
            <w:vAlign w:val="center"/>
            <w:hideMark/>
          </w:tcPr>
          <w:p w14:paraId="0F0B1E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133" w:type="dxa"/>
            <w:tcBorders>
              <w:top w:val="nil"/>
              <w:left w:val="nil"/>
              <w:bottom w:val="single" w:sz="4" w:space="0" w:color="auto"/>
              <w:right w:val="single" w:sz="4" w:space="0" w:color="auto"/>
            </w:tcBorders>
            <w:shd w:val="clear" w:color="auto" w:fill="auto"/>
            <w:vAlign w:val="center"/>
            <w:hideMark/>
          </w:tcPr>
          <w:p w14:paraId="388E25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w:t>
            </w:r>
          </w:p>
        </w:tc>
        <w:tc>
          <w:tcPr>
            <w:tcW w:w="306" w:type="dxa"/>
            <w:tcBorders>
              <w:top w:val="nil"/>
              <w:left w:val="nil"/>
              <w:bottom w:val="single" w:sz="4" w:space="0" w:color="auto"/>
              <w:right w:val="single" w:sz="4" w:space="0" w:color="auto"/>
            </w:tcBorders>
            <w:shd w:val="clear" w:color="auto" w:fill="auto"/>
            <w:vAlign w:val="center"/>
            <w:hideMark/>
          </w:tcPr>
          <w:p w14:paraId="40510F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115</w:t>
            </w:r>
          </w:p>
        </w:tc>
      </w:tr>
      <w:tr w:rsidR="00BC17A3" w:rsidRPr="00A546AD" w14:paraId="229C0CC7"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27DE55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South Africa</w:t>
            </w:r>
          </w:p>
        </w:tc>
        <w:tc>
          <w:tcPr>
            <w:tcW w:w="802" w:type="dxa"/>
            <w:tcBorders>
              <w:top w:val="nil"/>
              <w:left w:val="nil"/>
              <w:bottom w:val="single" w:sz="4" w:space="0" w:color="auto"/>
              <w:right w:val="single" w:sz="4" w:space="0" w:color="auto"/>
            </w:tcBorders>
            <w:shd w:val="clear" w:color="auto" w:fill="auto"/>
            <w:vAlign w:val="center"/>
            <w:hideMark/>
          </w:tcPr>
          <w:p w14:paraId="52D36F0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84</w:t>
            </w:r>
          </w:p>
        </w:tc>
        <w:tc>
          <w:tcPr>
            <w:tcW w:w="1126" w:type="dxa"/>
            <w:tcBorders>
              <w:top w:val="nil"/>
              <w:left w:val="nil"/>
              <w:bottom w:val="single" w:sz="4" w:space="0" w:color="auto"/>
              <w:right w:val="single" w:sz="4" w:space="0" w:color="auto"/>
            </w:tcBorders>
            <w:shd w:val="clear" w:color="auto" w:fill="auto"/>
            <w:vAlign w:val="center"/>
            <w:hideMark/>
          </w:tcPr>
          <w:p w14:paraId="1456542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139</w:t>
            </w:r>
          </w:p>
        </w:tc>
        <w:tc>
          <w:tcPr>
            <w:tcW w:w="1199" w:type="dxa"/>
            <w:tcBorders>
              <w:top w:val="nil"/>
              <w:left w:val="nil"/>
              <w:bottom w:val="single" w:sz="4" w:space="0" w:color="auto"/>
              <w:right w:val="single" w:sz="4" w:space="0" w:color="auto"/>
            </w:tcBorders>
            <w:shd w:val="clear" w:color="auto" w:fill="auto"/>
            <w:vAlign w:val="center"/>
            <w:hideMark/>
          </w:tcPr>
          <w:p w14:paraId="4EE6B1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w:t>
            </w:r>
          </w:p>
        </w:tc>
        <w:tc>
          <w:tcPr>
            <w:tcW w:w="1321" w:type="dxa"/>
            <w:tcBorders>
              <w:top w:val="nil"/>
              <w:left w:val="nil"/>
              <w:bottom w:val="single" w:sz="4" w:space="0" w:color="auto"/>
              <w:right w:val="single" w:sz="4" w:space="0" w:color="auto"/>
            </w:tcBorders>
            <w:shd w:val="clear" w:color="auto" w:fill="auto"/>
            <w:vAlign w:val="center"/>
            <w:hideMark/>
          </w:tcPr>
          <w:p w14:paraId="034400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1221" w:type="dxa"/>
            <w:tcBorders>
              <w:top w:val="nil"/>
              <w:left w:val="nil"/>
              <w:bottom w:val="single" w:sz="4" w:space="0" w:color="auto"/>
              <w:right w:val="single" w:sz="4" w:space="0" w:color="auto"/>
            </w:tcBorders>
            <w:shd w:val="clear" w:color="auto" w:fill="auto"/>
            <w:vAlign w:val="center"/>
            <w:hideMark/>
          </w:tcPr>
          <w:p w14:paraId="62D0313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108</w:t>
            </w:r>
          </w:p>
        </w:tc>
        <w:tc>
          <w:tcPr>
            <w:tcW w:w="968" w:type="dxa"/>
            <w:tcBorders>
              <w:top w:val="nil"/>
              <w:left w:val="nil"/>
              <w:bottom w:val="single" w:sz="4" w:space="0" w:color="auto"/>
              <w:right w:val="single" w:sz="4" w:space="0" w:color="auto"/>
            </w:tcBorders>
            <w:shd w:val="clear" w:color="auto" w:fill="auto"/>
            <w:vAlign w:val="center"/>
            <w:hideMark/>
          </w:tcPr>
          <w:p w14:paraId="67FC84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5D671BC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w:t>
            </w:r>
          </w:p>
        </w:tc>
        <w:tc>
          <w:tcPr>
            <w:tcW w:w="1488" w:type="dxa"/>
            <w:tcBorders>
              <w:top w:val="nil"/>
              <w:left w:val="nil"/>
              <w:bottom w:val="single" w:sz="4" w:space="0" w:color="auto"/>
              <w:right w:val="single" w:sz="4" w:space="0" w:color="auto"/>
            </w:tcBorders>
            <w:shd w:val="clear" w:color="auto" w:fill="auto"/>
            <w:vAlign w:val="center"/>
            <w:hideMark/>
          </w:tcPr>
          <w:p w14:paraId="57A2211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54</w:t>
            </w:r>
          </w:p>
        </w:tc>
        <w:tc>
          <w:tcPr>
            <w:tcW w:w="1374" w:type="dxa"/>
            <w:tcBorders>
              <w:top w:val="nil"/>
              <w:left w:val="nil"/>
              <w:bottom w:val="single" w:sz="4" w:space="0" w:color="auto"/>
              <w:right w:val="single" w:sz="4" w:space="0" w:color="auto"/>
            </w:tcBorders>
            <w:shd w:val="clear" w:color="auto" w:fill="auto"/>
            <w:vAlign w:val="center"/>
            <w:hideMark/>
          </w:tcPr>
          <w:p w14:paraId="01DC9A9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145</w:t>
            </w:r>
          </w:p>
        </w:tc>
        <w:tc>
          <w:tcPr>
            <w:tcW w:w="1133" w:type="dxa"/>
            <w:tcBorders>
              <w:top w:val="nil"/>
              <w:left w:val="nil"/>
              <w:bottom w:val="single" w:sz="4" w:space="0" w:color="auto"/>
              <w:right w:val="single" w:sz="4" w:space="0" w:color="auto"/>
            </w:tcBorders>
            <w:shd w:val="clear" w:color="auto" w:fill="auto"/>
            <w:vAlign w:val="center"/>
            <w:hideMark/>
          </w:tcPr>
          <w:p w14:paraId="0722886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102</w:t>
            </w:r>
          </w:p>
        </w:tc>
        <w:tc>
          <w:tcPr>
            <w:tcW w:w="306" w:type="dxa"/>
            <w:tcBorders>
              <w:top w:val="nil"/>
              <w:left w:val="nil"/>
              <w:bottom w:val="single" w:sz="4" w:space="0" w:color="auto"/>
              <w:right w:val="single" w:sz="4" w:space="0" w:color="auto"/>
            </w:tcBorders>
            <w:shd w:val="clear" w:color="auto" w:fill="auto"/>
            <w:vAlign w:val="center"/>
            <w:hideMark/>
          </w:tcPr>
          <w:p w14:paraId="52D7246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w:t>
            </w:r>
          </w:p>
        </w:tc>
      </w:tr>
      <w:tr w:rsidR="00BC17A3" w:rsidRPr="00A546AD" w14:paraId="057DD0C4"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7A2ED8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Zambia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07F5FF0"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85</w:t>
            </w:r>
          </w:p>
        </w:tc>
        <w:tc>
          <w:tcPr>
            <w:tcW w:w="1126" w:type="dxa"/>
            <w:tcBorders>
              <w:top w:val="nil"/>
              <w:left w:val="nil"/>
              <w:bottom w:val="single" w:sz="4" w:space="0" w:color="auto"/>
              <w:right w:val="single" w:sz="4" w:space="0" w:color="auto"/>
            </w:tcBorders>
            <w:shd w:val="clear" w:color="auto" w:fill="auto"/>
            <w:vAlign w:val="center"/>
            <w:hideMark/>
          </w:tcPr>
          <w:p w14:paraId="5190326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117</w:t>
            </w:r>
          </w:p>
        </w:tc>
        <w:tc>
          <w:tcPr>
            <w:tcW w:w="1199" w:type="dxa"/>
            <w:tcBorders>
              <w:top w:val="nil"/>
              <w:left w:val="nil"/>
              <w:bottom w:val="single" w:sz="4" w:space="0" w:color="auto"/>
              <w:right w:val="single" w:sz="4" w:space="0" w:color="auto"/>
            </w:tcBorders>
            <w:shd w:val="clear" w:color="auto" w:fill="auto"/>
            <w:vAlign w:val="center"/>
            <w:hideMark/>
          </w:tcPr>
          <w:p w14:paraId="23E9BC4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321" w:type="dxa"/>
            <w:tcBorders>
              <w:top w:val="nil"/>
              <w:left w:val="nil"/>
              <w:bottom w:val="single" w:sz="4" w:space="0" w:color="auto"/>
              <w:right w:val="single" w:sz="4" w:space="0" w:color="auto"/>
            </w:tcBorders>
            <w:shd w:val="clear" w:color="auto" w:fill="auto"/>
            <w:vAlign w:val="center"/>
            <w:hideMark/>
          </w:tcPr>
          <w:p w14:paraId="58E8F8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129</w:t>
            </w:r>
          </w:p>
        </w:tc>
        <w:tc>
          <w:tcPr>
            <w:tcW w:w="1221" w:type="dxa"/>
            <w:tcBorders>
              <w:top w:val="nil"/>
              <w:left w:val="nil"/>
              <w:bottom w:val="single" w:sz="4" w:space="0" w:color="auto"/>
              <w:right w:val="single" w:sz="4" w:space="0" w:color="auto"/>
            </w:tcBorders>
            <w:shd w:val="clear" w:color="auto" w:fill="auto"/>
            <w:vAlign w:val="center"/>
            <w:hideMark/>
          </w:tcPr>
          <w:p w14:paraId="7C90ACB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149</w:t>
            </w:r>
          </w:p>
        </w:tc>
        <w:tc>
          <w:tcPr>
            <w:tcW w:w="968" w:type="dxa"/>
            <w:tcBorders>
              <w:top w:val="nil"/>
              <w:left w:val="nil"/>
              <w:bottom w:val="single" w:sz="4" w:space="0" w:color="auto"/>
              <w:right w:val="single" w:sz="4" w:space="0" w:color="auto"/>
            </w:tcBorders>
            <w:shd w:val="clear" w:color="auto" w:fill="auto"/>
            <w:vAlign w:val="center"/>
            <w:hideMark/>
          </w:tcPr>
          <w:p w14:paraId="553DFCB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w:t>
            </w:r>
          </w:p>
        </w:tc>
        <w:tc>
          <w:tcPr>
            <w:tcW w:w="1246" w:type="dxa"/>
            <w:tcBorders>
              <w:top w:val="nil"/>
              <w:left w:val="nil"/>
              <w:bottom w:val="single" w:sz="4" w:space="0" w:color="auto"/>
              <w:right w:val="single" w:sz="4" w:space="0" w:color="auto"/>
            </w:tcBorders>
            <w:shd w:val="clear" w:color="auto" w:fill="auto"/>
            <w:vAlign w:val="center"/>
            <w:hideMark/>
          </w:tcPr>
          <w:p w14:paraId="46158AA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488" w:type="dxa"/>
            <w:tcBorders>
              <w:top w:val="nil"/>
              <w:left w:val="nil"/>
              <w:bottom w:val="single" w:sz="4" w:space="0" w:color="auto"/>
              <w:right w:val="single" w:sz="4" w:space="0" w:color="auto"/>
            </w:tcBorders>
            <w:shd w:val="clear" w:color="auto" w:fill="auto"/>
            <w:vAlign w:val="center"/>
            <w:hideMark/>
          </w:tcPr>
          <w:p w14:paraId="4374A75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w:t>
            </w:r>
          </w:p>
        </w:tc>
        <w:tc>
          <w:tcPr>
            <w:tcW w:w="1374" w:type="dxa"/>
            <w:tcBorders>
              <w:top w:val="nil"/>
              <w:left w:val="nil"/>
              <w:bottom w:val="single" w:sz="4" w:space="0" w:color="auto"/>
              <w:right w:val="single" w:sz="4" w:space="0" w:color="auto"/>
            </w:tcBorders>
            <w:shd w:val="clear" w:color="auto" w:fill="auto"/>
            <w:vAlign w:val="center"/>
            <w:hideMark/>
          </w:tcPr>
          <w:p w14:paraId="6D43C44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155</w:t>
            </w:r>
          </w:p>
        </w:tc>
        <w:tc>
          <w:tcPr>
            <w:tcW w:w="1133" w:type="dxa"/>
            <w:tcBorders>
              <w:top w:val="nil"/>
              <w:left w:val="nil"/>
              <w:bottom w:val="single" w:sz="4" w:space="0" w:color="auto"/>
              <w:right w:val="single" w:sz="4" w:space="0" w:color="auto"/>
            </w:tcBorders>
            <w:shd w:val="clear" w:color="auto" w:fill="auto"/>
            <w:vAlign w:val="center"/>
            <w:hideMark/>
          </w:tcPr>
          <w:p w14:paraId="5BCE1A0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130</w:t>
            </w:r>
          </w:p>
        </w:tc>
        <w:tc>
          <w:tcPr>
            <w:tcW w:w="306" w:type="dxa"/>
            <w:tcBorders>
              <w:top w:val="nil"/>
              <w:left w:val="nil"/>
              <w:bottom w:val="single" w:sz="4" w:space="0" w:color="auto"/>
              <w:right w:val="single" w:sz="4" w:space="0" w:color="auto"/>
            </w:tcBorders>
            <w:shd w:val="clear" w:color="auto" w:fill="auto"/>
            <w:vAlign w:val="center"/>
            <w:hideMark/>
          </w:tcPr>
          <w:p w14:paraId="0CC891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r>
      <w:tr w:rsidR="00BC17A3" w:rsidRPr="00A546AD" w14:paraId="01C7592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6BEAE3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Panama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C2E6AF8"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86</w:t>
            </w:r>
          </w:p>
        </w:tc>
        <w:tc>
          <w:tcPr>
            <w:tcW w:w="1126" w:type="dxa"/>
            <w:tcBorders>
              <w:top w:val="nil"/>
              <w:left w:val="nil"/>
              <w:bottom w:val="single" w:sz="4" w:space="0" w:color="auto"/>
              <w:right w:val="single" w:sz="4" w:space="0" w:color="auto"/>
            </w:tcBorders>
            <w:shd w:val="clear" w:color="auto" w:fill="auto"/>
            <w:vAlign w:val="center"/>
            <w:hideMark/>
          </w:tcPr>
          <w:p w14:paraId="3BCA70A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1199" w:type="dxa"/>
            <w:tcBorders>
              <w:top w:val="nil"/>
              <w:left w:val="nil"/>
              <w:bottom w:val="single" w:sz="4" w:space="0" w:color="auto"/>
              <w:right w:val="single" w:sz="4" w:space="0" w:color="auto"/>
            </w:tcBorders>
            <w:shd w:val="clear" w:color="auto" w:fill="auto"/>
            <w:vAlign w:val="center"/>
            <w:hideMark/>
          </w:tcPr>
          <w:p w14:paraId="6050983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w:t>
            </w:r>
          </w:p>
        </w:tc>
        <w:tc>
          <w:tcPr>
            <w:tcW w:w="1321" w:type="dxa"/>
            <w:tcBorders>
              <w:top w:val="nil"/>
              <w:left w:val="nil"/>
              <w:bottom w:val="single" w:sz="4" w:space="0" w:color="auto"/>
              <w:right w:val="single" w:sz="4" w:space="0" w:color="auto"/>
            </w:tcBorders>
            <w:shd w:val="clear" w:color="auto" w:fill="auto"/>
            <w:vAlign w:val="center"/>
            <w:hideMark/>
          </w:tcPr>
          <w:p w14:paraId="0EECAF9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52</w:t>
            </w:r>
          </w:p>
        </w:tc>
        <w:tc>
          <w:tcPr>
            <w:tcW w:w="1221" w:type="dxa"/>
            <w:tcBorders>
              <w:top w:val="nil"/>
              <w:left w:val="nil"/>
              <w:bottom w:val="single" w:sz="4" w:space="0" w:color="auto"/>
              <w:right w:val="single" w:sz="4" w:space="0" w:color="auto"/>
            </w:tcBorders>
            <w:shd w:val="clear" w:color="auto" w:fill="auto"/>
            <w:vAlign w:val="center"/>
            <w:hideMark/>
          </w:tcPr>
          <w:p w14:paraId="291897A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w:t>
            </w:r>
          </w:p>
        </w:tc>
        <w:tc>
          <w:tcPr>
            <w:tcW w:w="968" w:type="dxa"/>
            <w:tcBorders>
              <w:top w:val="nil"/>
              <w:left w:val="nil"/>
              <w:bottom w:val="single" w:sz="4" w:space="0" w:color="auto"/>
              <w:right w:val="single" w:sz="4" w:space="0" w:color="auto"/>
            </w:tcBorders>
            <w:shd w:val="clear" w:color="auto" w:fill="auto"/>
            <w:vAlign w:val="center"/>
            <w:hideMark/>
          </w:tcPr>
          <w:p w14:paraId="2F7FE30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58353DD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488" w:type="dxa"/>
            <w:tcBorders>
              <w:top w:val="nil"/>
              <w:left w:val="nil"/>
              <w:bottom w:val="single" w:sz="4" w:space="0" w:color="auto"/>
              <w:right w:val="single" w:sz="4" w:space="0" w:color="auto"/>
            </w:tcBorders>
            <w:shd w:val="clear" w:color="auto" w:fill="auto"/>
            <w:vAlign w:val="center"/>
            <w:hideMark/>
          </w:tcPr>
          <w:p w14:paraId="0D9220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374" w:type="dxa"/>
            <w:tcBorders>
              <w:top w:val="nil"/>
              <w:left w:val="nil"/>
              <w:bottom w:val="single" w:sz="4" w:space="0" w:color="auto"/>
              <w:right w:val="single" w:sz="4" w:space="0" w:color="auto"/>
            </w:tcBorders>
            <w:shd w:val="clear" w:color="auto" w:fill="auto"/>
            <w:vAlign w:val="center"/>
            <w:hideMark/>
          </w:tcPr>
          <w:p w14:paraId="39FE14D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w:t>
            </w:r>
          </w:p>
        </w:tc>
        <w:tc>
          <w:tcPr>
            <w:tcW w:w="1133" w:type="dxa"/>
            <w:tcBorders>
              <w:top w:val="nil"/>
              <w:left w:val="nil"/>
              <w:bottom w:val="single" w:sz="4" w:space="0" w:color="auto"/>
              <w:right w:val="single" w:sz="4" w:space="0" w:color="auto"/>
            </w:tcBorders>
            <w:shd w:val="clear" w:color="auto" w:fill="auto"/>
            <w:vAlign w:val="center"/>
            <w:hideMark/>
          </w:tcPr>
          <w:p w14:paraId="6372B9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141</w:t>
            </w:r>
          </w:p>
        </w:tc>
        <w:tc>
          <w:tcPr>
            <w:tcW w:w="306" w:type="dxa"/>
            <w:tcBorders>
              <w:top w:val="nil"/>
              <w:left w:val="nil"/>
              <w:bottom w:val="single" w:sz="4" w:space="0" w:color="auto"/>
              <w:right w:val="single" w:sz="4" w:space="0" w:color="auto"/>
            </w:tcBorders>
            <w:shd w:val="clear" w:color="auto" w:fill="auto"/>
            <w:vAlign w:val="center"/>
            <w:hideMark/>
          </w:tcPr>
          <w:p w14:paraId="4335CB5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113</w:t>
            </w:r>
          </w:p>
        </w:tc>
      </w:tr>
      <w:tr w:rsidR="00BC17A3" w:rsidRPr="00A546AD" w14:paraId="023DCC5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7B2C5C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lastRenderedPageBreak/>
              <w:t>Botswana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05AB3D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87</w:t>
            </w:r>
          </w:p>
        </w:tc>
        <w:tc>
          <w:tcPr>
            <w:tcW w:w="1126" w:type="dxa"/>
            <w:tcBorders>
              <w:top w:val="nil"/>
              <w:left w:val="nil"/>
              <w:bottom w:val="single" w:sz="4" w:space="0" w:color="auto"/>
              <w:right w:val="single" w:sz="4" w:space="0" w:color="auto"/>
            </w:tcBorders>
            <w:shd w:val="clear" w:color="auto" w:fill="auto"/>
            <w:vAlign w:val="center"/>
            <w:hideMark/>
          </w:tcPr>
          <w:p w14:paraId="32B15D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159</w:t>
            </w:r>
          </w:p>
        </w:tc>
        <w:tc>
          <w:tcPr>
            <w:tcW w:w="1199" w:type="dxa"/>
            <w:tcBorders>
              <w:top w:val="nil"/>
              <w:left w:val="nil"/>
              <w:bottom w:val="single" w:sz="4" w:space="0" w:color="auto"/>
              <w:right w:val="single" w:sz="4" w:space="0" w:color="auto"/>
            </w:tcBorders>
            <w:shd w:val="clear" w:color="auto" w:fill="auto"/>
            <w:vAlign w:val="center"/>
            <w:hideMark/>
          </w:tcPr>
          <w:p w14:paraId="595051A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44</w:t>
            </w:r>
          </w:p>
        </w:tc>
        <w:tc>
          <w:tcPr>
            <w:tcW w:w="1321" w:type="dxa"/>
            <w:tcBorders>
              <w:top w:val="nil"/>
              <w:left w:val="nil"/>
              <w:bottom w:val="single" w:sz="4" w:space="0" w:color="auto"/>
              <w:right w:val="single" w:sz="4" w:space="0" w:color="auto"/>
            </w:tcBorders>
            <w:shd w:val="clear" w:color="auto" w:fill="auto"/>
            <w:vAlign w:val="center"/>
            <w:hideMark/>
          </w:tcPr>
          <w:p w14:paraId="795A494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139</w:t>
            </w:r>
          </w:p>
        </w:tc>
        <w:tc>
          <w:tcPr>
            <w:tcW w:w="1221" w:type="dxa"/>
            <w:tcBorders>
              <w:top w:val="nil"/>
              <w:left w:val="nil"/>
              <w:bottom w:val="single" w:sz="4" w:space="0" w:color="auto"/>
              <w:right w:val="single" w:sz="4" w:space="0" w:color="auto"/>
            </w:tcBorders>
            <w:shd w:val="clear" w:color="auto" w:fill="auto"/>
            <w:vAlign w:val="center"/>
            <w:hideMark/>
          </w:tcPr>
          <w:p w14:paraId="17B9935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w:t>
            </w:r>
          </w:p>
        </w:tc>
        <w:tc>
          <w:tcPr>
            <w:tcW w:w="968" w:type="dxa"/>
            <w:tcBorders>
              <w:top w:val="nil"/>
              <w:left w:val="nil"/>
              <w:bottom w:val="single" w:sz="4" w:space="0" w:color="auto"/>
              <w:right w:val="single" w:sz="4" w:space="0" w:color="auto"/>
            </w:tcBorders>
            <w:shd w:val="clear" w:color="auto" w:fill="auto"/>
            <w:vAlign w:val="center"/>
            <w:hideMark/>
          </w:tcPr>
          <w:p w14:paraId="455732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3D41B8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488" w:type="dxa"/>
            <w:tcBorders>
              <w:top w:val="nil"/>
              <w:left w:val="nil"/>
              <w:bottom w:val="single" w:sz="4" w:space="0" w:color="auto"/>
              <w:right w:val="single" w:sz="4" w:space="0" w:color="auto"/>
            </w:tcBorders>
            <w:shd w:val="clear" w:color="auto" w:fill="auto"/>
            <w:vAlign w:val="center"/>
            <w:hideMark/>
          </w:tcPr>
          <w:p w14:paraId="1D436F7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w:t>
            </w:r>
          </w:p>
        </w:tc>
        <w:tc>
          <w:tcPr>
            <w:tcW w:w="1374" w:type="dxa"/>
            <w:tcBorders>
              <w:top w:val="nil"/>
              <w:left w:val="nil"/>
              <w:bottom w:val="single" w:sz="4" w:space="0" w:color="auto"/>
              <w:right w:val="single" w:sz="4" w:space="0" w:color="auto"/>
            </w:tcBorders>
            <w:shd w:val="clear" w:color="auto" w:fill="auto"/>
            <w:vAlign w:val="center"/>
            <w:hideMark/>
          </w:tcPr>
          <w:p w14:paraId="3F16F4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w:t>
            </w:r>
          </w:p>
        </w:tc>
        <w:tc>
          <w:tcPr>
            <w:tcW w:w="1133" w:type="dxa"/>
            <w:tcBorders>
              <w:top w:val="nil"/>
              <w:left w:val="nil"/>
              <w:bottom w:val="single" w:sz="4" w:space="0" w:color="auto"/>
              <w:right w:val="single" w:sz="4" w:space="0" w:color="auto"/>
            </w:tcBorders>
            <w:shd w:val="clear" w:color="auto" w:fill="auto"/>
            <w:vAlign w:val="center"/>
            <w:hideMark/>
          </w:tcPr>
          <w:p w14:paraId="6EAAEFA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137</w:t>
            </w:r>
          </w:p>
        </w:tc>
        <w:tc>
          <w:tcPr>
            <w:tcW w:w="306" w:type="dxa"/>
            <w:tcBorders>
              <w:top w:val="nil"/>
              <w:left w:val="nil"/>
              <w:bottom w:val="single" w:sz="4" w:space="0" w:color="auto"/>
              <w:right w:val="single" w:sz="4" w:space="0" w:color="auto"/>
            </w:tcBorders>
            <w:shd w:val="clear" w:color="auto" w:fill="auto"/>
            <w:vAlign w:val="center"/>
            <w:hideMark/>
          </w:tcPr>
          <w:p w14:paraId="2EB8CA8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w:t>
            </w:r>
          </w:p>
        </w:tc>
      </w:tr>
      <w:tr w:rsidR="00BC17A3" w:rsidRPr="00A546AD" w14:paraId="69F84E66"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7D5341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Malta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93D4F2C"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88</w:t>
            </w:r>
          </w:p>
        </w:tc>
        <w:tc>
          <w:tcPr>
            <w:tcW w:w="1126" w:type="dxa"/>
            <w:tcBorders>
              <w:top w:val="nil"/>
              <w:left w:val="nil"/>
              <w:bottom w:val="single" w:sz="4" w:space="0" w:color="auto"/>
              <w:right w:val="single" w:sz="4" w:space="0" w:color="auto"/>
            </w:tcBorders>
            <w:shd w:val="clear" w:color="auto" w:fill="auto"/>
            <w:vAlign w:val="center"/>
            <w:hideMark/>
          </w:tcPr>
          <w:p w14:paraId="7013278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w:t>
            </w:r>
          </w:p>
        </w:tc>
        <w:tc>
          <w:tcPr>
            <w:tcW w:w="1199" w:type="dxa"/>
            <w:tcBorders>
              <w:top w:val="nil"/>
              <w:left w:val="nil"/>
              <w:bottom w:val="single" w:sz="4" w:space="0" w:color="auto"/>
              <w:right w:val="single" w:sz="4" w:space="0" w:color="auto"/>
            </w:tcBorders>
            <w:shd w:val="clear" w:color="auto" w:fill="auto"/>
            <w:vAlign w:val="center"/>
            <w:hideMark/>
          </w:tcPr>
          <w:p w14:paraId="29DFFF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c>
          <w:tcPr>
            <w:tcW w:w="1321" w:type="dxa"/>
            <w:tcBorders>
              <w:top w:val="nil"/>
              <w:left w:val="nil"/>
              <w:bottom w:val="single" w:sz="4" w:space="0" w:color="auto"/>
              <w:right w:val="single" w:sz="4" w:space="0" w:color="auto"/>
            </w:tcBorders>
            <w:shd w:val="clear" w:color="auto" w:fill="auto"/>
            <w:vAlign w:val="center"/>
            <w:hideMark/>
          </w:tcPr>
          <w:p w14:paraId="116021C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w:t>
            </w:r>
          </w:p>
        </w:tc>
        <w:tc>
          <w:tcPr>
            <w:tcW w:w="1221" w:type="dxa"/>
            <w:tcBorders>
              <w:top w:val="nil"/>
              <w:left w:val="nil"/>
              <w:bottom w:val="single" w:sz="4" w:space="0" w:color="auto"/>
              <w:right w:val="single" w:sz="4" w:space="0" w:color="auto"/>
            </w:tcBorders>
            <w:shd w:val="clear" w:color="auto" w:fill="auto"/>
            <w:vAlign w:val="center"/>
            <w:hideMark/>
          </w:tcPr>
          <w:p w14:paraId="2FFBD2C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968" w:type="dxa"/>
            <w:tcBorders>
              <w:top w:val="nil"/>
              <w:left w:val="nil"/>
              <w:bottom w:val="single" w:sz="4" w:space="0" w:color="auto"/>
              <w:right w:val="single" w:sz="4" w:space="0" w:color="auto"/>
            </w:tcBorders>
            <w:shd w:val="clear" w:color="auto" w:fill="auto"/>
            <w:vAlign w:val="center"/>
            <w:hideMark/>
          </w:tcPr>
          <w:p w14:paraId="6AD1610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246" w:type="dxa"/>
            <w:tcBorders>
              <w:top w:val="nil"/>
              <w:left w:val="nil"/>
              <w:bottom w:val="single" w:sz="4" w:space="0" w:color="auto"/>
              <w:right w:val="single" w:sz="4" w:space="0" w:color="auto"/>
            </w:tcBorders>
            <w:shd w:val="clear" w:color="auto" w:fill="auto"/>
            <w:vAlign w:val="center"/>
            <w:hideMark/>
          </w:tcPr>
          <w:p w14:paraId="7D84096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1488" w:type="dxa"/>
            <w:tcBorders>
              <w:top w:val="nil"/>
              <w:left w:val="nil"/>
              <w:bottom w:val="single" w:sz="4" w:space="0" w:color="auto"/>
              <w:right w:val="single" w:sz="4" w:space="0" w:color="auto"/>
            </w:tcBorders>
            <w:shd w:val="clear" w:color="auto" w:fill="auto"/>
            <w:vAlign w:val="center"/>
            <w:hideMark/>
          </w:tcPr>
          <w:p w14:paraId="4D68C5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w:t>
            </w:r>
          </w:p>
        </w:tc>
        <w:tc>
          <w:tcPr>
            <w:tcW w:w="1374" w:type="dxa"/>
            <w:tcBorders>
              <w:top w:val="nil"/>
              <w:left w:val="nil"/>
              <w:bottom w:val="single" w:sz="4" w:space="0" w:color="auto"/>
              <w:right w:val="single" w:sz="4" w:space="0" w:color="auto"/>
            </w:tcBorders>
            <w:shd w:val="clear" w:color="auto" w:fill="auto"/>
            <w:vAlign w:val="center"/>
            <w:hideMark/>
          </w:tcPr>
          <w:p w14:paraId="476026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133" w:type="dxa"/>
            <w:tcBorders>
              <w:top w:val="nil"/>
              <w:left w:val="nil"/>
              <w:bottom w:val="single" w:sz="4" w:space="0" w:color="auto"/>
              <w:right w:val="single" w:sz="4" w:space="0" w:color="auto"/>
            </w:tcBorders>
            <w:shd w:val="clear" w:color="auto" w:fill="auto"/>
            <w:vAlign w:val="center"/>
            <w:hideMark/>
          </w:tcPr>
          <w:p w14:paraId="4EBEA60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41</w:t>
            </w:r>
          </w:p>
        </w:tc>
        <w:tc>
          <w:tcPr>
            <w:tcW w:w="306" w:type="dxa"/>
            <w:tcBorders>
              <w:top w:val="nil"/>
              <w:left w:val="nil"/>
              <w:bottom w:val="single" w:sz="4" w:space="0" w:color="auto"/>
              <w:right w:val="single" w:sz="4" w:space="0" w:color="auto"/>
            </w:tcBorders>
            <w:shd w:val="clear" w:color="auto" w:fill="auto"/>
            <w:vAlign w:val="center"/>
            <w:hideMark/>
          </w:tcPr>
          <w:p w14:paraId="02F41C8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121</w:t>
            </w:r>
          </w:p>
        </w:tc>
      </w:tr>
      <w:tr w:rsidR="00BC17A3" w:rsidRPr="00A546AD" w14:paraId="236C3D2E"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5E47E9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Bhutan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59D94809"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89</w:t>
            </w:r>
          </w:p>
        </w:tc>
        <w:tc>
          <w:tcPr>
            <w:tcW w:w="1126" w:type="dxa"/>
            <w:tcBorders>
              <w:top w:val="nil"/>
              <w:left w:val="nil"/>
              <w:bottom w:val="single" w:sz="4" w:space="0" w:color="auto"/>
              <w:right w:val="single" w:sz="4" w:space="0" w:color="auto"/>
            </w:tcBorders>
            <w:shd w:val="clear" w:color="auto" w:fill="auto"/>
            <w:vAlign w:val="center"/>
            <w:hideMark/>
          </w:tcPr>
          <w:p w14:paraId="7FAD71B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103</w:t>
            </w:r>
          </w:p>
        </w:tc>
        <w:tc>
          <w:tcPr>
            <w:tcW w:w="1199" w:type="dxa"/>
            <w:tcBorders>
              <w:top w:val="nil"/>
              <w:left w:val="nil"/>
              <w:bottom w:val="single" w:sz="4" w:space="0" w:color="auto"/>
              <w:right w:val="single" w:sz="4" w:space="0" w:color="auto"/>
            </w:tcBorders>
            <w:shd w:val="clear" w:color="auto" w:fill="auto"/>
            <w:vAlign w:val="center"/>
            <w:hideMark/>
          </w:tcPr>
          <w:p w14:paraId="3BF12BC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w:t>
            </w:r>
          </w:p>
        </w:tc>
        <w:tc>
          <w:tcPr>
            <w:tcW w:w="1321" w:type="dxa"/>
            <w:tcBorders>
              <w:top w:val="nil"/>
              <w:left w:val="nil"/>
              <w:bottom w:val="single" w:sz="4" w:space="0" w:color="auto"/>
              <w:right w:val="single" w:sz="4" w:space="0" w:color="auto"/>
            </w:tcBorders>
            <w:shd w:val="clear" w:color="auto" w:fill="auto"/>
            <w:vAlign w:val="center"/>
            <w:hideMark/>
          </w:tcPr>
          <w:p w14:paraId="2E29ACD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221" w:type="dxa"/>
            <w:tcBorders>
              <w:top w:val="nil"/>
              <w:left w:val="nil"/>
              <w:bottom w:val="single" w:sz="4" w:space="0" w:color="auto"/>
              <w:right w:val="single" w:sz="4" w:space="0" w:color="auto"/>
            </w:tcBorders>
            <w:shd w:val="clear" w:color="auto" w:fill="auto"/>
            <w:vAlign w:val="center"/>
            <w:hideMark/>
          </w:tcPr>
          <w:p w14:paraId="0FD8806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53</w:t>
            </w:r>
          </w:p>
        </w:tc>
        <w:tc>
          <w:tcPr>
            <w:tcW w:w="968" w:type="dxa"/>
            <w:tcBorders>
              <w:top w:val="nil"/>
              <w:left w:val="nil"/>
              <w:bottom w:val="single" w:sz="4" w:space="0" w:color="auto"/>
              <w:right w:val="single" w:sz="4" w:space="0" w:color="auto"/>
            </w:tcBorders>
            <w:shd w:val="clear" w:color="auto" w:fill="auto"/>
            <w:vAlign w:val="center"/>
            <w:hideMark/>
          </w:tcPr>
          <w:p w14:paraId="7FC205F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516CCB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111</w:t>
            </w:r>
          </w:p>
        </w:tc>
        <w:tc>
          <w:tcPr>
            <w:tcW w:w="1488" w:type="dxa"/>
            <w:tcBorders>
              <w:top w:val="nil"/>
              <w:left w:val="nil"/>
              <w:bottom w:val="single" w:sz="4" w:space="0" w:color="auto"/>
              <w:right w:val="single" w:sz="4" w:space="0" w:color="auto"/>
            </w:tcBorders>
            <w:shd w:val="clear" w:color="auto" w:fill="auto"/>
            <w:vAlign w:val="center"/>
            <w:hideMark/>
          </w:tcPr>
          <w:p w14:paraId="55CE5CA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374" w:type="dxa"/>
            <w:tcBorders>
              <w:top w:val="nil"/>
              <w:left w:val="nil"/>
              <w:bottom w:val="single" w:sz="4" w:space="0" w:color="auto"/>
              <w:right w:val="single" w:sz="4" w:space="0" w:color="auto"/>
            </w:tcBorders>
            <w:shd w:val="clear" w:color="auto" w:fill="auto"/>
            <w:vAlign w:val="center"/>
            <w:hideMark/>
          </w:tcPr>
          <w:p w14:paraId="68C4497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30</w:t>
            </w:r>
          </w:p>
        </w:tc>
        <w:tc>
          <w:tcPr>
            <w:tcW w:w="1133" w:type="dxa"/>
            <w:tcBorders>
              <w:top w:val="nil"/>
              <w:left w:val="nil"/>
              <w:bottom w:val="single" w:sz="4" w:space="0" w:color="auto"/>
              <w:right w:val="single" w:sz="4" w:space="0" w:color="auto"/>
            </w:tcBorders>
            <w:shd w:val="clear" w:color="auto" w:fill="auto"/>
            <w:vAlign w:val="center"/>
            <w:hideMark/>
          </w:tcPr>
          <w:p w14:paraId="4D43C7F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29</w:t>
            </w:r>
          </w:p>
        </w:tc>
        <w:tc>
          <w:tcPr>
            <w:tcW w:w="306" w:type="dxa"/>
            <w:tcBorders>
              <w:top w:val="nil"/>
              <w:left w:val="nil"/>
              <w:bottom w:val="single" w:sz="4" w:space="0" w:color="auto"/>
              <w:right w:val="single" w:sz="4" w:space="0" w:color="auto"/>
            </w:tcBorders>
            <w:shd w:val="clear" w:color="auto" w:fill="auto"/>
            <w:vAlign w:val="center"/>
            <w:hideMark/>
          </w:tcPr>
          <w:p w14:paraId="3C5BA8E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0FDF5102"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A73C03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Bosnia</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and</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Herzegovina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5A1C1C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90</w:t>
            </w:r>
          </w:p>
        </w:tc>
        <w:tc>
          <w:tcPr>
            <w:tcW w:w="1126" w:type="dxa"/>
            <w:tcBorders>
              <w:top w:val="nil"/>
              <w:left w:val="nil"/>
              <w:bottom w:val="single" w:sz="4" w:space="0" w:color="auto"/>
              <w:right w:val="single" w:sz="4" w:space="0" w:color="auto"/>
            </w:tcBorders>
            <w:shd w:val="clear" w:color="auto" w:fill="auto"/>
            <w:vAlign w:val="center"/>
            <w:hideMark/>
          </w:tcPr>
          <w:p w14:paraId="79944AF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184</w:t>
            </w:r>
          </w:p>
        </w:tc>
        <w:tc>
          <w:tcPr>
            <w:tcW w:w="1199" w:type="dxa"/>
            <w:tcBorders>
              <w:top w:val="nil"/>
              <w:left w:val="nil"/>
              <w:bottom w:val="single" w:sz="4" w:space="0" w:color="auto"/>
              <w:right w:val="single" w:sz="4" w:space="0" w:color="auto"/>
            </w:tcBorders>
            <w:shd w:val="clear" w:color="auto" w:fill="auto"/>
            <w:vAlign w:val="center"/>
            <w:hideMark/>
          </w:tcPr>
          <w:p w14:paraId="490D6EE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173</w:t>
            </w:r>
          </w:p>
        </w:tc>
        <w:tc>
          <w:tcPr>
            <w:tcW w:w="1321" w:type="dxa"/>
            <w:tcBorders>
              <w:top w:val="nil"/>
              <w:left w:val="nil"/>
              <w:bottom w:val="single" w:sz="4" w:space="0" w:color="auto"/>
              <w:right w:val="single" w:sz="4" w:space="0" w:color="auto"/>
            </w:tcBorders>
            <w:shd w:val="clear" w:color="auto" w:fill="auto"/>
            <w:vAlign w:val="center"/>
            <w:hideMark/>
          </w:tcPr>
          <w:p w14:paraId="236467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w:t>
            </w:r>
          </w:p>
        </w:tc>
        <w:tc>
          <w:tcPr>
            <w:tcW w:w="1221" w:type="dxa"/>
            <w:tcBorders>
              <w:top w:val="nil"/>
              <w:left w:val="nil"/>
              <w:bottom w:val="single" w:sz="4" w:space="0" w:color="auto"/>
              <w:right w:val="single" w:sz="4" w:space="0" w:color="auto"/>
            </w:tcBorders>
            <w:shd w:val="clear" w:color="auto" w:fill="auto"/>
            <w:vAlign w:val="center"/>
            <w:hideMark/>
          </w:tcPr>
          <w:p w14:paraId="5DD6888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w:t>
            </w:r>
          </w:p>
        </w:tc>
        <w:tc>
          <w:tcPr>
            <w:tcW w:w="968" w:type="dxa"/>
            <w:tcBorders>
              <w:top w:val="nil"/>
              <w:left w:val="nil"/>
              <w:bottom w:val="single" w:sz="4" w:space="0" w:color="auto"/>
              <w:right w:val="single" w:sz="4" w:space="0" w:color="auto"/>
            </w:tcBorders>
            <w:shd w:val="clear" w:color="auto" w:fill="auto"/>
            <w:vAlign w:val="center"/>
            <w:hideMark/>
          </w:tcPr>
          <w:p w14:paraId="0A408D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698D5E8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488" w:type="dxa"/>
            <w:tcBorders>
              <w:top w:val="nil"/>
              <w:left w:val="nil"/>
              <w:bottom w:val="single" w:sz="4" w:space="0" w:color="auto"/>
              <w:right w:val="single" w:sz="4" w:space="0" w:color="auto"/>
            </w:tcBorders>
            <w:shd w:val="clear" w:color="auto" w:fill="auto"/>
            <w:vAlign w:val="center"/>
            <w:hideMark/>
          </w:tcPr>
          <w:p w14:paraId="6F70EF9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141</w:t>
            </w:r>
          </w:p>
        </w:tc>
        <w:tc>
          <w:tcPr>
            <w:tcW w:w="1374" w:type="dxa"/>
            <w:tcBorders>
              <w:top w:val="nil"/>
              <w:left w:val="nil"/>
              <w:bottom w:val="single" w:sz="4" w:space="0" w:color="auto"/>
              <w:right w:val="single" w:sz="4" w:space="0" w:color="auto"/>
            </w:tcBorders>
            <w:shd w:val="clear" w:color="auto" w:fill="auto"/>
            <w:vAlign w:val="center"/>
            <w:hideMark/>
          </w:tcPr>
          <w:p w14:paraId="5AA509D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27</w:t>
            </w:r>
          </w:p>
        </w:tc>
        <w:tc>
          <w:tcPr>
            <w:tcW w:w="1133" w:type="dxa"/>
            <w:tcBorders>
              <w:top w:val="nil"/>
              <w:left w:val="nil"/>
              <w:bottom w:val="single" w:sz="4" w:space="0" w:color="auto"/>
              <w:right w:val="single" w:sz="4" w:space="0" w:color="auto"/>
            </w:tcBorders>
            <w:shd w:val="clear" w:color="auto" w:fill="auto"/>
            <w:vAlign w:val="center"/>
            <w:hideMark/>
          </w:tcPr>
          <w:p w14:paraId="087752C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w:t>
            </w:r>
          </w:p>
        </w:tc>
        <w:tc>
          <w:tcPr>
            <w:tcW w:w="306" w:type="dxa"/>
            <w:tcBorders>
              <w:top w:val="nil"/>
              <w:left w:val="nil"/>
              <w:bottom w:val="single" w:sz="4" w:space="0" w:color="auto"/>
              <w:right w:val="single" w:sz="4" w:space="0" w:color="auto"/>
            </w:tcBorders>
            <w:shd w:val="clear" w:color="auto" w:fill="auto"/>
            <w:vAlign w:val="center"/>
            <w:hideMark/>
          </w:tcPr>
          <w:p w14:paraId="64AE5AD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r>
      <w:tr w:rsidR="00BC17A3" w:rsidRPr="00A546AD" w14:paraId="1E854D8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53372F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El </w:t>
            </w:r>
            <w:proofErr w:type="spellStart"/>
            <w:r w:rsidRPr="00A546AD">
              <w:rPr>
                <w:rFonts w:ascii="Times New Roman" w:eastAsia="Times New Roman" w:hAnsi="Times New Roman" w:cs="Times New Roman"/>
                <w:sz w:val="20"/>
                <w:szCs w:val="20"/>
                <w:lang w:val="ru-RU" w:eastAsia="ru-RU" w:bidi="ar-SA"/>
              </w:rPr>
              <w:t>Salvador</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1CE8B9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91</w:t>
            </w:r>
          </w:p>
        </w:tc>
        <w:tc>
          <w:tcPr>
            <w:tcW w:w="1126" w:type="dxa"/>
            <w:tcBorders>
              <w:top w:val="nil"/>
              <w:left w:val="nil"/>
              <w:bottom w:val="single" w:sz="4" w:space="0" w:color="auto"/>
              <w:right w:val="single" w:sz="4" w:space="0" w:color="auto"/>
            </w:tcBorders>
            <w:shd w:val="clear" w:color="auto" w:fill="auto"/>
            <w:vAlign w:val="center"/>
            <w:hideMark/>
          </w:tcPr>
          <w:p w14:paraId="0BCE884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148</w:t>
            </w:r>
          </w:p>
        </w:tc>
        <w:tc>
          <w:tcPr>
            <w:tcW w:w="1199" w:type="dxa"/>
            <w:tcBorders>
              <w:top w:val="nil"/>
              <w:left w:val="nil"/>
              <w:bottom w:val="single" w:sz="4" w:space="0" w:color="auto"/>
              <w:right w:val="single" w:sz="4" w:space="0" w:color="auto"/>
            </w:tcBorders>
            <w:shd w:val="clear" w:color="auto" w:fill="auto"/>
            <w:vAlign w:val="center"/>
            <w:hideMark/>
          </w:tcPr>
          <w:p w14:paraId="0D4F1D3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c>
          <w:tcPr>
            <w:tcW w:w="1321" w:type="dxa"/>
            <w:tcBorders>
              <w:top w:val="nil"/>
              <w:left w:val="nil"/>
              <w:bottom w:val="single" w:sz="4" w:space="0" w:color="auto"/>
              <w:right w:val="single" w:sz="4" w:space="0" w:color="auto"/>
            </w:tcBorders>
            <w:shd w:val="clear" w:color="auto" w:fill="auto"/>
            <w:vAlign w:val="center"/>
            <w:hideMark/>
          </w:tcPr>
          <w:p w14:paraId="2F21299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w:t>
            </w:r>
          </w:p>
        </w:tc>
        <w:tc>
          <w:tcPr>
            <w:tcW w:w="1221" w:type="dxa"/>
            <w:tcBorders>
              <w:top w:val="nil"/>
              <w:left w:val="nil"/>
              <w:bottom w:val="single" w:sz="4" w:space="0" w:color="auto"/>
              <w:right w:val="single" w:sz="4" w:space="0" w:color="auto"/>
            </w:tcBorders>
            <w:shd w:val="clear" w:color="auto" w:fill="auto"/>
            <w:vAlign w:val="center"/>
            <w:hideMark/>
          </w:tcPr>
          <w:p w14:paraId="26445DF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968" w:type="dxa"/>
            <w:tcBorders>
              <w:top w:val="nil"/>
              <w:left w:val="nil"/>
              <w:bottom w:val="single" w:sz="4" w:space="0" w:color="auto"/>
              <w:right w:val="single" w:sz="4" w:space="0" w:color="auto"/>
            </w:tcBorders>
            <w:shd w:val="clear" w:color="auto" w:fill="auto"/>
            <w:vAlign w:val="center"/>
            <w:hideMark/>
          </w:tcPr>
          <w:p w14:paraId="27D4BE3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279231C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140</w:t>
            </w:r>
          </w:p>
        </w:tc>
        <w:tc>
          <w:tcPr>
            <w:tcW w:w="1488" w:type="dxa"/>
            <w:tcBorders>
              <w:top w:val="nil"/>
              <w:left w:val="nil"/>
              <w:bottom w:val="single" w:sz="4" w:space="0" w:color="auto"/>
              <w:right w:val="single" w:sz="4" w:space="0" w:color="auto"/>
            </w:tcBorders>
            <w:shd w:val="clear" w:color="auto" w:fill="auto"/>
            <w:vAlign w:val="center"/>
            <w:hideMark/>
          </w:tcPr>
          <w:p w14:paraId="2E8B709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w:t>
            </w:r>
          </w:p>
        </w:tc>
        <w:tc>
          <w:tcPr>
            <w:tcW w:w="1374" w:type="dxa"/>
            <w:tcBorders>
              <w:top w:val="nil"/>
              <w:left w:val="nil"/>
              <w:bottom w:val="single" w:sz="4" w:space="0" w:color="auto"/>
              <w:right w:val="single" w:sz="4" w:space="0" w:color="auto"/>
            </w:tcBorders>
            <w:shd w:val="clear" w:color="auto" w:fill="auto"/>
            <w:vAlign w:val="center"/>
            <w:hideMark/>
          </w:tcPr>
          <w:p w14:paraId="366A07A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w:t>
            </w:r>
          </w:p>
        </w:tc>
        <w:tc>
          <w:tcPr>
            <w:tcW w:w="1133" w:type="dxa"/>
            <w:tcBorders>
              <w:top w:val="nil"/>
              <w:left w:val="nil"/>
              <w:bottom w:val="single" w:sz="4" w:space="0" w:color="auto"/>
              <w:right w:val="single" w:sz="4" w:space="0" w:color="auto"/>
            </w:tcBorders>
            <w:shd w:val="clear" w:color="auto" w:fill="auto"/>
            <w:vAlign w:val="center"/>
            <w:hideMark/>
          </w:tcPr>
          <w:p w14:paraId="1CB536A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126</w:t>
            </w:r>
          </w:p>
        </w:tc>
        <w:tc>
          <w:tcPr>
            <w:tcW w:w="306" w:type="dxa"/>
            <w:tcBorders>
              <w:top w:val="nil"/>
              <w:left w:val="nil"/>
              <w:bottom w:val="single" w:sz="4" w:space="0" w:color="auto"/>
              <w:right w:val="single" w:sz="4" w:space="0" w:color="auto"/>
            </w:tcBorders>
            <w:shd w:val="clear" w:color="auto" w:fill="auto"/>
            <w:vAlign w:val="center"/>
            <w:hideMark/>
          </w:tcPr>
          <w:p w14:paraId="6EFDED4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r>
      <w:tr w:rsidR="00BC17A3" w:rsidRPr="00A546AD" w14:paraId="1CB4D02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AFC3AD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St. </w:t>
            </w:r>
            <w:proofErr w:type="spellStart"/>
            <w:r w:rsidRPr="00A546AD">
              <w:rPr>
                <w:rFonts w:ascii="Times New Roman" w:eastAsia="Times New Roman" w:hAnsi="Times New Roman" w:cs="Times New Roman"/>
                <w:sz w:val="20"/>
                <w:szCs w:val="20"/>
                <w:lang w:val="ru-RU" w:eastAsia="ru-RU" w:bidi="ar-SA"/>
              </w:rPr>
              <w:t>Lucia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96A1B2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92</w:t>
            </w:r>
          </w:p>
        </w:tc>
        <w:tc>
          <w:tcPr>
            <w:tcW w:w="1126" w:type="dxa"/>
            <w:tcBorders>
              <w:top w:val="nil"/>
              <w:left w:val="nil"/>
              <w:bottom w:val="single" w:sz="4" w:space="0" w:color="auto"/>
              <w:right w:val="single" w:sz="4" w:space="0" w:color="auto"/>
            </w:tcBorders>
            <w:shd w:val="clear" w:color="auto" w:fill="auto"/>
            <w:vAlign w:val="center"/>
            <w:hideMark/>
          </w:tcPr>
          <w:p w14:paraId="36A17B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w:t>
            </w:r>
          </w:p>
        </w:tc>
        <w:tc>
          <w:tcPr>
            <w:tcW w:w="1199" w:type="dxa"/>
            <w:tcBorders>
              <w:top w:val="nil"/>
              <w:left w:val="nil"/>
              <w:bottom w:val="single" w:sz="4" w:space="0" w:color="auto"/>
              <w:right w:val="single" w:sz="4" w:space="0" w:color="auto"/>
            </w:tcBorders>
            <w:shd w:val="clear" w:color="auto" w:fill="auto"/>
            <w:vAlign w:val="center"/>
            <w:hideMark/>
          </w:tcPr>
          <w:p w14:paraId="6C19CA6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38</w:t>
            </w:r>
          </w:p>
        </w:tc>
        <w:tc>
          <w:tcPr>
            <w:tcW w:w="1321" w:type="dxa"/>
            <w:tcBorders>
              <w:top w:val="nil"/>
              <w:left w:val="nil"/>
              <w:bottom w:val="single" w:sz="4" w:space="0" w:color="auto"/>
              <w:right w:val="single" w:sz="4" w:space="0" w:color="auto"/>
            </w:tcBorders>
            <w:shd w:val="clear" w:color="auto" w:fill="auto"/>
            <w:vAlign w:val="center"/>
            <w:hideMark/>
          </w:tcPr>
          <w:p w14:paraId="34772B6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c>
          <w:tcPr>
            <w:tcW w:w="1221" w:type="dxa"/>
            <w:tcBorders>
              <w:top w:val="nil"/>
              <w:left w:val="nil"/>
              <w:bottom w:val="single" w:sz="4" w:space="0" w:color="auto"/>
              <w:right w:val="single" w:sz="4" w:space="0" w:color="auto"/>
            </w:tcBorders>
            <w:shd w:val="clear" w:color="auto" w:fill="auto"/>
            <w:vAlign w:val="center"/>
            <w:hideMark/>
          </w:tcPr>
          <w:p w14:paraId="5AC8379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107</w:t>
            </w:r>
          </w:p>
        </w:tc>
        <w:tc>
          <w:tcPr>
            <w:tcW w:w="968" w:type="dxa"/>
            <w:tcBorders>
              <w:top w:val="nil"/>
              <w:left w:val="nil"/>
              <w:bottom w:val="single" w:sz="4" w:space="0" w:color="auto"/>
              <w:right w:val="single" w:sz="4" w:space="0" w:color="auto"/>
            </w:tcBorders>
            <w:shd w:val="clear" w:color="auto" w:fill="auto"/>
            <w:vAlign w:val="center"/>
            <w:hideMark/>
          </w:tcPr>
          <w:p w14:paraId="4E08EE9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246" w:type="dxa"/>
            <w:tcBorders>
              <w:top w:val="nil"/>
              <w:left w:val="nil"/>
              <w:bottom w:val="single" w:sz="4" w:space="0" w:color="auto"/>
              <w:right w:val="single" w:sz="4" w:space="0" w:color="auto"/>
            </w:tcBorders>
            <w:shd w:val="clear" w:color="auto" w:fill="auto"/>
            <w:vAlign w:val="center"/>
            <w:hideMark/>
          </w:tcPr>
          <w:p w14:paraId="47B6488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488" w:type="dxa"/>
            <w:tcBorders>
              <w:top w:val="nil"/>
              <w:left w:val="nil"/>
              <w:bottom w:val="single" w:sz="4" w:space="0" w:color="auto"/>
              <w:right w:val="single" w:sz="4" w:space="0" w:color="auto"/>
            </w:tcBorders>
            <w:shd w:val="clear" w:color="auto" w:fill="auto"/>
            <w:vAlign w:val="center"/>
            <w:hideMark/>
          </w:tcPr>
          <w:p w14:paraId="370896C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w:t>
            </w:r>
          </w:p>
        </w:tc>
        <w:tc>
          <w:tcPr>
            <w:tcW w:w="1374" w:type="dxa"/>
            <w:tcBorders>
              <w:top w:val="nil"/>
              <w:left w:val="nil"/>
              <w:bottom w:val="single" w:sz="4" w:space="0" w:color="auto"/>
              <w:right w:val="single" w:sz="4" w:space="0" w:color="auto"/>
            </w:tcBorders>
            <w:shd w:val="clear" w:color="auto" w:fill="auto"/>
            <w:vAlign w:val="center"/>
            <w:hideMark/>
          </w:tcPr>
          <w:p w14:paraId="5F8CBA7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w:t>
            </w:r>
          </w:p>
        </w:tc>
        <w:tc>
          <w:tcPr>
            <w:tcW w:w="1133" w:type="dxa"/>
            <w:tcBorders>
              <w:top w:val="nil"/>
              <w:left w:val="nil"/>
              <w:bottom w:val="single" w:sz="4" w:space="0" w:color="auto"/>
              <w:right w:val="single" w:sz="4" w:space="0" w:color="auto"/>
            </w:tcBorders>
            <w:shd w:val="clear" w:color="auto" w:fill="auto"/>
            <w:vAlign w:val="center"/>
            <w:hideMark/>
          </w:tcPr>
          <w:p w14:paraId="34DB2CB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306" w:type="dxa"/>
            <w:tcBorders>
              <w:top w:val="nil"/>
              <w:left w:val="nil"/>
              <w:bottom w:val="single" w:sz="4" w:space="0" w:color="auto"/>
              <w:right w:val="single" w:sz="4" w:space="0" w:color="auto"/>
            </w:tcBorders>
            <w:shd w:val="clear" w:color="auto" w:fill="auto"/>
            <w:vAlign w:val="center"/>
            <w:hideMark/>
          </w:tcPr>
          <w:p w14:paraId="574F6A7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131</w:t>
            </w:r>
          </w:p>
        </w:tc>
      </w:tr>
      <w:tr w:rsidR="00BC17A3" w:rsidRPr="00A546AD" w14:paraId="694A98D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FA1DEA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Nepal</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5FE783E2"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93</w:t>
            </w:r>
          </w:p>
        </w:tc>
        <w:tc>
          <w:tcPr>
            <w:tcW w:w="1126" w:type="dxa"/>
            <w:tcBorders>
              <w:top w:val="nil"/>
              <w:left w:val="nil"/>
              <w:bottom w:val="single" w:sz="4" w:space="0" w:color="auto"/>
              <w:right w:val="single" w:sz="4" w:space="0" w:color="auto"/>
            </w:tcBorders>
            <w:shd w:val="clear" w:color="auto" w:fill="auto"/>
            <w:vAlign w:val="center"/>
            <w:hideMark/>
          </w:tcPr>
          <w:p w14:paraId="4FBB5F6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135</w:t>
            </w:r>
          </w:p>
        </w:tc>
        <w:tc>
          <w:tcPr>
            <w:tcW w:w="1199" w:type="dxa"/>
            <w:tcBorders>
              <w:top w:val="nil"/>
              <w:left w:val="nil"/>
              <w:bottom w:val="single" w:sz="4" w:space="0" w:color="auto"/>
              <w:right w:val="single" w:sz="4" w:space="0" w:color="auto"/>
            </w:tcBorders>
            <w:shd w:val="clear" w:color="auto" w:fill="auto"/>
            <w:vAlign w:val="center"/>
            <w:hideMark/>
          </w:tcPr>
          <w:p w14:paraId="6248A8C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107</w:t>
            </w:r>
          </w:p>
        </w:tc>
        <w:tc>
          <w:tcPr>
            <w:tcW w:w="1321" w:type="dxa"/>
            <w:tcBorders>
              <w:top w:val="nil"/>
              <w:left w:val="nil"/>
              <w:bottom w:val="single" w:sz="4" w:space="0" w:color="auto"/>
              <w:right w:val="single" w:sz="4" w:space="0" w:color="auto"/>
            </w:tcBorders>
            <w:shd w:val="clear" w:color="auto" w:fill="auto"/>
            <w:vAlign w:val="center"/>
            <w:hideMark/>
          </w:tcPr>
          <w:p w14:paraId="187F75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135</w:t>
            </w:r>
          </w:p>
        </w:tc>
        <w:tc>
          <w:tcPr>
            <w:tcW w:w="1221" w:type="dxa"/>
            <w:tcBorders>
              <w:top w:val="nil"/>
              <w:left w:val="nil"/>
              <w:bottom w:val="single" w:sz="4" w:space="0" w:color="auto"/>
              <w:right w:val="single" w:sz="4" w:space="0" w:color="auto"/>
            </w:tcBorders>
            <w:shd w:val="clear" w:color="auto" w:fill="auto"/>
            <w:vAlign w:val="center"/>
            <w:hideMark/>
          </w:tcPr>
          <w:p w14:paraId="6CB9FA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968" w:type="dxa"/>
            <w:tcBorders>
              <w:top w:val="nil"/>
              <w:left w:val="nil"/>
              <w:bottom w:val="single" w:sz="4" w:space="0" w:color="auto"/>
              <w:right w:val="single" w:sz="4" w:space="0" w:color="auto"/>
            </w:tcBorders>
            <w:shd w:val="clear" w:color="auto" w:fill="auto"/>
            <w:vAlign w:val="center"/>
            <w:hideMark/>
          </w:tcPr>
          <w:p w14:paraId="35DBCDA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46" w:type="dxa"/>
            <w:tcBorders>
              <w:top w:val="nil"/>
              <w:left w:val="nil"/>
              <w:bottom w:val="single" w:sz="4" w:space="0" w:color="auto"/>
              <w:right w:val="single" w:sz="4" w:space="0" w:color="auto"/>
            </w:tcBorders>
            <w:shd w:val="clear" w:color="auto" w:fill="auto"/>
            <w:vAlign w:val="center"/>
            <w:hideMark/>
          </w:tcPr>
          <w:p w14:paraId="4C6C859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488" w:type="dxa"/>
            <w:tcBorders>
              <w:top w:val="nil"/>
              <w:left w:val="nil"/>
              <w:bottom w:val="single" w:sz="4" w:space="0" w:color="auto"/>
              <w:right w:val="single" w:sz="4" w:space="0" w:color="auto"/>
            </w:tcBorders>
            <w:shd w:val="clear" w:color="auto" w:fill="auto"/>
            <w:vAlign w:val="center"/>
            <w:hideMark/>
          </w:tcPr>
          <w:p w14:paraId="7A4E8FA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175</w:t>
            </w:r>
          </w:p>
        </w:tc>
        <w:tc>
          <w:tcPr>
            <w:tcW w:w="1374" w:type="dxa"/>
            <w:tcBorders>
              <w:top w:val="nil"/>
              <w:left w:val="nil"/>
              <w:bottom w:val="single" w:sz="4" w:space="0" w:color="auto"/>
              <w:right w:val="single" w:sz="4" w:space="0" w:color="auto"/>
            </w:tcBorders>
            <w:shd w:val="clear" w:color="auto" w:fill="auto"/>
            <w:vAlign w:val="center"/>
            <w:hideMark/>
          </w:tcPr>
          <w:p w14:paraId="32E90B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w:t>
            </w:r>
          </w:p>
        </w:tc>
        <w:tc>
          <w:tcPr>
            <w:tcW w:w="1133" w:type="dxa"/>
            <w:tcBorders>
              <w:top w:val="nil"/>
              <w:left w:val="nil"/>
              <w:bottom w:val="single" w:sz="4" w:space="0" w:color="auto"/>
              <w:right w:val="single" w:sz="4" w:space="0" w:color="auto"/>
            </w:tcBorders>
            <w:shd w:val="clear" w:color="auto" w:fill="auto"/>
            <w:vAlign w:val="center"/>
            <w:hideMark/>
          </w:tcPr>
          <w:p w14:paraId="315D8DC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151</w:t>
            </w:r>
          </w:p>
        </w:tc>
        <w:tc>
          <w:tcPr>
            <w:tcW w:w="306" w:type="dxa"/>
            <w:tcBorders>
              <w:top w:val="nil"/>
              <w:left w:val="nil"/>
              <w:bottom w:val="single" w:sz="4" w:space="0" w:color="auto"/>
              <w:right w:val="single" w:sz="4" w:space="0" w:color="auto"/>
            </w:tcBorders>
            <w:shd w:val="clear" w:color="auto" w:fill="auto"/>
            <w:vAlign w:val="center"/>
            <w:hideMark/>
          </w:tcPr>
          <w:p w14:paraId="6D15682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w:t>
            </w:r>
          </w:p>
        </w:tc>
      </w:tr>
      <w:tr w:rsidR="00BC17A3" w:rsidRPr="00A546AD" w14:paraId="77994D8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DD6016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Philippines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60117C6"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94</w:t>
            </w:r>
          </w:p>
        </w:tc>
        <w:tc>
          <w:tcPr>
            <w:tcW w:w="1126" w:type="dxa"/>
            <w:tcBorders>
              <w:top w:val="nil"/>
              <w:left w:val="nil"/>
              <w:bottom w:val="single" w:sz="4" w:space="0" w:color="auto"/>
              <w:right w:val="single" w:sz="4" w:space="0" w:color="auto"/>
            </w:tcBorders>
            <w:shd w:val="clear" w:color="auto" w:fill="auto"/>
            <w:vAlign w:val="center"/>
            <w:hideMark/>
          </w:tcPr>
          <w:p w14:paraId="32F9DFD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171</w:t>
            </w:r>
          </w:p>
        </w:tc>
        <w:tc>
          <w:tcPr>
            <w:tcW w:w="1199" w:type="dxa"/>
            <w:tcBorders>
              <w:top w:val="nil"/>
              <w:left w:val="nil"/>
              <w:bottom w:val="single" w:sz="4" w:space="0" w:color="auto"/>
              <w:right w:val="single" w:sz="4" w:space="0" w:color="auto"/>
            </w:tcBorders>
            <w:shd w:val="clear" w:color="auto" w:fill="auto"/>
            <w:vAlign w:val="center"/>
            <w:hideMark/>
          </w:tcPr>
          <w:p w14:paraId="370E38C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w:t>
            </w:r>
          </w:p>
        </w:tc>
        <w:tc>
          <w:tcPr>
            <w:tcW w:w="1321" w:type="dxa"/>
            <w:tcBorders>
              <w:top w:val="nil"/>
              <w:left w:val="nil"/>
              <w:bottom w:val="single" w:sz="4" w:space="0" w:color="auto"/>
              <w:right w:val="single" w:sz="4" w:space="0" w:color="auto"/>
            </w:tcBorders>
            <w:shd w:val="clear" w:color="auto" w:fill="auto"/>
            <w:vAlign w:val="center"/>
            <w:hideMark/>
          </w:tcPr>
          <w:p w14:paraId="37A581D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32</w:t>
            </w:r>
          </w:p>
        </w:tc>
        <w:tc>
          <w:tcPr>
            <w:tcW w:w="1221" w:type="dxa"/>
            <w:tcBorders>
              <w:top w:val="nil"/>
              <w:left w:val="nil"/>
              <w:bottom w:val="single" w:sz="4" w:space="0" w:color="auto"/>
              <w:right w:val="single" w:sz="4" w:space="0" w:color="auto"/>
            </w:tcBorders>
            <w:shd w:val="clear" w:color="auto" w:fill="auto"/>
            <w:vAlign w:val="center"/>
            <w:hideMark/>
          </w:tcPr>
          <w:p w14:paraId="6373C50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968" w:type="dxa"/>
            <w:tcBorders>
              <w:top w:val="nil"/>
              <w:left w:val="nil"/>
              <w:bottom w:val="single" w:sz="4" w:space="0" w:color="auto"/>
              <w:right w:val="single" w:sz="4" w:space="0" w:color="auto"/>
            </w:tcBorders>
            <w:shd w:val="clear" w:color="auto" w:fill="auto"/>
            <w:vAlign w:val="center"/>
            <w:hideMark/>
          </w:tcPr>
          <w:p w14:paraId="6B59FA1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75DC948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488" w:type="dxa"/>
            <w:tcBorders>
              <w:top w:val="nil"/>
              <w:left w:val="nil"/>
              <w:bottom w:val="single" w:sz="4" w:space="0" w:color="auto"/>
              <w:right w:val="single" w:sz="4" w:space="0" w:color="auto"/>
            </w:tcBorders>
            <w:shd w:val="clear" w:color="auto" w:fill="auto"/>
            <w:vAlign w:val="center"/>
            <w:hideMark/>
          </w:tcPr>
          <w:p w14:paraId="2A3A09C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w:t>
            </w:r>
          </w:p>
        </w:tc>
        <w:tc>
          <w:tcPr>
            <w:tcW w:w="1374" w:type="dxa"/>
            <w:tcBorders>
              <w:top w:val="nil"/>
              <w:left w:val="nil"/>
              <w:bottom w:val="single" w:sz="4" w:space="0" w:color="auto"/>
              <w:right w:val="single" w:sz="4" w:space="0" w:color="auto"/>
            </w:tcBorders>
            <w:shd w:val="clear" w:color="auto" w:fill="auto"/>
            <w:vAlign w:val="center"/>
            <w:hideMark/>
          </w:tcPr>
          <w:p w14:paraId="0F960D4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113</w:t>
            </w:r>
          </w:p>
        </w:tc>
        <w:tc>
          <w:tcPr>
            <w:tcW w:w="1133" w:type="dxa"/>
            <w:tcBorders>
              <w:top w:val="nil"/>
              <w:left w:val="nil"/>
              <w:bottom w:val="single" w:sz="4" w:space="0" w:color="auto"/>
              <w:right w:val="single" w:sz="4" w:space="0" w:color="auto"/>
            </w:tcBorders>
            <w:shd w:val="clear" w:color="auto" w:fill="auto"/>
            <w:vAlign w:val="center"/>
            <w:hideMark/>
          </w:tcPr>
          <w:p w14:paraId="0A8946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306" w:type="dxa"/>
            <w:tcBorders>
              <w:top w:val="nil"/>
              <w:left w:val="nil"/>
              <w:bottom w:val="single" w:sz="4" w:space="0" w:color="auto"/>
              <w:right w:val="single" w:sz="4" w:space="0" w:color="auto"/>
            </w:tcBorders>
            <w:shd w:val="clear" w:color="auto" w:fill="auto"/>
            <w:vAlign w:val="center"/>
            <w:hideMark/>
          </w:tcPr>
          <w:p w14:paraId="4F5E81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w:t>
            </w:r>
          </w:p>
        </w:tc>
      </w:tr>
      <w:tr w:rsidR="00BC17A3" w:rsidRPr="00A546AD" w14:paraId="42E118F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F3F2C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Guatemala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58F6E6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95</w:t>
            </w:r>
          </w:p>
        </w:tc>
        <w:tc>
          <w:tcPr>
            <w:tcW w:w="1126" w:type="dxa"/>
            <w:tcBorders>
              <w:top w:val="nil"/>
              <w:left w:val="nil"/>
              <w:bottom w:val="single" w:sz="4" w:space="0" w:color="auto"/>
              <w:right w:val="single" w:sz="4" w:space="0" w:color="auto"/>
            </w:tcBorders>
            <w:shd w:val="clear" w:color="auto" w:fill="auto"/>
            <w:vAlign w:val="center"/>
            <w:hideMark/>
          </w:tcPr>
          <w:p w14:paraId="2A8A4E8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w:t>
            </w:r>
          </w:p>
        </w:tc>
        <w:tc>
          <w:tcPr>
            <w:tcW w:w="1199" w:type="dxa"/>
            <w:tcBorders>
              <w:top w:val="nil"/>
              <w:left w:val="nil"/>
              <w:bottom w:val="single" w:sz="4" w:space="0" w:color="auto"/>
              <w:right w:val="single" w:sz="4" w:space="0" w:color="auto"/>
            </w:tcBorders>
            <w:shd w:val="clear" w:color="auto" w:fill="auto"/>
            <w:vAlign w:val="center"/>
            <w:hideMark/>
          </w:tcPr>
          <w:p w14:paraId="16F2D8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118</w:t>
            </w:r>
          </w:p>
        </w:tc>
        <w:tc>
          <w:tcPr>
            <w:tcW w:w="1321" w:type="dxa"/>
            <w:tcBorders>
              <w:top w:val="nil"/>
              <w:left w:val="nil"/>
              <w:bottom w:val="single" w:sz="4" w:space="0" w:color="auto"/>
              <w:right w:val="single" w:sz="4" w:space="0" w:color="auto"/>
            </w:tcBorders>
            <w:shd w:val="clear" w:color="auto" w:fill="auto"/>
            <w:vAlign w:val="center"/>
            <w:hideMark/>
          </w:tcPr>
          <w:p w14:paraId="7D5BEEF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47</w:t>
            </w:r>
          </w:p>
        </w:tc>
        <w:tc>
          <w:tcPr>
            <w:tcW w:w="1221" w:type="dxa"/>
            <w:tcBorders>
              <w:top w:val="nil"/>
              <w:left w:val="nil"/>
              <w:bottom w:val="single" w:sz="4" w:space="0" w:color="auto"/>
              <w:right w:val="single" w:sz="4" w:space="0" w:color="auto"/>
            </w:tcBorders>
            <w:shd w:val="clear" w:color="auto" w:fill="auto"/>
            <w:vAlign w:val="center"/>
            <w:hideMark/>
          </w:tcPr>
          <w:p w14:paraId="4AEC6C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w:t>
            </w:r>
          </w:p>
        </w:tc>
        <w:tc>
          <w:tcPr>
            <w:tcW w:w="968" w:type="dxa"/>
            <w:tcBorders>
              <w:top w:val="nil"/>
              <w:left w:val="nil"/>
              <w:bottom w:val="single" w:sz="4" w:space="0" w:color="auto"/>
              <w:right w:val="single" w:sz="4" w:space="0" w:color="auto"/>
            </w:tcBorders>
            <w:shd w:val="clear" w:color="auto" w:fill="auto"/>
            <w:vAlign w:val="center"/>
            <w:hideMark/>
          </w:tcPr>
          <w:p w14:paraId="6B07751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246" w:type="dxa"/>
            <w:tcBorders>
              <w:top w:val="nil"/>
              <w:left w:val="nil"/>
              <w:bottom w:val="single" w:sz="4" w:space="0" w:color="auto"/>
              <w:right w:val="single" w:sz="4" w:space="0" w:color="auto"/>
            </w:tcBorders>
            <w:shd w:val="clear" w:color="auto" w:fill="auto"/>
            <w:vAlign w:val="center"/>
            <w:hideMark/>
          </w:tcPr>
          <w:p w14:paraId="1823229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c>
          <w:tcPr>
            <w:tcW w:w="1488" w:type="dxa"/>
            <w:tcBorders>
              <w:top w:val="nil"/>
              <w:left w:val="nil"/>
              <w:bottom w:val="single" w:sz="4" w:space="0" w:color="auto"/>
              <w:right w:val="single" w:sz="4" w:space="0" w:color="auto"/>
            </w:tcBorders>
            <w:shd w:val="clear" w:color="auto" w:fill="auto"/>
            <w:vAlign w:val="center"/>
            <w:hideMark/>
          </w:tcPr>
          <w:p w14:paraId="16F28F7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374" w:type="dxa"/>
            <w:tcBorders>
              <w:top w:val="nil"/>
              <w:left w:val="nil"/>
              <w:bottom w:val="single" w:sz="4" w:space="0" w:color="auto"/>
              <w:right w:val="single" w:sz="4" w:space="0" w:color="auto"/>
            </w:tcBorders>
            <w:shd w:val="clear" w:color="auto" w:fill="auto"/>
            <w:vAlign w:val="center"/>
            <w:hideMark/>
          </w:tcPr>
          <w:p w14:paraId="727679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w:t>
            </w:r>
          </w:p>
        </w:tc>
        <w:tc>
          <w:tcPr>
            <w:tcW w:w="1133" w:type="dxa"/>
            <w:tcBorders>
              <w:top w:val="nil"/>
              <w:left w:val="nil"/>
              <w:bottom w:val="single" w:sz="4" w:space="0" w:color="auto"/>
              <w:right w:val="single" w:sz="4" w:space="0" w:color="auto"/>
            </w:tcBorders>
            <w:shd w:val="clear" w:color="auto" w:fill="auto"/>
            <w:vAlign w:val="center"/>
            <w:hideMark/>
          </w:tcPr>
          <w:p w14:paraId="462CC3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306" w:type="dxa"/>
            <w:tcBorders>
              <w:top w:val="nil"/>
              <w:left w:val="nil"/>
              <w:bottom w:val="single" w:sz="4" w:space="0" w:color="auto"/>
              <w:right w:val="single" w:sz="4" w:space="0" w:color="auto"/>
            </w:tcBorders>
            <w:shd w:val="clear" w:color="auto" w:fill="auto"/>
            <w:vAlign w:val="center"/>
            <w:hideMark/>
          </w:tcPr>
          <w:p w14:paraId="3E5AF7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r>
      <w:tr w:rsidR="00BC17A3" w:rsidRPr="00A546AD" w14:paraId="1E5FECC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086822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Togo</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533B2F1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96</w:t>
            </w:r>
          </w:p>
        </w:tc>
        <w:tc>
          <w:tcPr>
            <w:tcW w:w="1126" w:type="dxa"/>
            <w:tcBorders>
              <w:top w:val="nil"/>
              <w:left w:val="nil"/>
              <w:bottom w:val="single" w:sz="4" w:space="0" w:color="auto"/>
              <w:right w:val="single" w:sz="4" w:space="0" w:color="auto"/>
            </w:tcBorders>
            <w:shd w:val="clear" w:color="auto" w:fill="auto"/>
            <w:vAlign w:val="center"/>
            <w:hideMark/>
          </w:tcPr>
          <w:p w14:paraId="208B40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199" w:type="dxa"/>
            <w:tcBorders>
              <w:top w:val="nil"/>
              <w:left w:val="nil"/>
              <w:bottom w:val="single" w:sz="4" w:space="0" w:color="auto"/>
              <w:right w:val="single" w:sz="4" w:space="0" w:color="auto"/>
            </w:tcBorders>
            <w:shd w:val="clear" w:color="auto" w:fill="auto"/>
            <w:vAlign w:val="center"/>
            <w:hideMark/>
          </w:tcPr>
          <w:p w14:paraId="19338E1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127</w:t>
            </w:r>
          </w:p>
        </w:tc>
        <w:tc>
          <w:tcPr>
            <w:tcW w:w="1321" w:type="dxa"/>
            <w:tcBorders>
              <w:top w:val="nil"/>
              <w:left w:val="nil"/>
              <w:bottom w:val="single" w:sz="4" w:space="0" w:color="auto"/>
              <w:right w:val="single" w:sz="4" w:space="0" w:color="auto"/>
            </w:tcBorders>
            <w:shd w:val="clear" w:color="auto" w:fill="auto"/>
            <w:vAlign w:val="center"/>
            <w:hideMark/>
          </w:tcPr>
          <w:p w14:paraId="69DE98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w:t>
            </w:r>
          </w:p>
        </w:tc>
        <w:tc>
          <w:tcPr>
            <w:tcW w:w="1221" w:type="dxa"/>
            <w:tcBorders>
              <w:top w:val="nil"/>
              <w:left w:val="nil"/>
              <w:bottom w:val="single" w:sz="4" w:space="0" w:color="auto"/>
              <w:right w:val="single" w:sz="4" w:space="0" w:color="auto"/>
            </w:tcBorders>
            <w:shd w:val="clear" w:color="auto" w:fill="auto"/>
            <w:vAlign w:val="center"/>
            <w:hideMark/>
          </w:tcPr>
          <w:p w14:paraId="1B8BE9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w:t>
            </w:r>
          </w:p>
        </w:tc>
        <w:tc>
          <w:tcPr>
            <w:tcW w:w="968" w:type="dxa"/>
            <w:tcBorders>
              <w:top w:val="nil"/>
              <w:left w:val="nil"/>
              <w:bottom w:val="single" w:sz="4" w:space="0" w:color="auto"/>
              <w:right w:val="single" w:sz="4" w:space="0" w:color="auto"/>
            </w:tcBorders>
            <w:shd w:val="clear" w:color="auto" w:fill="auto"/>
            <w:vAlign w:val="center"/>
            <w:hideMark/>
          </w:tcPr>
          <w:p w14:paraId="617A0BB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22206F0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488" w:type="dxa"/>
            <w:tcBorders>
              <w:top w:val="nil"/>
              <w:left w:val="nil"/>
              <w:bottom w:val="single" w:sz="4" w:space="0" w:color="auto"/>
              <w:right w:val="single" w:sz="4" w:space="0" w:color="auto"/>
            </w:tcBorders>
            <w:shd w:val="clear" w:color="auto" w:fill="auto"/>
            <w:vAlign w:val="center"/>
            <w:hideMark/>
          </w:tcPr>
          <w:p w14:paraId="5151446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174</w:t>
            </w:r>
          </w:p>
        </w:tc>
        <w:tc>
          <w:tcPr>
            <w:tcW w:w="1374" w:type="dxa"/>
            <w:tcBorders>
              <w:top w:val="nil"/>
              <w:left w:val="nil"/>
              <w:bottom w:val="single" w:sz="4" w:space="0" w:color="auto"/>
              <w:right w:val="single" w:sz="4" w:space="0" w:color="auto"/>
            </w:tcBorders>
            <w:shd w:val="clear" w:color="auto" w:fill="auto"/>
            <w:vAlign w:val="center"/>
            <w:hideMark/>
          </w:tcPr>
          <w:p w14:paraId="35BAE95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131</w:t>
            </w:r>
          </w:p>
        </w:tc>
        <w:tc>
          <w:tcPr>
            <w:tcW w:w="1133" w:type="dxa"/>
            <w:tcBorders>
              <w:top w:val="nil"/>
              <w:left w:val="nil"/>
              <w:bottom w:val="single" w:sz="4" w:space="0" w:color="auto"/>
              <w:right w:val="single" w:sz="4" w:space="0" w:color="auto"/>
            </w:tcBorders>
            <w:shd w:val="clear" w:color="auto" w:fill="auto"/>
            <w:vAlign w:val="center"/>
            <w:hideMark/>
          </w:tcPr>
          <w:p w14:paraId="5E97272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140</w:t>
            </w:r>
          </w:p>
        </w:tc>
        <w:tc>
          <w:tcPr>
            <w:tcW w:w="306" w:type="dxa"/>
            <w:tcBorders>
              <w:top w:val="nil"/>
              <w:left w:val="nil"/>
              <w:bottom w:val="single" w:sz="4" w:space="0" w:color="auto"/>
              <w:right w:val="single" w:sz="4" w:space="0" w:color="auto"/>
            </w:tcBorders>
            <w:shd w:val="clear" w:color="auto" w:fill="auto"/>
            <w:vAlign w:val="center"/>
            <w:hideMark/>
          </w:tcPr>
          <w:p w14:paraId="67C57D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r>
      <w:tr w:rsidR="00BC17A3" w:rsidRPr="00A546AD" w14:paraId="2F0CFCA6"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10C834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Samoa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815694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97</w:t>
            </w:r>
          </w:p>
        </w:tc>
        <w:tc>
          <w:tcPr>
            <w:tcW w:w="1126" w:type="dxa"/>
            <w:tcBorders>
              <w:top w:val="nil"/>
              <w:left w:val="nil"/>
              <w:bottom w:val="single" w:sz="4" w:space="0" w:color="auto"/>
              <w:right w:val="single" w:sz="4" w:space="0" w:color="auto"/>
            </w:tcBorders>
            <w:shd w:val="clear" w:color="auto" w:fill="auto"/>
            <w:vAlign w:val="center"/>
            <w:hideMark/>
          </w:tcPr>
          <w:p w14:paraId="28758A6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w:t>
            </w:r>
          </w:p>
        </w:tc>
        <w:tc>
          <w:tcPr>
            <w:tcW w:w="1199" w:type="dxa"/>
            <w:tcBorders>
              <w:top w:val="nil"/>
              <w:left w:val="nil"/>
              <w:bottom w:val="single" w:sz="4" w:space="0" w:color="auto"/>
              <w:right w:val="single" w:sz="4" w:space="0" w:color="auto"/>
            </w:tcBorders>
            <w:shd w:val="clear" w:color="auto" w:fill="auto"/>
            <w:vAlign w:val="center"/>
            <w:hideMark/>
          </w:tcPr>
          <w:p w14:paraId="404AC28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w:t>
            </w:r>
          </w:p>
        </w:tc>
        <w:tc>
          <w:tcPr>
            <w:tcW w:w="1321" w:type="dxa"/>
            <w:tcBorders>
              <w:top w:val="nil"/>
              <w:left w:val="nil"/>
              <w:bottom w:val="single" w:sz="4" w:space="0" w:color="auto"/>
              <w:right w:val="single" w:sz="4" w:space="0" w:color="auto"/>
            </w:tcBorders>
            <w:shd w:val="clear" w:color="auto" w:fill="auto"/>
            <w:vAlign w:val="center"/>
            <w:hideMark/>
          </w:tcPr>
          <w:p w14:paraId="0F1537E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221" w:type="dxa"/>
            <w:tcBorders>
              <w:top w:val="nil"/>
              <w:left w:val="nil"/>
              <w:bottom w:val="single" w:sz="4" w:space="0" w:color="auto"/>
              <w:right w:val="single" w:sz="4" w:space="0" w:color="auto"/>
            </w:tcBorders>
            <w:shd w:val="clear" w:color="auto" w:fill="auto"/>
            <w:vAlign w:val="center"/>
            <w:hideMark/>
          </w:tcPr>
          <w:p w14:paraId="3C0DFBE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w:t>
            </w:r>
          </w:p>
        </w:tc>
        <w:tc>
          <w:tcPr>
            <w:tcW w:w="968" w:type="dxa"/>
            <w:tcBorders>
              <w:top w:val="nil"/>
              <w:left w:val="nil"/>
              <w:bottom w:val="single" w:sz="4" w:space="0" w:color="auto"/>
              <w:right w:val="single" w:sz="4" w:space="0" w:color="auto"/>
            </w:tcBorders>
            <w:shd w:val="clear" w:color="auto" w:fill="auto"/>
            <w:vAlign w:val="center"/>
            <w:hideMark/>
          </w:tcPr>
          <w:p w14:paraId="7F865B4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6067DA9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488" w:type="dxa"/>
            <w:tcBorders>
              <w:top w:val="nil"/>
              <w:left w:val="nil"/>
              <w:bottom w:val="single" w:sz="4" w:space="0" w:color="auto"/>
              <w:right w:val="single" w:sz="4" w:space="0" w:color="auto"/>
            </w:tcBorders>
            <w:shd w:val="clear" w:color="auto" w:fill="auto"/>
            <w:vAlign w:val="center"/>
            <w:hideMark/>
          </w:tcPr>
          <w:p w14:paraId="0B3A27E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w:t>
            </w:r>
          </w:p>
        </w:tc>
        <w:tc>
          <w:tcPr>
            <w:tcW w:w="1374" w:type="dxa"/>
            <w:tcBorders>
              <w:top w:val="nil"/>
              <w:left w:val="nil"/>
              <w:bottom w:val="single" w:sz="4" w:space="0" w:color="auto"/>
              <w:right w:val="single" w:sz="4" w:space="0" w:color="auto"/>
            </w:tcBorders>
            <w:shd w:val="clear" w:color="auto" w:fill="auto"/>
            <w:vAlign w:val="center"/>
            <w:hideMark/>
          </w:tcPr>
          <w:p w14:paraId="5118A5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154</w:t>
            </w:r>
          </w:p>
        </w:tc>
        <w:tc>
          <w:tcPr>
            <w:tcW w:w="1133" w:type="dxa"/>
            <w:tcBorders>
              <w:top w:val="nil"/>
              <w:left w:val="nil"/>
              <w:bottom w:val="single" w:sz="4" w:space="0" w:color="auto"/>
              <w:right w:val="single" w:sz="4" w:space="0" w:color="auto"/>
            </w:tcBorders>
            <w:shd w:val="clear" w:color="auto" w:fill="auto"/>
            <w:vAlign w:val="center"/>
            <w:hideMark/>
          </w:tcPr>
          <w:p w14:paraId="399A92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w:t>
            </w:r>
          </w:p>
        </w:tc>
        <w:tc>
          <w:tcPr>
            <w:tcW w:w="306" w:type="dxa"/>
            <w:tcBorders>
              <w:top w:val="nil"/>
              <w:left w:val="nil"/>
              <w:bottom w:val="single" w:sz="4" w:space="0" w:color="auto"/>
              <w:right w:val="single" w:sz="4" w:space="0" w:color="auto"/>
            </w:tcBorders>
            <w:shd w:val="clear" w:color="auto" w:fill="auto"/>
            <w:vAlign w:val="center"/>
            <w:hideMark/>
          </w:tcPr>
          <w:p w14:paraId="7A01B86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140</w:t>
            </w:r>
          </w:p>
        </w:tc>
      </w:tr>
      <w:tr w:rsidR="00BC17A3" w:rsidRPr="00A546AD" w14:paraId="07490D5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045380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Sri</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Lanka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A84636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97</w:t>
            </w:r>
          </w:p>
        </w:tc>
        <w:tc>
          <w:tcPr>
            <w:tcW w:w="1126" w:type="dxa"/>
            <w:tcBorders>
              <w:top w:val="nil"/>
              <w:left w:val="nil"/>
              <w:bottom w:val="single" w:sz="4" w:space="0" w:color="auto"/>
              <w:right w:val="single" w:sz="4" w:space="0" w:color="auto"/>
            </w:tcBorders>
            <w:shd w:val="clear" w:color="auto" w:fill="auto"/>
            <w:vAlign w:val="center"/>
            <w:hideMark/>
          </w:tcPr>
          <w:p w14:paraId="63E72D7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w:t>
            </w:r>
          </w:p>
        </w:tc>
        <w:tc>
          <w:tcPr>
            <w:tcW w:w="1199" w:type="dxa"/>
            <w:tcBorders>
              <w:top w:val="nil"/>
              <w:left w:val="nil"/>
              <w:bottom w:val="single" w:sz="4" w:space="0" w:color="auto"/>
              <w:right w:val="single" w:sz="4" w:space="0" w:color="auto"/>
            </w:tcBorders>
            <w:shd w:val="clear" w:color="auto" w:fill="auto"/>
            <w:vAlign w:val="center"/>
            <w:hideMark/>
          </w:tcPr>
          <w:p w14:paraId="36C89C3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w:t>
            </w:r>
          </w:p>
        </w:tc>
        <w:tc>
          <w:tcPr>
            <w:tcW w:w="1321" w:type="dxa"/>
            <w:tcBorders>
              <w:top w:val="nil"/>
              <w:left w:val="nil"/>
              <w:bottom w:val="single" w:sz="4" w:space="0" w:color="auto"/>
              <w:right w:val="single" w:sz="4" w:space="0" w:color="auto"/>
            </w:tcBorders>
            <w:shd w:val="clear" w:color="auto" w:fill="auto"/>
            <w:vAlign w:val="center"/>
            <w:hideMark/>
          </w:tcPr>
          <w:p w14:paraId="491D4C8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w:t>
            </w:r>
          </w:p>
        </w:tc>
        <w:tc>
          <w:tcPr>
            <w:tcW w:w="1221" w:type="dxa"/>
            <w:tcBorders>
              <w:top w:val="nil"/>
              <w:left w:val="nil"/>
              <w:bottom w:val="single" w:sz="4" w:space="0" w:color="auto"/>
              <w:right w:val="single" w:sz="4" w:space="0" w:color="auto"/>
            </w:tcBorders>
            <w:shd w:val="clear" w:color="auto" w:fill="auto"/>
            <w:vAlign w:val="center"/>
            <w:hideMark/>
          </w:tcPr>
          <w:p w14:paraId="040DEED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138</w:t>
            </w:r>
          </w:p>
        </w:tc>
        <w:tc>
          <w:tcPr>
            <w:tcW w:w="968" w:type="dxa"/>
            <w:tcBorders>
              <w:top w:val="nil"/>
              <w:left w:val="nil"/>
              <w:bottom w:val="single" w:sz="4" w:space="0" w:color="auto"/>
              <w:right w:val="single" w:sz="4" w:space="0" w:color="auto"/>
            </w:tcBorders>
            <w:shd w:val="clear" w:color="auto" w:fill="auto"/>
            <w:vAlign w:val="center"/>
            <w:hideMark/>
          </w:tcPr>
          <w:p w14:paraId="2590D4D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40415BE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488" w:type="dxa"/>
            <w:tcBorders>
              <w:top w:val="nil"/>
              <w:left w:val="nil"/>
              <w:bottom w:val="single" w:sz="4" w:space="0" w:color="auto"/>
              <w:right w:val="single" w:sz="4" w:space="0" w:color="auto"/>
            </w:tcBorders>
            <w:shd w:val="clear" w:color="auto" w:fill="auto"/>
            <w:vAlign w:val="center"/>
            <w:hideMark/>
          </w:tcPr>
          <w:p w14:paraId="266F57B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142</w:t>
            </w:r>
          </w:p>
        </w:tc>
        <w:tc>
          <w:tcPr>
            <w:tcW w:w="1374" w:type="dxa"/>
            <w:tcBorders>
              <w:top w:val="nil"/>
              <w:left w:val="nil"/>
              <w:bottom w:val="single" w:sz="4" w:space="0" w:color="auto"/>
              <w:right w:val="single" w:sz="4" w:space="0" w:color="auto"/>
            </w:tcBorders>
            <w:shd w:val="clear" w:color="auto" w:fill="auto"/>
            <w:vAlign w:val="center"/>
            <w:hideMark/>
          </w:tcPr>
          <w:p w14:paraId="1884635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w:t>
            </w:r>
          </w:p>
        </w:tc>
        <w:tc>
          <w:tcPr>
            <w:tcW w:w="1133" w:type="dxa"/>
            <w:tcBorders>
              <w:top w:val="nil"/>
              <w:left w:val="nil"/>
              <w:bottom w:val="single" w:sz="4" w:space="0" w:color="auto"/>
              <w:right w:val="single" w:sz="4" w:space="0" w:color="auto"/>
            </w:tcBorders>
            <w:shd w:val="clear" w:color="auto" w:fill="auto"/>
            <w:vAlign w:val="center"/>
            <w:hideMark/>
          </w:tcPr>
          <w:p w14:paraId="29E4D1D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164</w:t>
            </w:r>
          </w:p>
        </w:tc>
        <w:tc>
          <w:tcPr>
            <w:tcW w:w="306" w:type="dxa"/>
            <w:tcBorders>
              <w:top w:val="nil"/>
              <w:left w:val="nil"/>
              <w:bottom w:val="single" w:sz="4" w:space="0" w:color="auto"/>
              <w:right w:val="single" w:sz="4" w:space="0" w:color="auto"/>
            </w:tcBorders>
            <w:shd w:val="clear" w:color="auto" w:fill="auto"/>
            <w:vAlign w:val="center"/>
            <w:hideMark/>
          </w:tcPr>
          <w:p w14:paraId="4A53AE0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w:t>
            </w:r>
          </w:p>
        </w:tc>
      </w:tr>
      <w:tr w:rsidR="00BC17A3" w:rsidRPr="00A546AD" w14:paraId="6DBEF06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8920D5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Seychelles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617703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99</w:t>
            </w:r>
          </w:p>
        </w:tc>
        <w:tc>
          <w:tcPr>
            <w:tcW w:w="1126" w:type="dxa"/>
            <w:tcBorders>
              <w:top w:val="nil"/>
              <w:left w:val="nil"/>
              <w:bottom w:val="single" w:sz="4" w:space="0" w:color="auto"/>
              <w:right w:val="single" w:sz="4" w:space="0" w:color="auto"/>
            </w:tcBorders>
            <w:shd w:val="clear" w:color="auto" w:fill="auto"/>
            <w:vAlign w:val="center"/>
            <w:hideMark/>
          </w:tcPr>
          <w:p w14:paraId="3C37E59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1199" w:type="dxa"/>
            <w:tcBorders>
              <w:top w:val="nil"/>
              <w:left w:val="nil"/>
              <w:bottom w:val="single" w:sz="4" w:space="0" w:color="auto"/>
              <w:right w:val="single" w:sz="4" w:space="0" w:color="auto"/>
            </w:tcBorders>
            <w:shd w:val="clear" w:color="auto" w:fill="auto"/>
            <w:vAlign w:val="center"/>
            <w:hideMark/>
          </w:tcPr>
          <w:p w14:paraId="47707B6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106</w:t>
            </w:r>
          </w:p>
        </w:tc>
        <w:tc>
          <w:tcPr>
            <w:tcW w:w="1321" w:type="dxa"/>
            <w:tcBorders>
              <w:top w:val="nil"/>
              <w:left w:val="nil"/>
              <w:bottom w:val="single" w:sz="4" w:space="0" w:color="auto"/>
              <w:right w:val="single" w:sz="4" w:space="0" w:color="auto"/>
            </w:tcBorders>
            <w:shd w:val="clear" w:color="auto" w:fill="auto"/>
            <w:vAlign w:val="center"/>
            <w:hideMark/>
          </w:tcPr>
          <w:p w14:paraId="413AB6D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21" w:type="dxa"/>
            <w:tcBorders>
              <w:top w:val="nil"/>
              <w:left w:val="nil"/>
              <w:bottom w:val="single" w:sz="4" w:space="0" w:color="auto"/>
              <w:right w:val="single" w:sz="4" w:space="0" w:color="auto"/>
            </w:tcBorders>
            <w:shd w:val="clear" w:color="auto" w:fill="auto"/>
            <w:vAlign w:val="center"/>
            <w:hideMark/>
          </w:tcPr>
          <w:p w14:paraId="04855E8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w:t>
            </w:r>
          </w:p>
        </w:tc>
        <w:tc>
          <w:tcPr>
            <w:tcW w:w="968" w:type="dxa"/>
            <w:tcBorders>
              <w:top w:val="nil"/>
              <w:left w:val="nil"/>
              <w:bottom w:val="single" w:sz="4" w:space="0" w:color="auto"/>
              <w:right w:val="single" w:sz="4" w:space="0" w:color="auto"/>
            </w:tcBorders>
            <w:shd w:val="clear" w:color="auto" w:fill="auto"/>
            <w:vAlign w:val="center"/>
            <w:hideMark/>
          </w:tcPr>
          <w:p w14:paraId="0B8918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246" w:type="dxa"/>
            <w:tcBorders>
              <w:top w:val="nil"/>
              <w:left w:val="nil"/>
              <w:bottom w:val="single" w:sz="4" w:space="0" w:color="auto"/>
              <w:right w:val="single" w:sz="4" w:space="0" w:color="auto"/>
            </w:tcBorders>
            <w:shd w:val="clear" w:color="auto" w:fill="auto"/>
            <w:vAlign w:val="center"/>
            <w:hideMark/>
          </w:tcPr>
          <w:p w14:paraId="257023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c>
          <w:tcPr>
            <w:tcW w:w="1488" w:type="dxa"/>
            <w:tcBorders>
              <w:top w:val="nil"/>
              <w:left w:val="nil"/>
              <w:bottom w:val="single" w:sz="4" w:space="0" w:color="auto"/>
              <w:right w:val="single" w:sz="4" w:space="0" w:color="auto"/>
            </w:tcBorders>
            <w:shd w:val="clear" w:color="auto" w:fill="auto"/>
            <w:vAlign w:val="center"/>
            <w:hideMark/>
          </w:tcPr>
          <w:p w14:paraId="5A1D197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35</w:t>
            </w:r>
          </w:p>
        </w:tc>
        <w:tc>
          <w:tcPr>
            <w:tcW w:w="1374" w:type="dxa"/>
            <w:tcBorders>
              <w:top w:val="nil"/>
              <w:left w:val="nil"/>
              <w:bottom w:val="single" w:sz="4" w:space="0" w:color="auto"/>
              <w:right w:val="single" w:sz="4" w:space="0" w:color="auto"/>
            </w:tcBorders>
            <w:shd w:val="clear" w:color="auto" w:fill="auto"/>
            <w:vAlign w:val="center"/>
            <w:hideMark/>
          </w:tcPr>
          <w:p w14:paraId="296618C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w:t>
            </w:r>
          </w:p>
        </w:tc>
        <w:tc>
          <w:tcPr>
            <w:tcW w:w="1133" w:type="dxa"/>
            <w:tcBorders>
              <w:top w:val="nil"/>
              <w:left w:val="nil"/>
              <w:bottom w:val="single" w:sz="4" w:space="0" w:color="auto"/>
              <w:right w:val="single" w:sz="4" w:space="0" w:color="auto"/>
            </w:tcBorders>
            <w:shd w:val="clear" w:color="auto" w:fill="auto"/>
            <w:vAlign w:val="center"/>
            <w:hideMark/>
          </w:tcPr>
          <w:p w14:paraId="4CD19FD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306" w:type="dxa"/>
            <w:tcBorders>
              <w:top w:val="nil"/>
              <w:left w:val="nil"/>
              <w:bottom w:val="single" w:sz="4" w:space="0" w:color="auto"/>
              <w:right w:val="single" w:sz="4" w:space="0" w:color="auto"/>
            </w:tcBorders>
            <w:shd w:val="clear" w:color="auto" w:fill="auto"/>
            <w:vAlign w:val="center"/>
            <w:hideMark/>
          </w:tcPr>
          <w:p w14:paraId="20EE36F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w:t>
            </w:r>
          </w:p>
        </w:tc>
      </w:tr>
      <w:tr w:rsidR="00BC17A3" w:rsidRPr="00A546AD" w14:paraId="4720B25A"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11A71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Uruguay</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E8F3D9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100</w:t>
            </w:r>
          </w:p>
        </w:tc>
        <w:tc>
          <w:tcPr>
            <w:tcW w:w="1126" w:type="dxa"/>
            <w:tcBorders>
              <w:top w:val="nil"/>
              <w:left w:val="nil"/>
              <w:bottom w:val="single" w:sz="4" w:space="0" w:color="auto"/>
              <w:right w:val="single" w:sz="4" w:space="0" w:color="auto"/>
            </w:tcBorders>
            <w:shd w:val="clear" w:color="auto" w:fill="auto"/>
            <w:vAlign w:val="center"/>
            <w:hideMark/>
          </w:tcPr>
          <w:p w14:paraId="583BCCC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w:t>
            </w:r>
          </w:p>
        </w:tc>
        <w:tc>
          <w:tcPr>
            <w:tcW w:w="1199" w:type="dxa"/>
            <w:tcBorders>
              <w:top w:val="nil"/>
              <w:left w:val="nil"/>
              <w:bottom w:val="single" w:sz="4" w:space="0" w:color="auto"/>
              <w:right w:val="single" w:sz="4" w:space="0" w:color="auto"/>
            </w:tcBorders>
            <w:shd w:val="clear" w:color="auto" w:fill="auto"/>
            <w:vAlign w:val="center"/>
            <w:hideMark/>
          </w:tcPr>
          <w:p w14:paraId="092C149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151</w:t>
            </w:r>
          </w:p>
        </w:tc>
        <w:tc>
          <w:tcPr>
            <w:tcW w:w="1321" w:type="dxa"/>
            <w:tcBorders>
              <w:top w:val="nil"/>
              <w:left w:val="nil"/>
              <w:bottom w:val="single" w:sz="4" w:space="0" w:color="auto"/>
              <w:right w:val="single" w:sz="4" w:space="0" w:color="auto"/>
            </w:tcBorders>
            <w:shd w:val="clear" w:color="auto" w:fill="auto"/>
            <w:vAlign w:val="center"/>
            <w:hideMark/>
          </w:tcPr>
          <w:p w14:paraId="7B1D8E1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w:t>
            </w:r>
          </w:p>
        </w:tc>
        <w:tc>
          <w:tcPr>
            <w:tcW w:w="1221" w:type="dxa"/>
            <w:tcBorders>
              <w:top w:val="nil"/>
              <w:left w:val="nil"/>
              <w:bottom w:val="single" w:sz="4" w:space="0" w:color="auto"/>
              <w:right w:val="single" w:sz="4" w:space="0" w:color="auto"/>
            </w:tcBorders>
            <w:shd w:val="clear" w:color="auto" w:fill="auto"/>
            <w:vAlign w:val="center"/>
            <w:hideMark/>
          </w:tcPr>
          <w:p w14:paraId="37E1B2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968" w:type="dxa"/>
            <w:tcBorders>
              <w:top w:val="nil"/>
              <w:left w:val="nil"/>
              <w:bottom w:val="single" w:sz="4" w:space="0" w:color="auto"/>
              <w:right w:val="single" w:sz="4" w:space="0" w:color="auto"/>
            </w:tcBorders>
            <w:shd w:val="clear" w:color="auto" w:fill="auto"/>
            <w:vAlign w:val="center"/>
            <w:hideMark/>
          </w:tcPr>
          <w:p w14:paraId="6878432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68B55CB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c>
          <w:tcPr>
            <w:tcW w:w="1488" w:type="dxa"/>
            <w:tcBorders>
              <w:top w:val="nil"/>
              <w:left w:val="nil"/>
              <w:bottom w:val="single" w:sz="4" w:space="0" w:color="auto"/>
              <w:right w:val="single" w:sz="4" w:space="0" w:color="auto"/>
            </w:tcBorders>
            <w:shd w:val="clear" w:color="auto" w:fill="auto"/>
            <w:vAlign w:val="center"/>
            <w:hideMark/>
          </w:tcPr>
          <w:p w14:paraId="10B232F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103</w:t>
            </w:r>
          </w:p>
        </w:tc>
        <w:tc>
          <w:tcPr>
            <w:tcW w:w="1374" w:type="dxa"/>
            <w:tcBorders>
              <w:top w:val="nil"/>
              <w:left w:val="nil"/>
              <w:bottom w:val="single" w:sz="4" w:space="0" w:color="auto"/>
              <w:right w:val="single" w:sz="4" w:space="0" w:color="auto"/>
            </w:tcBorders>
            <w:shd w:val="clear" w:color="auto" w:fill="auto"/>
            <w:vAlign w:val="center"/>
            <w:hideMark/>
          </w:tcPr>
          <w:p w14:paraId="1F59215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150</w:t>
            </w:r>
          </w:p>
        </w:tc>
        <w:tc>
          <w:tcPr>
            <w:tcW w:w="1133" w:type="dxa"/>
            <w:tcBorders>
              <w:top w:val="nil"/>
              <w:left w:val="nil"/>
              <w:bottom w:val="single" w:sz="4" w:space="0" w:color="auto"/>
              <w:right w:val="single" w:sz="4" w:space="0" w:color="auto"/>
            </w:tcBorders>
            <w:shd w:val="clear" w:color="auto" w:fill="auto"/>
            <w:vAlign w:val="center"/>
            <w:hideMark/>
          </w:tcPr>
          <w:p w14:paraId="395FEB2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306" w:type="dxa"/>
            <w:tcBorders>
              <w:top w:val="nil"/>
              <w:left w:val="nil"/>
              <w:bottom w:val="single" w:sz="4" w:space="0" w:color="auto"/>
              <w:right w:val="single" w:sz="4" w:space="0" w:color="auto"/>
            </w:tcBorders>
            <w:shd w:val="clear" w:color="auto" w:fill="auto"/>
            <w:vAlign w:val="center"/>
            <w:hideMark/>
          </w:tcPr>
          <w:p w14:paraId="2FCC2E8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w:t>
            </w:r>
          </w:p>
        </w:tc>
      </w:tr>
      <w:tr w:rsidR="00BC17A3" w:rsidRPr="00A546AD" w14:paraId="7EE84B4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C66F5F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Fiji</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4F70BA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101</w:t>
            </w:r>
          </w:p>
        </w:tc>
        <w:tc>
          <w:tcPr>
            <w:tcW w:w="1126" w:type="dxa"/>
            <w:tcBorders>
              <w:top w:val="nil"/>
              <w:left w:val="nil"/>
              <w:bottom w:val="single" w:sz="4" w:space="0" w:color="auto"/>
              <w:right w:val="single" w:sz="4" w:space="0" w:color="auto"/>
            </w:tcBorders>
            <w:shd w:val="clear" w:color="auto" w:fill="auto"/>
            <w:vAlign w:val="center"/>
            <w:hideMark/>
          </w:tcPr>
          <w:p w14:paraId="3487CAD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163</w:t>
            </w:r>
          </w:p>
        </w:tc>
        <w:tc>
          <w:tcPr>
            <w:tcW w:w="1199" w:type="dxa"/>
            <w:tcBorders>
              <w:top w:val="nil"/>
              <w:left w:val="nil"/>
              <w:bottom w:val="single" w:sz="4" w:space="0" w:color="auto"/>
              <w:right w:val="single" w:sz="4" w:space="0" w:color="auto"/>
            </w:tcBorders>
            <w:shd w:val="clear" w:color="auto" w:fill="auto"/>
            <w:vAlign w:val="center"/>
            <w:hideMark/>
          </w:tcPr>
          <w:p w14:paraId="587E19A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102</w:t>
            </w:r>
          </w:p>
        </w:tc>
        <w:tc>
          <w:tcPr>
            <w:tcW w:w="1321" w:type="dxa"/>
            <w:tcBorders>
              <w:top w:val="nil"/>
              <w:left w:val="nil"/>
              <w:bottom w:val="single" w:sz="4" w:space="0" w:color="auto"/>
              <w:right w:val="single" w:sz="4" w:space="0" w:color="auto"/>
            </w:tcBorders>
            <w:shd w:val="clear" w:color="auto" w:fill="auto"/>
            <w:vAlign w:val="center"/>
            <w:hideMark/>
          </w:tcPr>
          <w:p w14:paraId="78AC3E8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1221" w:type="dxa"/>
            <w:tcBorders>
              <w:top w:val="nil"/>
              <w:left w:val="nil"/>
              <w:bottom w:val="single" w:sz="4" w:space="0" w:color="auto"/>
              <w:right w:val="single" w:sz="4" w:space="0" w:color="auto"/>
            </w:tcBorders>
            <w:shd w:val="clear" w:color="auto" w:fill="auto"/>
            <w:vAlign w:val="center"/>
            <w:hideMark/>
          </w:tcPr>
          <w:p w14:paraId="02E7360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c>
          <w:tcPr>
            <w:tcW w:w="968" w:type="dxa"/>
            <w:tcBorders>
              <w:top w:val="nil"/>
              <w:left w:val="nil"/>
              <w:bottom w:val="single" w:sz="4" w:space="0" w:color="auto"/>
              <w:right w:val="single" w:sz="4" w:space="0" w:color="auto"/>
            </w:tcBorders>
            <w:shd w:val="clear" w:color="auto" w:fill="auto"/>
            <w:vAlign w:val="center"/>
            <w:hideMark/>
          </w:tcPr>
          <w:p w14:paraId="7B108FE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246" w:type="dxa"/>
            <w:tcBorders>
              <w:top w:val="nil"/>
              <w:left w:val="nil"/>
              <w:bottom w:val="single" w:sz="4" w:space="0" w:color="auto"/>
              <w:right w:val="single" w:sz="4" w:space="0" w:color="auto"/>
            </w:tcBorders>
            <w:shd w:val="clear" w:color="auto" w:fill="auto"/>
            <w:vAlign w:val="center"/>
            <w:hideMark/>
          </w:tcPr>
          <w:p w14:paraId="456E215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1488" w:type="dxa"/>
            <w:tcBorders>
              <w:top w:val="nil"/>
              <w:left w:val="nil"/>
              <w:bottom w:val="single" w:sz="4" w:space="0" w:color="auto"/>
              <w:right w:val="single" w:sz="4" w:space="0" w:color="auto"/>
            </w:tcBorders>
            <w:shd w:val="clear" w:color="auto" w:fill="auto"/>
            <w:vAlign w:val="center"/>
            <w:hideMark/>
          </w:tcPr>
          <w:p w14:paraId="2D02A21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101</w:t>
            </w:r>
          </w:p>
        </w:tc>
        <w:tc>
          <w:tcPr>
            <w:tcW w:w="1374" w:type="dxa"/>
            <w:tcBorders>
              <w:top w:val="nil"/>
              <w:left w:val="nil"/>
              <w:bottom w:val="single" w:sz="4" w:space="0" w:color="auto"/>
              <w:right w:val="single" w:sz="4" w:space="0" w:color="auto"/>
            </w:tcBorders>
            <w:shd w:val="clear" w:color="auto" w:fill="auto"/>
            <w:vAlign w:val="center"/>
            <w:hideMark/>
          </w:tcPr>
          <w:p w14:paraId="590FF8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133" w:type="dxa"/>
            <w:tcBorders>
              <w:top w:val="nil"/>
              <w:left w:val="nil"/>
              <w:bottom w:val="single" w:sz="4" w:space="0" w:color="auto"/>
              <w:right w:val="single" w:sz="4" w:space="0" w:color="auto"/>
            </w:tcBorders>
            <w:shd w:val="clear" w:color="auto" w:fill="auto"/>
            <w:vAlign w:val="center"/>
            <w:hideMark/>
          </w:tcPr>
          <w:p w14:paraId="54CCC5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101</w:t>
            </w:r>
          </w:p>
        </w:tc>
        <w:tc>
          <w:tcPr>
            <w:tcW w:w="306" w:type="dxa"/>
            <w:tcBorders>
              <w:top w:val="nil"/>
              <w:left w:val="nil"/>
              <w:bottom w:val="single" w:sz="4" w:space="0" w:color="auto"/>
              <w:right w:val="single" w:sz="4" w:space="0" w:color="auto"/>
            </w:tcBorders>
            <w:shd w:val="clear" w:color="auto" w:fill="auto"/>
            <w:vAlign w:val="center"/>
            <w:hideMark/>
          </w:tcPr>
          <w:p w14:paraId="4ECF39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w:t>
            </w:r>
          </w:p>
        </w:tc>
      </w:tr>
      <w:tr w:rsidR="00BC17A3" w:rsidRPr="00A546AD" w14:paraId="085494D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09BCCC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Tonga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40C22A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102</w:t>
            </w:r>
          </w:p>
        </w:tc>
        <w:tc>
          <w:tcPr>
            <w:tcW w:w="1126" w:type="dxa"/>
            <w:tcBorders>
              <w:top w:val="nil"/>
              <w:left w:val="nil"/>
              <w:bottom w:val="single" w:sz="4" w:space="0" w:color="auto"/>
              <w:right w:val="single" w:sz="4" w:space="0" w:color="auto"/>
            </w:tcBorders>
            <w:shd w:val="clear" w:color="auto" w:fill="auto"/>
            <w:vAlign w:val="center"/>
            <w:hideMark/>
          </w:tcPr>
          <w:p w14:paraId="4099F5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62</w:t>
            </w:r>
          </w:p>
        </w:tc>
        <w:tc>
          <w:tcPr>
            <w:tcW w:w="1199" w:type="dxa"/>
            <w:tcBorders>
              <w:top w:val="nil"/>
              <w:left w:val="nil"/>
              <w:bottom w:val="single" w:sz="4" w:space="0" w:color="auto"/>
              <w:right w:val="single" w:sz="4" w:space="0" w:color="auto"/>
            </w:tcBorders>
            <w:shd w:val="clear" w:color="auto" w:fill="auto"/>
            <w:vAlign w:val="center"/>
            <w:hideMark/>
          </w:tcPr>
          <w:p w14:paraId="6D77757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w:t>
            </w:r>
          </w:p>
        </w:tc>
        <w:tc>
          <w:tcPr>
            <w:tcW w:w="1321" w:type="dxa"/>
            <w:tcBorders>
              <w:top w:val="nil"/>
              <w:left w:val="nil"/>
              <w:bottom w:val="single" w:sz="4" w:space="0" w:color="auto"/>
              <w:right w:val="single" w:sz="4" w:space="0" w:color="auto"/>
            </w:tcBorders>
            <w:shd w:val="clear" w:color="auto" w:fill="auto"/>
            <w:vAlign w:val="center"/>
            <w:hideMark/>
          </w:tcPr>
          <w:p w14:paraId="1AE3293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w:t>
            </w:r>
          </w:p>
        </w:tc>
        <w:tc>
          <w:tcPr>
            <w:tcW w:w="1221" w:type="dxa"/>
            <w:tcBorders>
              <w:top w:val="nil"/>
              <w:left w:val="nil"/>
              <w:bottom w:val="single" w:sz="4" w:space="0" w:color="auto"/>
              <w:right w:val="single" w:sz="4" w:space="0" w:color="auto"/>
            </w:tcBorders>
            <w:shd w:val="clear" w:color="auto" w:fill="auto"/>
            <w:vAlign w:val="center"/>
            <w:hideMark/>
          </w:tcPr>
          <w:p w14:paraId="17B0A63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166</w:t>
            </w:r>
          </w:p>
        </w:tc>
        <w:tc>
          <w:tcPr>
            <w:tcW w:w="968" w:type="dxa"/>
            <w:tcBorders>
              <w:top w:val="nil"/>
              <w:left w:val="nil"/>
              <w:bottom w:val="single" w:sz="4" w:space="0" w:color="auto"/>
              <w:right w:val="single" w:sz="4" w:space="0" w:color="auto"/>
            </w:tcBorders>
            <w:shd w:val="clear" w:color="auto" w:fill="auto"/>
            <w:vAlign w:val="center"/>
            <w:hideMark/>
          </w:tcPr>
          <w:p w14:paraId="6EE4EB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5F29EE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c>
          <w:tcPr>
            <w:tcW w:w="1488" w:type="dxa"/>
            <w:tcBorders>
              <w:top w:val="nil"/>
              <w:left w:val="nil"/>
              <w:bottom w:val="single" w:sz="4" w:space="0" w:color="auto"/>
              <w:right w:val="single" w:sz="4" w:space="0" w:color="auto"/>
            </w:tcBorders>
            <w:shd w:val="clear" w:color="auto" w:fill="auto"/>
            <w:vAlign w:val="center"/>
            <w:hideMark/>
          </w:tcPr>
          <w:p w14:paraId="66A211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102</w:t>
            </w:r>
          </w:p>
        </w:tc>
        <w:tc>
          <w:tcPr>
            <w:tcW w:w="1374" w:type="dxa"/>
            <w:tcBorders>
              <w:top w:val="nil"/>
              <w:left w:val="nil"/>
              <w:bottom w:val="single" w:sz="4" w:space="0" w:color="auto"/>
              <w:right w:val="single" w:sz="4" w:space="0" w:color="auto"/>
            </w:tcBorders>
            <w:shd w:val="clear" w:color="auto" w:fill="auto"/>
            <w:vAlign w:val="center"/>
            <w:hideMark/>
          </w:tcPr>
          <w:p w14:paraId="72818D7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1133" w:type="dxa"/>
            <w:tcBorders>
              <w:top w:val="nil"/>
              <w:left w:val="nil"/>
              <w:bottom w:val="single" w:sz="4" w:space="0" w:color="auto"/>
              <w:right w:val="single" w:sz="4" w:space="0" w:color="auto"/>
            </w:tcBorders>
            <w:shd w:val="clear" w:color="auto" w:fill="auto"/>
            <w:vAlign w:val="center"/>
            <w:hideMark/>
          </w:tcPr>
          <w:p w14:paraId="6F1C85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w:t>
            </w:r>
          </w:p>
        </w:tc>
        <w:tc>
          <w:tcPr>
            <w:tcW w:w="306" w:type="dxa"/>
            <w:tcBorders>
              <w:top w:val="nil"/>
              <w:left w:val="nil"/>
              <w:bottom w:val="single" w:sz="4" w:space="0" w:color="auto"/>
              <w:right w:val="single" w:sz="4" w:space="0" w:color="auto"/>
            </w:tcBorders>
            <w:shd w:val="clear" w:color="auto" w:fill="auto"/>
            <w:vAlign w:val="center"/>
            <w:hideMark/>
          </w:tcPr>
          <w:p w14:paraId="3438F67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138</w:t>
            </w:r>
          </w:p>
        </w:tc>
      </w:tr>
      <w:tr w:rsidR="00BC17A3" w:rsidRPr="00A546AD" w14:paraId="5864CC1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FDED2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Namibia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24C9BE4"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103</w:t>
            </w:r>
          </w:p>
        </w:tc>
        <w:tc>
          <w:tcPr>
            <w:tcW w:w="1126" w:type="dxa"/>
            <w:tcBorders>
              <w:top w:val="nil"/>
              <w:left w:val="nil"/>
              <w:bottom w:val="single" w:sz="4" w:space="0" w:color="auto"/>
              <w:right w:val="single" w:sz="4" w:space="0" w:color="auto"/>
            </w:tcBorders>
            <w:shd w:val="clear" w:color="auto" w:fill="auto"/>
            <w:vAlign w:val="center"/>
            <w:hideMark/>
          </w:tcPr>
          <w:p w14:paraId="20053C5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199" w:type="dxa"/>
            <w:tcBorders>
              <w:top w:val="nil"/>
              <w:left w:val="nil"/>
              <w:bottom w:val="single" w:sz="4" w:space="0" w:color="auto"/>
              <w:right w:val="single" w:sz="4" w:space="0" w:color="auto"/>
            </w:tcBorders>
            <w:shd w:val="clear" w:color="auto" w:fill="auto"/>
            <w:vAlign w:val="center"/>
            <w:hideMark/>
          </w:tcPr>
          <w:p w14:paraId="03E9A10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w:t>
            </w:r>
          </w:p>
        </w:tc>
        <w:tc>
          <w:tcPr>
            <w:tcW w:w="1321" w:type="dxa"/>
            <w:tcBorders>
              <w:top w:val="nil"/>
              <w:left w:val="nil"/>
              <w:bottom w:val="single" w:sz="4" w:space="0" w:color="auto"/>
              <w:right w:val="single" w:sz="4" w:space="0" w:color="auto"/>
            </w:tcBorders>
            <w:shd w:val="clear" w:color="auto" w:fill="auto"/>
            <w:vAlign w:val="center"/>
            <w:hideMark/>
          </w:tcPr>
          <w:p w14:paraId="34D2D92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w:t>
            </w:r>
          </w:p>
        </w:tc>
        <w:tc>
          <w:tcPr>
            <w:tcW w:w="1221" w:type="dxa"/>
            <w:tcBorders>
              <w:top w:val="nil"/>
              <w:left w:val="nil"/>
              <w:bottom w:val="single" w:sz="4" w:space="0" w:color="auto"/>
              <w:right w:val="single" w:sz="4" w:space="0" w:color="auto"/>
            </w:tcBorders>
            <w:shd w:val="clear" w:color="auto" w:fill="auto"/>
            <w:vAlign w:val="center"/>
            <w:hideMark/>
          </w:tcPr>
          <w:p w14:paraId="17E106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173</w:t>
            </w:r>
          </w:p>
        </w:tc>
        <w:tc>
          <w:tcPr>
            <w:tcW w:w="968" w:type="dxa"/>
            <w:tcBorders>
              <w:top w:val="nil"/>
              <w:left w:val="nil"/>
              <w:bottom w:val="single" w:sz="4" w:space="0" w:color="auto"/>
              <w:right w:val="single" w:sz="4" w:space="0" w:color="auto"/>
            </w:tcBorders>
            <w:shd w:val="clear" w:color="auto" w:fill="auto"/>
            <w:vAlign w:val="center"/>
            <w:hideMark/>
          </w:tcPr>
          <w:p w14:paraId="2ED1C68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40BAB66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488" w:type="dxa"/>
            <w:tcBorders>
              <w:top w:val="nil"/>
              <w:left w:val="nil"/>
              <w:bottom w:val="single" w:sz="4" w:space="0" w:color="auto"/>
              <w:right w:val="single" w:sz="4" w:space="0" w:color="auto"/>
            </w:tcBorders>
            <w:shd w:val="clear" w:color="auto" w:fill="auto"/>
            <w:vAlign w:val="center"/>
            <w:hideMark/>
          </w:tcPr>
          <w:p w14:paraId="55F4B3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374" w:type="dxa"/>
            <w:tcBorders>
              <w:top w:val="nil"/>
              <w:left w:val="nil"/>
              <w:bottom w:val="single" w:sz="4" w:space="0" w:color="auto"/>
              <w:right w:val="single" w:sz="4" w:space="0" w:color="auto"/>
            </w:tcBorders>
            <w:shd w:val="clear" w:color="auto" w:fill="auto"/>
            <w:vAlign w:val="center"/>
            <w:hideMark/>
          </w:tcPr>
          <w:p w14:paraId="27A6BC5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138</w:t>
            </w:r>
          </w:p>
        </w:tc>
        <w:tc>
          <w:tcPr>
            <w:tcW w:w="1133" w:type="dxa"/>
            <w:tcBorders>
              <w:top w:val="nil"/>
              <w:left w:val="nil"/>
              <w:bottom w:val="single" w:sz="4" w:space="0" w:color="auto"/>
              <w:right w:val="single" w:sz="4" w:space="0" w:color="auto"/>
            </w:tcBorders>
            <w:shd w:val="clear" w:color="auto" w:fill="auto"/>
            <w:vAlign w:val="center"/>
            <w:hideMark/>
          </w:tcPr>
          <w:p w14:paraId="42947FD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64</w:t>
            </w:r>
          </w:p>
        </w:tc>
        <w:tc>
          <w:tcPr>
            <w:tcW w:w="306" w:type="dxa"/>
            <w:tcBorders>
              <w:top w:val="nil"/>
              <w:left w:val="nil"/>
              <w:bottom w:val="single" w:sz="4" w:space="0" w:color="auto"/>
              <w:right w:val="single" w:sz="4" w:space="0" w:color="auto"/>
            </w:tcBorders>
            <w:shd w:val="clear" w:color="auto" w:fill="auto"/>
            <w:vAlign w:val="center"/>
            <w:hideMark/>
          </w:tcPr>
          <w:p w14:paraId="55F94F5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127</w:t>
            </w:r>
          </w:p>
        </w:tc>
      </w:tr>
      <w:tr w:rsidR="00BC17A3" w:rsidRPr="00A546AD" w14:paraId="1DE1D07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DF562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Trinidad</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and</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Tobago</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9CC9BB4"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104</w:t>
            </w:r>
          </w:p>
        </w:tc>
        <w:tc>
          <w:tcPr>
            <w:tcW w:w="1126" w:type="dxa"/>
            <w:tcBorders>
              <w:top w:val="nil"/>
              <w:left w:val="nil"/>
              <w:bottom w:val="single" w:sz="4" w:space="0" w:color="auto"/>
              <w:right w:val="single" w:sz="4" w:space="0" w:color="auto"/>
            </w:tcBorders>
            <w:shd w:val="clear" w:color="auto" w:fill="auto"/>
            <w:vAlign w:val="center"/>
            <w:hideMark/>
          </w:tcPr>
          <w:p w14:paraId="797E082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199" w:type="dxa"/>
            <w:tcBorders>
              <w:top w:val="nil"/>
              <w:left w:val="nil"/>
              <w:bottom w:val="single" w:sz="4" w:space="0" w:color="auto"/>
              <w:right w:val="single" w:sz="4" w:space="0" w:color="auto"/>
            </w:tcBorders>
            <w:shd w:val="clear" w:color="auto" w:fill="auto"/>
            <w:vAlign w:val="center"/>
            <w:hideMark/>
          </w:tcPr>
          <w:p w14:paraId="730BB01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126</w:t>
            </w:r>
          </w:p>
        </w:tc>
        <w:tc>
          <w:tcPr>
            <w:tcW w:w="1321" w:type="dxa"/>
            <w:tcBorders>
              <w:top w:val="nil"/>
              <w:left w:val="nil"/>
              <w:bottom w:val="single" w:sz="4" w:space="0" w:color="auto"/>
              <w:right w:val="single" w:sz="4" w:space="0" w:color="auto"/>
            </w:tcBorders>
            <w:shd w:val="clear" w:color="auto" w:fill="auto"/>
            <w:vAlign w:val="center"/>
            <w:hideMark/>
          </w:tcPr>
          <w:p w14:paraId="22700A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44</w:t>
            </w:r>
          </w:p>
        </w:tc>
        <w:tc>
          <w:tcPr>
            <w:tcW w:w="1221" w:type="dxa"/>
            <w:tcBorders>
              <w:top w:val="nil"/>
              <w:left w:val="nil"/>
              <w:bottom w:val="single" w:sz="4" w:space="0" w:color="auto"/>
              <w:right w:val="single" w:sz="4" w:space="0" w:color="auto"/>
            </w:tcBorders>
            <w:shd w:val="clear" w:color="auto" w:fill="auto"/>
            <w:vAlign w:val="center"/>
            <w:hideMark/>
          </w:tcPr>
          <w:p w14:paraId="3F4BB80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158</w:t>
            </w:r>
          </w:p>
        </w:tc>
        <w:tc>
          <w:tcPr>
            <w:tcW w:w="968" w:type="dxa"/>
            <w:tcBorders>
              <w:top w:val="nil"/>
              <w:left w:val="nil"/>
              <w:bottom w:val="single" w:sz="4" w:space="0" w:color="auto"/>
              <w:right w:val="single" w:sz="4" w:space="0" w:color="auto"/>
            </w:tcBorders>
            <w:shd w:val="clear" w:color="auto" w:fill="auto"/>
            <w:vAlign w:val="center"/>
            <w:hideMark/>
          </w:tcPr>
          <w:p w14:paraId="56DEED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413B107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c>
          <w:tcPr>
            <w:tcW w:w="1488" w:type="dxa"/>
            <w:tcBorders>
              <w:top w:val="nil"/>
              <w:left w:val="nil"/>
              <w:bottom w:val="single" w:sz="4" w:space="0" w:color="auto"/>
              <w:right w:val="single" w:sz="4" w:space="0" w:color="auto"/>
            </w:tcBorders>
            <w:shd w:val="clear" w:color="auto" w:fill="auto"/>
            <w:vAlign w:val="center"/>
            <w:hideMark/>
          </w:tcPr>
          <w:p w14:paraId="11F419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160</w:t>
            </w:r>
          </w:p>
        </w:tc>
        <w:tc>
          <w:tcPr>
            <w:tcW w:w="1374" w:type="dxa"/>
            <w:tcBorders>
              <w:top w:val="nil"/>
              <w:left w:val="nil"/>
              <w:bottom w:val="single" w:sz="4" w:space="0" w:color="auto"/>
              <w:right w:val="single" w:sz="4" w:space="0" w:color="auto"/>
            </w:tcBorders>
            <w:shd w:val="clear" w:color="auto" w:fill="auto"/>
            <w:vAlign w:val="center"/>
            <w:hideMark/>
          </w:tcPr>
          <w:p w14:paraId="5C777D3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134</w:t>
            </w:r>
          </w:p>
        </w:tc>
        <w:tc>
          <w:tcPr>
            <w:tcW w:w="1133" w:type="dxa"/>
            <w:tcBorders>
              <w:top w:val="nil"/>
              <w:left w:val="nil"/>
              <w:bottom w:val="single" w:sz="4" w:space="0" w:color="auto"/>
              <w:right w:val="single" w:sz="4" w:space="0" w:color="auto"/>
            </w:tcBorders>
            <w:shd w:val="clear" w:color="auto" w:fill="auto"/>
            <w:vAlign w:val="center"/>
            <w:hideMark/>
          </w:tcPr>
          <w:p w14:paraId="6F0A751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174</w:t>
            </w:r>
          </w:p>
        </w:tc>
        <w:tc>
          <w:tcPr>
            <w:tcW w:w="306" w:type="dxa"/>
            <w:tcBorders>
              <w:top w:val="nil"/>
              <w:left w:val="nil"/>
              <w:bottom w:val="single" w:sz="4" w:space="0" w:color="auto"/>
              <w:right w:val="single" w:sz="4" w:space="0" w:color="auto"/>
            </w:tcBorders>
            <w:shd w:val="clear" w:color="auto" w:fill="auto"/>
            <w:vAlign w:val="center"/>
            <w:hideMark/>
          </w:tcPr>
          <w:p w14:paraId="7F3B380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w:t>
            </w:r>
          </w:p>
        </w:tc>
      </w:tr>
      <w:tr w:rsidR="00BC17A3" w:rsidRPr="00A546AD" w14:paraId="2728A84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B084B2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Tajikistan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838587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104</w:t>
            </w:r>
          </w:p>
        </w:tc>
        <w:tc>
          <w:tcPr>
            <w:tcW w:w="1126" w:type="dxa"/>
            <w:tcBorders>
              <w:top w:val="nil"/>
              <w:left w:val="nil"/>
              <w:bottom w:val="single" w:sz="4" w:space="0" w:color="auto"/>
              <w:right w:val="single" w:sz="4" w:space="0" w:color="auto"/>
            </w:tcBorders>
            <w:shd w:val="clear" w:color="auto" w:fill="auto"/>
            <w:vAlign w:val="center"/>
            <w:hideMark/>
          </w:tcPr>
          <w:p w14:paraId="74A758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35</w:t>
            </w:r>
          </w:p>
        </w:tc>
        <w:tc>
          <w:tcPr>
            <w:tcW w:w="1199" w:type="dxa"/>
            <w:tcBorders>
              <w:top w:val="nil"/>
              <w:left w:val="nil"/>
              <w:bottom w:val="single" w:sz="4" w:space="0" w:color="auto"/>
              <w:right w:val="single" w:sz="4" w:space="0" w:color="auto"/>
            </w:tcBorders>
            <w:shd w:val="clear" w:color="auto" w:fill="auto"/>
            <w:vAlign w:val="center"/>
            <w:hideMark/>
          </w:tcPr>
          <w:p w14:paraId="53067C7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137</w:t>
            </w:r>
          </w:p>
        </w:tc>
        <w:tc>
          <w:tcPr>
            <w:tcW w:w="1321" w:type="dxa"/>
            <w:tcBorders>
              <w:top w:val="nil"/>
              <w:left w:val="nil"/>
              <w:bottom w:val="single" w:sz="4" w:space="0" w:color="auto"/>
              <w:right w:val="single" w:sz="4" w:space="0" w:color="auto"/>
            </w:tcBorders>
            <w:shd w:val="clear" w:color="auto" w:fill="auto"/>
            <w:vAlign w:val="center"/>
            <w:hideMark/>
          </w:tcPr>
          <w:p w14:paraId="3AE128C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163</w:t>
            </w:r>
          </w:p>
        </w:tc>
        <w:tc>
          <w:tcPr>
            <w:tcW w:w="1221" w:type="dxa"/>
            <w:tcBorders>
              <w:top w:val="nil"/>
              <w:left w:val="nil"/>
              <w:bottom w:val="single" w:sz="4" w:space="0" w:color="auto"/>
              <w:right w:val="single" w:sz="4" w:space="0" w:color="auto"/>
            </w:tcBorders>
            <w:shd w:val="clear" w:color="auto" w:fill="auto"/>
            <w:vAlign w:val="center"/>
            <w:hideMark/>
          </w:tcPr>
          <w:p w14:paraId="6AE76FA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w:t>
            </w:r>
          </w:p>
        </w:tc>
        <w:tc>
          <w:tcPr>
            <w:tcW w:w="968" w:type="dxa"/>
            <w:tcBorders>
              <w:top w:val="nil"/>
              <w:left w:val="nil"/>
              <w:bottom w:val="single" w:sz="4" w:space="0" w:color="auto"/>
              <w:right w:val="single" w:sz="4" w:space="0" w:color="auto"/>
            </w:tcBorders>
            <w:shd w:val="clear" w:color="auto" w:fill="auto"/>
            <w:vAlign w:val="center"/>
            <w:hideMark/>
          </w:tcPr>
          <w:p w14:paraId="4BB34D6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w:t>
            </w:r>
          </w:p>
        </w:tc>
        <w:tc>
          <w:tcPr>
            <w:tcW w:w="1246" w:type="dxa"/>
            <w:tcBorders>
              <w:top w:val="nil"/>
              <w:left w:val="nil"/>
              <w:bottom w:val="single" w:sz="4" w:space="0" w:color="auto"/>
              <w:right w:val="single" w:sz="4" w:space="0" w:color="auto"/>
            </w:tcBorders>
            <w:shd w:val="clear" w:color="auto" w:fill="auto"/>
            <w:vAlign w:val="center"/>
            <w:hideMark/>
          </w:tcPr>
          <w:p w14:paraId="38AE673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488" w:type="dxa"/>
            <w:tcBorders>
              <w:top w:val="nil"/>
              <w:left w:val="nil"/>
              <w:bottom w:val="single" w:sz="4" w:space="0" w:color="auto"/>
              <w:right w:val="single" w:sz="4" w:space="0" w:color="auto"/>
            </w:tcBorders>
            <w:shd w:val="clear" w:color="auto" w:fill="auto"/>
            <w:vAlign w:val="center"/>
            <w:hideMark/>
          </w:tcPr>
          <w:p w14:paraId="15BAF5F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139</w:t>
            </w:r>
          </w:p>
        </w:tc>
        <w:tc>
          <w:tcPr>
            <w:tcW w:w="1374" w:type="dxa"/>
            <w:tcBorders>
              <w:top w:val="nil"/>
              <w:left w:val="nil"/>
              <w:bottom w:val="single" w:sz="4" w:space="0" w:color="auto"/>
              <w:right w:val="single" w:sz="4" w:space="0" w:color="auto"/>
            </w:tcBorders>
            <w:shd w:val="clear" w:color="auto" w:fill="auto"/>
            <w:vAlign w:val="center"/>
            <w:hideMark/>
          </w:tcPr>
          <w:p w14:paraId="407B9D3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141</w:t>
            </w:r>
          </w:p>
        </w:tc>
        <w:tc>
          <w:tcPr>
            <w:tcW w:w="1133" w:type="dxa"/>
            <w:tcBorders>
              <w:top w:val="nil"/>
              <w:left w:val="nil"/>
              <w:bottom w:val="single" w:sz="4" w:space="0" w:color="auto"/>
              <w:right w:val="single" w:sz="4" w:space="0" w:color="auto"/>
            </w:tcBorders>
            <w:shd w:val="clear" w:color="auto" w:fill="auto"/>
            <w:vAlign w:val="center"/>
            <w:hideMark/>
          </w:tcPr>
          <w:p w14:paraId="614A0FB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w:t>
            </w:r>
          </w:p>
        </w:tc>
        <w:tc>
          <w:tcPr>
            <w:tcW w:w="306" w:type="dxa"/>
            <w:tcBorders>
              <w:top w:val="nil"/>
              <w:left w:val="nil"/>
              <w:bottom w:val="single" w:sz="4" w:space="0" w:color="auto"/>
              <w:right w:val="single" w:sz="4" w:space="0" w:color="auto"/>
            </w:tcBorders>
            <w:shd w:val="clear" w:color="auto" w:fill="auto"/>
            <w:vAlign w:val="center"/>
            <w:hideMark/>
          </w:tcPr>
          <w:p w14:paraId="7149615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r>
      <w:tr w:rsidR="00BC17A3" w:rsidRPr="00A546AD" w14:paraId="6BFC235A"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DCCFC9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Vanuatu</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C041C28"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106</w:t>
            </w:r>
          </w:p>
        </w:tc>
        <w:tc>
          <w:tcPr>
            <w:tcW w:w="1126" w:type="dxa"/>
            <w:tcBorders>
              <w:top w:val="nil"/>
              <w:left w:val="nil"/>
              <w:bottom w:val="single" w:sz="4" w:space="0" w:color="auto"/>
              <w:right w:val="single" w:sz="4" w:space="0" w:color="auto"/>
            </w:tcBorders>
            <w:shd w:val="clear" w:color="auto" w:fill="auto"/>
            <w:vAlign w:val="center"/>
            <w:hideMark/>
          </w:tcPr>
          <w:p w14:paraId="64B8ED7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137</w:t>
            </w:r>
          </w:p>
        </w:tc>
        <w:tc>
          <w:tcPr>
            <w:tcW w:w="1199" w:type="dxa"/>
            <w:tcBorders>
              <w:top w:val="nil"/>
              <w:left w:val="nil"/>
              <w:bottom w:val="single" w:sz="4" w:space="0" w:color="auto"/>
              <w:right w:val="single" w:sz="4" w:space="0" w:color="auto"/>
            </w:tcBorders>
            <w:shd w:val="clear" w:color="auto" w:fill="auto"/>
            <w:vAlign w:val="center"/>
            <w:hideMark/>
          </w:tcPr>
          <w:p w14:paraId="2579E9C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163</w:t>
            </w:r>
          </w:p>
        </w:tc>
        <w:tc>
          <w:tcPr>
            <w:tcW w:w="1321" w:type="dxa"/>
            <w:tcBorders>
              <w:top w:val="nil"/>
              <w:left w:val="nil"/>
              <w:bottom w:val="single" w:sz="4" w:space="0" w:color="auto"/>
              <w:right w:val="single" w:sz="4" w:space="0" w:color="auto"/>
            </w:tcBorders>
            <w:shd w:val="clear" w:color="auto" w:fill="auto"/>
            <w:vAlign w:val="center"/>
            <w:hideMark/>
          </w:tcPr>
          <w:p w14:paraId="51098BE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101</w:t>
            </w:r>
          </w:p>
        </w:tc>
        <w:tc>
          <w:tcPr>
            <w:tcW w:w="1221" w:type="dxa"/>
            <w:tcBorders>
              <w:top w:val="nil"/>
              <w:left w:val="nil"/>
              <w:bottom w:val="single" w:sz="4" w:space="0" w:color="auto"/>
              <w:right w:val="single" w:sz="4" w:space="0" w:color="auto"/>
            </w:tcBorders>
            <w:shd w:val="clear" w:color="auto" w:fill="auto"/>
            <w:vAlign w:val="center"/>
            <w:hideMark/>
          </w:tcPr>
          <w:p w14:paraId="7649AB6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w:t>
            </w:r>
          </w:p>
        </w:tc>
        <w:tc>
          <w:tcPr>
            <w:tcW w:w="968" w:type="dxa"/>
            <w:tcBorders>
              <w:top w:val="nil"/>
              <w:left w:val="nil"/>
              <w:bottom w:val="single" w:sz="4" w:space="0" w:color="auto"/>
              <w:right w:val="single" w:sz="4" w:space="0" w:color="auto"/>
            </w:tcBorders>
            <w:shd w:val="clear" w:color="auto" w:fill="auto"/>
            <w:vAlign w:val="center"/>
            <w:hideMark/>
          </w:tcPr>
          <w:p w14:paraId="0341AA5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37</w:t>
            </w:r>
          </w:p>
        </w:tc>
        <w:tc>
          <w:tcPr>
            <w:tcW w:w="1246" w:type="dxa"/>
            <w:tcBorders>
              <w:top w:val="nil"/>
              <w:left w:val="nil"/>
              <w:bottom w:val="single" w:sz="4" w:space="0" w:color="auto"/>
              <w:right w:val="single" w:sz="4" w:space="0" w:color="auto"/>
            </w:tcBorders>
            <w:shd w:val="clear" w:color="auto" w:fill="auto"/>
            <w:vAlign w:val="center"/>
            <w:hideMark/>
          </w:tcPr>
          <w:p w14:paraId="0930CB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1488" w:type="dxa"/>
            <w:tcBorders>
              <w:top w:val="nil"/>
              <w:left w:val="nil"/>
              <w:bottom w:val="single" w:sz="4" w:space="0" w:color="auto"/>
              <w:right w:val="single" w:sz="4" w:space="0" w:color="auto"/>
            </w:tcBorders>
            <w:shd w:val="clear" w:color="auto" w:fill="auto"/>
            <w:vAlign w:val="center"/>
            <w:hideMark/>
          </w:tcPr>
          <w:p w14:paraId="3001D62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374" w:type="dxa"/>
            <w:tcBorders>
              <w:top w:val="nil"/>
              <w:left w:val="nil"/>
              <w:bottom w:val="single" w:sz="4" w:space="0" w:color="auto"/>
              <w:right w:val="single" w:sz="4" w:space="0" w:color="auto"/>
            </w:tcBorders>
            <w:shd w:val="clear" w:color="auto" w:fill="auto"/>
            <w:vAlign w:val="center"/>
            <w:hideMark/>
          </w:tcPr>
          <w:p w14:paraId="5180A89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148</w:t>
            </w:r>
          </w:p>
        </w:tc>
        <w:tc>
          <w:tcPr>
            <w:tcW w:w="1133" w:type="dxa"/>
            <w:tcBorders>
              <w:top w:val="nil"/>
              <w:left w:val="nil"/>
              <w:bottom w:val="single" w:sz="4" w:space="0" w:color="auto"/>
              <w:right w:val="single" w:sz="4" w:space="0" w:color="auto"/>
            </w:tcBorders>
            <w:shd w:val="clear" w:color="auto" w:fill="auto"/>
            <w:vAlign w:val="center"/>
            <w:hideMark/>
          </w:tcPr>
          <w:p w14:paraId="4FD16A8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138</w:t>
            </w:r>
          </w:p>
        </w:tc>
        <w:tc>
          <w:tcPr>
            <w:tcW w:w="306" w:type="dxa"/>
            <w:tcBorders>
              <w:top w:val="nil"/>
              <w:left w:val="nil"/>
              <w:bottom w:val="single" w:sz="4" w:space="0" w:color="auto"/>
              <w:right w:val="single" w:sz="4" w:space="0" w:color="auto"/>
            </w:tcBorders>
            <w:shd w:val="clear" w:color="auto" w:fill="auto"/>
            <w:vAlign w:val="center"/>
            <w:hideMark/>
          </w:tcPr>
          <w:p w14:paraId="2FF1D81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101</w:t>
            </w:r>
          </w:p>
        </w:tc>
      </w:tr>
      <w:tr w:rsidR="00BC17A3" w:rsidRPr="00A546AD" w14:paraId="5861794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2E51F9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Pakistan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AF9D346"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107</w:t>
            </w:r>
          </w:p>
        </w:tc>
        <w:tc>
          <w:tcPr>
            <w:tcW w:w="1126" w:type="dxa"/>
            <w:tcBorders>
              <w:top w:val="nil"/>
              <w:left w:val="nil"/>
              <w:bottom w:val="single" w:sz="4" w:space="0" w:color="auto"/>
              <w:right w:val="single" w:sz="4" w:space="0" w:color="auto"/>
            </w:tcBorders>
            <w:shd w:val="clear" w:color="auto" w:fill="auto"/>
            <w:vAlign w:val="center"/>
            <w:hideMark/>
          </w:tcPr>
          <w:p w14:paraId="0D2B02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199" w:type="dxa"/>
            <w:tcBorders>
              <w:top w:val="nil"/>
              <w:left w:val="nil"/>
              <w:bottom w:val="single" w:sz="4" w:space="0" w:color="auto"/>
              <w:right w:val="single" w:sz="4" w:space="0" w:color="auto"/>
            </w:tcBorders>
            <w:shd w:val="clear" w:color="auto" w:fill="auto"/>
            <w:vAlign w:val="center"/>
            <w:hideMark/>
          </w:tcPr>
          <w:p w14:paraId="45FC084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112</w:t>
            </w:r>
          </w:p>
        </w:tc>
        <w:tc>
          <w:tcPr>
            <w:tcW w:w="1321" w:type="dxa"/>
            <w:tcBorders>
              <w:top w:val="nil"/>
              <w:left w:val="nil"/>
              <w:bottom w:val="single" w:sz="4" w:space="0" w:color="auto"/>
              <w:right w:val="single" w:sz="4" w:space="0" w:color="auto"/>
            </w:tcBorders>
            <w:shd w:val="clear" w:color="auto" w:fill="auto"/>
            <w:vAlign w:val="center"/>
            <w:hideMark/>
          </w:tcPr>
          <w:p w14:paraId="70D6FA3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123</w:t>
            </w:r>
          </w:p>
        </w:tc>
        <w:tc>
          <w:tcPr>
            <w:tcW w:w="1221" w:type="dxa"/>
            <w:tcBorders>
              <w:top w:val="nil"/>
              <w:left w:val="nil"/>
              <w:bottom w:val="single" w:sz="4" w:space="0" w:color="auto"/>
              <w:right w:val="single" w:sz="4" w:space="0" w:color="auto"/>
            </w:tcBorders>
            <w:shd w:val="clear" w:color="auto" w:fill="auto"/>
            <w:vAlign w:val="center"/>
            <w:hideMark/>
          </w:tcPr>
          <w:p w14:paraId="0249E91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151</w:t>
            </w:r>
          </w:p>
        </w:tc>
        <w:tc>
          <w:tcPr>
            <w:tcW w:w="968" w:type="dxa"/>
            <w:tcBorders>
              <w:top w:val="nil"/>
              <w:left w:val="nil"/>
              <w:bottom w:val="single" w:sz="4" w:space="0" w:color="auto"/>
              <w:right w:val="single" w:sz="4" w:space="0" w:color="auto"/>
            </w:tcBorders>
            <w:shd w:val="clear" w:color="auto" w:fill="auto"/>
            <w:vAlign w:val="center"/>
            <w:hideMark/>
          </w:tcPr>
          <w:p w14:paraId="687F305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726DE9B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488" w:type="dxa"/>
            <w:tcBorders>
              <w:top w:val="nil"/>
              <w:left w:val="nil"/>
              <w:bottom w:val="single" w:sz="4" w:space="0" w:color="auto"/>
              <w:right w:val="single" w:sz="4" w:space="0" w:color="auto"/>
            </w:tcBorders>
            <w:shd w:val="clear" w:color="auto" w:fill="auto"/>
            <w:vAlign w:val="center"/>
            <w:hideMark/>
          </w:tcPr>
          <w:p w14:paraId="7DAC3B9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161</w:t>
            </w:r>
          </w:p>
        </w:tc>
        <w:tc>
          <w:tcPr>
            <w:tcW w:w="1374" w:type="dxa"/>
            <w:tcBorders>
              <w:top w:val="nil"/>
              <w:left w:val="nil"/>
              <w:bottom w:val="single" w:sz="4" w:space="0" w:color="auto"/>
              <w:right w:val="single" w:sz="4" w:space="0" w:color="auto"/>
            </w:tcBorders>
            <w:shd w:val="clear" w:color="auto" w:fill="auto"/>
            <w:vAlign w:val="center"/>
            <w:hideMark/>
          </w:tcPr>
          <w:p w14:paraId="5376101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111</w:t>
            </w:r>
          </w:p>
        </w:tc>
        <w:tc>
          <w:tcPr>
            <w:tcW w:w="1133" w:type="dxa"/>
            <w:tcBorders>
              <w:top w:val="nil"/>
              <w:left w:val="nil"/>
              <w:bottom w:val="single" w:sz="4" w:space="0" w:color="auto"/>
              <w:right w:val="single" w:sz="4" w:space="0" w:color="auto"/>
            </w:tcBorders>
            <w:shd w:val="clear" w:color="auto" w:fill="auto"/>
            <w:vAlign w:val="center"/>
            <w:hideMark/>
          </w:tcPr>
          <w:p w14:paraId="73549AF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156</w:t>
            </w:r>
          </w:p>
        </w:tc>
        <w:tc>
          <w:tcPr>
            <w:tcW w:w="306" w:type="dxa"/>
            <w:tcBorders>
              <w:top w:val="nil"/>
              <w:left w:val="nil"/>
              <w:bottom w:val="single" w:sz="4" w:space="0" w:color="auto"/>
              <w:right w:val="single" w:sz="4" w:space="0" w:color="auto"/>
            </w:tcBorders>
            <w:shd w:val="clear" w:color="auto" w:fill="auto"/>
            <w:vAlign w:val="center"/>
            <w:hideMark/>
          </w:tcPr>
          <w:p w14:paraId="0FCA210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w:t>
            </w:r>
          </w:p>
        </w:tc>
      </w:tr>
      <w:tr w:rsidR="00BC17A3" w:rsidRPr="00A546AD" w14:paraId="3E962E5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E76AF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Malawi</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A33B9A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108</w:t>
            </w:r>
          </w:p>
        </w:tc>
        <w:tc>
          <w:tcPr>
            <w:tcW w:w="1126" w:type="dxa"/>
            <w:tcBorders>
              <w:top w:val="nil"/>
              <w:left w:val="nil"/>
              <w:bottom w:val="single" w:sz="4" w:space="0" w:color="auto"/>
              <w:right w:val="single" w:sz="4" w:space="0" w:color="auto"/>
            </w:tcBorders>
            <w:shd w:val="clear" w:color="auto" w:fill="auto"/>
            <w:vAlign w:val="center"/>
            <w:hideMark/>
          </w:tcPr>
          <w:p w14:paraId="4D659D6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c>
          <w:tcPr>
            <w:tcW w:w="1199" w:type="dxa"/>
            <w:tcBorders>
              <w:top w:val="nil"/>
              <w:left w:val="nil"/>
              <w:bottom w:val="single" w:sz="4" w:space="0" w:color="auto"/>
              <w:right w:val="single" w:sz="4" w:space="0" w:color="auto"/>
            </w:tcBorders>
            <w:shd w:val="clear" w:color="auto" w:fill="auto"/>
            <w:vAlign w:val="center"/>
            <w:hideMark/>
          </w:tcPr>
          <w:p w14:paraId="4E541D3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321" w:type="dxa"/>
            <w:tcBorders>
              <w:top w:val="nil"/>
              <w:left w:val="nil"/>
              <w:bottom w:val="single" w:sz="4" w:space="0" w:color="auto"/>
              <w:right w:val="single" w:sz="4" w:space="0" w:color="auto"/>
            </w:tcBorders>
            <w:shd w:val="clear" w:color="auto" w:fill="auto"/>
            <w:vAlign w:val="center"/>
            <w:hideMark/>
          </w:tcPr>
          <w:p w14:paraId="0BF15B3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171</w:t>
            </w:r>
          </w:p>
        </w:tc>
        <w:tc>
          <w:tcPr>
            <w:tcW w:w="1221" w:type="dxa"/>
            <w:tcBorders>
              <w:top w:val="nil"/>
              <w:left w:val="nil"/>
              <w:bottom w:val="single" w:sz="4" w:space="0" w:color="auto"/>
              <w:right w:val="single" w:sz="4" w:space="0" w:color="auto"/>
            </w:tcBorders>
            <w:shd w:val="clear" w:color="auto" w:fill="auto"/>
            <w:vAlign w:val="center"/>
            <w:hideMark/>
          </w:tcPr>
          <w:p w14:paraId="454502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w:t>
            </w:r>
          </w:p>
        </w:tc>
        <w:tc>
          <w:tcPr>
            <w:tcW w:w="968" w:type="dxa"/>
            <w:tcBorders>
              <w:top w:val="nil"/>
              <w:left w:val="nil"/>
              <w:bottom w:val="single" w:sz="4" w:space="0" w:color="auto"/>
              <w:right w:val="single" w:sz="4" w:space="0" w:color="auto"/>
            </w:tcBorders>
            <w:shd w:val="clear" w:color="auto" w:fill="auto"/>
            <w:vAlign w:val="center"/>
            <w:hideMark/>
          </w:tcPr>
          <w:p w14:paraId="036E975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w:t>
            </w:r>
          </w:p>
        </w:tc>
        <w:tc>
          <w:tcPr>
            <w:tcW w:w="1246" w:type="dxa"/>
            <w:tcBorders>
              <w:top w:val="nil"/>
              <w:left w:val="nil"/>
              <w:bottom w:val="single" w:sz="4" w:space="0" w:color="auto"/>
              <w:right w:val="single" w:sz="4" w:space="0" w:color="auto"/>
            </w:tcBorders>
            <w:shd w:val="clear" w:color="auto" w:fill="auto"/>
            <w:vAlign w:val="center"/>
            <w:hideMark/>
          </w:tcPr>
          <w:p w14:paraId="44B0635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488" w:type="dxa"/>
            <w:tcBorders>
              <w:top w:val="nil"/>
              <w:left w:val="nil"/>
              <w:bottom w:val="single" w:sz="4" w:space="0" w:color="auto"/>
              <w:right w:val="single" w:sz="4" w:space="0" w:color="auto"/>
            </w:tcBorders>
            <w:shd w:val="clear" w:color="auto" w:fill="auto"/>
            <w:vAlign w:val="center"/>
            <w:hideMark/>
          </w:tcPr>
          <w:p w14:paraId="3DDF8A5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135</w:t>
            </w:r>
          </w:p>
        </w:tc>
        <w:tc>
          <w:tcPr>
            <w:tcW w:w="1374" w:type="dxa"/>
            <w:tcBorders>
              <w:top w:val="nil"/>
              <w:left w:val="nil"/>
              <w:bottom w:val="single" w:sz="4" w:space="0" w:color="auto"/>
              <w:right w:val="single" w:sz="4" w:space="0" w:color="auto"/>
            </w:tcBorders>
            <w:shd w:val="clear" w:color="auto" w:fill="auto"/>
            <w:vAlign w:val="center"/>
            <w:hideMark/>
          </w:tcPr>
          <w:p w14:paraId="43CB435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127</w:t>
            </w:r>
          </w:p>
        </w:tc>
        <w:tc>
          <w:tcPr>
            <w:tcW w:w="1133" w:type="dxa"/>
            <w:tcBorders>
              <w:top w:val="nil"/>
              <w:left w:val="nil"/>
              <w:bottom w:val="single" w:sz="4" w:space="0" w:color="auto"/>
              <w:right w:val="single" w:sz="4" w:space="0" w:color="auto"/>
            </w:tcBorders>
            <w:shd w:val="clear" w:color="auto" w:fill="auto"/>
            <w:vAlign w:val="center"/>
            <w:hideMark/>
          </w:tcPr>
          <w:p w14:paraId="67E30D4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149</w:t>
            </w:r>
          </w:p>
        </w:tc>
        <w:tc>
          <w:tcPr>
            <w:tcW w:w="306" w:type="dxa"/>
            <w:tcBorders>
              <w:top w:val="nil"/>
              <w:left w:val="nil"/>
              <w:bottom w:val="single" w:sz="4" w:space="0" w:color="auto"/>
              <w:right w:val="single" w:sz="4" w:space="0" w:color="auto"/>
            </w:tcBorders>
            <w:shd w:val="clear" w:color="auto" w:fill="auto"/>
            <w:vAlign w:val="center"/>
            <w:hideMark/>
          </w:tcPr>
          <w:p w14:paraId="0C80A71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134</w:t>
            </w:r>
          </w:p>
        </w:tc>
      </w:tr>
      <w:tr w:rsidR="00BC17A3" w:rsidRPr="00A546AD" w14:paraId="5F3719C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27B859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Côte</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d'Ivoire</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7BF984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109</w:t>
            </w:r>
          </w:p>
        </w:tc>
        <w:tc>
          <w:tcPr>
            <w:tcW w:w="1126" w:type="dxa"/>
            <w:tcBorders>
              <w:top w:val="nil"/>
              <w:left w:val="nil"/>
              <w:bottom w:val="single" w:sz="4" w:space="0" w:color="auto"/>
              <w:right w:val="single" w:sz="4" w:space="0" w:color="auto"/>
            </w:tcBorders>
            <w:shd w:val="clear" w:color="auto" w:fill="auto"/>
            <w:vAlign w:val="center"/>
            <w:hideMark/>
          </w:tcPr>
          <w:p w14:paraId="0C412FF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199" w:type="dxa"/>
            <w:tcBorders>
              <w:top w:val="nil"/>
              <w:left w:val="nil"/>
              <w:bottom w:val="single" w:sz="4" w:space="0" w:color="auto"/>
              <w:right w:val="single" w:sz="4" w:space="0" w:color="auto"/>
            </w:tcBorders>
            <w:shd w:val="clear" w:color="auto" w:fill="auto"/>
            <w:vAlign w:val="center"/>
            <w:hideMark/>
          </w:tcPr>
          <w:p w14:paraId="3BD9C05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321" w:type="dxa"/>
            <w:tcBorders>
              <w:top w:val="nil"/>
              <w:left w:val="nil"/>
              <w:bottom w:val="single" w:sz="4" w:space="0" w:color="auto"/>
              <w:right w:val="single" w:sz="4" w:space="0" w:color="auto"/>
            </w:tcBorders>
            <w:shd w:val="clear" w:color="auto" w:fill="auto"/>
            <w:vAlign w:val="center"/>
            <w:hideMark/>
          </w:tcPr>
          <w:p w14:paraId="2BB3B60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141</w:t>
            </w:r>
          </w:p>
        </w:tc>
        <w:tc>
          <w:tcPr>
            <w:tcW w:w="1221" w:type="dxa"/>
            <w:tcBorders>
              <w:top w:val="nil"/>
              <w:left w:val="nil"/>
              <w:bottom w:val="single" w:sz="4" w:space="0" w:color="auto"/>
              <w:right w:val="single" w:sz="4" w:space="0" w:color="auto"/>
            </w:tcBorders>
            <w:shd w:val="clear" w:color="auto" w:fill="auto"/>
            <w:vAlign w:val="center"/>
            <w:hideMark/>
          </w:tcPr>
          <w:p w14:paraId="2859D7E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112</w:t>
            </w:r>
          </w:p>
        </w:tc>
        <w:tc>
          <w:tcPr>
            <w:tcW w:w="968" w:type="dxa"/>
            <w:tcBorders>
              <w:top w:val="nil"/>
              <w:left w:val="nil"/>
              <w:bottom w:val="single" w:sz="4" w:space="0" w:color="auto"/>
              <w:right w:val="single" w:sz="4" w:space="0" w:color="auto"/>
            </w:tcBorders>
            <w:shd w:val="clear" w:color="auto" w:fill="auto"/>
            <w:vAlign w:val="center"/>
            <w:hideMark/>
          </w:tcPr>
          <w:p w14:paraId="19BD3BD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0BAEAA4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488" w:type="dxa"/>
            <w:tcBorders>
              <w:top w:val="nil"/>
              <w:left w:val="nil"/>
              <w:bottom w:val="single" w:sz="4" w:space="0" w:color="auto"/>
              <w:right w:val="single" w:sz="4" w:space="0" w:color="auto"/>
            </w:tcBorders>
            <w:shd w:val="clear" w:color="auto" w:fill="auto"/>
            <w:vAlign w:val="center"/>
            <w:hideMark/>
          </w:tcPr>
          <w:p w14:paraId="46C6946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1374" w:type="dxa"/>
            <w:tcBorders>
              <w:top w:val="nil"/>
              <w:left w:val="nil"/>
              <w:bottom w:val="single" w:sz="4" w:space="0" w:color="auto"/>
              <w:right w:val="single" w:sz="4" w:space="0" w:color="auto"/>
            </w:tcBorders>
            <w:shd w:val="clear" w:color="auto" w:fill="auto"/>
            <w:vAlign w:val="center"/>
            <w:hideMark/>
          </w:tcPr>
          <w:p w14:paraId="4B38C30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163</w:t>
            </w:r>
          </w:p>
        </w:tc>
        <w:tc>
          <w:tcPr>
            <w:tcW w:w="1133" w:type="dxa"/>
            <w:tcBorders>
              <w:top w:val="nil"/>
              <w:left w:val="nil"/>
              <w:bottom w:val="single" w:sz="4" w:space="0" w:color="auto"/>
              <w:right w:val="single" w:sz="4" w:space="0" w:color="auto"/>
            </w:tcBorders>
            <w:shd w:val="clear" w:color="auto" w:fill="auto"/>
            <w:vAlign w:val="center"/>
            <w:hideMark/>
          </w:tcPr>
          <w:p w14:paraId="5B9EF4E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w:t>
            </w:r>
          </w:p>
        </w:tc>
        <w:tc>
          <w:tcPr>
            <w:tcW w:w="306" w:type="dxa"/>
            <w:tcBorders>
              <w:top w:val="nil"/>
              <w:left w:val="nil"/>
              <w:bottom w:val="single" w:sz="4" w:space="0" w:color="auto"/>
              <w:right w:val="single" w:sz="4" w:space="0" w:color="auto"/>
            </w:tcBorders>
            <w:shd w:val="clear" w:color="auto" w:fill="auto"/>
            <w:vAlign w:val="center"/>
            <w:hideMark/>
          </w:tcPr>
          <w:p w14:paraId="7C262A7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w:t>
            </w:r>
          </w:p>
        </w:tc>
      </w:tr>
      <w:tr w:rsidR="00BC17A3" w:rsidRPr="00A546AD" w14:paraId="74EF5296"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FE5A4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Dominica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7F47DE0"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110</w:t>
            </w:r>
          </w:p>
        </w:tc>
        <w:tc>
          <w:tcPr>
            <w:tcW w:w="1126" w:type="dxa"/>
            <w:tcBorders>
              <w:top w:val="nil"/>
              <w:left w:val="nil"/>
              <w:bottom w:val="single" w:sz="4" w:space="0" w:color="auto"/>
              <w:right w:val="single" w:sz="4" w:space="0" w:color="auto"/>
            </w:tcBorders>
            <w:shd w:val="clear" w:color="auto" w:fill="auto"/>
            <w:vAlign w:val="center"/>
            <w:hideMark/>
          </w:tcPr>
          <w:p w14:paraId="498DBE2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w:t>
            </w:r>
          </w:p>
        </w:tc>
        <w:tc>
          <w:tcPr>
            <w:tcW w:w="1199" w:type="dxa"/>
            <w:tcBorders>
              <w:top w:val="nil"/>
              <w:left w:val="nil"/>
              <w:bottom w:val="single" w:sz="4" w:space="0" w:color="auto"/>
              <w:right w:val="single" w:sz="4" w:space="0" w:color="auto"/>
            </w:tcBorders>
            <w:shd w:val="clear" w:color="auto" w:fill="auto"/>
            <w:vAlign w:val="center"/>
            <w:hideMark/>
          </w:tcPr>
          <w:p w14:paraId="5DC5F9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w:t>
            </w:r>
          </w:p>
        </w:tc>
        <w:tc>
          <w:tcPr>
            <w:tcW w:w="1321" w:type="dxa"/>
            <w:tcBorders>
              <w:top w:val="nil"/>
              <w:left w:val="nil"/>
              <w:bottom w:val="single" w:sz="4" w:space="0" w:color="auto"/>
              <w:right w:val="single" w:sz="4" w:space="0" w:color="auto"/>
            </w:tcBorders>
            <w:shd w:val="clear" w:color="auto" w:fill="auto"/>
            <w:vAlign w:val="center"/>
            <w:hideMark/>
          </w:tcPr>
          <w:p w14:paraId="0F082B3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w:t>
            </w:r>
          </w:p>
        </w:tc>
        <w:tc>
          <w:tcPr>
            <w:tcW w:w="1221" w:type="dxa"/>
            <w:tcBorders>
              <w:top w:val="nil"/>
              <w:left w:val="nil"/>
              <w:bottom w:val="single" w:sz="4" w:space="0" w:color="auto"/>
              <w:right w:val="single" w:sz="4" w:space="0" w:color="auto"/>
            </w:tcBorders>
            <w:shd w:val="clear" w:color="auto" w:fill="auto"/>
            <w:vAlign w:val="center"/>
            <w:hideMark/>
          </w:tcPr>
          <w:p w14:paraId="476E3D1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179</w:t>
            </w:r>
          </w:p>
        </w:tc>
        <w:tc>
          <w:tcPr>
            <w:tcW w:w="968" w:type="dxa"/>
            <w:tcBorders>
              <w:top w:val="nil"/>
              <w:left w:val="nil"/>
              <w:bottom w:val="single" w:sz="4" w:space="0" w:color="auto"/>
              <w:right w:val="single" w:sz="4" w:space="0" w:color="auto"/>
            </w:tcBorders>
            <w:shd w:val="clear" w:color="auto" w:fill="auto"/>
            <w:vAlign w:val="center"/>
            <w:hideMark/>
          </w:tcPr>
          <w:p w14:paraId="6B295A1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2C72F9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488" w:type="dxa"/>
            <w:tcBorders>
              <w:top w:val="nil"/>
              <w:left w:val="nil"/>
              <w:bottom w:val="single" w:sz="4" w:space="0" w:color="auto"/>
              <w:right w:val="single" w:sz="4" w:space="0" w:color="auto"/>
            </w:tcBorders>
            <w:shd w:val="clear" w:color="auto" w:fill="auto"/>
            <w:vAlign w:val="center"/>
            <w:hideMark/>
          </w:tcPr>
          <w:p w14:paraId="51D7C43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w:t>
            </w:r>
          </w:p>
        </w:tc>
        <w:tc>
          <w:tcPr>
            <w:tcW w:w="1374" w:type="dxa"/>
            <w:tcBorders>
              <w:top w:val="nil"/>
              <w:left w:val="nil"/>
              <w:bottom w:val="single" w:sz="4" w:space="0" w:color="auto"/>
              <w:right w:val="single" w:sz="4" w:space="0" w:color="auto"/>
            </w:tcBorders>
            <w:shd w:val="clear" w:color="auto" w:fill="auto"/>
            <w:vAlign w:val="center"/>
            <w:hideMark/>
          </w:tcPr>
          <w:p w14:paraId="5D8EF78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w:t>
            </w:r>
          </w:p>
        </w:tc>
        <w:tc>
          <w:tcPr>
            <w:tcW w:w="1133" w:type="dxa"/>
            <w:tcBorders>
              <w:top w:val="nil"/>
              <w:left w:val="nil"/>
              <w:bottom w:val="single" w:sz="4" w:space="0" w:color="auto"/>
              <w:right w:val="single" w:sz="4" w:space="0" w:color="auto"/>
            </w:tcBorders>
            <w:shd w:val="clear" w:color="auto" w:fill="auto"/>
            <w:vAlign w:val="center"/>
            <w:hideMark/>
          </w:tcPr>
          <w:p w14:paraId="50BABA7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w:t>
            </w:r>
          </w:p>
        </w:tc>
        <w:tc>
          <w:tcPr>
            <w:tcW w:w="306" w:type="dxa"/>
            <w:tcBorders>
              <w:top w:val="nil"/>
              <w:left w:val="nil"/>
              <w:bottom w:val="single" w:sz="4" w:space="0" w:color="auto"/>
              <w:right w:val="single" w:sz="4" w:space="0" w:color="auto"/>
            </w:tcBorders>
            <w:shd w:val="clear" w:color="auto" w:fill="auto"/>
            <w:vAlign w:val="center"/>
            <w:hideMark/>
          </w:tcPr>
          <w:p w14:paraId="268FC7C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r>
      <w:tr w:rsidR="00BC17A3" w:rsidRPr="00A546AD" w14:paraId="04999AA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C40410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Djibouti</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80B58D2"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111</w:t>
            </w:r>
          </w:p>
        </w:tc>
        <w:tc>
          <w:tcPr>
            <w:tcW w:w="1126" w:type="dxa"/>
            <w:tcBorders>
              <w:top w:val="nil"/>
              <w:left w:val="nil"/>
              <w:bottom w:val="single" w:sz="4" w:space="0" w:color="auto"/>
              <w:right w:val="single" w:sz="4" w:space="0" w:color="auto"/>
            </w:tcBorders>
            <w:shd w:val="clear" w:color="auto" w:fill="auto"/>
            <w:vAlign w:val="center"/>
            <w:hideMark/>
          </w:tcPr>
          <w:p w14:paraId="165B61B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123</w:t>
            </w:r>
          </w:p>
        </w:tc>
        <w:tc>
          <w:tcPr>
            <w:tcW w:w="1199" w:type="dxa"/>
            <w:tcBorders>
              <w:top w:val="nil"/>
              <w:left w:val="nil"/>
              <w:bottom w:val="single" w:sz="4" w:space="0" w:color="auto"/>
              <w:right w:val="single" w:sz="4" w:space="0" w:color="auto"/>
            </w:tcBorders>
            <w:shd w:val="clear" w:color="auto" w:fill="auto"/>
            <w:vAlign w:val="center"/>
            <w:hideMark/>
          </w:tcPr>
          <w:p w14:paraId="4AC11CE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w:t>
            </w:r>
          </w:p>
        </w:tc>
        <w:tc>
          <w:tcPr>
            <w:tcW w:w="1321" w:type="dxa"/>
            <w:tcBorders>
              <w:top w:val="nil"/>
              <w:left w:val="nil"/>
              <w:bottom w:val="single" w:sz="4" w:space="0" w:color="auto"/>
              <w:right w:val="single" w:sz="4" w:space="0" w:color="auto"/>
            </w:tcBorders>
            <w:shd w:val="clear" w:color="auto" w:fill="auto"/>
            <w:vAlign w:val="center"/>
            <w:hideMark/>
          </w:tcPr>
          <w:p w14:paraId="6D7F695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121</w:t>
            </w:r>
          </w:p>
        </w:tc>
        <w:tc>
          <w:tcPr>
            <w:tcW w:w="1221" w:type="dxa"/>
            <w:tcBorders>
              <w:top w:val="nil"/>
              <w:left w:val="nil"/>
              <w:bottom w:val="single" w:sz="4" w:space="0" w:color="auto"/>
              <w:right w:val="single" w:sz="4" w:space="0" w:color="auto"/>
            </w:tcBorders>
            <w:shd w:val="clear" w:color="auto" w:fill="auto"/>
            <w:vAlign w:val="center"/>
            <w:hideMark/>
          </w:tcPr>
          <w:p w14:paraId="4BF9261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117</w:t>
            </w:r>
          </w:p>
        </w:tc>
        <w:tc>
          <w:tcPr>
            <w:tcW w:w="968" w:type="dxa"/>
            <w:tcBorders>
              <w:top w:val="nil"/>
              <w:left w:val="nil"/>
              <w:bottom w:val="single" w:sz="4" w:space="0" w:color="auto"/>
              <w:right w:val="single" w:sz="4" w:space="0" w:color="auto"/>
            </w:tcBorders>
            <w:shd w:val="clear" w:color="auto" w:fill="auto"/>
            <w:vAlign w:val="center"/>
            <w:hideMark/>
          </w:tcPr>
          <w:p w14:paraId="30381BF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739504F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103</w:t>
            </w:r>
          </w:p>
        </w:tc>
        <w:tc>
          <w:tcPr>
            <w:tcW w:w="1488" w:type="dxa"/>
            <w:tcBorders>
              <w:top w:val="nil"/>
              <w:left w:val="nil"/>
              <w:bottom w:val="single" w:sz="4" w:space="0" w:color="auto"/>
              <w:right w:val="single" w:sz="4" w:space="0" w:color="auto"/>
            </w:tcBorders>
            <w:shd w:val="clear" w:color="auto" w:fill="auto"/>
            <w:vAlign w:val="center"/>
            <w:hideMark/>
          </w:tcPr>
          <w:p w14:paraId="36EBF00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133</w:t>
            </w:r>
          </w:p>
        </w:tc>
        <w:tc>
          <w:tcPr>
            <w:tcW w:w="1374" w:type="dxa"/>
            <w:tcBorders>
              <w:top w:val="nil"/>
              <w:left w:val="nil"/>
              <w:bottom w:val="single" w:sz="4" w:space="0" w:color="auto"/>
              <w:right w:val="single" w:sz="4" w:space="0" w:color="auto"/>
            </w:tcBorders>
            <w:shd w:val="clear" w:color="auto" w:fill="auto"/>
            <w:vAlign w:val="center"/>
            <w:hideMark/>
          </w:tcPr>
          <w:p w14:paraId="146388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1133" w:type="dxa"/>
            <w:tcBorders>
              <w:top w:val="nil"/>
              <w:left w:val="nil"/>
              <w:bottom w:val="single" w:sz="4" w:space="0" w:color="auto"/>
              <w:right w:val="single" w:sz="4" w:space="0" w:color="auto"/>
            </w:tcBorders>
            <w:shd w:val="clear" w:color="auto" w:fill="auto"/>
            <w:vAlign w:val="center"/>
            <w:hideMark/>
          </w:tcPr>
          <w:p w14:paraId="496BB4B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306" w:type="dxa"/>
            <w:tcBorders>
              <w:top w:val="nil"/>
              <w:left w:val="nil"/>
              <w:bottom w:val="single" w:sz="4" w:space="0" w:color="auto"/>
              <w:right w:val="single" w:sz="4" w:space="0" w:color="auto"/>
            </w:tcBorders>
            <w:shd w:val="clear" w:color="auto" w:fill="auto"/>
            <w:vAlign w:val="center"/>
            <w:hideMark/>
          </w:tcPr>
          <w:p w14:paraId="4401655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44</w:t>
            </w:r>
          </w:p>
        </w:tc>
      </w:tr>
      <w:tr w:rsidR="00BC17A3" w:rsidRPr="00A546AD" w14:paraId="58D1DFA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3CF405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lastRenderedPageBreak/>
              <w:t>Antigua</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and</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Barbuda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0E4994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112</w:t>
            </w:r>
          </w:p>
        </w:tc>
        <w:tc>
          <w:tcPr>
            <w:tcW w:w="1126" w:type="dxa"/>
            <w:tcBorders>
              <w:top w:val="nil"/>
              <w:left w:val="nil"/>
              <w:bottom w:val="single" w:sz="4" w:space="0" w:color="auto"/>
              <w:right w:val="single" w:sz="4" w:space="0" w:color="auto"/>
            </w:tcBorders>
            <w:shd w:val="clear" w:color="auto" w:fill="auto"/>
            <w:vAlign w:val="center"/>
            <w:hideMark/>
          </w:tcPr>
          <w:p w14:paraId="2CDA32A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130</w:t>
            </w:r>
          </w:p>
        </w:tc>
        <w:tc>
          <w:tcPr>
            <w:tcW w:w="1199" w:type="dxa"/>
            <w:tcBorders>
              <w:top w:val="nil"/>
              <w:left w:val="nil"/>
              <w:bottom w:val="single" w:sz="4" w:space="0" w:color="auto"/>
              <w:right w:val="single" w:sz="4" w:space="0" w:color="auto"/>
            </w:tcBorders>
            <w:shd w:val="clear" w:color="auto" w:fill="auto"/>
            <w:vAlign w:val="center"/>
            <w:hideMark/>
          </w:tcPr>
          <w:p w14:paraId="49D6316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117</w:t>
            </w:r>
          </w:p>
        </w:tc>
        <w:tc>
          <w:tcPr>
            <w:tcW w:w="1321" w:type="dxa"/>
            <w:tcBorders>
              <w:top w:val="nil"/>
              <w:left w:val="nil"/>
              <w:bottom w:val="single" w:sz="4" w:space="0" w:color="auto"/>
              <w:right w:val="single" w:sz="4" w:space="0" w:color="auto"/>
            </w:tcBorders>
            <w:shd w:val="clear" w:color="auto" w:fill="auto"/>
            <w:vAlign w:val="center"/>
            <w:hideMark/>
          </w:tcPr>
          <w:p w14:paraId="3931CBC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1221" w:type="dxa"/>
            <w:tcBorders>
              <w:top w:val="nil"/>
              <w:left w:val="nil"/>
              <w:bottom w:val="single" w:sz="4" w:space="0" w:color="auto"/>
              <w:right w:val="single" w:sz="4" w:space="0" w:color="auto"/>
            </w:tcBorders>
            <w:shd w:val="clear" w:color="auto" w:fill="auto"/>
            <w:vAlign w:val="center"/>
            <w:hideMark/>
          </w:tcPr>
          <w:p w14:paraId="466374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124</w:t>
            </w:r>
          </w:p>
        </w:tc>
        <w:tc>
          <w:tcPr>
            <w:tcW w:w="968" w:type="dxa"/>
            <w:tcBorders>
              <w:top w:val="nil"/>
              <w:left w:val="nil"/>
              <w:bottom w:val="single" w:sz="4" w:space="0" w:color="auto"/>
              <w:right w:val="single" w:sz="4" w:space="0" w:color="auto"/>
            </w:tcBorders>
            <w:shd w:val="clear" w:color="auto" w:fill="auto"/>
            <w:vAlign w:val="center"/>
            <w:hideMark/>
          </w:tcPr>
          <w:p w14:paraId="706D995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246" w:type="dxa"/>
            <w:tcBorders>
              <w:top w:val="nil"/>
              <w:left w:val="nil"/>
              <w:bottom w:val="single" w:sz="4" w:space="0" w:color="auto"/>
              <w:right w:val="single" w:sz="4" w:space="0" w:color="auto"/>
            </w:tcBorders>
            <w:shd w:val="clear" w:color="auto" w:fill="auto"/>
            <w:vAlign w:val="center"/>
            <w:hideMark/>
          </w:tcPr>
          <w:p w14:paraId="37A1D15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488" w:type="dxa"/>
            <w:tcBorders>
              <w:top w:val="nil"/>
              <w:left w:val="nil"/>
              <w:bottom w:val="single" w:sz="4" w:space="0" w:color="auto"/>
              <w:right w:val="single" w:sz="4" w:space="0" w:color="auto"/>
            </w:tcBorders>
            <w:shd w:val="clear" w:color="auto" w:fill="auto"/>
            <w:vAlign w:val="center"/>
            <w:hideMark/>
          </w:tcPr>
          <w:p w14:paraId="55E8CBF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145</w:t>
            </w:r>
          </w:p>
        </w:tc>
        <w:tc>
          <w:tcPr>
            <w:tcW w:w="1374" w:type="dxa"/>
            <w:tcBorders>
              <w:top w:val="nil"/>
              <w:left w:val="nil"/>
              <w:bottom w:val="single" w:sz="4" w:space="0" w:color="auto"/>
              <w:right w:val="single" w:sz="4" w:space="0" w:color="auto"/>
            </w:tcBorders>
            <w:shd w:val="clear" w:color="auto" w:fill="auto"/>
            <w:vAlign w:val="center"/>
            <w:hideMark/>
          </w:tcPr>
          <w:p w14:paraId="5EE4FED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112</w:t>
            </w:r>
          </w:p>
        </w:tc>
        <w:tc>
          <w:tcPr>
            <w:tcW w:w="1133" w:type="dxa"/>
            <w:tcBorders>
              <w:top w:val="nil"/>
              <w:left w:val="nil"/>
              <w:bottom w:val="single" w:sz="4" w:space="0" w:color="auto"/>
              <w:right w:val="single" w:sz="4" w:space="0" w:color="auto"/>
            </w:tcBorders>
            <w:shd w:val="clear" w:color="auto" w:fill="auto"/>
            <w:vAlign w:val="center"/>
            <w:hideMark/>
          </w:tcPr>
          <w:p w14:paraId="12118EF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36</w:t>
            </w:r>
          </w:p>
        </w:tc>
        <w:tc>
          <w:tcPr>
            <w:tcW w:w="306" w:type="dxa"/>
            <w:tcBorders>
              <w:top w:val="nil"/>
              <w:left w:val="nil"/>
              <w:bottom w:val="single" w:sz="4" w:space="0" w:color="auto"/>
              <w:right w:val="single" w:sz="4" w:space="0" w:color="auto"/>
            </w:tcBorders>
            <w:shd w:val="clear" w:color="auto" w:fill="auto"/>
            <w:vAlign w:val="center"/>
            <w:hideMark/>
          </w:tcPr>
          <w:p w14:paraId="46A591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r>
      <w:tr w:rsidR="00BC17A3" w:rsidRPr="00A546AD" w14:paraId="0180918E"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67CF82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Egypt</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Arab</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Rep</w:t>
            </w:r>
            <w:proofErr w:type="spellEnd"/>
            <w:r w:rsidRPr="00A546AD">
              <w:rPr>
                <w:rFonts w:ascii="Times New Roman" w:eastAsia="Times New Roman" w:hAnsi="Times New Roman" w:cs="Times New Roman"/>
                <w:sz w:val="20"/>
                <w:szCs w:val="20"/>
                <w:lang w:val="ru-RU" w:eastAsia="ru-RU" w:bidi="ar-SA"/>
              </w:rPr>
              <w:t>.</w:t>
            </w:r>
          </w:p>
        </w:tc>
        <w:tc>
          <w:tcPr>
            <w:tcW w:w="802" w:type="dxa"/>
            <w:tcBorders>
              <w:top w:val="nil"/>
              <w:left w:val="nil"/>
              <w:bottom w:val="single" w:sz="4" w:space="0" w:color="auto"/>
              <w:right w:val="single" w:sz="4" w:space="0" w:color="auto"/>
            </w:tcBorders>
            <w:shd w:val="clear" w:color="auto" w:fill="auto"/>
            <w:vAlign w:val="center"/>
            <w:hideMark/>
          </w:tcPr>
          <w:p w14:paraId="0348FA1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113</w:t>
            </w:r>
          </w:p>
        </w:tc>
        <w:tc>
          <w:tcPr>
            <w:tcW w:w="1126" w:type="dxa"/>
            <w:tcBorders>
              <w:top w:val="nil"/>
              <w:left w:val="nil"/>
              <w:bottom w:val="single" w:sz="4" w:space="0" w:color="auto"/>
              <w:right w:val="single" w:sz="4" w:space="0" w:color="auto"/>
            </w:tcBorders>
            <w:shd w:val="clear" w:color="auto" w:fill="auto"/>
            <w:vAlign w:val="center"/>
            <w:hideMark/>
          </w:tcPr>
          <w:p w14:paraId="21AFED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w:t>
            </w:r>
          </w:p>
        </w:tc>
        <w:tc>
          <w:tcPr>
            <w:tcW w:w="1199" w:type="dxa"/>
            <w:tcBorders>
              <w:top w:val="nil"/>
              <w:left w:val="nil"/>
              <w:bottom w:val="single" w:sz="4" w:space="0" w:color="auto"/>
              <w:right w:val="single" w:sz="4" w:space="0" w:color="auto"/>
            </w:tcBorders>
            <w:shd w:val="clear" w:color="auto" w:fill="auto"/>
            <w:vAlign w:val="center"/>
            <w:hideMark/>
          </w:tcPr>
          <w:p w14:paraId="7532304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w:t>
            </w:r>
          </w:p>
        </w:tc>
        <w:tc>
          <w:tcPr>
            <w:tcW w:w="1321" w:type="dxa"/>
            <w:tcBorders>
              <w:top w:val="nil"/>
              <w:left w:val="nil"/>
              <w:bottom w:val="single" w:sz="4" w:space="0" w:color="auto"/>
              <w:right w:val="single" w:sz="4" w:space="0" w:color="auto"/>
            </w:tcBorders>
            <w:shd w:val="clear" w:color="auto" w:fill="auto"/>
            <w:vAlign w:val="center"/>
            <w:hideMark/>
          </w:tcPr>
          <w:p w14:paraId="2171F6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78</w:t>
            </w:r>
          </w:p>
        </w:tc>
        <w:tc>
          <w:tcPr>
            <w:tcW w:w="1221" w:type="dxa"/>
            <w:tcBorders>
              <w:top w:val="nil"/>
              <w:left w:val="nil"/>
              <w:bottom w:val="single" w:sz="4" w:space="0" w:color="auto"/>
              <w:right w:val="single" w:sz="4" w:space="0" w:color="auto"/>
            </w:tcBorders>
            <w:shd w:val="clear" w:color="auto" w:fill="auto"/>
            <w:vAlign w:val="center"/>
            <w:hideMark/>
          </w:tcPr>
          <w:p w14:paraId="2C169B9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130</w:t>
            </w:r>
          </w:p>
        </w:tc>
        <w:tc>
          <w:tcPr>
            <w:tcW w:w="968" w:type="dxa"/>
            <w:tcBorders>
              <w:top w:val="nil"/>
              <w:left w:val="nil"/>
              <w:bottom w:val="single" w:sz="4" w:space="0" w:color="auto"/>
              <w:right w:val="single" w:sz="4" w:space="0" w:color="auto"/>
            </w:tcBorders>
            <w:shd w:val="clear" w:color="auto" w:fill="auto"/>
            <w:vAlign w:val="center"/>
            <w:hideMark/>
          </w:tcPr>
          <w:p w14:paraId="7A5C17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39EEDDB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57</w:t>
            </w:r>
          </w:p>
        </w:tc>
        <w:tc>
          <w:tcPr>
            <w:tcW w:w="1488" w:type="dxa"/>
            <w:tcBorders>
              <w:top w:val="nil"/>
              <w:left w:val="nil"/>
              <w:bottom w:val="single" w:sz="4" w:space="0" w:color="auto"/>
              <w:right w:val="single" w:sz="4" w:space="0" w:color="auto"/>
            </w:tcBorders>
            <w:shd w:val="clear" w:color="auto" w:fill="auto"/>
            <w:vAlign w:val="center"/>
            <w:hideMark/>
          </w:tcPr>
          <w:p w14:paraId="1BBD9CC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156</w:t>
            </w:r>
          </w:p>
        </w:tc>
        <w:tc>
          <w:tcPr>
            <w:tcW w:w="1374" w:type="dxa"/>
            <w:tcBorders>
              <w:top w:val="nil"/>
              <w:left w:val="nil"/>
              <w:bottom w:val="single" w:sz="4" w:space="0" w:color="auto"/>
              <w:right w:val="single" w:sz="4" w:space="0" w:color="auto"/>
            </w:tcBorders>
            <w:shd w:val="clear" w:color="auto" w:fill="auto"/>
            <w:vAlign w:val="center"/>
            <w:hideMark/>
          </w:tcPr>
          <w:p w14:paraId="5433BD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171</w:t>
            </w:r>
          </w:p>
        </w:tc>
        <w:tc>
          <w:tcPr>
            <w:tcW w:w="1133" w:type="dxa"/>
            <w:tcBorders>
              <w:top w:val="nil"/>
              <w:left w:val="nil"/>
              <w:bottom w:val="single" w:sz="4" w:space="0" w:color="auto"/>
              <w:right w:val="single" w:sz="4" w:space="0" w:color="auto"/>
            </w:tcBorders>
            <w:shd w:val="clear" w:color="auto" w:fill="auto"/>
            <w:vAlign w:val="center"/>
            <w:hideMark/>
          </w:tcPr>
          <w:p w14:paraId="5FF60D1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166</w:t>
            </w:r>
          </w:p>
        </w:tc>
        <w:tc>
          <w:tcPr>
            <w:tcW w:w="306" w:type="dxa"/>
            <w:tcBorders>
              <w:top w:val="nil"/>
              <w:left w:val="nil"/>
              <w:bottom w:val="single" w:sz="4" w:space="0" w:color="auto"/>
              <w:right w:val="single" w:sz="4" w:space="0" w:color="auto"/>
            </w:tcBorders>
            <w:shd w:val="clear" w:color="auto" w:fill="auto"/>
            <w:vAlign w:val="center"/>
            <w:hideMark/>
          </w:tcPr>
          <w:p w14:paraId="7D60B15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r>
      <w:tr w:rsidR="00BC17A3" w:rsidRPr="00A546AD" w14:paraId="69ED067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C5CAF8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Dominican</w:t>
            </w:r>
            <w:proofErr w:type="spellEnd"/>
            <w:r w:rsidRPr="00A546AD">
              <w:rPr>
                <w:rFonts w:ascii="Times New Roman" w:eastAsia="Times New Roman" w:hAnsi="Times New Roman" w:cs="Times New Roman"/>
                <w:sz w:val="20"/>
                <w:szCs w:val="20"/>
                <w:lang w:val="ru-RU" w:eastAsia="ru-RU" w:bidi="ar-SA"/>
              </w:rPr>
              <w:t xml:space="preserve"> Republic</w:t>
            </w:r>
          </w:p>
        </w:tc>
        <w:tc>
          <w:tcPr>
            <w:tcW w:w="802" w:type="dxa"/>
            <w:tcBorders>
              <w:top w:val="nil"/>
              <w:left w:val="nil"/>
              <w:bottom w:val="single" w:sz="4" w:space="0" w:color="auto"/>
              <w:right w:val="single" w:sz="4" w:space="0" w:color="auto"/>
            </w:tcBorders>
            <w:shd w:val="clear" w:color="auto" w:fill="auto"/>
            <w:vAlign w:val="center"/>
            <w:hideMark/>
          </w:tcPr>
          <w:p w14:paraId="4AC7B28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114</w:t>
            </w:r>
          </w:p>
        </w:tc>
        <w:tc>
          <w:tcPr>
            <w:tcW w:w="1126" w:type="dxa"/>
            <w:tcBorders>
              <w:top w:val="nil"/>
              <w:left w:val="nil"/>
              <w:bottom w:val="single" w:sz="4" w:space="0" w:color="auto"/>
              <w:right w:val="single" w:sz="4" w:space="0" w:color="auto"/>
            </w:tcBorders>
            <w:shd w:val="clear" w:color="auto" w:fill="auto"/>
            <w:vAlign w:val="center"/>
            <w:hideMark/>
          </w:tcPr>
          <w:p w14:paraId="6A19B9F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112</w:t>
            </w:r>
          </w:p>
        </w:tc>
        <w:tc>
          <w:tcPr>
            <w:tcW w:w="1199" w:type="dxa"/>
            <w:tcBorders>
              <w:top w:val="nil"/>
              <w:left w:val="nil"/>
              <w:bottom w:val="single" w:sz="4" w:space="0" w:color="auto"/>
              <w:right w:val="single" w:sz="4" w:space="0" w:color="auto"/>
            </w:tcBorders>
            <w:shd w:val="clear" w:color="auto" w:fill="auto"/>
            <w:vAlign w:val="center"/>
            <w:hideMark/>
          </w:tcPr>
          <w:p w14:paraId="780024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321" w:type="dxa"/>
            <w:tcBorders>
              <w:top w:val="nil"/>
              <w:left w:val="nil"/>
              <w:bottom w:val="single" w:sz="4" w:space="0" w:color="auto"/>
              <w:right w:val="single" w:sz="4" w:space="0" w:color="auto"/>
            </w:tcBorders>
            <w:shd w:val="clear" w:color="auto" w:fill="auto"/>
            <w:vAlign w:val="center"/>
            <w:hideMark/>
          </w:tcPr>
          <w:p w14:paraId="38815DE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116</w:t>
            </w:r>
          </w:p>
        </w:tc>
        <w:tc>
          <w:tcPr>
            <w:tcW w:w="1221" w:type="dxa"/>
            <w:tcBorders>
              <w:top w:val="nil"/>
              <w:left w:val="nil"/>
              <w:bottom w:val="single" w:sz="4" w:space="0" w:color="auto"/>
              <w:right w:val="single" w:sz="4" w:space="0" w:color="auto"/>
            </w:tcBorders>
            <w:shd w:val="clear" w:color="auto" w:fill="auto"/>
            <w:vAlign w:val="center"/>
            <w:hideMark/>
          </w:tcPr>
          <w:p w14:paraId="55FD5D7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w:t>
            </w:r>
          </w:p>
        </w:tc>
        <w:tc>
          <w:tcPr>
            <w:tcW w:w="968" w:type="dxa"/>
            <w:tcBorders>
              <w:top w:val="nil"/>
              <w:left w:val="nil"/>
              <w:bottom w:val="single" w:sz="4" w:space="0" w:color="auto"/>
              <w:right w:val="single" w:sz="4" w:space="0" w:color="auto"/>
            </w:tcBorders>
            <w:shd w:val="clear" w:color="auto" w:fill="auto"/>
            <w:vAlign w:val="center"/>
            <w:hideMark/>
          </w:tcPr>
          <w:p w14:paraId="73F838B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14A46FB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c>
          <w:tcPr>
            <w:tcW w:w="1488" w:type="dxa"/>
            <w:tcBorders>
              <w:top w:val="nil"/>
              <w:left w:val="nil"/>
              <w:bottom w:val="single" w:sz="4" w:space="0" w:color="auto"/>
              <w:right w:val="single" w:sz="4" w:space="0" w:color="auto"/>
            </w:tcBorders>
            <w:shd w:val="clear" w:color="auto" w:fill="auto"/>
            <w:vAlign w:val="center"/>
            <w:hideMark/>
          </w:tcPr>
          <w:p w14:paraId="035E91F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150</w:t>
            </w:r>
          </w:p>
        </w:tc>
        <w:tc>
          <w:tcPr>
            <w:tcW w:w="1374" w:type="dxa"/>
            <w:tcBorders>
              <w:top w:val="nil"/>
              <w:left w:val="nil"/>
              <w:bottom w:val="single" w:sz="4" w:space="0" w:color="auto"/>
              <w:right w:val="single" w:sz="4" w:space="0" w:color="auto"/>
            </w:tcBorders>
            <w:shd w:val="clear" w:color="auto" w:fill="auto"/>
            <w:vAlign w:val="center"/>
            <w:hideMark/>
          </w:tcPr>
          <w:p w14:paraId="5E12FD2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66</w:t>
            </w:r>
          </w:p>
        </w:tc>
        <w:tc>
          <w:tcPr>
            <w:tcW w:w="1133" w:type="dxa"/>
            <w:tcBorders>
              <w:top w:val="nil"/>
              <w:left w:val="nil"/>
              <w:bottom w:val="single" w:sz="4" w:space="0" w:color="auto"/>
              <w:right w:val="single" w:sz="4" w:space="0" w:color="auto"/>
            </w:tcBorders>
            <w:shd w:val="clear" w:color="auto" w:fill="auto"/>
            <w:vAlign w:val="center"/>
            <w:hideMark/>
          </w:tcPr>
          <w:p w14:paraId="1985EEF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133</w:t>
            </w:r>
          </w:p>
        </w:tc>
        <w:tc>
          <w:tcPr>
            <w:tcW w:w="306" w:type="dxa"/>
            <w:tcBorders>
              <w:top w:val="nil"/>
              <w:left w:val="nil"/>
              <w:bottom w:val="single" w:sz="4" w:space="0" w:color="auto"/>
              <w:right w:val="single" w:sz="4" w:space="0" w:color="auto"/>
            </w:tcBorders>
            <w:shd w:val="clear" w:color="auto" w:fill="auto"/>
            <w:vAlign w:val="center"/>
            <w:hideMark/>
          </w:tcPr>
          <w:p w14:paraId="422D965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124</w:t>
            </w:r>
          </w:p>
        </w:tc>
      </w:tr>
      <w:tr w:rsidR="00BC17A3" w:rsidRPr="00A546AD" w14:paraId="264AF1C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51E811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Uganda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E4B121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115</w:t>
            </w:r>
          </w:p>
        </w:tc>
        <w:tc>
          <w:tcPr>
            <w:tcW w:w="1126" w:type="dxa"/>
            <w:tcBorders>
              <w:top w:val="nil"/>
              <w:left w:val="nil"/>
              <w:bottom w:val="single" w:sz="4" w:space="0" w:color="auto"/>
              <w:right w:val="single" w:sz="4" w:space="0" w:color="auto"/>
            </w:tcBorders>
            <w:shd w:val="clear" w:color="auto" w:fill="auto"/>
            <w:vAlign w:val="center"/>
            <w:hideMark/>
          </w:tcPr>
          <w:p w14:paraId="6102DCA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169</w:t>
            </w:r>
          </w:p>
        </w:tc>
        <w:tc>
          <w:tcPr>
            <w:tcW w:w="1199" w:type="dxa"/>
            <w:tcBorders>
              <w:top w:val="nil"/>
              <w:left w:val="nil"/>
              <w:bottom w:val="single" w:sz="4" w:space="0" w:color="auto"/>
              <w:right w:val="single" w:sz="4" w:space="0" w:color="auto"/>
            </w:tcBorders>
            <w:shd w:val="clear" w:color="auto" w:fill="auto"/>
            <w:vAlign w:val="center"/>
            <w:hideMark/>
          </w:tcPr>
          <w:p w14:paraId="45D868C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113</w:t>
            </w:r>
          </w:p>
        </w:tc>
        <w:tc>
          <w:tcPr>
            <w:tcW w:w="1321" w:type="dxa"/>
            <w:tcBorders>
              <w:top w:val="nil"/>
              <w:left w:val="nil"/>
              <w:bottom w:val="single" w:sz="4" w:space="0" w:color="auto"/>
              <w:right w:val="single" w:sz="4" w:space="0" w:color="auto"/>
            </w:tcBorders>
            <w:shd w:val="clear" w:color="auto" w:fill="auto"/>
            <w:vAlign w:val="center"/>
            <w:hideMark/>
          </w:tcPr>
          <w:p w14:paraId="1A399B2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c>
          <w:tcPr>
            <w:tcW w:w="1221" w:type="dxa"/>
            <w:tcBorders>
              <w:top w:val="nil"/>
              <w:left w:val="nil"/>
              <w:bottom w:val="single" w:sz="4" w:space="0" w:color="auto"/>
              <w:right w:val="single" w:sz="4" w:space="0" w:color="auto"/>
            </w:tcBorders>
            <w:shd w:val="clear" w:color="auto" w:fill="auto"/>
            <w:vAlign w:val="center"/>
            <w:hideMark/>
          </w:tcPr>
          <w:p w14:paraId="2F00F0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135</w:t>
            </w:r>
          </w:p>
        </w:tc>
        <w:tc>
          <w:tcPr>
            <w:tcW w:w="968" w:type="dxa"/>
            <w:tcBorders>
              <w:top w:val="nil"/>
              <w:left w:val="nil"/>
              <w:bottom w:val="single" w:sz="4" w:space="0" w:color="auto"/>
              <w:right w:val="single" w:sz="4" w:space="0" w:color="auto"/>
            </w:tcBorders>
            <w:shd w:val="clear" w:color="auto" w:fill="auto"/>
            <w:vAlign w:val="center"/>
            <w:hideMark/>
          </w:tcPr>
          <w:p w14:paraId="5225511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7CA57E8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488" w:type="dxa"/>
            <w:tcBorders>
              <w:top w:val="nil"/>
              <w:left w:val="nil"/>
              <w:bottom w:val="single" w:sz="4" w:space="0" w:color="auto"/>
              <w:right w:val="single" w:sz="4" w:space="0" w:color="auto"/>
            </w:tcBorders>
            <w:shd w:val="clear" w:color="auto" w:fill="auto"/>
            <w:vAlign w:val="center"/>
            <w:hideMark/>
          </w:tcPr>
          <w:p w14:paraId="73F4F03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374" w:type="dxa"/>
            <w:tcBorders>
              <w:top w:val="nil"/>
              <w:left w:val="nil"/>
              <w:bottom w:val="single" w:sz="4" w:space="0" w:color="auto"/>
              <w:right w:val="single" w:sz="4" w:space="0" w:color="auto"/>
            </w:tcBorders>
            <w:shd w:val="clear" w:color="auto" w:fill="auto"/>
            <w:vAlign w:val="center"/>
            <w:hideMark/>
          </w:tcPr>
          <w:p w14:paraId="16AF632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121</w:t>
            </w:r>
          </w:p>
        </w:tc>
        <w:tc>
          <w:tcPr>
            <w:tcW w:w="1133" w:type="dxa"/>
            <w:tcBorders>
              <w:top w:val="nil"/>
              <w:left w:val="nil"/>
              <w:bottom w:val="single" w:sz="4" w:space="0" w:color="auto"/>
              <w:right w:val="single" w:sz="4" w:space="0" w:color="auto"/>
            </w:tcBorders>
            <w:shd w:val="clear" w:color="auto" w:fill="auto"/>
            <w:vAlign w:val="center"/>
            <w:hideMark/>
          </w:tcPr>
          <w:p w14:paraId="617B1FB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w:t>
            </w:r>
          </w:p>
        </w:tc>
        <w:tc>
          <w:tcPr>
            <w:tcW w:w="306" w:type="dxa"/>
            <w:tcBorders>
              <w:top w:val="nil"/>
              <w:left w:val="nil"/>
              <w:bottom w:val="single" w:sz="4" w:space="0" w:color="auto"/>
              <w:right w:val="single" w:sz="4" w:space="0" w:color="auto"/>
            </w:tcBorders>
            <w:shd w:val="clear" w:color="auto" w:fill="auto"/>
            <w:vAlign w:val="center"/>
            <w:hideMark/>
          </w:tcPr>
          <w:p w14:paraId="4B7D705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w:t>
            </w:r>
          </w:p>
        </w:tc>
      </w:tr>
      <w:tr w:rsidR="00BC17A3" w:rsidRPr="00A546AD" w14:paraId="7D5C511E"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42925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West Bank </w:t>
            </w:r>
            <w:proofErr w:type="spellStart"/>
            <w:r w:rsidRPr="00A546AD">
              <w:rPr>
                <w:rFonts w:ascii="Times New Roman" w:eastAsia="Times New Roman" w:hAnsi="Times New Roman" w:cs="Times New Roman"/>
                <w:sz w:val="20"/>
                <w:szCs w:val="20"/>
                <w:lang w:val="ru-RU" w:eastAsia="ru-RU" w:bidi="ar-SA"/>
              </w:rPr>
              <w:t>and</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Gaza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5983DB54"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116</w:t>
            </w:r>
          </w:p>
        </w:tc>
        <w:tc>
          <w:tcPr>
            <w:tcW w:w="1126" w:type="dxa"/>
            <w:tcBorders>
              <w:top w:val="nil"/>
              <w:left w:val="nil"/>
              <w:bottom w:val="single" w:sz="4" w:space="0" w:color="auto"/>
              <w:right w:val="single" w:sz="4" w:space="0" w:color="auto"/>
            </w:tcBorders>
            <w:shd w:val="clear" w:color="auto" w:fill="auto"/>
            <w:vAlign w:val="center"/>
            <w:hideMark/>
          </w:tcPr>
          <w:p w14:paraId="3282174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173</w:t>
            </w:r>
          </w:p>
        </w:tc>
        <w:tc>
          <w:tcPr>
            <w:tcW w:w="1199" w:type="dxa"/>
            <w:tcBorders>
              <w:top w:val="nil"/>
              <w:left w:val="nil"/>
              <w:bottom w:val="single" w:sz="4" w:space="0" w:color="auto"/>
              <w:right w:val="single" w:sz="4" w:space="0" w:color="auto"/>
            </w:tcBorders>
            <w:shd w:val="clear" w:color="auto" w:fill="auto"/>
            <w:vAlign w:val="center"/>
            <w:hideMark/>
          </w:tcPr>
          <w:p w14:paraId="43C30E7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148</w:t>
            </w:r>
          </w:p>
        </w:tc>
        <w:tc>
          <w:tcPr>
            <w:tcW w:w="1321" w:type="dxa"/>
            <w:tcBorders>
              <w:top w:val="nil"/>
              <w:left w:val="nil"/>
              <w:bottom w:val="single" w:sz="4" w:space="0" w:color="auto"/>
              <w:right w:val="single" w:sz="4" w:space="0" w:color="auto"/>
            </w:tcBorders>
            <w:shd w:val="clear" w:color="auto" w:fill="auto"/>
            <w:vAlign w:val="center"/>
            <w:hideMark/>
          </w:tcPr>
          <w:p w14:paraId="2D0F2D7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w:t>
            </w:r>
          </w:p>
        </w:tc>
        <w:tc>
          <w:tcPr>
            <w:tcW w:w="1221" w:type="dxa"/>
            <w:tcBorders>
              <w:top w:val="nil"/>
              <w:left w:val="nil"/>
              <w:bottom w:val="single" w:sz="4" w:space="0" w:color="auto"/>
              <w:right w:val="single" w:sz="4" w:space="0" w:color="auto"/>
            </w:tcBorders>
            <w:shd w:val="clear" w:color="auto" w:fill="auto"/>
            <w:vAlign w:val="center"/>
            <w:hideMark/>
          </w:tcPr>
          <w:p w14:paraId="3A4F411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w:t>
            </w:r>
          </w:p>
        </w:tc>
        <w:tc>
          <w:tcPr>
            <w:tcW w:w="968" w:type="dxa"/>
            <w:tcBorders>
              <w:top w:val="nil"/>
              <w:left w:val="nil"/>
              <w:bottom w:val="single" w:sz="4" w:space="0" w:color="auto"/>
              <w:right w:val="single" w:sz="4" w:space="0" w:color="auto"/>
            </w:tcBorders>
            <w:shd w:val="clear" w:color="auto" w:fill="auto"/>
            <w:vAlign w:val="center"/>
            <w:hideMark/>
          </w:tcPr>
          <w:p w14:paraId="0D7FC3B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79838F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1488" w:type="dxa"/>
            <w:tcBorders>
              <w:top w:val="nil"/>
              <w:left w:val="nil"/>
              <w:bottom w:val="single" w:sz="4" w:space="0" w:color="auto"/>
              <w:right w:val="single" w:sz="4" w:space="0" w:color="auto"/>
            </w:tcBorders>
            <w:shd w:val="clear" w:color="auto" w:fill="auto"/>
            <w:vAlign w:val="center"/>
            <w:hideMark/>
          </w:tcPr>
          <w:p w14:paraId="472159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112</w:t>
            </w:r>
          </w:p>
        </w:tc>
        <w:tc>
          <w:tcPr>
            <w:tcW w:w="1374" w:type="dxa"/>
            <w:tcBorders>
              <w:top w:val="nil"/>
              <w:left w:val="nil"/>
              <w:bottom w:val="single" w:sz="4" w:space="0" w:color="auto"/>
              <w:right w:val="single" w:sz="4" w:space="0" w:color="auto"/>
            </w:tcBorders>
            <w:shd w:val="clear" w:color="auto" w:fill="auto"/>
            <w:vAlign w:val="center"/>
            <w:hideMark/>
          </w:tcPr>
          <w:p w14:paraId="656FAF5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54</w:t>
            </w:r>
          </w:p>
        </w:tc>
        <w:tc>
          <w:tcPr>
            <w:tcW w:w="1133" w:type="dxa"/>
            <w:tcBorders>
              <w:top w:val="nil"/>
              <w:left w:val="nil"/>
              <w:bottom w:val="single" w:sz="4" w:space="0" w:color="auto"/>
              <w:right w:val="single" w:sz="4" w:space="0" w:color="auto"/>
            </w:tcBorders>
            <w:shd w:val="clear" w:color="auto" w:fill="auto"/>
            <w:vAlign w:val="center"/>
            <w:hideMark/>
          </w:tcPr>
          <w:p w14:paraId="08A67E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123</w:t>
            </w:r>
          </w:p>
        </w:tc>
        <w:tc>
          <w:tcPr>
            <w:tcW w:w="306" w:type="dxa"/>
            <w:tcBorders>
              <w:top w:val="nil"/>
              <w:left w:val="nil"/>
              <w:bottom w:val="single" w:sz="4" w:space="0" w:color="auto"/>
              <w:right w:val="single" w:sz="4" w:space="0" w:color="auto"/>
            </w:tcBorders>
            <w:shd w:val="clear" w:color="auto" w:fill="auto"/>
            <w:vAlign w:val="center"/>
            <w:hideMark/>
          </w:tcPr>
          <w:p w14:paraId="7642D7C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386469F4"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9A0E0B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Ghana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BD986D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117</w:t>
            </w:r>
          </w:p>
        </w:tc>
        <w:tc>
          <w:tcPr>
            <w:tcW w:w="1126" w:type="dxa"/>
            <w:tcBorders>
              <w:top w:val="nil"/>
              <w:left w:val="nil"/>
              <w:bottom w:val="single" w:sz="4" w:space="0" w:color="auto"/>
              <w:right w:val="single" w:sz="4" w:space="0" w:color="auto"/>
            </w:tcBorders>
            <w:shd w:val="clear" w:color="auto" w:fill="auto"/>
            <w:vAlign w:val="center"/>
            <w:hideMark/>
          </w:tcPr>
          <w:p w14:paraId="33171FC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116</w:t>
            </w:r>
          </w:p>
        </w:tc>
        <w:tc>
          <w:tcPr>
            <w:tcW w:w="1199" w:type="dxa"/>
            <w:tcBorders>
              <w:top w:val="nil"/>
              <w:left w:val="nil"/>
              <w:bottom w:val="single" w:sz="4" w:space="0" w:color="auto"/>
              <w:right w:val="single" w:sz="4" w:space="0" w:color="auto"/>
            </w:tcBorders>
            <w:shd w:val="clear" w:color="auto" w:fill="auto"/>
            <w:vAlign w:val="center"/>
            <w:hideMark/>
          </w:tcPr>
          <w:p w14:paraId="192AF32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321" w:type="dxa"/>
            <w:tcBorders>
              <w:top w:val="nil"/>
              <w:left w:val="nil"/>
              <w:bottom w:val="single" w:sz="4" w:space="0" w:color="auto"/>
              <w:right w:val="single" w:sz="4" w:space="0" w:color="auto"/>
            </w:tcBorders>
            <w:shd w:val="clear" w:color="auto" w:fill="auto"/>
            <w:vAlign w:val="center"/>
            <w:hideMark/>
          </w:tcPr>
          <w:p w14:paraId="1FBFF60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21" w:type="dxa"/>
            <w:tcBorders>
              <w:top w:val="nil"/>
              <w:left w:val="nil"/>
              <w:bottom w:val="single" w:sz="4" w:space="0" w:color="auto"/>
              <w:right w:val="single" w:sz="4" w:space="0" w:color="auto"/>
            </w:tcBorders>
            <w:shd w:val="clear" w:color="auto" w:fill="auto"/>
            <w:vAlign w:val="center"/>
            <w:hideMark/>
          </w:tcPr>
          <w:p w14:paraId="224EBEA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111</w:t>
            </w:r>
          </w:p>
        </w:tc>
        <w:tc>
          <w:tcPr>
            <w:tcW w:w="968" w:type="dxa"/>
            <w:tcBorders>
              <w:top w:val="nil"/>
              <w:left w:val="nil"/>
              <w:bottom w:val="single" w:sz="4" w:space="0" w:color="auto"/>
              <w:right w:val="single" w:sz="4" w:space="0" w:color="auto"/>
            </w:tcBorders>
            <w:shd w:val="clear" w:color="auto" w:fill="auto"/>
            <w:vAlign w:val="center"/>
            <w:hideMark/>
          </w:tcPr>
          <w:p w14:paraId="41F5623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7DC5A56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488" w:type="dxa"/>
            <w:tcBorders>
              <w:top w:val="nil"/>
              <w:left w:val="nil"/>
              <w:bottom w:val="single" w:sz="4" w:space="0" w:color="auto"/>
              <w:right w:val="single" w:sz="4" w:space="0" w:color="auto"/>
            </w:tcBorders>
            <w:shd w:val="clear" w:color="auto" w:fill="auto"/>
            <w:vAlign w:val="center"/>
            <w:hideMark/>
          </w:tcPr>
          <w:p w14:paraId="22666C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374" w:type="dxa"/>
            <w:tcBorders>
              <w:top w:val="nil"/>
              <w:left w:val="nil"/>
              <w:bottom w:val="single" w:sz="4" w:space="0" w:color="auto"/>
              <w:right w:val="single" w:sz="4" w:space="0" w:color="auto"/>
            </w:tcBorders>
            <w:shd w:val="clear" w:color="auto" w:fill="auto"/>
            <w:vAlign w:val="center"/>
            <w:hideMark/>
          </w:tcPr>
          <w:p w14:paraId="4E5A8A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158</w:t>
            </w:r>
          </w:p>
        </w:tc>
        <w:tc>
          <w:tcPr>
            <w:tcW w:w="1133" w:type="dxa"/>
            <w:tcBorders>
              <w:top w:val="nil"/>
              <w:left w:val="nil"/>
              <w:bottom w:val="single" w:sz="4" w:space="0" w:color="auto"/>
              <w:right w:val="single" w:sz="4" w:space="0" w:color="auto"/>
            </w:tcBorders>
            <w:shd w:val="clear" w:color="auto" w:fill="auto"/>
            <w:vAlign w:val="center"/>
            <w:hideMark/>
          </w:tcPr>
          <w:p w14:paraId="028FC3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117</w:t>
            </w:r>
          </w:p>
        </w:tc>
        <w:tc>
          <w:tcPr>
            <w:tcW w:w="306" w:type="dxa"/>
            <w:tcBorders>
              <w:top w:val="nil"/>
              <w:left w:val="nil"/>
              <w:bottom w:val="single" w:sz="4" w:space="0" w:color="auto"/>
              <w:right w:val="single" w:sz="4" w:space="0" w:color="auto"/>
            </w:tcBorders>
            <w:shd w:val="clear" w:color="auto" w:fill="auto"/>
            <w:vAlign w:val="center"/>
            <w:hideMark/>
          </w:tcPr>
          <w:p w14:paraId="603A51E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161</w:t>
            </w:r>
          </w:p>
        </w:tc>
      </w:tr>
      <w:tr w:rsidR="00BC17A3" w:rsidRPr="00A546AD" w14:paraId="0EF5E097"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F41831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Bahamas</w:t>
            </w:r>
            <w:proofErr w:type="spellEnd"/>
            <w:r w:rsidRPr="00A546AD">
              <w:rPr>
                <w:rFonts w:ascii="Times New Roman" w:eastAsia="Times New Roman" w:hAnsi="Times New Roman" w:cs="Times New Roman"/>
                <w:sz w:val="20"/>
                <w:szCs w:val="20"/>
                <w:lang w:val="ru-RU" w:eastAsia="ru-RU" w:bidi="ar-SA"/>
              </w:rPr>
              <w:t>, The</w:t>
            </w:r>
          </w:p>
        </w:tc>
        <w:tc>
          <w:tcPr>
            <w:tcW w:w="802" w:type="dxa"/>
            <w:tcBorders>
              <w:top w:val="nil"/>
              <w:left w:val="nil"/>
              <w:bottom w:val="single" w:sz="4" w:space="0" w:color="auto"/>
              <w:right w:val="single" w:sz="4" w:space="0" w:color="auto"/>
            </w:tcBorders>
            <w:shd w:val="clear" w:color="auto" w:fill="auto"/>
            <w:vAlign w:val="center"/>
            <w:hideMark/>
          </w:tcPr>
          <w:p w14:paraId="0F4FE8B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118</w:t>
            </w:r>
          </w:p>
        </w:tc>
        <w:tc>
          <w:tcPr>
            <w:tcW w:w="1126" w:type="dxa"/>
            <w:tcBorders>
              <w:top w:val="nil"/>
              <w:left w:val="nil"/>
              <w:bottom w:val="single" w:sz="4" w:space="0" w:color="auto"/>
              <w:right w:val="single" w:sz="4" w:space="0" w:color="auto"/>
            </w:tcBorders>
            <w:shd w:val="clear" w:color="auto" w:fill="auto"/>
            <w:vAlign w:val="center"/>
            <w:hideMark/>
          </w:tcPr>
          <w:p w14:paraId="079EC39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w:t>
            </w:r>
          </w:p>
        </w:tc>
        <w:tc>
          <w:tcPr>
            <w:tcW w:w="1199" w:type="dxa"/>
            <w:tcBorders>
              <w:top w:val="nil"/>
              <w:left w:val="nil"/>
              <w:bottom w:val="single" w:sz="4" w:space="0" w:color="auto"/>
              <w:right w:val="single" w:sz="4" w:space="0" w:color="auto"/>
            </w:tcBorders>
            <w:shd w:val="clear" w:color="auto" w:fill="auto"/>
            <w:vAlign w:val="center"/>
            <w:hideMark/>
          </w:tcPr>
          <w:p w14:paraId="70C14F6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w:t>
            </w:r>
          </w:p>
        </w:tc>
        <w:tc>
          <w:tcPr>
            <w:tcW w:w="1321" w:type="dxa"/>
            <w:tcBorders>
              <w:top w:val="nil"/>
              <w:left w:val="nil"/>
              <w:bottom w:val="single" w:sz="4" w:space="0" w:color="auto"/>
              <w:right w:val="single" w:sz="4" w:space="0" w:color="auto"/>
            </w:tcBorders>
            <w:shd w:val="clear" w:color="auto" w:fill="auto"/>
            <w:vAlign w:val="center"/>
            <w:hideMark/>
          </w:tcPr>
          <w:p w14:paraId="4310891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w:t>
            </w:r>
          </w:p>
        </w:tc>
        <w:tc>
          <w:tcPr>
            <w:tcW w:w="1221" w:type="dxa"/>
            <w:tcBorders>
              <w:top w:val="nil"/>
              <w:left w:val="nil"/>
              <w:bottom w:val="single" w:sz="4" w:space="0" w:color="auto"/>
              <w:right w:val="single" w:sz="4" w:space="0" w:color="auto"/>
            </w:tcBorders>
            <w:shd w:val="clear" w:color="auto" w:fill="auto"/>
            <w:vAlign w:val="center"/>
            <w:hideMark/>
          </w:tcPr>
          <w:p w14:paraId="6C694E9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181</w:t>
            </w:r>
          </w:p>
        </w:tc>
        <w:tc>
          <w:tcPr>
            <w:tcW w:w="968" w:type="dxa"/>
            <w:tcBorders>
              <w:top w:val="nil"/>
              <w:left w:val="nil"/>
              <w:bottom w:val="single" w:sz="4" w:space="0" w:color="auto"/>
              <w:right w:val="single" w:sz="4" w:space="0" w:color="auto"/>
            </w:tcBorders>
            <w:shd w:val="clear" w:color="auto" w:fill="auto"/>
            <w:vAlign w:val="center"/>
            <w:hideMark/>
          </w:tcPr>
          <w:p w14:paraId="1EF8D90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4BAA202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488" w:type="dxa"/>
            <w:tcBorders>
              <w:top w:val="nil"/>
              <w:left w:val="nil"/>
              <w:bottom w:val="single" w:sz="4" w:space="0" w:color="auto"/>
              <w:right w:val="single" w:sz="4" w:space="0" w:color="auto"/>
            </w:tcBorders>
            <w:shd w:val="clear" w:color="auto" w:fill="auto"/>
            <w:vAlign w:val="center"/>
            <w:hideMark/>
          </w:tcPr>
          <w:p w14:paraId="589F7C3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w:t>
            </w:r>
          </w:p>
        </w:tc>
        <w:tc>
          <w:tcPr>
            <w:tcW w:w="1374" w:type="dxa"/>
            <w:tcBorders>
              <w:top w:val="nil"/>
              <w:left w:val="nil"/>
              <w:bottom w:val="single" w:sz="4" w:space="0" w:color="auto"/>
              <w:right w:val="single" w:sz="4" w:space="0" w:color="auto"/>
            </w:tcBorders>
            <w:shd w:val="clear" w:color="auto" w:fill="auto"/>
            <w:vAlign w:val="center"/>
            <w:hideMark/>
          </w:tcPr>
          <w:p w14:paraId="796DF95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161</w:t>
            </w:r>
          </w:p>
        </w:tc>
        <w:tc>
          <w:tcPr>
            <w:tcW w:w="1133" w:type="dxa"/>
            <w:tcBorders>
              <w:top w:val="nil"/>
              <w:left w:val="nil"/>
              <w:bottom w:val="single" w:sz="4" w:space="0" w:color="auto"/>
              <w:right w:val="single" w:sz="4" w:space="0" w:color="auto"/>
            </w:tcBorders>
            <w:shd w:val="clear" w:color="auto" w:fill="auto"/>
            <w:vAlign w:val="center"/>
            <w:hideMark/>
          </w:tcPr>
          <w:p w14:paraId="0B04506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w:t>
            </w:r>
          </w:p>
        </w:tc>
        <w:tc>
          <w:tcPr>
            <w:tcW w:w="306" w:type="dxa"/>
            <w:tcBorders>
              <w:top w:val="nil"/>
              <w:left w:val="nil"/>
              <w:bottom w:val="single" w:sz="4" w:space="0" w:color="auto"/>
              <w:right w:val="single" w:sz="4" w:space="0" w:color="auto"/>
            </w:tcBorders>
            <w:shd w:val="clear" w:color="auto" w:fill="auto"/>
            <w:vAlign w:val="center"/>
            <w:hideMark/>
          </w:tcPr>
          <w:p w14:paraId="3F8C93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w:t>
            </w:r>
          </w:p>
        </w:tc>
      </w:tr>
      <w:tr w:rsidR="00BC17A3" w:rsidRPr="00A546AD" w14:paraId="36066DB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9B5B4C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Papua</w:t>
            </w:r>
            <w:proofErr w:type="spellEnd"/>
            <w:r w:rsidRPr="00A546AD">
              <w:rPr>
                <w:rFonts w:ascii="Times New Roman" w:eastAsia="Times New Roman" w:hAnsi="Times New Roman" w:cs="Times New Roman"/>
                <w:sz w:val="20"/>
                <w:szCs w:val="20"/>
                <w:lang w:val="ru-RU" w:eastAsia="ru-RU" w:bidi="ar-SA"/>
              </w:rPr>
              <w:t xml:space="preserve"> New </w:t>
            </w:r>
            <w:proofErr w:type="spellStart"/>
            <w:r w:rsidRPr="00A546AD">
              <w:rPr>
                <w:rFonts w:ascii="Times New Roman" w:eastAsia="Times New Roman" w:hAnsi="Times New Roman" w:cs="Times New Roman"/>
                <w:sz w:val="20"/>
                <w:szCs w:val="20"/>
                <w:lang w:val="ru-RU" w:eastAsia="ru-RU" w:bidi="ar-SA"/>
              </w:rPr>
              <w:t>Guinea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AE531C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119</w:t>
            </w:r>
          </w:p>
        </w:tc>
        <w:tc>
          <w:tcPr>
            <w:tcW w:w="1126" w:type="dxa"/>
            <w:tcBorders>
              <w:top w:val="nil"/>
              <w:left w:val="nil"/>
              <w:bottom w:val="single" w:sz="4" w:space="0" w:color="auto"/>
              <w:right w:val="single" w:sz="4" w:space="0" w:color="auto"/>
            </w:tcBorders>
            <w:shd w:val="clear" w:color="auto" w:fill="auto"/>
            <w:vAlign w:val="center"/>
            <w:hideMark/>
          </w:tcPr>
          <w:p w14:paraId="65B35FF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142</w:t>
            </w:r>
          </w:p>
        </w:tc>
        <w:tc>
          <w:tcPr>
            <w:tcW w:w="1199" w:type="dxa"/>
            <w:tcBorders>
              <w:top w:val="nil"/>
              <w:left w:val="nil"/>
              <w:bottom w:val="single" w:sz="4" w:space="0" w:color="auto"/>
              <w:right w:val="single" w:sz="4" w:space="0" w:color="auto"/>
            </w:tcBorders>
            <w:shd w:val="clear" w:color="auto" w:fill="auto"/>
            <w:vAlign w:val="center"/>
            <w:hideMark/>
          </w:tcPr>
          <w:p w14:paraId="2D750A7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122</w:t>
            </w:r>
          </w:p>
        </w:tc>
        <w:tc>
          <w:tcPr>
            <w:tcW w:w="1321" w:type="dxa"/>
            <w:tcBorders>
              <w:top w:val="nil"/>
              <w:left w:val="nil"/>
              <w:bottom w:val="single" w:sz="4" w:space="0" w:color="auto"/>
              <w:right w:val="single" w:sz="4" w:space="0" w:color="auto"/>
            </w:tcBorders>
            <w:shd w:val="clear" w:color="auto" w:fill="auto"/>
            <w:vAlign w:val="center"/>
            <w:hideMark/>
          </w:tcPr>
          <w:p w14:paraId="7E1FC74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118</w:t>
            </w:r>
          </w:p>
        </w:tc>
        <w:tc>
          <w:tcPr>
            <w:tcW w:w="1221" w:type="dxa"/>
            <w:tcBorders>
              <w:top w:val="nil"/>
              <w:left w:val="nil"/>
              <w:bottom w:val="single" w:sz="4" w:space="0" w:color="auto"/>
              <w:right w:val="single" w:sz="4" w:space="0" w:color="auto"/>
            </w:tcBorders>
            <w:shd w:val="clear" w:color="auto" w:fill="auto"/>
            <w:vAlign w:val="center"/>
            <w:hideMark/>
          </w:tcPr>
          <w:p w14:paraId="242DE52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127</w:t>
            </w:r>
          </w:p>
        </w:tc>
        <w:tc>
          <w:tcPr>
            <w:tcW w:w="968" w:type="dxa"/>
            <w:tcBorders>
              <w:top w:val="nil"/>
              <w:left w:val="nil"/>
              <w:bottom w:val="single" w:sz="4" w:space="0" w:color="auto"/>
              <w:right w:val="single" w:sz="4" w:space="0" w:color="auto"/>
            </w:tcBorders>
            <w:shd w:val="clear" w:color="auto" w:fill="auto"/>
            <w:vAlign w:val="center"/>
            <w:hideMark/>
          </w:tcPr>
          <w:p w14:paraId="0FBC357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425C40E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488" w:type="dxa"/>
            <w:tcBorders>
              <w:top w:val="nil"/>
              <w:left w:val="nil"/>
              <w:bottom w:val="single" w:sz="4" w:space="0" w:color="auto"/>
              <w:right w:val="single" w:sz="4" w:space="0" w:color="auto"/>
            </w:tcBorders>
            <w:shd w:val="clear" w:color="auto" w:fill="auto"/>
            <w:vAlign w:val="center"/>
            <w:hideMark/>
          </w:tcPr>
          <w:p w14:paraId="683348A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118</w:t>
            </w:r>
          </w:p>
        </w:tc>
        <w:tc>
          <w:tcPr>
            <w:tcW w:w="1374" w:type="dxa"/>
            <w:tcBorders>
              <w:top w:val="nil"/>
              <w:left w:val="nil"/>
              <w:bottom w:val="single" w:sz="4" w:space="0" w:color="auto"/>
              <w:right w:val="single" w:sz="4" w:space="0" w:color="auto"/>
            </w:tcBorders>
            <w:shd w:val="clear" w:color="auto" w:fill="auto"/>
            <w:vAlign w:val="center"/>
            <w:hideMark/>
          </w:tcPr>
          <w:p w14:paraId="1277A50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125</w:t>
            </w:r>
          </w:p>
        </w:tc>
        <w:tc>
          <w:tcPr>
            <w:tcW w:w="1133" w:type="dxa"/>
            <w:tcBorders>
              <w:top w:val="nil"/>
              <w:left w:val="nil"/>
              <w:bottom w:val="single" w:sz="4" w:space="0" w:color="auto"/>
              <w:right w:val="single" w:sz="4" w:space="0" w:color="auto"/>
            </w:tcBorders>
            <w:shd w:val="clear" w:color="auto" w:fill="auto"/>
            <w:vAlign w:val="center"/>
            <w:hideMark/>
          </w:tcPr>
          <w:p w14:paraId="130306B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173</w:t>
            </w:r>
          </w:p>
        </w:tc>
        <w:tc>
          <w:tcPr>
            <w:tcW w:w="306" w:type="dxa"/>
            <w:tcBorders>
              <w:top w:val="nil"/>
              <w:left w:val="nil"/>
              <w:bottom w:val="single" w:sz="4" w:space="0" w:color="auto"/>
              <w:right w:val="single" w:sz="4" w:space="0" w:color="auto"/>
            </w:tcBorders>
            <w:shd w:val="clear" w:color="auto" w:fill="auto"/>
            <w:vAlign w:val="center"/>
            <w:hideMark/>
          </w:tcPr>
          <w:p w14:paraId="76264A8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r>
      <w:tr w:rsidR="00BC17A3" w:rsidRPr="00A546AD" w14:paraId="6D9538B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FAC00B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Eswatini</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4A524C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120</w:t>
            </w:r>
          </w:p>
        </w:tc>
        <w:tc>
          <w:tcPr>
            <w:tcW w:w="1126" w:type="dxa"/>
            <w:tcBorders>
              <w:top w:val="nil"/>
              <w:left w:val="nil"/>
              <w:bottom w:val="single" w:sz="4" w:space="0" w:color="auto"/>
              <w:right w:val="single" w:sz="4" w:space="0" w:color="auto"/>
            </w:tcBorders>
            <w:shd w:val="clear" w:color="auto" w:fill="auto"/>
            <w:vAlign w:val="center"/>
            <w:hideMark/>
          </w:tcPr>
          <w:p w14:paraId="7E80E97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155</w:t>
            </w:r>
          </w:p>
        </w:tc>
        <w:tc>
          <w:tcPr>
            <w:tcW w:w="1199" w:type="dxa"/>
            <w:tcBorders>
              <w:top w:val="nil"/>
              <w:left w:val="nil"/>
              <w:bottom w:val="single" w:sz="4" w:space="0" w:color="auto"/>
              <w:right w:val="single" w:sz="4" w:space="0" w:color="auto"/>
            </w:tcBorders>
            <w:shd w:val="clear" w:color="auto" w:fill="auto"/>
            <w:vAlign w:val="center"/>
            <w:hideMark/>
          </w:tcPr>
          <w:p w14:paraId="328A62B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w:t>
            </w:r>
          </w:p>
        </w:tc>
        <w:tc>
          <w:tcPr>
            <w:tcW w:w="1321" w:type="dxa"/>
            <w:tcBorders>
              <w:top w:val="nil"/>
              <w:left w:val="nil"/>
              <w:bottom w:val="single" w:sz="4" w:space="0" w:color="auto"/>
              <w:right w:val="single" w:sz="4" w:space="0" w:color="auto"/>
            </w:tcBorders>
            <w:shd w:val="clear" w:color="auto" w:fill="auto"/>
            <w:vAlign w:val="center"/>
            <w:hideMark/>
          </w:tcPr>
          <w:p w14:paraId="01F9B5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21" w:type="dxa"/>
            <w:tcBorders>
              <w:top w:val="nil"/>
              <w:left w:val="nil"/>
              <w:bottom w:val="single" w:sz="4" w:space="0" w:color="auto"/>
              <w:right w:val="single" w:sz="4" w:space="0" w:color="auto"/>
            </w:tcBorders>
            <w:shd w:val="clear" w:color="auto" w:fill="auto"/>
            <w:vAlign w:val="center"/>
            <w:hideMark/>
          </w:tcPr>
          <w:p w14:paraId="63A7C5F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968" w:type="dxa"/>
            <w:tcBorders>
              <w:top w:val="nil"/>
              <w:left w:val="nil"/>
              <w:bottom w:val="single" w:sz="4" w:space="0" w:color="auto"/>
              <w:right w:val="single" w:sz="4" w:space="0" w:color="auto"/>
            </w:tcBorders>
            <w:shd w:val="clear" w:color="auto" w:fill="auto"/>
            <w:vAlign w:val="center"/>
            <w:hideMark/>
          </w:tcPr>
          <w:p w14:paraId="3661F63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67304F6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488" w:type="dxa"/>
            <w:tcBorders>
              <w:top w:val="nil"/>
              <w:left w:val="nil"/>
              <w:bottom w:val="single" w:sz="4" w:space="0" w:color="auto"/>
              <w:right w:val="single" w:sz="4" w:space="0" w:color="auto"/>
            </w:tcBorders>
            <w:shd w:val="clear" w:color="auto" w:fill="auto"/>
            <w:vAlign w:val="center"/>
            <w:hideMark/>
          </w:tcPr>
          <w:p w14:paraId="436353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w:t>
            </w:r>
          </w:p>
        </w:tc>
        <w:tc>
          <w:tcPr>
            <w:tcW w:w="1374" w:type="dxa"/>
            <w:tcBorders>
              <w:top w:val="nil"/>
              <w:left w:val="nil"/>
              <w:bottom w:val="single" w:sz="4" w:space="0" w:color="auto"/>
              <w:right w:val="single" w:sz="4" w:space="0" w:color="auto"/>
            </w:tcBorders>
            <w:shd w:val="clear" w:color="auto" w:fill="auto"/>
            <w:vAlign w:val="center"/>
            <w:hideMark/>
          </w:tcPr>
          <w:p w14:paraId="54834B3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35</w:t>
            </w:r>
          </w:p>
        </w:tc>
        <w:tc>
          <w:tcPr>
            <w:tcW w:w="1133" w:type="dxa"/>
            <w:tcBorders>
              <w:top w:val="nil"/>
              <w:left w:val="nil"/>
              <w:bottom w:val="single" w:sz="4" w:space="0" w:color="auto"/>
              <w:right w:val="single" w:sz="4" w:space="0" w:color="auto"/>
            </w:tcBorders>
            <w:shd w:val="clear" w:color="auto" w:fill="auto"/>
            <w:vAlign w:val="center"/>
            <w:hideMark/>
          </w:tcPr>
          <w:p w14:paraId="4BEA658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172</w:t>
            </w:r>
          </w:p>
        </w:tc>
        <w:tc>
          <w:tcPr>
            <w:tcW w:w="306" w:type="dxa"/>
            <w:tcBorders>
              <w:top w:val="nil"/>
              <w:left w:val="nil"/>
              <w:bottom w:val="single" w:sz="4" w:space="0" w:color="auto"/>
              <w:right w:val="single" w:sz="4" w:space="0" w:color="auto"/>
            </w:tcBorders>
            <w:shd w:val="clear" w:color="auto" w:fill="auto"/>
            <w:vAlign w:val="center"/>
            <w:hideMark/>
          </w:tcPr>
          <w:p w14:paraId="7A4614B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117</w:t>
            </w:r>
          </w:p>
        </w:tc>
      </w:tr>
      <w:tr w:rsidR="00BC17A3" w:rsidRPr="00A546AD" w14:paraId="00454304"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0ADEA7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Lesotho</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B07FE2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121</w:t>
            </w:r>
          </w:p>
        </w:tc>
        <w:tc>
          <w:tcPr>
            <w:tcW w:w="1126" w:type="dxa"/>
            <w:tcBorders>
              <w:top w:val="nil"/>
              <w:left w:val="nil"/>
              <w:bottom w:val="single" w:sz="4" w:space="0" w:color="auto"/>
              <w:right w:val="single" w:sz="4" w:space="0" w:color="auto"/>
            </w:tcBorders>
            <w:shd w:val="clear" w:color="auto" w:fill="auto"/>
            <w:vAlign w:val="center"/>
            <w:hideMark/>
          </w:tcPr>
          <w:p w14:paraId="7CAD860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w:t>
            </w:r>
          </w:p>
        </w:tc>
        <w:tc>
          <w:tcPr>
            <w:tcW w:w="1199" w:type="dxa"/>
            <w:tcBorders>
              <w:top w:val="nil"/>
              <w:left w:val="nil"/>
              <w:bottom w:val="single" w:sz="4" w:space="0" w:color="auto"/>
              <w:right w:val="single" w:sz="4" w:space="0" w:color="auto"/>
            </w:tcBorders>
            <w:shd w:val="clear" w:color="auto" w:fill="auto"/>
            <w:vAlign w:val="center"/>
            <w:hideMark/>
          </w:tcPr>
          <w:p w14:paraId="27FC1B4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321" w:type="dxa"/>
            <w:tcBorders>
              <w:top w:val="nil"/>
              <w:left w:val="nil"/>
              <w:bottom w:val="single" w:sz="4" w:space="0" w:color="auto"/>
              <w:right w:val="single" w:sz="4" w:space="0" w:color="auto"/>
            </w:tcBorders>
            <w:shd w:val="clear" w:color="auto" w:fill="auto"/>
            <w:vAlign w:val="center"/>
            <w:hideMark/>
          </w:tcPr>
          <w:p w14:paraId="0DAE5C9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158</w:t>
            </w:r>
          </w:p>
        </w:tc>
        <w:tc>
          <w:tcPr>
            <w:tcW w:w="1221" w:type="dxa"/>
            <w:tcBorders>
              <w:top w:val="nil"/>
              <w:left w:val="nil"/>
              <w:bottom w:val="single" w:sz="4" w:space="0" w:color="auto"/>
              <w:right w:val="single" w:sz="4" w:space="0" w:color="auto"/>
            </w:tcBorders>
            <w:shd w:val="clear" w:color="auto" w:fill="auto"/>
            <w:vAlign w:val="center"/>
            <w:hideMark/>
          </w:tcPr>
          <w:p w14:paraId="7521D2E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968" w:type="dxa"/>
            <w:tcBorders>
              <w:top w:val="nil"/>
              <w:left w:val="nil"/>
              <w:bottom w:val="single" w:sz="4" w:space="0" w:color="auto"/>
              <w:right w:val="single" w:sz="4" w:space="0" w:color="auto"/>
            </w:tcBorders>
            <w:shd w:val="clear" w:color="auto" w:fill="auto"/>
            <w:vAlign w:val="center"/>
            <w:hideMark/>
          </w:tcPr>
          <w:p w14:paraId="2DA4086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08E2812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1488" w:type="dxa"/>
            <w:tcBorders>
              <w:top w:val="nil"/>
              <w:left w:val="nil"/>
              <w:bottom w:val="single" w:sz="4" w:space="0" w:color="auto"/>
              <w:right w:val="single" w:sz="4" w:space="0" w:color="auto"/>
            </w:tcBorders>
            <w:shd w:val="clear" w:color="auto" w:fill="auto"/>
            <w:vAlign w:val="center"/>
            <w:hideMark/>
          </w:tcPr>
          <w:p w14:paraId="7482729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110</w:t>
            </w:r>
          </w:p>
        </w:tc>
        <w:tc>
          <w:tcPr>
            <w:tcW w:w="1374" w:type="dxa"/>
            <w:tcBorders>
              <w:top w:val="nil"/>
              <w:left w:val="nil"/>
              <w:bottom w:val="single" w:sz="4" w:space="0" w:color="auto"/>
              <w:right w:val="single" w:sz="4" w:space="0" w:color="auto"/>
            </w:tcBorders>
            <w:shd w:val="clear" w:color="auto" w:fill="auto"/>
            <w:vAlign w:val="center"/>
            <w:hideMark/>
          </w:tcPr>
          <w:p w14:paraId="4B71E8A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40</w:t>
            </w:r>
          </w:p>
        </w:tc>
        <w:tc>
          <w:tcPr>
            <w:tcW w:w="1133" w:type="dxa"/>
            <w:tcBorders>
              <w:top w:val="nil"/>
              <w:left w:val="nil"/>
              <w:bottom w:val="single" w:sz="4" w:space="0" w:color="auto"/>
              <w:right w:val="single" w:sz="4" w:space="0" w:color="auto"/>
            </w:tcBorders>
            <w:shd w:val="clear" w:color="auto" w:fill="auto"/>
            <w:vAlign w:val="center"/>
            <w:hideMark/>
          </w:tcPr>
          <w:p w14:paraId="6BF685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w:t>
            </w:r>
          </w:p>
        </w:tc>
        <w:tc>
          <w:tcPr>
            <w:tcW w:w="306" w:type="dxa"/>
            <w:tcBorders>
              <w:top w:val="nil"/>
              <w:left w:val="nil"/>
              <w:bottom w:val="single" w:sz="4" w:space="0" w:color="auto"/>
              <w:right w:val="single" w:sz="4" w:space="0" w:color="auto"/>
            </w:tcBorders>
            <w:shd w:val="clear" w:color="auto" w:fill="auto"/>
            <w:vAlign w:val="center"/>
            <w:hideMark/>
          </w:tcPr>
          <w:p w14:paraId="6B6AEE4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126</w:t>
            </w:r>
          </w:p>
        </w:tc>
      </w:tr>
      <w:tr w:rsidR="00BC17A3" w:rsidRPr="00A546AD" w14:paraId="2BE55862"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C289CB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Senegal</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D11BF8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122</w:t>
            </w:r>
          </w:p>
        </w:tc>
        <w:tc>
          <w:tcPr>
            <w:tcW w:w="1126" w:type="dxa"/>
            <w:tcBorders>
              <w:top w:val="nil"/>
              <w:left w:val="nil"/>
              <w:bottom w:val="single" w:sz="4" w:space="0" w:color="auto"/>
              <w:right w:val="single" w:sz="4" w:space="0" w:color="auto"/>
            </w:tcBorders>
            <w:shd w:val="clear" w:color="auto" w:fill="auto"/>
            <w:vAlign w:val="center"/>
            <w:hideMark/>
          </w:tcPr>
          <w:p w14:paraId="6CEE519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60</w:t>
            </w:r>
          </w:p>
        </w:tc>
        <w:tc>
          <w:tcPr>
            <w:tcW w:w="1199" w:type="dxa"/>
            <w:tcBorders>
              <w:top w:val="nil"/>
              <w:left w:val="nil"/>
              <w:bottom w:val="single" w:sz="4" w:space="0" w:color="auto"/>
              <w:right w:val="single" w:sz="4" w:space="0" w:color="auto"/>
            </w:tcBorders>
            <w:shd w:val="clear" w:color="auto" w:fill="auto"/>
            <w:vAlign w:val="center"/>
            <w:hideMark/>
          </w:tcPr>
          <w:p w14:paraId="0DBE32F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131</w:t>
            </w:r>
          </w:p>
        </w:tc>
        <w:tc>
          <w:tcPr>
            <w:tcW w:w="1321" w:type="dxa"/>
            <w:tcBorders>
              <w:top w:val="nil"/>
              <w:left w:val="nil"/>
              <w:bottom w:val="single" w:sz="4" w:space="0" w:color="auto"/>
              <w:right w:val="single" w:sz="4" w:space="0" w:color="auto"/>
            </w:tcBorders>
            <w:shd w:val="clear" w:color="auto" w:fill="auto"/>
            <w:vAlign w:val="center"/>
            <w:hideMark/>
          </w:tcPr>
          <w:p w14:paraId="54B58D9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21" w:type="dxa"/>
            <w:tcBorders>
              <w:top w:val="nil"/>
              <w:left w:val="nil"/>
              <w:bottom w:val="single" w:sz="4" w:space="0" w:color="auto"/>
              <w:right w:val="single" w:sz="4" w:space="0" w:color="auto"/>
            </w:tcBorders>
            <w:shd w:val="clear" w:color="auto" w:fill="auto"/>
            <w:vAlign w:val="center"/>
            <w:hideMark/>
          </w:tcPr>
          <w:p w14:paraId="5405904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116</w:t>
            </w:r>
          </w:p>
        </w:tc>
        <w:tc>
          <w:tcPr>
            <w:tcW w:w="968" w:type="dxa"/>
            <w:tcBorders>
              <w:top w:val="nil"/>
              <w:left w:val="nil"/>
              <w:bottom w:val="single" w:sz="4" w:space="0" w:color="auto"/>
              <w:right w:val="single" w:sz="4" w:space="0" w:color="auto"/>
            </w:tcBorders>
            <w:shd w:val="clear" w:color="auto" w:fill="auto"/>
            <w:vAlign w:val="center"/>
            <w:hideMark/>
          </w:tcPr>
          <w:p w14:paraId="747BE28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4FAD675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1488" w:type="dxa"/>
            <w:tcBorders>
              <w:top w:val="nil"/>
              <w:left w:val="nil"/>
              <w:bottom w:val="single" w:sz="4" w:space="0" w:color="auto"/>
              <w:right w:val="single" w:sz="4" w:space="0" w:color="auto"/>
            </w:tcBorders>
            <w:shd w:val="clear" w:color="auto" w:fill="auto"/>
            <w:vAlign w:val="center"/>
            <w:hideMark/>
          </w:tcPr>
          <w:p w14:paraId="4A629E2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166</w:t>
            </w:r>
          </w:p>
        </w:tc>
        <w:tc>
          <w:tcPr>
            <w:tcW w:w="1374" w:type="dxa"/>
            <w:tcBorders>
              <w:top w:val="nil"/>
              <w:left w:val="nil"/>
              <w:bottom w:val="single" w:sz="4" w:space="0" w:color="auto"/>
              <w:right w:val="single" w:sz="4" w:space="0" w:color="auto"/>
            </w:tcBorders>
            <w:shd w:val="clear" w:color="auto" w:fill="auto"/>
            <w:vAlign w:val="center"/>
            <w:hideMark/>
          </w:tcPr>
          <w:p w14:paraId="445AB37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142</w:t>
            </w:r>
          </w:p>
        </w:tc>
        <w:tc>
          <w:tcPr>
            <w:tcW w:w="1133" w:type="dxa"/>
            <w:tcBorders>
              <w:top w:val="nil"/>
              <w:left w:val="nil"/>
              <w:bottom w:val="single" w:sz="4" w:space="0" w:color="auto"/>
              <w:right w:val="single" w:sz="4" w:space="0" w:color="auto"/>
            </w:tcBorders>
            <w:shd w:val="clear" w:color="auto" w:fill="auto"/>
            <w:vAlign w:val="center"/>
            <w:hideMark/>
          </w:tcPr>
          <w:p w14:paraId="66A46A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306" w:type="dxa"/>
            <w:tcBorders>
              <w:top w:val="nil"/>
              <w:left w:val="nil"/>
              <w:bottom w:val="single" w:sz="4" w:space="0" w:color="auto"/>
              <w:right w:val="single" w:sz="4" w:space="0" w:color="auto"/>
            </w:tcBorders>
            <w:shd w:val="clear" w:color="auto" w:fill="auto"/>
            <w:vAlign w:val="center"/>
            <w:hideMark/>
          </w:tcPr>
          <w:p w14:paraId="4C852B9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w:t>
            </w:r>
          </w:p>
        </w:tc>
      </w:tr>
      <w:tr w:rsidR="00BC17A3" w:rsidRPr="00A546AD" w14:paraId="3967227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87C610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Brazil</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6A1F5B8"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123</w:t>
            </w:r>
          </w:p>
        </w:tc>
        <w:tc>
          <w:tcPr>
            <w:tcW w:w="1126" w:type="dxa"/>
            <w:tcBorders>
              <w:top w:val="nil"/>
              <w:left w:val="nil"/>
              <w:bottom w:val="single" w:sz="4" w:space="0" w:color="auto"/>
              <w:right w:val="single" w:sz="4" w:space="0" w:color="auto"/>
            </w:tcBorders>
            <w:shd w:val="clear" w:color="auto" w:fill="auto"/>
            <w:vAlign w:val="center"/>
            <w:hideMark/>
          </w:tcPr>
          <w:p w14:paraId="3E5C80F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138</w:t>
            </w:r>
          </w:p>
        </w:tc>
        <w:tc>
          <w:tcPr>
            <w:tcW w:w="1199" w:type="dxa"/>
            <w:tcBorders>
              <w:top w:val="nil"/>
              <w:left w:val="nil"/>
              <w:bottom w:val="single" w:sz="4" w:space="0" w:color="auto"/>
              <w:right w:val="single" w:sz="4" w:space="0" w:color="auto"/>
            </w:tcBorders>
            <w:shd w:val="clear" w:color="auto" w:fill="auto"/>
            <w:vAlign w:val="center"/>
            <w:hideMark/>
          </w:tcPr>
          <w:p w14:paraId="7DCB630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1321" w:type="dxa"/>
            <w:tcBorders>
              <w:top w:val="nil"/>
              <w:left w:val="nil"/>
              <w:bottom w:val="single" w:sz="4" w:space="0" w:color="auto"/>
              <w:right w:val="single" w:sz="4" w:space="0" w:color="auto"/>
            </w:tcBorders>
            <w:shd w:val="clear" w:color="auto" w:fill="auto"/>
            <w:vAlign w:val="center"/>
            <w:hideMark/>
          </w:tcPr>
          <w:p w14:paraId="7EA22C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w:t>
            </w:r>
          </w:p>
        </w:tc>
        <w:tc>
          <w:tcPr>
            <w:tcW w:w="1221" w:type="dxa"/>
            <w:tcBorders>
              <w:top w:val="nil"/>
              <w:left w:val="nil"/>
              <w:bottom w:val="single" w:sz="4" w:space="0" w:color="auto"/>
              <w:right w:val="single" w:sz="4" w:space="0" w:color="auto"/>
            </w:tcBorders>
            <w:shd w:val="clear" w:color="auto" w:fill="auto"/>
            <w:vAlign w:val="center"/>
            <w:hideMark/>
          </w:tcPr>
          <w:p w14:paraId="2E859C4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133</w:t>
            </w:r>
          </w:p>
        </w:tc>
        <w:tc>
          <w:tcPr>
            <w:tcW w:w="968" w:type="dxa"/>
            <w:tcBorders>
              <w:top w:val="nil"/>
              <w:left w:val="nil"/>
              <w:bottom w:val="single" w:sz="4" w:space="0" w:color="auto"/>
              <w:right w:val="single" w:sz="4" w:space="0" w:color="auto"/>
            </w:tcBorders>
            <w:shd w:val="clear" w:color="auto" w:fill="auto"/>
            <w:vAlign w:val="center"/>
            <w:hideMark/>
          </w:tcPr>
          <w:p w14:paraId="56C9393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00A4E2A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488" w:type="dxa"/>
            <w:tcBorders>
              <w:top w:val="nil"/>
              <w:left w:val="nil"/>
              <w:bottom w:val="single" w:sz="4" w:space="0" w:color="auto"/>
              <w:right w:val="single" w:sz="4" w:space="0" w:color="auto"/>
            </w:tcBorders>
            <w:shd w:val="clear" w:color="auto" w:fill="auto"/>
            <w:vAlign w:val="center"/>
            <w:hideMark/>
          </w:tcPr>
          <w:p w14:paraId="5096E05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184</w:t>
            </w:r>
          </w:p>
        </w:tc>
        <w:tc>
          <w:tcPr>
            <w:tcW w:w="1374" w:type="dxa"/>
            <w:tcBorders>
              <w:top w:val="nil"/>
              <w:left w:val="nil"/>
              <w:bottom w:val="single" w:sz="4" w:space="0" w:color="auto"/>
              <w:right w:val="single" w:sz="4" w:space="0" w:color="auto"/>
            </w:tcBorders>
            <w:shd w:val="clear" w:color="auto" w:fill="auto"/>
            <w:vAlign w:val="center"/>
            <w:hideMark/>
          </w:tcPr>
          <w:p w14:paraId="4728C5F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108</w:t>
            </w:r>
          </w:p>
        </w:tc>
        <w:tc>
          <w:tcPr>
            <w:tcW w:w="1133" w:type="dxa"/>
            <w:tcBorders>
              <w:top w:val="nil"/>
              <w:left w:val="nil"/>
              <w:bottom w:val="single" w:sz="4" w:space="0" w:color="auto"/>
              <w:right w:val="single" w:sz="4" w:space="0" w:color="auto"/>
            </w:tcBorders>
            <w:shd w:val="clear" w:color="auto" w:fill="auto"/>
            <w:vAlign w:val="center"/>
            <w:hideMark/>
          </w:tcPr>
          <w:p w14:paraId="023E82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w:t>
            </w:r>
          </w:p>
        </w:tc>
        <w:tc>
          <w:tcPr>
            <w:tcW w:w="306" w:type="dxa"/>
            <w:tcBorders>
              <w:top w:val="nil"/>
              <w:left w:val="nil"/>
              <w:bottom w:val="single" w:sz="4" w:space="0" w:color="auto"/>
              <w:right w:val="single" w:sz="4" w:space="0" w:color="auto"/>
            </w:tcBorders>
            <w:shd w:val="clear" w:color="auto" w:fill="auto"/>
            <w:vAlign w:val="center"/>
            <w:hideMark/>
          </w:tcPr>
          <w:p w14:paraId="3314A0B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w:t>
            </w:r>
          </w:p>
        </w:tc>
      </w:tr>
      <w:tr w:rsidR="00BC17A3" w:rsidRPr="00A546AD" w14:paraId="05220FC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4A21BB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Paraguay</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A0E890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124</w:t>
            </w:r>
          </w:p>
        </w:tc>
        <w:tc>
          <w:tcPr>
            <w:tcW w:w="1126" w:type="dxa"/>
            <w:tcBorders>
              <w:top w:val="nil"/>
              <w:left w:val="nil"/>
              <w:bottom w:val="single" w:sz="4" w:space="0" w:color="auto"/>
              <w:right w:val="single" w:sz="4" w:space="0" w:color="auto"/>
            </w:tcBorders>
            <w:shd w:val="clear" w:color="auto" w:fill="auto"/>
            <w:vAlign w:val="center"/>
            <w:hideMark/>
          </w:tcPr>
          <w:p w14:paraId="3AAAF4C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160</w:t>
            </w:r>
          </w:p>
        </w:tc>
        <w:tc>
          <w:tcPr>
            <w:tcW w:w="1199" w:type="dxa"/>
            <w:tcBorders>
              <w:top w:val="nil"/>
              <w:left w:val="nil"/>
              <w:bottom w:val="single" w:sz="4" w:space="0" w:color="auto"/>
              <w:right w:val="single" w:sz="4" w:space="0" w:color="auto"/>
            </w:tcBorders>
            <w:shd w:val="clear" w:color="auto" w:fill="auto"/>
            <w:vAlign w:val="center"/>
            <w:hideMark/>
          </w:tcPr>
          <w:p w14:paraId="4B7D7B7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w:t>
            </w:r>
          </w:p>
        </w:tc>
        <w:tc>
          <w:tcPr>
            <w:tcW w:w="1321" w:type="dxa"/>
            <w:tcBorders>
              <w:top w:val="nil"/>
              <w:left w:val="nil"/>
              <w:bottom w:val="single" w:sz="4" w:space="0" w:color="auto"/>
              <w:right w:val="single" w:sz="4" w:space="0" w:color="auto"/>
            </w:tcBorders>
            <w:shd w:val="clear" w:color="auto" w:fill="auto"/>
            <w:vAlign w:val="center"/>
            <w:hideMark/>
          </w:tcPr>
          <w:p w14:paraId="27F56F4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109</w:t>
            </w:r>
          </w:p>
        </w:tc>
        <w:tc>
          <w:tcPr>
            <w:tcW w:w="1221" w:type="dxa"/>
            <w:tcBorders>
              <w:top w:val="nil"/>
              <w:left w:val="nil"/>
              <w:bottom w:val="single" w:sz="4" w:space="0" w:color="auto"/>
              <w:right w:val="single" w:sz="4" w:space="0" w:color="auto"/>
            </w:tcBorders>
            <w:shd w:val="clear" w:color="auto" w:fill="auto"/>
            <w:vAlign w:val="center"/>
            <w:hideMark/>
          </w:tcPr>
          <w:p w14:paraId="0DBAA6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968" w:type="dxa"/>
            <w:tcBorders>
              <w:top w:val="nil"/>
              <w:left w:val="nil"/>
              <w:bottom w:val="single" w:sz="4" w:space="0" w:color="auto"/>
              <w:right w:val="single" w:sz="4" w:space="0" w:color="auto"/>
            </w:tcBorders>
            <w:shd w:val="clear" w:color="auto" w:fill="auto"/>
            <w:vAlign w:val="center"/>
            <w:hideMark/>
          </w:tcPr>
          <w:p w14:paraId="4C8D71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6946ABB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c>
          <w:tcPr>
            <w:tcW w:w="1488" w:type="dxa"/>
            <w:tcBorders>
              <w:top w:val="nil"/>
              <w:left w:val="nil"/>
              <w:bottom w:val="single" w:sz="4" w:space="0" w:color="auto"/>
              <w:right w:val="single" w:sz="4" w:space="0" w:color="auto"/>
            </w:tcBorders>
            <w:shd w:val="clear" w:color="auto" w:fill="auto"/>
            <w:vAlign w:val="center"/>
            <w:hideMark/>
          </w:tcPr>
          <w:p w14:paraId="57372C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126</w:t>
            </w:r>
          </w:p>
        </w:tc>
        <w:tc>
          <w:tcPr>
            <w:tcW w:w="1374" w:type="dxa"/>
            <w:tcBorders>
              <w:top w:val="nil"/>
              <w:left w:val="nil"/>
              <w:bottom w:val="single" w:sz="4" w:space="0" w:color="auto"/>
              <w:right w:val="single" w:sz="4" w:space="0" w:color="auto"/>
            </w:tcBorders>
            <w:shd w:val="clear" w:color="auto" w:fill="auto"/>
            <w:vAlign w:val="center"/>
            <w:hideMark/>
          </w:tcPr>
          <w:p w14:paraId="7AAF54D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133" w:type="dxa"/>
            <w:tcBorders>
              <w:top w:val="nil"/>
              <w:left w:val="nil"/>
              <w:bottom w:val="single" w:sz="4" w:space="0" w:color="auto"/>
              <w:right w:val="single" w:sz="4" w:space="0" w:color="auto"/>
            </w:tcBorders>
            <w:shd w:val="clear" w:color="auto" w:fill="auto"/>
            <w:vAlign w:val="center"/>
            <w:hideMark/>
          </w:tcPr>
          <w:p w14:paraId="3356ABC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306" w:type="dxa"/>
            <w:tcBorders>
              <w:top w:val="nil"/>
              <w:left w:val="nil"/>
              <w:bottom w:val="single" w:sz="4" w:space="0" w:color="auto"/>
              <w:right w:val="single" w:sz="4" w:space="0" w:color="auto"/>
            </w:tcBorders>
            <w:shd w:val="clear" w:color="auto" w:fill="auto"/>
            <w:vAlign w:val="center"/>
            <w:hideMark/>
          </w:tcPr>
          <w:p w14:paraId="1F07B1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r>
      <w:tr w:rsidR="00BC17A3" w:rsidRPr="00A546AD" w14:paraId="1C3CA79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6C5381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Argentina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5706880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125</w:t>
            </w:r>
          </w:p>
        </w:tc>
        <w:tc>
          <w:tcPr>
            <w:tcW w:w="1126" w:type="dxa"/>
            <w:tcBorders>
              <w:top w:val="nil"/>
              <w:left w:val="nil"/>
              <w:bottom w:val="single" w:sz="4" w:space="0" w:color="auto"/>
              <w:right w:val="single" w:sz="4" w:space="0" w:color="auto"/>
            </w:tcBorders>
            <w:shd w:val="clear" w:color="auto" w:fill="auto"/>
            <w:vAlign w:val="center"/>
            <w:hideMark/>
          </w:tcPr>
          <w:p w14:paraId="309E3A8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141</w:t>
            </w:r>
          </w:p>
        </w:tc>
        <w:tc>
          <w:tcPr>
            <w:tcW w:w="1199" w:type="dxa"/>
            <w:tcBorders>
              <w:top w:val="nil"/>
              <w:left w:val="nil"/>
              <w:bottom w:val="single" w:sz="4" w:space="0" w:color="auto"/>
              <w:right w:val="single" w:sz="4" w:space="0" w:color="auto"/>
            </w:tcBorders>
            <w:shd w:val="clear" w:color="auto" w:fill="auto"/>
            <w:vAlign w:val="center"/>
            <w:hideMark/>
          </w:tcPr>
          <w:p w14:paraId="41393FA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155</w:t>
            </w:r>
          </w:p>
        </w:tc>
        <w:tc>
          <w:tcPr>
            <w:tcW w:w="1321" w:type="dxa"/>
            <w:tcBorders>
              <w:top w:val="nil"/>
              <w:left w:val="nil"/>
              <w:bottom w:val="single" w:sz="4" w:space="0" w:color="auto"/>
              <w:right w:val="single" w:sz="4" w:space="0" w:color="auto"/>
            </w:tcBorders>
            <w:shd w:val="clear" w:color="auto" w:fill="auto"/>
            <w:vAlign w:val="center"/>
            <w:hideMark/>
          </w:tcPr>
          <w:p w14:paraId="4C4B393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111</w:t>
            </w:r>
          </w:p>
        </w:tc>
        <w:tc>
          <w:tcPr>
            <w:tcW w:w="1221" w:type="dxa"/>
            <w:tcBorders>
              <w:top w:val="nil"/>
              <w:left w:val="nil"/>
              <w:bottom w:val="single" w:sz="4" w:space="0" w:color="auto"/>
              <w:right w:val="single" w:sz="4" w:space="0" w:color="auto"/>
            </w:tcBorders>
            <w:shd w:val="clear" w:color="auto" w:fill="auto"/>
            <w:vAlign w:val="center"/>
            <w:hideMark/>
          </w:tcPr>
          <w:p w14:paraId="7CDDD2A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123</w:t>
            </w:r>
          </w:p>
        </w:tc>
        <w:tc>
          <w:tcPr>
            <w:tcW w:w="968" w:type="dxa"/>
            <w:tcBorders>
              <w:top w:val="nil"/>
              <w:left w:val="nil"/>
              <w:bottom w:val="single" w:sz="4" w:space="0" w:color="auto"/>
              <w:right w:val="single" w:sz="4" w:space="0" w:color="auto"/>
            </w:tcBorders>
            <w:shd w:val="clear" w:color="auto" w:fill="auto"/>
            <w:vAlign w:val="center"/>
            <w:hideMark/>
          </w:tcPr>
          <w:p w14:paraId="64E675C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784146E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488" w:type="dxa"/>
            <w:tcBorders>
              <w:top w:val="nil"/>
              <w:left w:val="nil"/>
              <w:bottom w:val="single" w:sz="4" w:space="0" w:color="auto"/>
              <w:right w:val="single" w:sz="4" w:space="0" w:color="auto"/>
            </w:tcBorders>
            <w:shd w:val="clear" w:color="auto" w:fill="auto"/>
            <w:vAlign w:val="center"/>
            <w:hideMark/>
          </w:tcPr>
          <w:p w14:paraId="7B4A168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1374" w:type="dxa"/>
            <w:tcBorders>
              <w:top w:val="nil"/>
              <w:left w:val="nil"/>
              <w:bottom w:val="single" w:sz="4" w:space="0" w:color="auto"/>
              <w:right w:val="single" w:sz="4" w:space="0" w:color="auto"/>
            </w:tcBorders>
            <w:shd w:val="clear" w:color="auto" w:fill="auto"/>
            <w:vAlign w:val="center"/>
            <w:hideMark/>
          </w:tcPr>
          <w:p w14:paraId="644F61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133" w:type="dxa"/>
            <w:tcBorders>
              <w:top w:val="nil"/>
              <w:left w:val="nil"/>
              <w:bottom w:val="single" w:sz="4" w:space="0" w:color="auto"/>
              <w:right w:val="single" w:sz="4" w:space="0" w:color="auto"/>
            </w:tcBorders>
            <w:shd w:val="clear" w:color="auto" w:fill="auto"/>
            <w:vAlign w:val="center"/>
            <w:hideMark/>
          </w:tcPr>
          <w:p w14:paraId="544D32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306" w:type="dxa"/>
            <w:tcBorders>
              <w:top w:val="nil"/>
              <w:left w:val="nil"/>
              <w:bottom w:val="single" w:sz="4" w:space="0" w:color="auto"/>
              <w:right w:val="single" w:sz="4" w:space="0" w:color="auto"/>
            </w:tcBorders>
            <w:shd w:val="clear" w:color="auto" w:fill="auto"/>
            <w:vAlign w:val="center"/>
            <w:hideMark/>
          </w:tcPr>
          <w:p w14:paraId="30A3F00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111</w:t>
            </w:r>
          </w:p>
        </w:tc>
      </w:tr>
      <w:tr w:rsidR="00BC17A3" w:rsidRPr="00A546AD" w14:paraId="24C12517"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DF644A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Iran, </w:t>
            </w:r>
            <w:proofErr w:type="spellStart"/>
            <w:r w:rsidRPr="00A546AD">
              <w:rPr>
                <w:rFonts w:ascii="Times New Roman" w:eastAsia="Times New Roman" w:hAnsi="Times New Roman" w:cs="Times New Roman"/>
                <w:sz w:val="20"/>
                <w:szCs w:val="20"/>
                <w:lang w:val="ru-RU" w:eastAsia="ru-RU" w:bidi="ar-SA"/>
              </w:rPr>
              <w:t>Islamic</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Rep</w:t>
            </w:r>
            <w:proofErr w:type="spellEnd"/>
            <w:r w:rsidRPr="00A546AD">
              <w:rPr>
                <w:rFonts w:ascii="Times New Roman" w:eastAsia="Times New Roman" w:hAnsi="Times New Roman" w:cs="Times New Roman"/>
                <w:sz w:val="20"/>
                <w:szCs w:val="20"/>
                <w:lang w:val="ru-RU" w:eastAsia="ru-RU" w:bidi="ar-SA"/>
              </w:rPr>
              <w:t>.</w:t>
            </w:r>
          </w:p>
        </w:tc>
        <w:tc>
          <w:tcPr>
            <w:tcW w:w="802" w:type="dxa"/>
            <w:tcBorders>
              <w:top w:val="nil"/>
              <w:left w:val="nil"/>
              <w:bottom w:val="single" w:sz="4" w:space="0" w:color="auto"/>
              <w:right w:val="single" w:sz="4" w:space="0" w:color="auto"/>
            </w:tcBorders>
            <w:shd w:val="clear" w:color="auto" w:fill="auto"/>
            <w:vAlign w:val="center"/>
            <w:hideMark/>
          </w:tcPr>
          <w:p w14:paraId="4BB419E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126</w:t>
            </w:r>
          </w:p>
        </w:tc>
        <w:tc>
          <w:tcPr>
            <w:tcW w:w="1126" w:type="dxa"/>
            <w:tcBorders>
              <w:top w:val="nil"/>
              <w:left w:val="nil"/>
              <w:bottom w:val="single" w:sz="4" w:space="0" w:color="auto"/>
              <w:right w:val="single" w:sz="4" w:space="0" w:color="auto"/>
            </w:tcBorders>
            <w:shd w:val="clear" w:color="auto" w:fill="auto"/>
            <w:vAlign w:val="center"/>
            <w:hideMark/>
          </w:tcPr>
          <w:p w14:paraId="5753647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178</w:t>
            </w:r>
          </w:p>
        </w:tc>
        <w:tc>
          <w:tcPr>
            <w:tcW w:w="1199" w:type="dxa"/>
            <w:tcBorders>
              <w:top w:val="nil"/>
              <w:left w:val="nil"/>
              <w:bottom w:val="single" w:sz="4" w:space="0" w:color="auto"/>
              <w:right w:val="single" w:sz="4" w:space="0" w:color="auto"/>
            </w:tcBorders>
            <w:shd w:val="clear" w:color="auto" w:fill="auto"/>
            <w:vAlign w:val="center"/>
            <w:hideMark/>
          </w:tcPr>
          <w:p w14:paraId="35426BD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w:t>
            </w:r>
          </w:p>
        </w:tc>
        <w:tc>
          <w:tcPr>
            <w:tcW w:w="1321" w:type="dxa"/>
            <w:tcBorders>
              <w:top w:val="nil"/>
              <w:left w:val="nil"/>
              <w:bottom w:val="single" w:sz="4" w:space="0" w:color="auto"/>
              <w:right w:val="single" w:sz="4" w:space="0" w:color="auto"/>
            </w:tcBorders>
            <w:shd w:val="clear" w:color="auto" w:fill="auto"/>
            <w:vAlign w:val="center"/>
            <w:hideMark/>
          </w:tcPr>
          <w:p w14:paraId="502F266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113</w:t>
            </w:r>
          </w:p>
        </w:tc>
        <w:tc>
          <w:tcPr>
            <w:tcW w:w="1221" w:type="dxa"/>
            <w:tcBorders>
              <w:top w:val="nil"/>
              <w:left w:val="nil"/>
              <w:bottom w:val="single" w:sz="4" w:space="0" w:color="auto"/>
              <w:right w:val="single" w:sz="4" w:space="0" w:color="auto"/>
            </w:tcBorders>
            <w:shd w:val="clear" w:color="auto" w:fill="auto"/>
            <w:vAlign w:val="center"/>
            <w:hideMark/>
          </w:tcPr>
          <w:p w14:paraId="3BE1832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w:t>
            </w:r>
          </w:p>
        </w:tc>
        <w:tc>
          <w:tcPr>
            <w:tcW w:w="968" w:type="dxa"/>
            <w:tcBorders>
              <w:top w:val="nil"/>
              <w:left w:val="nil"/>
              <w:bottom w:val="single" w:sz="4" w:space="0" w:color="auto"/>
              <w:right w:val="single" w:sz="4" w:space="0" w:color="auto"/>
            </w:tcBorders>
            <w:shd w:val="clear" w:color="auto" w:fill="auto"/>
            <w:vAlign w:val="center"/>
            <w:hideMark/>
          </w:tcPr>
          <w:p w14:paraId="5571566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780D2C3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488" w:type="dxa"/>
            <w:tcBorders>
              <w:top w:val="nil"/>
              <w:left w:val="nil"/>
              <w:bottom w:val="single" w:sz="4" w:space="0" w:color="auto"/>
              <w:right w:val="single" w:sz="4" w:space="0" w:color="auto"/>
            </w:tcBorders>
            <w:shd w:val="clear" w:color="auto" w:fill="auto"/>
            <w:vAlign w:val="center"/>
            <w:hideMark/>
          </w:tcPr>
          <w:p w14:paraId="2C6763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374" w:type="dxa"/>
            <w:tcBorders>
              <w:top w:val="nil"/>
              <w:left w:val="nil"/>
              <w:bottom w:val="single" w:sz="4" w:space="0" w:color="auto"/>
              <w:right w:val="single" w:sz="4" w:space="0" w:color="auto"/>
            </w:tcBorders>
            <w:shd w:val="clear" w:color="auto" w:fill="auto"/>
            <w:vAlign w:val="center"/>
            <w:hideMark/>
          </w:tcPr>
          <w:p w14:paraId="156F4CF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123</w:t>
            </w:r>
          </w:p>
        </w:tc>
        <w:tc>
          <w:tcPr>
            <w:tcW w:w="1133" w:type="dxa"/>
            <w:tcBorders>
              <w:top w:val="nil"/>
              <w:left w:val="nil"/>
              <w:bottom w:val="single" w:sz="4" w:space="0" w:color="auto"/>
              <w:right w:val="single" w:sz="4" w:space="0" w:color="auto"/>
            </w:tcBorders>
            <w:shd w:val="clear" w:color="auto" w:fill="auto"/>
            <w:vAlign w:val="center"/>
            <w:hideMark/>
          </w:tcPr>
          <w:p w14:paraId="69E74E6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90</w:t>
            </w:r>
          </w:p>
        </w:tc>
        <w:tc>
          <w:tcPr>
            <w:tcW w:w="306" w:type="dxa"/>
            <w:tcBorders>
              <w:top w:val="nil"/>
              <w:left w:val="nil"/>
              <w:bottom w:val="single" w:sz="4" w:space="0" w:color="auto"/>
              <w:right w:val="single" w:sz="4" w:space="0" w:color="auto"/>
            </w:tcBorders>
            <w:shd w:val="clear" w:color="auto" w:fill="auto"/>
            <w:vAlign w:val="center"/>
            <w:hideMark/>
          </w:tcPr>
          <w:p w14:paraId="69B6CC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133</w:t>
            </w:r>
          </w:p>
        </w:tc>
      </w:tr>
      <w:tr w:rsidR="00BC17A3" w:rsidRPr="00A546AD" w14:paraId="1C8B543A"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0B8B1C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Barbados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88A0C7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127</w:t>
            </w:r>
          </w:p>
        </w:tc>
        <w:tc>
          <w:tcPr>
            <w:tcW w:w="1126" w:type="dxa"/>
            <w:tcBorders>
              <w:top w:val="nil"/>
              <w:left w:val="nil"/>
              <w:bottom w:val="single" w:sz="4" w:space="0" w:color="auto"/>
              <w:right w:val="single" w:sz="4" w:space="0" w:color="auto"/>
            </w:tcBorders>
            <w:shd w:val="clear" w:color="auto" w:fill="auto"/>
            <w:vAlign w:val="center"/>
            <w:hideMark/>
          </w:tcPr>
          <w:p w14:paraId="130E23C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102</w:t>
            </w:r>
          </w:p>
        </w:tc>
        <w:tc>
          <w:tcPr>
            <w:tcW w:w="1199" w:type="dxa"/>
            <w:tcBorders>
              <w:top w:val="nil"/>
              <w:left w:val="nil"/>
              <w:bottom w:val="single" w:sz="4" w:space="0" w:color="auto"/>
              <w:right w:val="single" w:sz="4" w:space="0" w:color="auto"/>
            </w:tcBorders>
            <w:shd w:val="clear" w:color="auto" w:fill="auto"/>
            <w:vAlign w:val="center"/>
            <w:hideMark/>
          </w:tcPr>
          <w:p w14:paraId="207E5EC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c>
          <w:tcPr>
            <w:tcW w:w="1321" w:type="dxa"/>
            <w:tcBorders>
              <w:top w:val="nil"/>
              <w:left w:val="nil"/>
              <w:bottom w:val="single" w:sz="4" w:space="0" w:color="auto"/>
              <w:right w:val="single" w:sz="4" w:space="0" w:color="auto"/>
            </w:tcBorders>
            <w:shd w:val="clear" w:color="auto" w:fill="auto"/>
            <w:vAlign w:val="center"/>
            <w:hideMark/>
          </w:tcPr>
          <w:p w14:paraId="2B06026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117</w:t>
            </w:r>
          </w:p>
        </w:tc>
        <w:tc>
          <w:tcPr>
            <w:tcW w:w="1221" w:type="dxa"/>
            <w:tcBorders>
              <w:top w:val="nil"/>
              <w:left w:val="nil"/>
              <w:bottom w:val="single" w:sz="4" w:space="0" w:color="auto"/>
              <w:right w:val="single" w:sz="4" w:space="0" w:color="auto"/>
            </w:tcBorders>
            <w:shd w:val="clear" w:color="auto" w:fill="auto"/>
            <w:vAlign w:val="center"/>
            <w:hideMark/>
          </w:tcPr>
          <w:p w14:paraId="20981A8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118</w:t>
            </w:r>
          </w:p>
        </w:tc>
        <w:tc>
          <w:tcPr>
            <w:tcW w:w="968" w:type="dxa"/>
            <w:tcBorders>
              <w:top w:val="nil"/>
              <w:left w:val="nil"/>
              <w:bottom w:val="single" w:sz="4" w:space="0" w:color="auto"/>
              <w:right w:val="single" w:sz="4" w:space="0" w:color="auto"/>
            </w:tcBorders>
            <w:shd w:val="clear" w:color="auto" w:fill="auto"/>
            <w:vAlign w:val="center"/>
            <w:hideMark/>
          </w:tcPr>
          <w:p w14:paraId="063E0AA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152B74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c>
          <w:tcPr>
            <w:tcW w:w="1488" w:type="dxa"/>
            <w:tcBorders>
              <w:top w:val="nil"/>
              <w:left w:val="nil"/>
              <w:bottom w:val="single" w:sz="4" w:space="0" w:color="auto"/>
              <w:right w:val="single" w:sz="4" w:space="0" w:color="auto"/>
            </w:tcBorders>
            <w:shd w:val="clear" w:color="auto" w:fill="auto"/>
            <w:vAlign w:val="center"/>
            <w:hideMark/>
          </w:tcPr>
          <w:p w14:paraId="3F157F9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w:t>
            </w:r>
          </w:p>
        </w:tc>
        <w:tc>
          <w:tcPr>
            <w:tcW w:w="1374" w:type="dxa"/>
            <w:tcBorders>
              <w:top w:val="nil"/>
              <w:left w:val="nil"/>
              <w:bottom w:val="single" w:sz="4" w:space="0" w:color="auto"/>
              <w:right w:val="single" w:sz="4" w:space="0" w:color="auto"/>
            </w:tcBorders>
            <w:shd w:val="clear" w:color="auto" w:fill="auto"/>
            <w:vAlign w:val="center"/>
            <w:hideMark/>
          </w:tcPr>
          <w:p w14:paraId="36CCFDD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133" w:type="dxa"/>
            <w:tcBorders>
              <w:top w:val="nil"/>
              <w:left w:val="nil"/>
              <w:bottom w:val="single" w:sz="4" w:space="0" w:color="auto"/>
              <w:right w:val="single" w:sz="4" w:space="0" w:color="auto"/>
            </w:tcBorders>
            <w:shd w:val="clear" w:color="auto" w:fill="auto"/>
            <w:vAlign w:val="center"/>
            <w:hideMark/>
          </w:tcPr>
          <w:p w14:paraId="7132816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306" w:type="dxa"/>
            <w:tcBorders>
              <w:top w:val="nil"/>
              <w:left w:val="nil"/>
              <w:bottom w:val="single" w:sz="4" w:space="0" w:color="auto"/>
              <w:right w:val="single" w:sz="4" w:space="0" w:color="auto"/>
            </w:tcBorders>
            <w:shd w:val="clear" w:color="auto" w:fill="auto"/>
            <w:vAlign w:val="center"/>
            <w:hideMark/>
          </w:tcPr>
          <w:p w14:paraId="399B795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35</w:t>
            </w:r>
          </w:p>
        </w:tc>
      </w:tr>
      <w:tr w:rsidR="00BC17A3" w:rsidRPr="00A546AD" w14:paraId="182F8C6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82B097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Ecuador</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615FBC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128</w:t>
            </w:r>
          </w:p>
        </w:tc>
        <w:tc>
          <w:tcPr>
            <w:tcW w:w="1126" w:type="dxa"/>
            <w:tcBorders>
              <w:top w:val="nil"/>
              <w:left w:val="nil"/>
              <w:bottom w:val="single" w:sz="4" w:space="0" w:color="auto"/>
              <w:right w:val="single" w:sz="4" w:space="0" w:color="auto"/>
            </w:tcBorders>
            <w:shd w:val="clear" w:color="auto" w:fill="auto"/>
            <w:vAlign w:val="center"/>
            <w:hideMark/>
          </w:tcPr>
          <w:p w14:paraId="646814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177</w:t>
            </w:r>
          </w:p>
        </w:tc>
        <w:tc>
          <w:tcPr>
            <w:tcW w:w="1199" w:type="dxa"/>
            <w:tcBorders>
              <w:top w:val="nil"/>
              <w:left w:val="nil"/>
              <w:bottom w:val="single" w:sz="4" w:space="0" w:color="auto"/>
              <w:right w:val="single" w:sz="4" w:space="0" w:color="auto"/>
            </w:tcBorders>
            <w:shd w:val="clear" w:color="auto" w:fill="auto"/>
            <w:vAlign w:val="center"/>
            <w:hideMark/>
          </w:tcPr>
          <w:p w14:paraId="07F2AF5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1321" w:type="dxa"/>
            <w:tcBorders>
              <w:top w:val="nil"/>
              <w:left w:val="nil"/>
              <w:bottom w:val="single" w:sz="4" w:space="0" w:color="auto"/>
              <w:right w:val="single" w:sz="4" w:space="0" w:color="auto"/>
            </w:tcBorders>
            <w:shd w:val="clear" w:color="auto" w:fill="auto"/>
            <w:vAlign w:val="center"/>
            <w:hideMark/>
          </w:tcPr>
          <w:p w14:paraId="043DCFF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w:t>
            </w:r>
          </w:p>
        </w:tc>
        <w:tc>
          <w:tcPr>
            <w:tcW w:w="1221" w:type="dxa"/>
            <w:tcBorders>
              <w:top w:val="nil"/>
              <w:left w:val="nil"/>
              <w:bottom w:val="single" w:sz="4" w:space="0" w:color="auto"/>
              <w:right w:val="single" w:sz="4" w:space="0" w:color="auto"/>
            </w:tcBorders>
            <w:shd w:val="clear" w:color="auto" w:fill="auto"/>
            <w:vAlign w:val="center"/>
            <w:hideMark/>
          </w:tcPr>
          <w:p w14:paraId="5260CA8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w:t>
            </w:r>
          </w:p>
        </w:tc>
        <w:tc>
          <w:tcPr>
            <w:tcW w:w="968" w:type="dxa"/>
            <w:tcBorders>
              <w:top w:val="nil"/>
              <w:left w:val="nil"/>
              <w:bottom w:val="single" w:sz="4" w:space="0" w:color="auto"/>
              <w:right w:val="single" w:sz="4" w:space="0" w:color="auto"/>
            </w:tcBorders>
            <w:shd w:val="clear" w:color="auto" w:fill="auto"/>
            <w:vAlign w:val="center"/>
            <w:hideMark/>
          </w:tcPr>
          <w:p w14:paraId="664701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4D19FE2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1488" w:type="dxa"/>
            <w:tcBorders>
              <w:top w:val="nil"/>
              <w:left w:val="nil"/>
              <w:bottom w:val="single" w:sz="4" w:space="0" w:color="auto"/>
              <w:right w:val="single" w:sz="4" w:space="0" w:color="auto"/>
            </w:tcBorders>
            <w:shd w:val="clear" w:color="auto" w:fill="auto"/>
            <w:vAlign w:val="center"/>
            <w:hideMark/>
          </w:tcPr>
          <w:p w14:paraId="793735B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1374" w:type="dxa"/>
            <w:tcBorders>
              <w:top w:val="nil"/>
              <w:left w:val="nil"/>
              <w:bottom w:val="single" w:sz="4" w:space="0" w:color="auto"/>
              <w:right w:val="single" w:sz="4" w:space="0" w:color="auto"/>
            </w:tcBorders>
            <w:shd w:val="clear" w:color="auto" w:fill="auto"/>
            <w:vAlign w:val="center"/>
            <w:hideMark/>
          </w:tcPr>
          <w:p w14:paraId="5614A5B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103</w:t>
            </w:r>
          </w:p>
        </w:tc>
        <w:tc>
          <w:tcPr>
            <w:tcW w:w="1133" w:type="dxa"/>
            <w:tcBorders>
              <w:top w:val="nil"/>
              <w:left w:val="nil"/>
              <w:bottom w:val="single" w:sz="4" w:space="0" w:color="auto"/>
              <w:right w:val="single" w:sz="4" w:space="0" w:color="auto"/>
            </w:tcBorders>
            <w:shd w:val="clear" w:color="auto" w:fill="auto"/>
            <w:vAlign w:val="center"/>
            <w:hideMark/>
          </w:tcPr>
          <w:p w14:paraId="7127320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w:t>
            </w:r>
          </w:p>
        </w:tc>
        <w:tc>
          <w:tcPr>
            <w:tcW w:w="306" w:type="dxa"/>
            <w:tcBorders>
              <w:top w:val="nil"/>
              <w:left w:val="nil"/>
              <w:bottom w:val="single" w:sz="4" w:space="0" w:color="auto"/>
              <w:right w:val="single" w:sz="4" w:space="0" w:color="auto"/>
            </w:tcBorders>
            <w:shd w:val="clear" w:color="auto" w:fill="auto"/>
            <w:vAlign w:val="center"/>
            <w:hideMark/>
          </w:tcPr>
          <w:p w14:paraId="07B725B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160</w:t>
            </w:r>
          </w:p>
        </w:tc>
      </w:tr>
      <w:tr w:rsidR="00BC17A3" w:rsidRPr="00A546AD" w14:paraId="111FCBEA"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32AA6A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eastAsia="ru-RU" w:bidi="ar-SA"/>
              </w:rPr>
            </w:pPr>
            <w:r w:rsidRPr="00A546AD">
              <w:rPr>
                <w:rFonts w:ascii="Times New Roman" w:eastAsia="Times New Roman" w:hAnsi="Times New Roman" w:cs="Times New Roman"/>
                <w:sz w:val="20"/>
                <w:szCs w:val="20"/>
                <w:lang w:eastAsia="ru-RU" w:bidi="ar-SA"/>
              </w:rPr>
              <w:t>St. Vincent and the Grenadines</w:t>
            </w:r>
          </w:p>
        </w:tc>
        <w:tc>
          <w:tcPr>
            <w:tcW w:w="802" w:type="dxa"/>
            <w:tcBorders>
              <w:top w:val="nil"/>
              <w:left w:val="nil"/>
              <w:bottom w:val="single" w:sz="4" w:space="0" w:color="auto"/>
              <w:right w:val="single" w:sz="4" w:space="0" w:color="auto"/>
            </w:tcBorders>
            <w:shd w:val="clear" w:color="auto" w:fill="auto"/>
            <w:vAlign w:val="center"/>
            <w:hideMark/>
          </w:tcPr>
          <w:p w14:paraId="4648674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128</w:t>
            </w:r>
          </w:p>
        </w:tc>
        <w:tc>
          <w:tcPr>
            <w:tcW w:w="1126" w:type="dxa"/>
            <w:tcBorders>
              <w:top w:val="nil"/>
              <w:left w:val="nil"/>
              <w:bottom w:val="single" w:sz="4" w:space="0" w:color="auto"/>
              <w:right w:val="single" w:sz="4" w:space="0" w:color="auto"/>
            </w:tcBorders>
            <w:shd w:val="clear" w:color="auto" w:fill="auto"/>
            <w:vAlign w:val="center"/>
            <w:hideMark/>
          </w:tcPr>
          <w:p w14:paraId="62AFE0F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w:t>
            </w:r>
          </w:p>
        </w:tc>
        <w:tc>
          <w:tcPr>
            <w:tcW w:w="1199" w:type="dxa"/>
            <w:tcBorders>
              <w:top w:val="nil"/>
              <w:left w:val="nil"/>
              <w:bottom w:val="single" w:sz="4" w:space="0" w:color="auto"/>
              <w:right w:val="single" w:sz="4" w:space="0" w:color="auto"/>
            </w:tcBorders>
            <w:shd w:val="clear" w:color="auto" w:fill="auto"/>
            <w:vAlign w:val="center"/>
            <w:hideMark/>
          </w:tcPr>
          <w:p w14:paraId="105573F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51</w:t>
            </w:r>
          </w:p>
        </w:tc>
        <w:tc>
          <w:tcPr>
            <w:tcW w:w="1321" w:type="dxa"/>
            <w:tcBorders>
              <w:top w:val="nil"/>
              <w:left w:val="nil"/>
              <w:bottom w:val="single" w:sz="4" w:space="0" w:color="auto"/>
              <w:right w:val="single" w:sz="4" w:space="0" w:color="auto"/>
            </w:tcBorders>
            <w:shd w:val="clear" w:color="auto" w:fill="auto"/>
            <w:vAlign w:val="center"/>
            <w:hideMark/>
          </w:tcPr>
          <w:p w14:paraId="394D97B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1221" w:type="dxa"/>
            <w:tcBorders>
              <w:top w:val="nil"/>
              <w:left w:val="nil"/>
              <w:bottom w:val="single" w:sz="4" w:space="0" w:color="auto"/>
              <w:right w:val="single" w:sz="4" w:space="0" w:color="auto"/>
            </w:tcBorders>
            <w:shd w:val="clear" w:color="auto" w:fill="auto"/>
            <w:vAlign w:val="center"/>
            <w:hideMark/>
          </w:tcPr>
          <w:p w14:paraId="70C296B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c>
          <w:tcPr>
            <w:tcW w:w="968" w:type="dxa"/>
            <w:tcBorders>
              <w:top w:val="nil"/>
              <w:left w:val="nil"/>
              <w:bottom w:val="single" w:sz="4" w:space="0" w:color="auto"/>
              <w:right w:val="single" w:sz="4" w:space="0" w:color="auto"/>
            </w:tcBorders>
            <w:shd w:val="clear" w:color="auto" w:fill="auto"/>
            <w:vAlign w:val="center"/>
            <w:hideMark/>
          </w:tcPr>
          <w:p w14:paraId="741D6DC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246" w:type="dxa"/>
            <w:tcBorders>
              <w:top w:val="nil"/>
              <w:left w:val="nil"/>
              <w:bottom w:val="single" w:sz="4" w:space="0" w:color="auto"/>
              <w:right w:val="single" w:sz="4" w:space="0" w:color="auto"/>
            </w:tcBorders>
            <w:shd w:val="clear" w:color="auto" w:fill="auto"/>
            <w:vAlign w:val="center"/>
            <w:hideMark/>
          </w:tcPr>
          <w:p w14:paraId="280A6B0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488" w:type="dxa"/>
            <w:tcBorders>
              <w:top w:val="nil"/>
              <w:left w:val="nil"/>
              <w:bottom w:val="single" w:sz="4" w:space="0" w:color="auto"/>
              <w:right w:val="single" w:sz="4" w:space="0" w:color="auto"/>
            </w:tcBorders>
            <w:shd w:val="clear" w:color="auto" w:fill="auto"/>
            <w:vAlign w:val="center"/>
            <w:hideMark/>
          </w:tcPr>
          <w:p w14:paraId="32B7BF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w:t>
            </w:r>
          </w:p>
        </w:tc>
        <w:tc>
          <w:tcPr>
            <w:tcW w:w="1374" w:type="dxa"/>
            <w:tcBorders>
              <w:top w:val="nil"/>
              <w:left w:val="nil"/>
              <w:bottom w:val="single" w:sz="4" w:space="0" w:color="auto"/>
              <w:right w:val="single" w:sz="4" w:space="0" w:color="auto"/>
            </w:tcBorders>
            <w:shd w:val="clear" w:color="auto" w:fill="auto"/>
            <w:vAlign w:val="center"/>
            <w:hideMark/>
          </w:tcPr>
          <w:p w14:paraId="4E49159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w:t>
            </w:r>
          </w:p>
        </w:tc>
        <w:tc>
          <w:tcPr>
            <w:tcW w:w="1133" w:type="dxa"/>
            <w:tcBorders>
              <w:top w:val="nil"/>
              <w:left w:val="nil"/>
              <w:bottom w:val="single" w:sz="4" w:space="0" w:color="auto"/>
              <w:right w:val="single" w:sz="4" w:space="0" w:color="auto"/>
            </w:tcBorders>
            <w:shd w:val="clear" w:color="auto" w:fill="auto"/>
            <w:vAlign w:val="center"/>
            <w:hideMark/>
          </w:tcPr>
          <w:p w14:paraId="64CF4A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306" w:type="dxa"/>
            <w:tcBorders>
              <w:top w:val="nil"/>
              <w:left w:val="nil"/>
              <w:bottom w:val="single" w:sz="4" w:space="0" w:color="auto"/>
              <w:right w:val="single" w:sz="4" w:space="0" w:color="auto"/>
            </w:tcBorders>
            <w:shd w:val="clear" w:color="auto" w:fill="auto"/>
            <w:vAlign w:val="center"/>
            <w:hideMark/>
          </w:tcPr>
          <w:p w14:paraId="7F6642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2C37F917"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BDE895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Nigeria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34733A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130</w:t>
            </w:r>
          </w:p>
        </w:tc>
        <w:tc>
          <w:tcPr>
            <w:tcW w:w="1126" w:type="dxa"/>
            <w:tcBorders>
              <w:top w:val="nil"/>
              <w:left w:val="nil"/>
              <w:bottom w:val="single" w:sz="4" w:space="0" w:color="auto"/>
              <w:right w:val="single" w:sz="4" w:space="0" w:color="auto"/>
            </w:tcBorders>
            <w:shd w:val="clear" w:color="auto" w:fill="auto"/>
            <w:vAlign w:val="center"/>
            <w:hideMark/>
          </w:tcPr>
          <w:p w14:paraId="0D9498B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1199" w:type="dxa"/>
            <w:tcBorders>
              <w:top w:val="nil"/>
              <w:left w:val="nil"/>
              <w:bottom w:val="single" w:sz="4" w:space="0" w:color="auto"/>
              <w:right w:val="single" w:sz="4" w:space="0" w:color="auto"/>
            </w:tcBorders>
            <w:shd w:val="clear" w:color="auto" w:fill="auto"/>
            <w:vAlign w:val="center"/>
            <w:hideMark/>
          </w:tcPr>
          <w:p w14:paraId="18B31C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55</w:t>
            </w:r>
          </w:p>
        </w:tc>
        <w:tc>
          <w:tcPr>
            <w:tcW w:w="1321" w:type="dxa"/>
            <w:tcBorders>
              <w:top w:val="nil"/>
              <w:left w:val="nil"/>
              <w:bottom w:val="single" w:sz="4" w:space="0" w:color="auto"/>
              <w:right w:val="single" w:sz="4" w:space="0" w:color="auto"/>
            </w:tcBorders>
            <w:shd w:val="clear" w:color="auto" w:fill="auto"/>
            <w:vAlign w:val="center"/>
            <w:hideMark/>
          </w:tcPr>
          <w:p w14:paraId="2A69099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169</w:t>
            </w:r>
          </w:p>
        </w:tc>
        <w:tc>
          <w:tcPr>
            <w:tcW w:w="1221" w:type="dxa"/>
            <w:tcBorders>
              <w:top w:val="nil"/>
              <w:left w:val="nil"/>
              <w:bottom w:val="single" w:sz="4" w:space="0" w:color="auto"/>
              <w:right w:val="single" w:sz="4" w:space="0" w:color="auto"/>
            </w:tcBorders>
            <w:shd w:val="clear" w:color="auto" w:fill="auto"/>
            <w:vAlign w:val="center"/>
            <w:hideMark/>
          </w:tcPr>
          <w:p w14:paraId="1AA18B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183</w:t>
            </w:r>
          </w:p>
        </w:tc>
        <w:tc>
          <w:tcPr>
            <w:tcW w:w="968" w:type="dxa"/>
            <w:tcBorders>
              <w:top w:val="nil"/>
              <w:left w:val="nil"/>
              <w:bottom w:val="single" w:sz="4" w:space="0" w:color="auto"/>
              <w:right w:val="single" w:sz="4" w:space="0" w:color="auto"/>
            </w:tcBorders>
            <w:shd w:val="clear" w:color="auto" w:fill="auto"/>
            <w:vAlign w:val="center"/>
            <w:hideMark/>
          </w:tcPr>
          <w:p w14:paraId="426D7B9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w:t>
            </w:r>
          </w:p>
        </w:tc>
        <w:tc>
          <w:tcPr>
            <w:tcW w:w="1246" w:type="dxa"/>
            <w:tcBorders>
              <w:top w:val="nil"/>
              <w:left w:val="nil"/>
              <w:bottom w:val="single" w:sz="4" w:space="0" w:color="auto"/>
              <w:right w:val="single" w:sz="4" w:space="0" w:color="auto"/>
            </w:tcBorders>
            <w:shd w:val="clear" w:color="auto" w:fill="auto"/>
            <w:vAlign w:val="center"/>
            <w:hideMark/>
          </w:tcPr>
          <w:p w14:paraId="7D2BC1F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28</w:t>
            </w:r>
          </w:p>
        </w:tc>
        <w:tc>
          <w:tcPr>
            <w:tcW w:w="1488" w:type="dxa"/>
            <w:tcBorders>
              <w:top w:val="nil"/>
              <w:left w:val="nil"/>
              <w:bottom w:val="single" w:sz="4" w:space="0" w:color="auto"/>
              <w:right w:val="single" w:sz="4" w:space="0" w:color="auto"/>
            </w:tcBorders>
            <w:shd w:val="clear" w:color="auto" w:fill="auto"/>
            <w:vAlign w:val="center"/>
            <w:hideMark/>
          </w:tcPr>
          <w:p w14:paraId="12BC5C8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159</w:t>
            </w:r>
          </w:p>
        </w:tc>
        <w:tc>
          <w:tcPr>
            <w:tcW w:w="1374" w:type="dxa"/>
            <w:tcBorders>
              <w:top w:val="nil"/>
              <w:left w:val="nil"/>
              <w:bottom w:val="single" w:sz="4" w:space="0" w:color="auto"/>
              <w:right w:val="single" w:sz="4" w:space="0" w:color="auto"/>
            </w:tcBorders>
            <w:shd w:val="clear" w:color="auto" w:fill="auto"/>
            <w:vAlign w:val="center"/>
            <w:hideMark/>
          </w:tcPr>
          <w:p w14:paraId="5F37359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179</w:t>
            </w:r>
          </w:p>
        </w:tc>
        <w:tc>
          <w:tcPr>
            <w:tcW w:w="1133" w:type="dxa"/>
            <w:tcBorders>
              <w:top w:val="nil"/>
              <w:left w:val="nil"/>
              <w:bottom w:val="single" w:sz="4" w:space="0" w:color="auto"/>
              <w:right w:val="single" w:sz="4" w:space="0" w:color="auto"/>
            </w:tcBorders>
            <w:shd w:val="clear" w:color="auto" w:fill="auto"/>
            <w:vAlign w:val="center"/>
            <w:hideMark/>
          </w:tcPr>
          <w:p w14:paraId="641077D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73</w:t>
            </w:r>
          </w:p>
        </w:tc>
        <w:tc>
          <w:tcPr>
            <w:tcW w:w="306" w:type="dxa"/>
            <w:tcBorders>
              <w:top w:val="nil"/>
              <w:left w:val="nil"/>
              <w:bottom w:val="single" w:sz="4" w:space="0" w:color="auto"/>
              <w:right w:val="single" w:sz="4" w:space="0" w:color="auto"/>
            </w:tcBorders>
            <w:shd w:val="clear" w:color="auto" w:fill="auto"/>
            <w:vAlign w:val="center"/>
            <w:hideMark/>
          </w:tcPr>
          <w:p w14:paraId="66D2489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148</w:t>
            </w:r>
          </w:p>
        </w:tc>
      </w:tr>
      <w:tr w:rsidR="00BC17A3" w:rsidRPr="00A546AD" w14:paraId="1CD592E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A5BA33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Niger</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891A09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131</w:t>
            </w:r>
          </w:p>
        </w:tc>
        <w:tc>
          <w:tcPr>
            <w:tcW w:w="1126" w:type="dxa"/>
            <w:tcBorders>
              <w:top w:val="nil"/>
              <w:left w:val="nil"/>
              <w:bottom w:val="single" w:sz="4" w:space="0" w:color="auto"/>
              <w:right w:val="single" w:sz="4" w:space="0" w:color="auto"/>
            </w:tcBorders>
            <w:shd w:val="clear" w:color="auto" w:fill="auto"/>
            <w:vAlign w:val="center"/>
            <w:hideMark/>
          </w:tcPr>
          <w:p w14:paraId="75C9B30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56</w:t>
            </w:r>
          </w:p>
        </w:tc>
        <w:tc>
          <w:tcPr>
            <w:tcW w:w="1199" w:type="dxa"/>
            <w:tcBorders>
              <w:top w:val="nil"/>
              <w:left w:val="nil"/>
              <w:bottom w:val="single" w:sz="4" w:space="0" w:color="auto"/>
              <w:right w:val="single" w:sz="4" w:space="0" w:color="auto"/>
            </w:tcBorders>
            <w:shd w:val="clear" w:color="auto" w:fill="auto"/>
            <w:vAlign w:val="center"/>
            <w:hideMark/>
          </w:tcPr>
          <w:p w14:paraId="55E5803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180</w:t>
            </w:r>
          </w:p>
        </w:tc>
        <w:tc>
          <w:tcPr>
            <w:tcW w:w="1321" w:type="dxa"/>
            <w:tcBorders>
              <w:top w:val="nil"/>
              <w:left w:val="nil"/>
              <w:bottom w:val="single" w:sz="4" w:space="0" w:color="auto"/>
              <w:right w:val="single" w:sz="4" w:space="0" w:color="auto"/>
            </w:tcBorders>
            <w:shd w:val="clear" w:color="auto" w:fill="auto"/>
            <w:vAlign w:val="center"/>
            <w:hideMark/>
          </w:tcPr>
          <w:p w14:paraId="607476D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159</w:t>
            </w:r>
          </w:p>
        </w:tc>
        <w:tc>
          <w:tcPr>
            <w:tcW w:w="1221" w:type="dxa"/>
            <w:tcBorders>
              <w:top w:val="nil"/>
              <w:left w:val="nil"/>
              <w:bottom w:val="single" w:sz="4" w:space="0" w:color="auto"/>
              <w:right w:val="single" w:sz="4" w:space="0" w:color="auto"/>
            </w:tcBorders>
            <w:shd w:val="clear" w:color="auto" w:fill="auto"/>
            <w:vAlign w:val="center"/>
            <w:hideMark/>
          </w:tcPr>
          <w:p w14:paraId="6F005DD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115</w:t>
            </w:r>
          </w:p>
        </w:tc>
        <w:tc>
          <w:tcPr>
            <w:tcW w:w="968" w:type="dxa"/>
            <w:tcBorders>
              <w:top w:val="nil"/>
              <w:left w:val="nil"/>
              <w:bottom w:val="single" w:sz="4" w:space="0" w:color="auto"/>
              <w:right w:val="single" w:sz="4" w:space="0" w:color="auto"/>
            </w:tcBorders>
            <w:shd w:val="clear" w:color="auto" w:fill="auto"/>
            <w:vAlign w:val="center"/>
            <w:hideMark/>
          </w:tcPr>
          <w:p w14:paraId="7C1DCAD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1246" w:type="dxa"/>
            <w:tcBorders>
              <w:top w:val="nil"/>
              <w:left w:val="nil"/>
              <w:bottom w:val="single" w:sz="4" w:space="0" w:color="auto"/>
              <w:right w:val="single" w:sz="4" w:space="0" w:color="auto"/>
            </w:tcBorders>
            <w:shd w:val="clear" w:color="auto" w:fill="auto"/>
            <w:vAlign w:val="center"/>
            <w:hideMark/>
          </w:tcPr>
          <w:p w14:paraId="1DFC699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488" w:type="dxa"/>
            <w:tcBorders>
              <w:top w:val="nil"/>
              <w:left w:val="nil"/>
              <w:bottom w:val="single" w:sz="4" w:space="0" w:color="auto"/>
              <w:right w:val="single" w:sz="4" w:space="0" w:color="auto"/>
            </w:tcBorders>
            <w:shd w:val="clear" w:color="auto" w:fill="auto"/>
            <w:vAlign w:val="center"/>
            <w:hideMark/>
          </w:tcPr>
          <w:p w14:paraId="776A74B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169</w:t>
            </w:r>
          </w:p>
        </w:tc>
        <w:tc>
          <w:tcPr>
            <w:tcW w:w="1374" w:type="dxa"/>
            <w:tcBorders>
              <w:top w:val="nil"/>
              <w:left w:val="nil"/>
              <w:bottom w:val="single" w:sz="4" w:space="0" w:color="auto"/>
              <w:right w:val="single" w:sz="4" w:space="0" w:color="auto"/>
            </w:tcBorders>
            <w:shd w:val="clear" w:color="auto" w:fill="auto"/>
            <w:vAlign w:val="center"/>
            <w:hideMark/>
          </w:tcPr>
          <w:p w14:paraId="4A0D055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126</w:t>
            </w:r>
          </w:p>
        </w:tc>
        <w:tc>
          <w:tcPr>
            <w:tcW w:w="1133" w:type="dxa"/>
            <w:tcBorders>
              <w:top w:val="nil"/>
              <w:left w:val="nil"/>
              <w:bottom w:val="single" w:sz="4" w:space="0" w:color="auto"/>
              <w:right w:val="single" w:sz="4" w:space="0" w:color="auto"/>
            </w:tcBorders>
            <w:shd w:val="clear" w:color="auto" w:fill="auto"/>
            <w:vAlign w:val="center"/>
            <w:hideMark/>
          </w:tcPr>
          <w:p w14:paraId="7092F1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306" w:type="dxa"/>
            <w:tcBorders>
              <w:top w:val="nil"/>
              <w:left w:val="nil"/>
              <w:bottom w:val="single" w:sz="4" w:space="0" w:color="auto"/>
              <w:right w:val="single" w:sz="4" w:space="0" w:color="auto"/>
            </w:tcBorders>
            <w:shd w:val="clear" w:color="auto" w:fill="auto"/>
            <w:vAlign w:val="center"/>
            <w:hideMark/>
          </w:tcPr>
          <w:p w14:paraId="5056610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r>
      <w:tr w:rsidR="00BC17A3" w:rsidRPr="00A546AD" w14:paraId="6A54275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87077D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Honduras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DB22C2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132</w:t>
            </w:r>
          </w:p>
        </w:tc>
        <w:tc>
          <w:tcPr>
            <w:tcW w:w="1126" w:type="dxa"/>
            <w:tcBorders>
              <w:top w:val="nil"/>
              <w:left w:val="nil"/>
              <w:bottom w:val="single" w:sz="4" w:space="0" w:color="auto"/>
              <w:right w:val="single" w:sz="4" w:space="0" w:color="auto"/>
            </w:tcBorders>
            <w:shd w:val="clear" w:color="auto" w:fill="auto"/>
            <w:vAlign w:val="center"/>
            <w:hideMark/>
          </w:tcPr>
          <w:p w14:paraId="5753AA3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1199" w:type="dxa"/>
            <w:tcBorders>
              <w:top w:val="nil"/>
              <w:left w:val="nil"/>
              <w:bottom w:val="single" w:sz="4" w:space="0" w:color="auto"/>
              <w:right w:val="single" w:sz="4" w:space="0" w:color="auto"/>
            </w:tcBorders>
            <w:shd w:val="clear" w:color="auto" w:fill="auto"/>
            <w:vAlign w:val="center"/>
            <w:hideMark/>
          </w:tcPr>
          <w:p w14:paraId="3FB674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158</w:t>
            </w:r>
          </w:p>
        </w:tc>
        <w:tc>
          <w:tcPr>
            <w:tcW w:w="1321" w:type="dxa"/>
            <w:tcBorders>
              <w:top w:val="nil"/>
              <w:left w:val="nil"/>
              <w:bottom w:val="single" w:sz="4" w:space="0" w:color="auto"/>
              <w:right w:val="single" w:sz="4" w:space="0" w:color="auto"/>
            </w:tcBorders>
            <w:shd w:val="clear" w:color="auto" w:fill="auto"/>
            <w:vAlign w:val="center"/>
            <w:hideMark/>
          </w:tcPr>
          <w:p w14:paraId="55AA938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138</w:t>
            </w:r>
          </w:p>
        </w:tc>
        <w:tc>
          <w:tcPr>
            <w:tcW w:w="1221" w:type="dxa"/>
            <w:tcBorders>
              <w:top w:val="nil"/>
              <w:left w:val="nil"/>
              <w:bottom w:val="single" w:sz="4" w:space="0" w:color="auto"/>
              <w:right w:val="single" w:sz="4" w:space="0" w:color="auto"/>
            </w:tcBorders>
            <w:shd w:val="clear" w:color="auto" w:fill="auto"/>
            <w:vAlign w:val="center"/>
            <w:hideMark/>
          </w:tcPr>
          <w:p w14:paraId="0BEA02A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101</w:t>
            </w:r>
          </w:p>
        </w:tc>
        <w:tc>
          <w:tcPr>
            <w:tcW w:w="968" w:type="dxa"/>
            <w:tcBorders>
              <w:top w:val="nil"/>
              <w:left w:val="nil"/>
              <w:bottom w:val="single" w:sz="4" w:space="0" w:color="auto"/>
              <w:right w:val="single" w:sz="4" w:space="0" w:color="auto"/>
            </w:tcBorders>
            <w:shd w:val="clear" w:color="auto" w:fill="auto"/>
            <w:vAlign w:val="center"/>
            <w:hideMark/>
          </w:tcPr>
          <w:p w14:paraId="2B74700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2CFA683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488" w:type="dxa"/>
            <w:tcBorders>
              <w:top w:val="nil"/>
              <w:left w:val="nil"/>
              <w:bottom w:val="single" w:sz="4" w:space="0" w:color="auto"/>
              <w:right w:val="single" w:sz="4" w:space="0" w:color="auto"/>
            </w:tcBorders>
            <w:shd w:val="clear" w:color="auto" w:fill="auto"/>
            <w:vAlign w:val="center"/>
            <w:hideMark/>
          </w:tcPr>
          <w:p w14:paraId="1D7D4EF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167</w:t>
            </w:r>
          </w:p>
        </w:tc>
        <w:tc>
          <w:tcPr>
            <w:tcW w:w="1374" w:type="dxa"/>
            <w:tcBorders>
              <w:top w:val="nil"/>
              <w:left w:val="nil"/>
              <w:bottom w:val="single" w:sz="4" w:space="0" w:color="auto"/>
              <w:right w:val="single" w:sz="4" w:space="0" w:color="auto"/>
            </w:tcBorders>
            <w:shd w:val="clear" w:color="auto" w:fill="auto"/>
            <w:vAlign w:val="center"/>
            <w:hideMark/>
          </w:tcPr>
          <w:p w14:paraId="6B4A2D2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130</w:t>
            </w:r>
          </w:p>
        </w:tc>
        <w:tc>
          <w:tcPr>
            <w:tcW w:w="1133" w:type="dxa"/>
            <w:tcBorders>
              <w:top w:val="nil"/>
              <w:left w:val="nil"/>
              <w:bottom w:val="single" w:sz="4" w:space="0" w:color="auto"/>
              <w:right w:val="single" w:sz="4" w:space="0" w:color="auto"/>
            </w:tcBorders>
            <w:shd w:val="clear" w:color="auto" w:fill="auto"/>
            <w:vAlign w:val="center"/>
            <w:hideMark/>
          </w:tcPr>
          <w:p w14:paraId="17B3BE9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154</w:t>
            </w:r>
          </w:p>
        </w:tc>
        <w:tc>
          <w:tcPr>
            <w:tcW w:w="306" w:type="dxa"/>
            <w:tcBorders>
              <w:top w:val="nil"/>
              <w:left w:val="nil"/>
              <w:bottom w:val="single" w:sz="4" w:space="0" w:color="auto"/>
              <w:right w:val="single" w:sz="4" w:space="0" w:color="auto"/>
            </w:tcBorders>
            <w:shd w:val="clear" w:color="auto" w:fill="auto"/>
            <w:vAlign w:val="center"/>
            <w:hideMark/>
          </w:tcPr>
          <w:p w14:paraId="65A447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r>
      <w:tr w:rsidR="00BC17A3" w:rsidRPr="00A546AD" w14:paraId="54C0723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976F8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lastRenderedPageBreak/>
              <w:t>Guyana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42EA8D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133</w:t>
            </w:r>
          </w:p>
        </w:tc>
        <w:tc>
          <w:tcPr>
            <w:tcW w:w="1126" w:type="dxa"/>
            <w:tcBorders>
              <w:top w:val="nil"/>
              <w:left w:val="nil"/>
              <w:bottom w:val="single" w:sz="4" w:space="0" w:color="auto"/>
              <w:right w:val="single" w:sz="4" w:space="0" w:color="auto"/>
            </w:tcBorders>
            <w:shd w:val="clear" w:color="auto" w:fill="auto"/>
            <w:vAlign w:val="center"/>
            <w:hideMark/>
          </w:tcPr>
          <w:p w14:paraId="2D0F149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111</w:t>
            </w:r>
          </w:p>
        </w:tc>
        <w:tc>
          <w:tcPr>
            <w:tcW w:w="1199" w:type="dxa"/>
            <w:tcBorders>
              <w:top w:val="nil"/>
              <w:left w:val="nil"/>
              <w:bottom w:val="single" w:sz="4" w:space="0" w:color="auto"/>
              <w:right w:val="single" w:sz="4" w:space="0" w:color="auto"/>
            </w:tcBorders>
            <w:shd w:val="clear" w:color="auto" w:fill="auto"/>
            <w:vAlign w:val="center"/>
            <w:hideMark/>
          </w:tcPr>
          <w:p w14:paraId="3695EDA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167</w:t>
            </w:r>
          </w:p>
        </w:tc>
        <w:tc>
          <w:tcPr>
            <w:tcW w:w="1321" w:type="dxa"/>
            <w:tcBorders>
              <w:top w:val="nil"/>
              <w:left w:val="nil"/>
              <w:bottom w:val="single" w:sz="4" w:space="0" w:color="auto"/>
              <w:right w:val="single" w:sz="4" w:space="0" w:color="auto"/>
            </w:tcBorders>
            <w:shd w:val="clear" w:color="auto" w:fill="auto"/>
            <w:vAlign w:val="center"/>
            <w:hideMark/>
          </w:tcPr>
          <w:p w14:paraId="30CBD34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1221" w:type="dxa"/>
            <w:tcBorders>
              <w:top w:val="nil"/>
              <w:left w:val="nil"/>
              <w:bottom w:val="single" w:sz="4" w:space="0" w:color="auto"/>
              <w:right w:val="single" w:sz="4" w:space="0" w:color="auto"/>
            </w:tcBorders>
            <w:shd w:val="clear" w:color="auto" w:fill="auto"/>
            <w:vAlign w:val="center"/>
            <w:hideMark/>
          </w:tcPr>
          <w:p w14:paraId="16740A1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968" w:type="dxa"/>
            <w:tcBorders>
              <w:top w:val="nil"/>
              <w:left w:val="nil"/>
              <w:bottom w:val="single" w:sz="4" w:space="0" w:color="auto"/>
              <w:right w:val="single" w:sz="4" w:space="0" w:color="auto"/>
            </w:tcBorders>
            <w:shd w:val="clear" w:color="auto" w:fill="auto"/>
            <w:vAlign w:val="center"/>
            <w:hideMark/>
          </w:tcPr>
          <w:p w14:paraId="7CB3743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1246" w:type="dxa"/>
            <w:tcBorders>
              <w:top w:val="nil"/>
              <w:left w:val="nil"/>
              <w:bottom w:val="single" w:sz="4" w:space="0" w:color="auto"/>
              <w:right w:val="single" w:sz="4" w:space="0" w:color="auto"/>
            </w:tcBorders>
            <w:shd w:val="clear" w:color="auto" w:fill="auto"/>
            <w:vAlign w:val="center"/>
            <w:hideMark/>
          </w:tcPr>
          <w:p w14:paraId="0B7E186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488" w:type="dxa"/>
            <w:tcBorders>
              <w:top w:val="nil"/>
              <w:left w:val="nil"/>
              <w:bottom w:val="single" w:sz="4" w:space="0" w:color="auto"/>
              <w:right w:val="single" w:sz="4" w:space="0" w:color="auto"/>
            </w:tcBorders>
            <w:shd w:val="clear" w:color="auto" w:fill="auto"/>
            <w:vAlign w:val="center"/>
            <w:hideMark/>
          </w:tcPr>
          <w:p w14:paraId="7F7A164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122</w:t>
            </w:r>
          </w:p>
        </w:tc>
        <w:tc>
          <w:tcPr>
            <w:tcW w:w="1374" w:type="dxa"/>
            <w:tcBorders>
              <w:top w:val="nil"/>
              <w:left w:val="nil"/>
              <w:bottom w:val="single" w:sz="4" w:space="0" w:color="auto"/>
              <w:right w:val="single" w:sz="4" w:space="0" w:color="auto"/>
            </w:tcBorders>
            <w:shd w:val="clear" w:color="auto" w:fill="auto"/>
            <w:vAlign w:val="center"/>
            <w:hideMark/>
          </w:tcPr>
          <w:p w14:paraId="09B5A83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151</w:t>
            </w:r>
          </w:p>
        </w:tc>
        <w:tc>
          <w:tcPr>
            <w:tcW w:w="1133" w:type="dxa"/>
            <w:tcBorders>
              <w:top w:val="nil"/>
              <w:left w:val="nil"/>
              <w:bottom w:val="single" w:sz="4" w:space="0" w:color="auto"/>
              <w:right w:val="single" w:sz="4" w:space="0" w:color="auto"/>
            </w:tcBorders>
            <w:shd w:val="clear" w:color="auto" w:fill="auto"/>
            <w:vAlign w:val="center"/>
            <w:hideMark/>
          </w:tcPr>
          <w:p w14:paraId="19031AB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92</w:t>
            </w:r>
          </w:p>
        </w:tc>
        <w:tc>
          <w:tcPr>
            <w:tcW w:w="306" w:type="dxa"/>
            <w:tcBorders>
              <w:top w:val="nil"/>
              <w:left w:val="nil"/>
              <w:bottom w:val="single" w:sz="4" w:space="0" w:color="auto"/>
              <w:right w:val="single" w:sz="4" w:space="0" w:color="auto"/>
            </w:tcBorders>
            <w:shd w:val="clear" w:color="auto" w:fill="auto"/>
            <w:vAlign w:val="center"/>
            <w:hideMark/>
          </w:tcPr>
          <w:p w14:paraId="272515C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163</w:t>
            </w:r>
          </w:p>
        </w:tc>
      </w:tr>
      <w:tr w:rsidR="00BC17A3" w:rsidRPr="00A546AD" w14:paraId="49FB809E"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5E99CE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Belize</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E35920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134</w:t>
            </w:r>
          </w:p>
        </w:tc>
        <w:tc>
          <w:tcPr>
            <w:tcW w:w="1126" w:type="dxa"/>
            <w:tcBorders>
              <w:top w:val="nil"/>
              <w:left w:val="nil"/>
              <w:bottom w:val="single" w:sz="4" w:space="0" w:color="auto"/>
              <w:right w:val="single" w:sz="4" w:space="0" w:color="auto"/>
            </w:tcBorders>
            <w:shd w:val="clear" w:color="auto" w:fill="auto"/>
            <w:vAlign w:val="center"/>
            <w:hideMark/>
          </w:tcPr>
          <w:p w14:paraId="0830DCD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166</w:t>
            </w:r>
          </w:p>
        </w:tc>
        <w:tc>
          <w:tcPr>
            <w:tcW w:w="1199" w:type="dxa"/>
            <w:tcBorders>
              <w:top w:val="nil"/>
              <w:left w:val="nil"/>
              <w:bottom w:val="single" w:sz="4" w:space="0" w:color="auto"/>
              <w:right w:val="single" w:sz="4" w:space="0" w:color="auto"/>
            </w:tcBorders>
            <w:shd w:val="clear" w:color="auto" w:fill="auto"/>
            <w:vAlign w:val="center"/>
            <w:hideMark/>
          </w:tcPr>
          <w:p w14:paraId="5595991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123</w:t>
            </w:r>
          </w:p>
        </w:tc>
        <w:tc>
          <w:tcPr>
            <w:tcW w:w="1321" w:type="dxa"/>
            <w:tcBorders>
              <w:top w:val="nil"/>
              <w:left w:val="nil"/>
              <w:bottom w:val="single" w:sz="4" w:space="0" w:color="auto"/>
              <w:right w:val="single" w:sz="4" w:space="0" w:color="auto"/>
            </w:tcBorders>
            <w:shd w:val="clear" w:color="auto" w:fill="auto"/>
            <w:vAlign w:val="center"/>
            <w:hideMark/>
          </w:tcPr>
          <w:p w14:paraId="672012C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w:t>
            </w:r>
          </w:p>
        </w:tc>
        <w:tc>
          <w:tcPr>
            <w:tcW w:w="1221" w:type="dxa"/>
            <w:tcBorders>
              <w:top w:val="nil"/>
              <w:left w:val="nil"/>
              <w:bottom w:val="single" w:sz="4" w:space="0" w:color="auto"/>
              <w:right w:val="single" w:sz="4" w:space="0" w:color="auto"/>
            </w:tcBorders>
            <w:shd w:val="clear" w:color="auto" w:fill="auto"/>
            <w:vAlign w:val="center"/>
            <w:hideMark/>
          </w:tcPr>
          <w:p w14:paraId="547C3D7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137</w:t>
            </w:r>
          </w:p>
        </w:tc>
        <w:tc>
          <w:tcPr>
            <w:tcW w:w="968" w:type="dxa"/>
            <w:tcBorders>
              <w:top w:val="nil"/>
              <w:left w:val="nil"/>
              <w:bottom w:val="single" w:sz="4" w:space="0" w:color="auto"/>
              <w:right w:val="single" w:sz="4" w:space="0" w:color="auto"/>
            </w:tcBorders>
            <w:shd w:val="clear" w:color="auto" w:fill="auto"/>
            <w:vAlign w:val="center"/>
            <w:hideMark/>
          </w:tcPr>
          <w:p w14:paraId="3D4E154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173</w:t>
            </w:r>
          </w:p>
        </w:tc>
        <w:tc>
          <w:tcPr>
            <w:tcW w:w="1246" w:type="dxa"/>
            <w:tcBorders>
              <w:top w:val="nil"/>
              <w:left w:val="nil"/>
              <w:bottom w:val="single" w:sz="4" w:space="0" w:color="auto"/>
              <w:right w:val="single" w:sz="4" w:space="0" w:color="auto"/>
            </w:tcBorders>
            <w:shd w:val="clear" w:color="auto" w:fill="auto"/>
            <w:vAlign w:val="center"/>
            <w:hideMark/>
          </w:tcPr>
          <w:p w14:paraId="77924C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1488" w:type="dxa"/>
            <w:tcBorders>
              <w:top w:val="nil"/>
              <w:left w:val="nil"/>
              <w:bottom w:val="single" w:sz="4" w:space="0" w:color="auto"/>
              <w:right w:val="single" w:sz="4" w:space="0" w:color="auto"/>
            </w:tcBorders>
            <w:shd w:val="clear" w:color="auto" w:fill="auto"/>
            <w:vAlign w:val="center"/>
            <w:hideMark/>
          </w:tcPr>
          <w:p w14:paraId="428C094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59</w:t>
            </w:r>
          </w:p>
        </w:tc>
        <w:tc>
          <w:tcPr>
            <w:tcW w:w="1374" w:type="dxa"/>
            <w:tcBorders>
              <w:top w:val="nil"/>
              <w:left w:val="nil"/>
              <w:bottom w:val="single" w:sz="4" w:space="0" w:color="auto"/>
              <w:right w:val="single" w:sz="4" w:space="0" w:color="auto"/>
            </w:tcBorders>
            <w:shd w:val="clear" w:color="auto" w:fill="auto"/>
            <w:vAlign w:val="center"/>
            <w:hideMark/>
          </w:tcPr>
          <w:p w14:paraId="114CF4D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1133" w:type="dxa"/>
            <w:tcBorders>
              <w:top w:val="nil"/>
              <w:left w:val="nil"/>
              <w:bottom w:val="single" w:sz="4" w:space="0" w:color="auto"/>
              <w:right w:val="single" w:sz="4" w:space="0" w:color="auto"/>
            </w:tcBorders>
            <w:shd w:val="clear" w:color="auto" w:fill="auto"/>
            <w:vAlign w:val="center"/>
            <w:hideMark/>
          </w:tcPr>
          <w:p w14:paraId="50597B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135</w:t>
            </w:r>
          </w:p>
        </w:tc>
        <w:tc>
          <w:tcPr>
            <w:tcW w:w="306" w:type="dxa"/>
            <w:tcBorders>
              <w:top w:val="nil"/>
              <w:left w:val="nil"/>
              <w:bottom w:val="single" w:sz="4" w:space="0" w:color="auto"/>
              <w:right w:val="single" w:sz="4" w:space="0" w:color="auto"/>
            </w:tcBorders>
            <w:shd w:val="clear" w:color="auto" w:fill="auto"/>
            <w:vAlign w:val="center"/>
            <w:hideMark/>
          </w:tcPr>
          <w:p w14:paraId="13F21AD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w:t>
            </w:r>
          </w:p>
        </w:tc>
      </w:tr>
      <w:tr w:rsidR="00BC17A3" w:rsidRPr="00A546AD" w14:paraId="77E1587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0820C2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Solomon</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Islands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81A384C"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135</w:t>
            </w:r>
          </w:p>
        </w:tc>
        <w:tc>
          <w:tcPr>
            <w:tcW w:w="1126" w:type="dxa"/>
            <w:tcBorders>
              <w:top w:val="nil"/>
              <w:left w:val="nil"/>
              <w:bottom w:val="single" w:sz="4" w:space="0" w:color="auto"/>
              <w:right w:val="single" w:sz="4" w:space="0" w:color="auto"/>
            </w:tcBorders>
            <w:shd w:val="clear" w:color="auto" w:fill="auto"/>
            <w:vAlign w:val="center"/>
            <w:hideMark/>
          </w:tcPr>
          <w:p w14:paraId="10EE918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110</w:t>
            </w:r>
          </w:p>
        </w:tc>
        <w:tc>
          <w:tcPr>
            <w:tcW w:w="1199" w:type="dxa"/>
            <w:tcBorders>
              <w:top w:val="nil"/>
              <w:left w:val="nil"/>
              <w:bottom w:val="single" w:sz="4" w:space="0" w:color="auto"/>
              <w:right w:val="single" w:sz="4" w:space="0" w:color="auto"/>
            </w:tcBorders>
            <w:shd w:val="clear" w:color="auto" w:fill="auto"/>
            <w:vAlign w:val="center"/>
            <w:hideMark/>
          </w:tcPr>
          <w:p w14:paraId="2B52B5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172</w:t>
            </w:r>
          </w:p>
        </w:tc>
        <w:tc>
          <w:tcPr>
            <w:tcW w:w="1321" w:type="dxa"/>
            <w:tcBorders>
              <w:top w:val="nil"/>
              <w:left w:val="nil"/>
              <w:bottom w:val="single" w:sz="4" w:space="0" w:color="auto"/>
              <w:right w:val="single" w:sz="4" w:space="0" w:color="auto"/>
            </w:tcBorders>
            <w:shd w:val="clear" w:color="auto" w:fill="auto"/>
            <w:vAlign w:val="center"/>
            <w:hideMark/>
          </w:tcPr>
          <w:p w14:paraId="1EFD48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112</w:t>
            </w:r>
          </w:p>
        </w:tc>
        <w:tc>
          <w:tcPr>
            <w:tcW w:w="1221" w:type="dxa"/>
            <w:tcBorders>
              <w:top w:val="nil"/>
              <w:left w:val="nil"/>
              <w:bottom w:val="single" w:sz="4" w:space="0" w:color="auto"/>
              <w:right w:val="single" w:sz="4" w:space="0" w:color="auto"/>
            </w:tcBorders>
            <w:shd w:val="clear" w:color="auto" w:fill="auto"/>
            <w:vAlign w:val="center"/>
            <w:hideMark/>
          </w:tcPr>
          <w:p w14:paraId="75E0B44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155</w:t>
            </w:r>
          </w:p>
        </w:tc>
        <w:tc>
          <w:tcPr>
            <w:tcW w:w="968" w:type="dxa"/>
            <w:tcBorders>
              <w:top w:val="nil"/>
              <w:left w:val="nil"/>
              <w:bottom w:val="single" w:sz="4" w:space="0" w:color="auto"/>
              <w:right w:val="single" w:sz="4" w:space="0" w:color="auto"/>
            </w:tcBorders>
            <w:shd w:val="clear" w:color="auto" w:fill="auto"/>
            <w:vAlign w:val="center"/>
            <w:hideMark/>
          </w:tcPr>
          <w:p w14:paraId="4871D76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52612D6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c>
          <w:tcPr>
            <w:tcW w:w="1488" w:type="dxa"/>
            <w:tcBorders>
              <w:top w:val="nil"/>
              <w:left w:val="nil"/>
              <w:bottom w:val="single" w:sz="4" w:space="0" w:color="auto"/>
              <w:right w:val="single" w:sz="4" w:space="0" w:color="auto"/>
            </w:tcBorders>
            <w:shd w:val="clear" w:color="auto" w:fill="auto"/>
            <w:vAlign w:val="center"/>
            <w:hideMark/>
          </w:tcPr>
          <w:p w14:paraId="7517E85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40</w:t>
            </w:r>
          </w:p>
        </w:tc>
        <w:tc>
          <w:tcPr>
            <w:tcW w:w="1374" w:type="dxa"/>
            <w:tcBorders>
              <w:top w:val="nil"/>
              <w:left w:val="nil"/>
              <w:bottom w:val="single" w:sz="4" w:space="0" w:color="auto"/>
              <w:right w:val="single" w:sz="4" w:space="0" w:color="auto"/>
            </w:tcBorders>
            <w:shd w:val="clear" w:color="auto" w:fill="auto"/>
            <w:vAlign w:val="center"/>
            <w:hideMark/>
          </w:tcPr>
          <w:p w14:paraId="313836B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160</w:t>
            </w:r>
          </w:p>
        </w:tc>
        <w:tc>
          <w:tcPr>
            <w:tcW w:w="1133" w:type="dxa"/>
            <w:tcBorders>
              <w:top w:val="nil"/>
              <w:left w:val="nil"/>
              <w:bottom w:val="single" w:sz="4" w:space="0" w:color="auto"/>
              <w:right w:val="single" w:sz="4" w:space="0" w:color="auto"/>
            </w:tcBorders>
            <w:shd w:val="clear" w:color="auto" w:fill="auto"/>
            <w:vAlign w:val="center"/>
            <w:hideMark/>
          </w:tcPr>
          <w:p w14:paraId="54986C8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306" w:type="dxa"/>
            <w:tcBorders>
              <w:top w:val="nil"/>
              <w:left w:val="nil"/>
              <w:bottom w:val="single" w:sz="4" w:space="0" w:color="auto"/>
              <w:right w:val="single" w:sz="4" w:space="0" w:color="auto"/>
            </w:tcBorders>
            <w:shd w:val="clear" w:color="auto" w:fill="auto"/>
            <w:vAlign w:val="center"/>
            <w:hideMark/>
          </w:tcPr>
          <w:p w14:paraId="7688C45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145</w:t>
            </w:r>
          </w:p>
        </w:tc>
      </w:tr>
      <w:tr w:rsidR="00BC17A3" w:rsidRPr="00A546AD" w14:paraId="471AE23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B0C51E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Cabo</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Verde</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2AF086C"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136</w:t>
            </w:r>
          </w:p>
        </w:tc>
        <w:tc>
          <w:tcPr>
            <w:tcW w:w="1126" w:type="dxa"/>
            <w:tcBorders>
              <w:top w:val="nil"/>
              <w:left w:val="nil"/>
              <w:bottom w:val="single" w:sz="4" w:space="0" w:color="auto"/>
              <w:right w:val="single" w:sz="4" w:space="0" w:color="auto"/>
            </w:tcBorders>
            <w:shd w:val="clear" w:color="auto" w:fill="auto"/>
            <w:vAlign w:val="center"/>
            <w:hideMark/>
          </w:tcPr>
          <w:p w14:paraId="4FE2FA9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121</w:t>
            </w:r>
          </w:p>
        </w:tc>
        <w:tc>
          <w:tcPr>
            <w:tcW w:w="1199" w:type="dxa"/>
            <w:tcBorders>
              <w:top w:val="nil"/>
              <w:left w:val="nil"/>
              <w:bottom w:val="single" w:sz="4" w:space="0" w:color="auto"/>
              <w:right w:val="single" w:sz="4" w:space="0" w:color="auto"/>
            </w:tcBorders>
            <w:shd w:val="clear" w:color="auto" w:fill="auto"/>
            <w:vAlign w:val="center"/>
            <w:hideMark/>
          </w:tcPr>
          <w:p w14:paraId="51B447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50</w:t>
            </w:r>
          </w:p>
        </w:tc>
        <w:tc>
          <w:tcPr>
            <w:tcW w:w="1321" w:type="dxa"/>
            <w:tcBorders>
              <w:top w:val="nil"/>
              <w:left w:val="nil"/>
              <w:bottom w:val="single" w:sz="4" w:space="0" w:color="auto"/>
              <w:right w:val="single" w:sz="4" w:space="0" w:color="auto"/>
            </w:tcBorders>
            <w:shd w:val="clear" w:color="auto" w:fill="auto"/>
            <w:vAlign w:val="center"/>
            <w:hideMark/>
          </w:tcPr>
          <w:p w14:paraId="0C1A63E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154</w:t>
            </w:r>
          </w:p>
        </w:tc>
        <w:tc>
          <w:tcPr>
            <w:tcW w:w="1221" w:type="dxa"/>
            <w:tcBorders>
              <w:top w:val="nil"/>
              <w:left w:val="nil"/>
              <w:bottom w:val="single" w:sz="4" w:space="0" w:color="auto"/>
              <w:right w:val="single" w:sz="4" w:space="0" w:color="auto"/>
            </w:tcBorders>
            <w:shd w:val="clear" w:color="auto" w:fill="auto"/>
            <w:vAlign w:val="center"/>
            <w:hideMark/>
          </w:tcPr>
          <w:p w14:paraId="6B7792B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69</w:t>
            </w:r>
          </w:p>
        </w:tc>
        <w:tc>
          <w:tcPr>
            <w:tcW w:w="968" w:type="dxa"/>
            <w:tcBorders>
              <w:top w:val="nil"/>
              <w:left w:val="nil"/>
              <w:bottom w:val="single" w:sz="4" w:space="0" w:color="auto"/>
              <w:right w:val="single" w:sz="4" w:space="0" w:color="auto"/>
            </w:tcBorders>
            <w:shd w:val="clear" w:color="auto" w:fill="auto"/>
            <w:vAlign w:val="center"/>
            <w:hideMark/>
          </w:tcPr>
          <w:p w14:paraId="65449C1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246" w:type="dxa"/>
            <w:tcBorders>
              <w:top w:val="nil"/>
              <w:left w:val="nil"/>
              <w:bottom w:val="single" w:sz="4" w:space="0" w:color="auto"/>
              <w:right w:val="single" w:sz="4" w:space="0" w:color="auto"/>
            </w:tcBorders>
            <w:shd w:val="clear" w:color="auto" w:fill="auto"/>
            <w:vAlign w:val="center"/>
            <w:hideMark/>
          </w:tcPr>
          <w:p w14:paraId="142448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1488" w:type="dxa"/>
            <w:tcBorders>
              <w:top w:val="nil"/>
              <w:left w:val="nil"/>
              <w:bottom w:val="single" w:sz="4" w:space="0" w:color="auto"/>
              <w:right w:val="single" w:sz="4" w:space="0" w:color="auto"/>
            </w:tcBorders>
            <w:shd w:val="clear" w:color="auto" w:fill="auto"/>
            <w:vAlign w:val="center"/>
            <w:hideMark/>
          </w:tcPr>
          <w:p w14:paraId="4F0C16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w:t>
            </w:r>
          </w:p>
        </w:tc>
        <w:tc>
          <w:tcPr>
            <w:tcW w:w="1374" w:type="dxa"/>
            <w:tcBorders>
              <w:top w:val="nil"/>
              <w:left w:val="nil"/>
              <w:bottom w:val="single" w:sz="4" w:space="0" w:color="auto"/>
              <w:right w:val="single" w:sz="4" w:space="0" w:color="auto"/>
            </w:tcBorders>
            <w:shd w:val="clear" w:color="auto" w:fill="auto"/>
            <w:vAlign w:val="center"/>
            <w:hideMark/>
          </w:tcPr>
          <w:p w14:paraId="1DC66DF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109</w:t>
            </w:r>
          </w:p>
        </w:tc>
        <w:tc>
          <w:tcPr>
            <w:tcW w:w="1133" w:type="dxa"/>
            <w:tcBorders>
              <w:top w:val="nil"/>
              <w:left w:val="nil"/>
              <w:bottom w:val="single" w:sz="4" w:space="0" w:color="auto"/>
              <w:right w:val="single" w:sz="4" w:space="0" w:color="auto"/>
            </w:tcBorders>
            <w:shd w:val="clear" w:color="auto" w:fill="auto"/>
            <w:vAlign w:val="center"/>
            <w:hideMark/>
          </w:tcPr>
          <w:p w14:paraId="60760A1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52</w:t>
            </w:r>
          </w:p>
        </w:tc>
        <w:tc>
          <w:tcPr>
            <w:tcW w:w="306" w:type="dxa"/>
            <w:tcBorders>
              <w:top w:val="nil"/>
              <w:left w:val="nil"/>
              <w:bottom w:val="single" w:sz="4" w:space="0" w:color="auto"/>
              <w:right w:val="single" w:sz="4" w:space="0" w:color="auto"/>
            </w:tcBorders>
            <w:shd w:val="clear" w:color="auto" w:fill="auto"/>
            <w:vAlign w:val="center"/>
            <w:hideMark/>
          </w:tcPr>
          <w:p w14:paraId="2B6E721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7D863E96"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D657BB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Mozambique</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9475772"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137</w:t>
            </w:r>
          </w:p>
        </w:tc>
        <w:tc>
          <w:tcPr>
            <w:tcW w:w="1126" w:type="dxa"/>
            <w:tcBorders>
              <w:top w:val="nil"/>
              <w:left w:val="nil"/>
              <w:bottom w:val="single" w:sz="4" w:space="0" w:color="auto"/>
              <w:right w:val="single" w:sz="4" w:space="0" w:color="auto"/>
            </w:tcBorders>
            <w:shd w:val="clear" w:color="auto" w:fill="auto"/>
            <w:vAlign w:val="center"/>
            <w:hideMark/>
          </w:tcPr>
          <w:p w14:paraId="70F28CF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199" w:type="dxa"/>
            <w:tcBorders>
              <w:top w:val="nil"/>
              <w:left w:val="nil"/>
              <w:bottom w:val="single" w:sz="4" w:space="0" w:color="auto"/>
              <w:right w:val="single" w:sz="4" w:space="0" w:color="auto"/>
            </w:tcBorders>
            <w:shd w:val="clear" w:color="auto" w:fill="auto"/>
            <w:vAlign w:val="center"/>
            <w:hideMark/>
          </w:tcPr>
          <w:p w14:paraId="24162CA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61</w:t>
            </w:r>
          </w:p>
        </w:tc>
        <w:tc>
          <w:tcPr>
            <w:tcW w:w="1321" w:type="dxa"/>
            <w:tcBorders>
              <w:top w:val="nil"/>
              <w:left w:val="nil"/>
              <w:bottom w:val="single" w:sz="4" w:space="0" w:color="auto"/>
              <w:right w:val="single" w:sz="4" w:space="0" w:color="auto"/>
            </w:tcBorders>
            <w:shd w:val="clear" w:color="auto" w:fill="auto"/>
            <w:vAlign w:val="center"/>
            <w:hideMark/>
          </w:tcPr>
          <w:p w14:paraId="01BAFB2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103</w:t>
            </w:r>
          </w:p>
        </w:tc>
        <w:tc>
          <w:tcPr>
            <w:tcW w:w="1221" w:type="dxa"/>
            <w:tcBorders>
              <w:top w:val="nil"/>
              <w:left w:val="nil"/>
              <w:bottom w:val="single" w:sz="4" w:space="0" w:color="auto"/>
              <w:right w:val="single" w:sz="4" w:space="0" w:color="auto"/>
            </w:tcBorders>
            <w:shd w:val="clear" w:color="auto" w:fill="auto"/>
            <w:vAlign w:val="center"/>
            <w:hideMark/>
          </w:tcPr>
          <w:p w14:paraId="7D40BD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c>
          <w:tcPr>
            <w:tcW w:w="968" w:type="dxa"/>
            <w:tcBorders>
              <w:top w:val="nil"/>
              <w:left w:val="nil"/>
              <w:bottom w:val="single" w:sz="4" w:space="0" w:color="auto"/>
              <w:right w:val="single" w:sz="4" w:space="0" w:color="auto"/>
            </w:tcBorders>
            <w:shd w:val="clear" w:color="auto" w:fill="auto"/>
            <w:vAlign w:val="center"/>
            <w:hideMark/>
          </w:tcPr>
          <w:p w14:paraId="37C271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246" w:type="dxa"/>
            <w:tcBorders>
              <w:top w:val="nil"/>
              <w:left w:val="nil"/>
              <w:bottom w:val="single" w:sz="4" w:space="0" w:color="auto"/>
              <w:right w:val="single" w:sz="4" w:space="0" w:color="auto"/>
            </w:tcBorders>
            <w:shd w:val="clear" w:color="auto" w:fill="auto"/>
            <w:vAlign w:val="center"/>
            <w:hideMark/>
          </w:tcPr>
          <w:p w14:paraId="3995CF3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1488" w:type="dxa"/>
            <w:tcBorders>
              <w:top w:val="nil"/>
              <w:left w:val="nil"/>
              <w:bottom w:val="single" w:sz="4" w:space="0" w:color="auto"/>
              <w:right w:val="single" w:sz="4" w:space="0" w:color="auto"/>
            </w:tcBorders>
            <w:shd w:val="clear" w:color="auto" w:fill="auto"/>
            <w:vAlign w:val="center"/>
            <w:hideMark/>
          </w:tcPr>
          <w:p w14:paraId="433B853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127</w:t>
            </w:r>
          </w:p>
        </w:tc>
        <w:tc>
          <w:tcPr>
            <w:tcW w:w="1374" w:type="dxa"/>
            <w:tcBorders>
              <w:top w:val="nil"/>
              <w:left w:val="nil"/>
              <w:bottom w:val="single" w:sz="4" w:space="0" w:color="auto"/>
              <w:right w:val="single" w:sz="4" w:space="0" w:color="auto"/>
            </w:tcBorders>
            <w:shd w:val="clear" w:color="auto" w:fill="auto"/>
            <w:vAlign w:val="center"/>
            <w:hideMark/>
          </w:tcPr>
          <w:p w14:paraId="5D71673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94</w:t>
            </w:r>
          </w:p>
        </w:tc>
        <w:tc>
          <w:tcPr>
            <w:tcW w:w="1133" w:type="dxa"/>
            <w:tcBorders>
              <w:top w:val="nil"/>
              <w:left w:val="nil"/>
              <w:bottom w:val="single" w:sz="4" w:space="0" w:color="auto"/>
              <w:right w:val="single" w:sz="4" w:space="0" w:color="auto"/>
            </w:tcBorders>
            <w:shd w:val="clear" w:color="auto" w:fill="auto"/>
            <w:vAlign w:val="center"/>
            <w:hideMark/>
          </w:tcPr>
          <w:p w14:paraId="62918E9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c>
          <w:tcPr>
            <w:tcW w:w="306" w:type="dxa"/>
            <w:tcBorders>
              <w:top w:val="nil"/>
              <w:left w:val="nil"/>
              <w:bottom w:val="single" w:sz="4" w:space="0" w:color="auto"/>
              <w:right w:val="single" w:sz="4" w:space="0" w:color="auto"/>
            </w:tcBorders>
            <w:shd w:val="clear" w:color="auto" w:fill="auto"/>
            <w:vAlign w:val="center"/>
            <w:hideMark/>
          </w:tcPr>
          <w:p w14:paraId="0517CF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w:t>
            </w:r>
          </w:p>
        </w:tc>
      </w:tr>
      <w:tr w:rsidR="00BC17A3" w:rsidRPr="00A546AD" w14:paraId="29BC323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21C098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St. </w:t>
            </w:r>
            <w:proofErr w:type="spellStart"/>
            <w:r w:rsidRPr="00A546AD">
              <w:rPr>
                <w:rFonts w:ascii="Times New Roman" w:eastAsia="Times New Roman" w:hAnsi="Times New Roman" w:cs="Times New Roman"/>
                <w:sz w:val="20"/>
                <w:szCs w:val="20"/>
                <w:lang w:val="ru-RU" w:eastAsia="ru-RU" w:bidi="ar-SA"/>
              </w:rPr>
              <w:t>Kitts</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and</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Nevis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8A6AF2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138</w:t>
            </w:r>
          </w:p>
        </w:tc>
        <w:tc>
          <w:tcPr>
            <w:tcW w:w="1126" w:type="dxa"/>
            <w:tcBorders>
              <w:top w:val="nil"/>
              <w:left w:val="nil"/>
              <w:bottom w:val="single" w:sz="4" w:space="0" w:color="auto"/>
              <w:right w:val="single" w:sz="4" w:space="0" w:color="auto"/>
            </w:tcBorders>
            <w:shd w:val="clear" w:color="auto" w:fill="auto"/>
            <w:vAlign w:val="center"/>
            <w:hideMark/>
          </w:tcPr>
          <w:p w14:paraId="1D9A319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109</w:t>
            </w:r>
          </w:p>
        </w:tc>
        <w:tc>
          <w:tcPr>
            <w:tcW w:w="1199" w:type="dxa"/>
            <w:tcBorders>
              <w:top w:val="nil"/>
              <w:left w:val="nil"/>
              <w:bottom w:val="single" w:sz="4" w:space="0" w:color="auto"/>
              <w:right w:val="single" w:sz="4" w:space="0" w:color="auto"/>
            </w:tcBorders>
            <w:shd w:val="clear" w:color="auto" w:fill="auto"/>
            <w:vAlign w:val="center"/>
            <w:hideMark/>
          </w:tcPr>
          <w:p w14:paraId="3F6DB0E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w:t>
            </w:r>
          </w:p>
        </w:tc>
        <w:tc>
          <w:tcPr>
            <w:tcW w:w="1321" w:type="dxa"/>
            <w:tcBorders>
              <w:top w:val="nil"/>
              <w:left w:val="nil"/>
              <w:bottom w:val="single" w:sz="4" w:space="0" w:color="auto"/>
              <w:right w:val="single" w:sz="4" w:space="0" w:color="auto"/>
            </w:tcBorders>
            <w:shd w:val="clear" w:color="auto" w:fill="auto"/>
            <w:vAlign w:val="center"/>
            <w:hideMark/>
          </w:tcPr>
          <w:p w14:paraId="6E2813C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110</w:t>
            </w:r>
          </w:p>
        </w:tc>
        <w:tc>
          <w:tcPr>
            <w:tcW w:w="1221" w:type="dxa"/>
            <w:tcBorders>
              <w:top w:val="nil"/>
              <w:left w:val="nil"/>
              <w:bottom w:val="single" w:sz="4" w:space="0" w:color="auto"/>
              <w:right w:val="single" w:sz="4" w:space="0" w:color="auto"/>
            </w:tcBorders>
            <w:shd w:val="clear" w:color="auto" w:fill="auto"/>
            <w:vAlign w:val="center"/>
            <w:hideMark/>
          </w:tcPr>
          <w:p w14:paraId="128B002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185</w:t>
            </w:r>
          </w:p>
        </w:tc>
        <w:tc>
          <w:tcPr>
            <w:tcW w:w="968" w:type="dxa"/>
            <w:tcBorders>
              <w:top w:val="nil"/>
              <w:left w:val="nil"/>
              <w:bottom w:val="single" w:sz="4" w:space="0" w:color="auto"/>
              <w:right w:val="single" w:sz="4" w:space="0" w:color="auto"/>
            </w:tcBorders>
            <w:shd w:val="clear" w:color="auto" w:fill="auto"/>
            <w:vAlign w:val="center"/>
            <w:hideMark/>
          </w:tcPr>
          <w:p w14:paraId="79908E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246" w:type="dxa"/>
            <w:tcBorders>
              <w:top w:val="nil"/>
              <w:left w:val="nil"/>
              <w:bottom w:val="single" w:sz="4" w:space="0" w:color="auto"/>
              <w:right w:val="single" w:sz="4" w:space="0" w:color="auto"/>
            </w:tcBorders>
            <w:shd w:val="clear" w:color="auto" w:fill="auto"/>
            <w:vAlign w:val="center"/>
            <w:hideMark/>
          </w:tcPr>
          <w:p w14:paraId="39C47EF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103</w:t>
            </w:r>
          </w:p>
        </w:tc>
        <w:tc>
          <w:tcPr>
            <w:tcW w:w="1488" w:type="dxa"/>
            <w:tcBorders>
              <w:top w:val="nil"/>
              <w:left w:val="nil"/>
              <w:bottom w:val="single" w:sz="4" w:space="0" w:color="auto"/>
              <w:right w:val="single" w:sz="4" w:space="0" w:color="auto"/>
            </w:tcBorders>
            <w:shd w:val="clear" w:color="auto" w:fill="auto"/>
            <w:vAlign w:val="center"/>
            <w:hideMark/>
          </w:tcPr>
          <w:p w14:paraId="4247675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125</w:t>
            </w:r>
          </w:p>
        </w:tc>
        <w:tc>
          <w:tcPr>
            <w:tcW w:w="1374" w:type="dxa"/>
            <w:tcBorders>
              <w:top w:val="nil"/>
              <w:left w:val="nil"/>
              <w:bottom w:val="single" w:sz="4" w:space="0" w:color="auto"/>
              <w:right w:val="single" w:sz="4" w:space="0" w:color="auto"/>
            </w:tcBorders>
            <w:shd w:val="clear" w:color="auto" w:fill="auto"/>
            <w:vAlign w:val="center"/>
            <w:hideMark/>
          </w:tcPr>
          <w:p w14:paraId="4853D1B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133" w:type="dxa"/>
            <w:tcBorders>
              <w:top w:val="nil"/>
              <w:left w:val="nil"/>
              <w:bottom w:val="single" w:sz="4" w:space="0" w:color="auto"/>
              <w:right w:val="single" w:sz="4" w:space="0" w:color="auto"/>
            </w:tcBorders>
            <w:shd w:val="clear" w:color="auto" w:fill="auto"/>
            <w:vAlign w:val="center"/>
            <w:hideMark/>
          </w:tcPr>
          <w:p w14:paraId="52A0346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w:t>
            </w:r>
          </w:p>
        </w:tc>
        <w:tc>
          <w:tcPr>
            <w:tcW w:w="306" w:type="dxa"/>
            <w:tcBorders>
              <w:top w:val="nil"/>
              <w:left w:val="nil"/>
              <w:bottom w:val="single" w:sz="4" w:space="0" w:color="auto"/>
              <w:right w:val="single" w:sz="4" w:space="0" w:color="auto"/>
            </w:tcBorders>
            <w:shd w:val="clear" w:color="auto" w:fill="auto"/>
            <w:vAlign w:val="center"/>
            <w:hideMark/>
          </w:tcPr>
          <w:p w14:paraId="67079A6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0C7730E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3DF7A6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Zimbabwe</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F672552"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139</w:t>
            </w:r>
          </w:p>
        </w:tc>
        <w:tc>
          <w:tcPr>
            <w:tcW w:w="1126" w:type="dxa"/>
            <w:tcBorders>
              <w:top w:val="nil"/>
              <w:left w:val="nil"/>
              <w:bottom w:val="single" w:sz="4" w:space="0" w:color="auto"/>
              <w:right w:val="single" w:sz="4" w:space="0" w:color="auto"/>
            </w:tcBorders>
            <w:shd w:val="clear" w:color="auto" w:fill="auto"/>
            <w:vAlign w:val="center"/>
            <w:hideMark/>
          </w:tcPr>
          <w:p w14:paraId="530F903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167</w:t>
            </w:r>
          </w:p>
        </w:tc>
        <w:tc>
          <w:tcPr>
            <w:tcW w:w="1199" w:type="dxa"/>
            <w:tcBorders>
              <w:top w:val="nil"/>
              <w:left w:val="nil"/>
              <w:bottom w:val="single" w:sz="4" w:space="0" w:color="auto"/>
              <w:right w:val="single" w:sz="4" w:space="0" w:color="auto"/>
            </w:tcBorders>
            <w:shd w:val="clear" w:color="auto" w:fill="auto"/>
            <w:vAlign w:val="center"/>
            <w:hideMark/>
          </w:tcPr>
          <w:p w14:paraId="171C1DC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140</w:t>
            </w:r>
          </w:p>
        </w:tc>
        <w:tc>
          <w:tcPr>
            <w:tcW w:w="1321" w:type="dxa"/>
            <w:tcBorders>
              <w:top w:val="nil"/>
              <w:left w:val="nil"/>
              <w:bottom w:val="single" w:sz="4" w:space="0" w:color="auto"/>
              <w:right w:val="single" w:sz="4" w:space="0" w:color="auto"/>
            </w:tcBorders>
            <w:shd w:val="clear" w:color="auto" w:fill="auto"/>
            <w:vAlign w:val="center"/>
            <w:hideMark/>
          </w:tcPr>
          <w:p w14:paraId="2CAFB4B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167</w:t>
            </w:r>
          </w:p>
        </w:tc>
        <w:tc>
          <w:tcPr>
            <w:tcW w:w="1221" w:type="dxa"/>
            <w:tcBorders>
              <w:top w:val="nil"/>
              <w:left w:val="nil"/>
              <w:bottom w:val="single" w:sz="4" w:space="0" w:color="auto"/>
              <w:right w:val="single" w:sz="4" w:space="0" w:color="auto"/>
            </w:tcBorders>
            <w:shd w:val="clear" w:color="auto" w:fill="auto"/>
            <w:vAlign w:val="center"/>
            <w:hideMark/>
          </w:tcPr>
          <w:p w14:paraId="6BB56EC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109</w:t>
            </w:r>
          </w:p>
        </w:tc>
        <w:tc>
          <w:tcPr>
            <w:tcW w:w="968" w:type="dxa"/>
            <w:tcBorders>
              <w:top w:val="nil"/>
              <w:left w:val="nil"/>
              <w:bottom w:val="single" w:sz="4" w:space="0" w:color="auto"/>
              <w:right w:val="single" w:sz="4" w:space="0" w:color="auto"/>
            </w:tcBorders>
            <w:shd w:val="clear" w:color="auto" w:fill="auto"/>
            <w:vAlign w:val="center"/>
            <w:hideMark/>
          </w:tcPr>
          <w:p w14:paraId="2A67CA5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6ACB5E9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1488" w:type="dxa"/>
            <w:tcBorders>
              <w:top w:val="nil"/>
              <w:left w:val="nil"/>
              <w:bottom w:val="single" w:sz="4" w:space="0" w:color="auto"/>
              <w:right w:val="single" w:sz="4" w:space="0" w:color="auto"/>
            </w:tcBorders>
            <w:shd w:val="clear" w:color="auto" w:fill="auto"/>
            <w:vAlign w:val="center"/>
            <w:hideMark/>
          </w:tcPr>
          <w:p w14:paraId="16F812D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146</w:t>
            </w:r>
          </w:p>
        </w:tc>
        <w:tc>
          <w:tcPr>
            <w:tcW w:w="1374" w:type="dxa"/>
            <w:tcBorders>
              <w:top w:val="nil"/>
              <w:left w:val="nil"/>
              <w:bottom w:val="single" w:sz="4" w:space="0" w:color="auto"/>
              <w:right w:val="single" w:sz="4" w:space="0" w:color="auto"/>
            </w:tcBorders>
            <w:shd w:val="clear" w:color="auto" w:fill="auto"/>
            <w:vAlign w:val="center"/>
            <w:hideMark/>
          </w:tcPr>
          <w:p w14:paraId="45F8334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159</w:t>
            </w:r>
          </w:p>
        </w:tc>
        <w:tc>
          <w:tcPr>
            <w:tcW w:w="1133" w:type="dxa"/>
            <w:tcBorders>
              <w:top w:val="nil"/>
              <w:left w:val="nil"/>
              <w:bottom w:val="single" w:sz="4" w:space="0" w:color="auto"/>
              <w:right w:val="single" w:sz="4" w:space="0" w:color="auto"/>
            </w:tcBorders>
            <w:shd w:val="clear" w:color="auto" w:fill="auto"/>
            <w:vAlign w:val="center"/>
            <w:hideMark/>
          </w:tcPr>
          <w:p w14:paraId="5DD4DF5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169</w:t>
            </w:r>
          </w:p>
        </w:tc>
        <w:tc>
          <w:tcPr>
            <w:tcW w:w="306" w:type="dxa"/>
            <w:tcBorders>
              <w:top w:val="nil"/>
              <w:left w:val="nil"/>
              <w:bottom w:val="single" w:sz="4" w:space="0" w:color="auto"/>
              <w:right w:val="single" w:sz="4" w:space="0" w:color="auto"/>
            </w:tcBorders>
            <w:shd w:val="clear" w:color="auto" w:fill="auto"/>
            <w:vAlign w:val="center"/>
            <w:hideMark/>
          </w:tcPr>
          <w:p w14:paraId="4A89330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142</w:t>
            </w:r>
          </w:p>
        </w:tc>
      </w:tr>
      <w:tr w:rsidR="00BC17A3" w:rsidRPr="00A546AD" w14:paraId="16DE983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39C62A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Tanzania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180FB0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140</w:t>
            </w:r>
          </w:p>
        </w:tc>
        <w:tc>
          <w:tcPr>
            <w:tcW w:w="1126" w:type="dxa"/>
            <w:tcBorders>
              <w:top w:val="nil"/>
              <w:left w:val="nil"/>
              <w:bottom w:val="single" w:sz="4" w:space="0" w:color="auto"/>
              <w:right w:val="single" w:sz="4" w:space="0" w:color="auto"/>
            </w:tcBorders>
            <w:shd w:val="clear" w:color="auto" w:fill="auto"/>
            <w:vAlign w:val="center"/>
            <w:hideMark/>
          </w:tcPr>
          <w:p w14:paraId="3C2C1A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199" w:type="dxa"/>
            <w:tcBorders>
              <w:top w:val="nil"/>
              <w:left w:val="nil"/>
              <w:bottom w:val="single" w:sz="4" w:space="0" w:color="auto"/>
              <w:right w:val="single" w:sz="4" w:space="0" w:color="auto"/>
            </w:tcBorders>
            <w:shd w:val="clear" w:color="auto" w:fill="auto"/>
            <w:vAlign w:val="center"/>
            <w:hideMark/>
          </w:tcPr>
          <w:p w14:paraId="03101EE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149</w:t>
            </w:r>
          </w:p>
        </w:tc>
        <w:tc>
          <w:tcPr>
            <w:tcW w:w="1321" w:type="dxa"/>
            <w:tcBorders>
              <w:top w:val="nil"/>
              <w:left w:val="nil"/>
              <w:bottom w:val="single" w:sz="4" w:space="0" w:color="auto"/>
              <w:right w:val="single" w:sz="4" w:space="0" w:color="auto"/>
            </w:tcBorders>
            <w:shd w:val="clear" w:color="auto" w:fill="auto"/>
            <w:vAlign w:val="center"/>
            <w:hideMark/>
          </w:tcPr>
          <w:p w14:paraId="1C7F473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w:t>
            </w:r>
          </w:p>
        </w:tc>
        <w:tc>
          <w:tcPr>
            <w:tcW w:w="1221" w:type="dxa"/>
            <w:tcBorders>
              <w:top w:val="nil"/>
              <w:left w:val="nil"/>
              <w:bottom w:val="single" w:sz="4" w:space="0" w:color="auto"/>
              <w:right w:val="single" w:sz="4" w:space="0" w:color="auto"/>
            </w:tcBorders>
            <w:shd w:val="clear" w:color="auto" w:fill="auto"/>
            <w:vAlign w:val="center"/>
            <w:hideMark/>
          </w:tcPr>
          <w:p w14:paraId="59DC9A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146</w:t>
            </w:r>
          </w:p>
        </w:tc>
        <w:tc>
          <w:tcPr>
            <w:tcW w:w="968" w:type="dxa"/>
            <w:tcBorders>
              <w:top w:val="nil"/>
              <w:left w:val="nil"/>
              <w:bottom w:val="single" w:sz="4" w:space="0" w:color="auto"/>
              <w:right w:val="single" w:sz="4" w:space="0" w:color="auto"/>
            </w:tcBorders>
            <w:shd w:val="clear" w:color="auto" w:fill="auto"/>
            <w:vAlign w:val="center"/>
            <w:hideMark/>
          </w:tcPr>
          <w:p w14:paraId="7F135E8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1246" w:type="dxa"/>
            <w:tcBorders>
              <w:top w:val="nil"/>
              <w:left w:val="nil"/>
              <w:bottom w:val="single" w:sz="4" w:space="0" w:color="auto"/>
              <w:right w:val="single" w:sz="4" w:space="0" w:color="auto"/>
            </w:tcBorders>
            <w:shd w:val="clear" w:color="auto" w:fill="auto"/>
            <w:vAlign w:val="center"/>
            <w:hideMark/>
          </w:tcPr>
          <w:p w14:paraId="251D508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1488" w:type="dxa"/>
            <w:tcBorders>
              <w:top w:val="nil"/>
              <w:left w:val="nil"/>
              <w:bottom w:val="single" w:sz="4" w:space="0" w:color="auto"/>
              <w:right w:val="single" w:sz="4" w:space="0" w:color="auto"/>
            </w:tcBorders>
            <w:shd w:val="clear" w:color="auto" w:fill="auto"/>
            <w:vAlign w:val="center"/>
            <w:hideMark/>
          </w:tcPr>
          <w:p w14:paraId="70A6566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374" w:type="dxa"/>
            <w:tcBorders>
              <w:top w:val="nil"/>
              <w:left w:val="nil"/>
              <w:bottom w:val="single" w:sz="4" w:space="0" w:color="auto"/>
              <w:right w:val="single" w:sz="4" w:space="0" w:color="auto"/>
            </w:tcBorders>
            <w:shd w:val="clear" w:color="auto" w:fill="auto"/>
            <w:vAlign w:val="center"/>
            <w:hideMark/>
          </w:tcPr>
          <w:p w14:paraId="384CA83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182</w:t>
            </w:r>
          </w:p>
        </w:tc>
        <w:tc>
          <w:tcPr>
            <w:tcW w:w="1133" w:type="dxa"/>
            <w:tcBorders>
              <w:top w:val="nil"/>
              <w:left w:val="nil"/>
              <w:bottom w:val="single" w:sz="4" w:space="0" w:color="auto"/>
              <w:right w:val="single" w:sz="4" w:space="0" w:color="auto"/>
            </w:tcBorders>
            <w:shd w:val="clear" w:color="auto" w:fill="auto"/>
            <w:vAlign w:val="center"/>
            <w:hideMark/>
          </w:tcPr>
          <w:p w14:paraId="6FDD61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71</w:t>
            </w:r>
          </w:p>
        </w:tc>
        <w:tc>
          <w:tcPr>
            <w:tcW w:w="306" w:type="dxa"/>
            <w:tcBorders>
              <w:top w:val="nil"/>
              <w:left w:val="nil"/>
              <w:bottom w:val="single" w:sz="4" w:space="0" w:color="auto"/>
              <w:right w:val="single" w:sz="4" w:space="0" w:color="auto"/>
            </w:tcBorders>
            <w:shd w:val="clear" w:color="auto" w:fill="auto"/>
            <w:vAlign w:val="center"/>
            <w:hideMark/>
          </w:tcPr>
          <w:p w14:paraId="1AFDD4E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116</w:t>
            </w:r>
          </w:p>
        </w:tc>
      </w:tr>
      <w:tr w:rsidR="00BC17A3" w:rsidRPr="00A546AD" w14:paraId="1CF513E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481283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Nicaragua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9F11B2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141</w:t>
            </w:r>
          </w:p>
        </w:tc>
        <w:tc>
          <w:tcPr>
            <w:tcW w:w="1126" w:type="dxa"/>
            <w:tcBorders>
              <w:top w:val="nil"/>
              <w:left w:val="nil"/>
              <w:bottom w:val="single" w:sz="4" w:space="0" w:color="auto"/>
              <w:right w:val="single" w:sz="4" w:space="0" w:color="auto"/>
            </w:tcBorders>
            <w:shd w:val="clear" w:color="auto" w:fill="auto"/>
            <w:vAlign w:val="center"/>
            <w:hideMark/>
          </w:tcPr>
          <w:p w14:paraId="51AB78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145</w:t>
            </w:r>
          </w:p>
        </w:tc>
        <w:tc>
          <w:tcPr>
            <w:tcW w:w="1199" w:type="dxa"/>
            <w:tcBorders>
              <w:top w:val="nil"/>
              <w:left w:val="nil"/>
              <w:bottom w:val="single" w:sz="4" w:space="0" w:color="auto"/>
              <w:right w:val="single" w:sz="4" w:space="0" w:color="auto"/>
            </w:tcBorders>
            <w:shd w:val="clear" w:color="auto" w:fill="auto"/>
            <w:vAlign w:val="center"/>
            <w:hideMark/>
          </w:tcPr>
          <w:p w14:paraId="3A2DCA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321" w:type="dxa"/>
            <w:tcBorders>
              <w:top w:val="nil"/>
              <w:left w:val="nil"/>
              <w:bottom w:val="single" w:sz="4" w:space="0" w:color="auto"/>
              <w:right w:val="single" w:sz="4" w:space="0" w:color="auto"/>
            </w:tcBorders>
            <w:shd w:val="clear" w:color="auto" w:fill="auto"/>
            <w:vAlign w:val="center"/>
            <w:hideMark/>
          </w:tcPr>
          <w:p w14:paraId="09C4825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115</w:t>
            </w:r>
          </w:p>
        </w:tc>
        <w:tc>
          <w:tcPr>
            <w:tcW w:w="1221" w:type="dxa"/>
            <w:tcBorders>
              <w:top w:val="nil"/>
              <w:left w:val="nil"/>
              <w:bottom w:val="single" w:sz="4" w:space="0" w:color="auto"/>
              <w:right w:val="single" w:sz="4" w:space="0" w:color="auto"/>
            </w:tcBorders>
            <w:shd w:val="clear" w:color="auto" w:fill="auto"/>
            <w:vAlign w:val="center"/>
            <w:hideMark/>
          </w:tcPr>
          <w:p w14:paraId="52C958B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160</w:t>
            </w:r>
          </w:p>
        </w:tc>
        <w:tc>
          <w:tcPr>
            <w:tcW w:w="968" w:type="dxa"/>
            <w:tcBorders>
              <w:top w:val="nil"/>
              <w:left w:val="nil"/>
              <w:bottom w:val="single" w:sz="4" w:space="0" w:color="auto"/>
              <w:right w:val="single" w:sz="4" w:space="0" w:color="auto"/>
            </w:tcBorders>
            <w:shd w:val="clear" w:color="auto" w:fill="auto"/>
            <w:vAlign w:val="center"/>
            <w:hideMark/>
          </w:tcPr>
          <w:p w14:paraId="115D29C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3E1904E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1488" w:type="dxa"/>
            <w:tcBorders>
              <w:top w:val="nil"/>
              <w:left w:val="nil"/>
              <w:bottom w:val="single" w:sz="4" w:space="0" w:color="auto"/>
              <w:right w:val="single" w:sz="4" w:space="0" w:color="auto"/>
            </w:tcBorders>
            <w:shd w:val="clear" w:color="auto" w:fill="auto"/>
            <w:vAlign w:val="center"/>
            <w:hideMark/>
          </w:tcPr>
          <w:p w14:paraId="60DDAF3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374" w:type="dxa"/>
            <w:tcBorders>
              <w:top w:val="nil"/>
              <w:left w:val="nil"/>
              <w:bottom w:val="single" w:sz="4" w:space="0" w:color="auto"/>
              <w:right w:val="single" w:sz="4" w:space="0" w:color="auto"/>
            </w:tcBorders>
            <w:shd w:val="clear" w:color="auto" w:fill="auto"/>
            <w:vAlign w:val="center"/>
            <w:hideMark/>
          </w:tcPr>
          <w:p w14:paraId="3397ABA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w:t>
            </w:r>
          </w:p>
        </w:tc>
        <w:tc>
          <w:tcPr>
            <w:tcW w:w="1133" w:type="dxa"/>
            <w:tcBorders>
              <w:top w:val="nil"/>
              <w:left w:val="nil"/>
              <w:bottom w:val="single" w:sz="4" w:space="0" w:color="auto"/>
              <w:right w:val="single" w:sz="4" w:space="0" w:color="auto"/>
            </w:tcBorders>
            <w:shd w:val="clear" w:color="auto" w:fill="auto"/>
            <w:vAlign w:val="center"/>
            <w:hideMark/>
          </w:tcPr>
          <w:p w14:paraId="5CA0AA8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w:t>
            </w:r>
          </w:p>
        </w:tc>
        <w:tc>
          <w:tcPr>
            <w:tcW w:w="306" w:type="dxa"/>
            <w:tcBorders>
              <w:top w:val="nil"/>
              <w:left w:val="nil"/>
              <w:bottom w:val="single" w:sz="4" w:space="0" w:color="auto"/>
              <w:right w:val="single" w:sz="4" w:space="0" w:color="auto"/>
            </w:tcBorders>
            <w:shd w:val="clear" w:color="auto" w:fill="auto"/>
            <w:vAlign w:val="center"/>
            <w:hideMark/>
          </w:tcPr>
          <w:p w14:paraId="1ABB428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107</w:t>
            </w:r>
          </w:p>
        </w:tc>
      </w:tr>
      <w:tr w:rsidR="00BC17A3" w:rsidRPr="00A546AD" w14:paraId="72FDDE77"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10A833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Lebanon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B58316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142</w:t>
            </w:r>
          </w:p>
        </w:tc>
        <w:tc>
          <w:tcPr>
            <w:tcW w:w="1126" w:type="dxa"/>
            <w:tcBorders>
              <w:top w:val="nil"/>
              <w:left w:val="nil"/>
              <w:bottom w:val="single" w:sz="4" w:space="0" w:color="auto"/>
              <w:right w:val="single" w:sz="4" w:space="0" w:color="auto"/>
            </w:tcBorders>
            <w:shd w:val="clear" w:color="auto" w:fill="auto"/>
            <w:vAlign w:val="center"/>
            <w:hideMark/>
          </w:tcPr>
          <w:p w14:paraId="516B987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151</w:t>
            </w:r>
          </w:p>
        </w:tc>
        <w:tc>
          <w:tcPr>
            <w:tcW w:w="1199" w:type="dxa"/>
            <w:tcBorders>
              <w:top w:val="nil"/>
              <w:left w:val="nil"/>
              <w:bottom w:val="single" w:sz="4" w:space="0" w:color="auto"/>
              <w:right w:val="single" w:sz="4" w:space="0" w:color="auto"/>
            </w:tcBorders>
            <w:shd w:val="clear" w:color="auto" w:fill="auto"/>
            <w:vAlign w:val="center"/>
            <w:hideMark/>
          </w:tcPr>
          <w:p w14:paraId="27C4784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164</w:t>
            </w:r>
          </w:p>
        </w:tc>
        <w:tc>
          <w:tcPr>
            <w:tcW w:w="1321" w:type="dxa"/>
            <w:tcBorders>
              <w:top w:val="nil"/>
              <w:left w:val="nil"/>
              <w:bottom w:val="single" w:sz="4" w:space="0" w:color="auto"/>
              <w:right w:val="single" w:sz="4" w:space="0" w:color="auto"/>
            </w:tcBorders>
            <w:shd w:val="clear" w:color="auto" w:fill="auto"/>
            <w:vAlign w:val="center"/>
            <w:hideMark/>
          </w:tcPr>
          <w:p w14:paraId="37477E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127</w:t>
            </w:r>
          </w:p>
        </w:tc>
        <w:tc>
          <w:tcPr>
            <w:tcW w:w="1221" w:type="dxa"/>
            <w:tcBorders>
              <w:top w:val="nil"/>
              <w:left w:val="nil"/>
              <w:bottom w:val="single" w:sz="4" w:space="0" w:color="auto"/>
              <w:right w:val="single" w:sz="4" w:space="0" w:color="auto"/>
            </w:tcBorders>
            <w:shd w:val="clear" w:color="auto" w:fill="auto"/>
            <w:vAlign w:val="center"/>
            <w:hideMark/>
          </w:tcPr>
          <w:p w14:paraId="4CCB249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110</w:t>
            </w:r>
          </w:p>
        </w:tc>
        <w:tc>
          <w:tcPr>
            <w:tcW w:w="968" w:type="dxa"/>
            <w:tcBorders>
              <w:top w:val="nil"/>
              <w:left w:val="nil"/>
              <w:bottom w:val="single" w:sz="4" w:space="0" w:color="auto"/>
              <w:right w:val="single" w:sz="4" w:space="0" w:color="auto"/>
            </w:tcBorders>
            <w:shd w:val="clear" w:color="auto" w:fill="auto"/>
            <w:vAlign w:val="center"/>
            <w:hideMark/>
          </w:tcPr>
          <w:p w14:paraId="2847D01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6607836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1488" w:type="dxa"/>
            <w:tcBorders>
              <w:top w:val="nil"/>
              <w:left w:val="nil"/>
              <w:bottom w:val="single" w:sz="4" w:space="0" w:color="auto"/>
              <w:right w:val="single" w:sz="4" w:space="0" w:color="auto"/>
            </w:tcBorders>
            <w:shd w:val="clear" w:color="auto" w:fill="auto"/>
            <w:vAlign w:val="center"/>
            <w:hideMark/>
          </w:tcPr>
          <w:p w14:paraId="494A1B2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116</w:t>
            </w:r>
          </w:p>
        </w:tc>
        <w:tc>
          <w:tcPr>
            <w:tcW w:w="1374" w:type="dxa"/>
            <w:tcBorders>
              <w:top w:val="nil"/>
              <w:left w:val="nil"/>
              <w:bottom w:val="single" w:sz="4" w:space="0" w:color="auto"/>
              <w:right w:val="single" w:sz="4" w:space="0" w:color="auto"/>
            </w:tcBorders>
            <w:shd w:val="clear" w:color="auto" w:fill="auto"/>
            <w:vAlign w:val="center"/>
            <w:hideMark/>
          </w:tcPr>
          <w:p w14:paraId="3B0196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c>
          <w:tcPr>
            <w:tcW w:w="1133" w:type="dxa"/>
            <w:tcBorders>
              <w:top w:val="nil"/>
              <w:left w:val="nil"/>
              <w:bottom w:val="single" w:sz="4" w:space="0" w:color="auto"/>
              <w:right w:val="single" w:sz="4" w:space="0" w:color="auto"/>
            </w:tcBorders>
            <w:shd w:val="clear" w:color="auto" w:fill="auto"/>
            <w:vAlign w:val="center"/>
            <w:hideMark/>
          </w:tcPr>
          <w:p w14:paraId="46E7DD2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131</w:t>
            </w:r>
          </w:p>
        </w:tc>
        <w:tc>
          <w:tcPr>
            <w:tcW w:w="306" w:type="dxa"/>
            <w:tcBorders>
              <w:top w:val="nil"/>
              <w:left w:val="nil"/>
              <w:bottom w:val="single" w:sz="4" w:space="0" w:color="auto"/>
              <w:right w:val="single" w:sz="4" w:space="0" w:color="auto"/>
            </w:tcBorders>
            <w:shd w:val="clear" w:color="auto" w:fill="auto"/>
            <w:vAlign w:val="center"/>
            <w:hideMark/>
          </w:tcPr>
          <w:p w14:paraId="481BF11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151</w:t>
            </w:r>
          </w:p>
        </w:tc>
      </w:tr>
      <w:tr w:rsidR="00BC17A3" w:rsidRPr="00A546AD" w14:paraId="467F972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04C81E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Cambodia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21F57F2"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143</w:t>
            </w:r>
          </w:p>
        </w:tc>
        <w:tc>
          <w:tcPr>
            <w:tcW w:w="1126" w:type="dxa"/>
            <w:tcBorders>
              <w:top w:val="nil"/>
              <w:left w:val="nil"/>
              <w:bottom w:val="single" w:sz="4" w:space="0" w:color="auto"/>
              <w:right w:val="single" w:sz="4" w:space="0" w:color="auto"/>
            </w:tcBorders>
            <w:shd w:val="clear" w:color="auto" w:fill="auto"/>
            <w:vAlign w:val="center"/>
            <w:hideMark/>
          </w:tcPr>
          <w:p w14:paraId="677DDC7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1199" w:type="dxa"/>
            <w:tcBorders>
              <w:top w:val="nil"/>
              <w:left w:val="nil"/>
              <w:bottom w:val="single" w:sz="4" w:space="0" w:color="auto"/>
              <w:right w:val="single" w:sz="4" w:space="0" w:color="auto"/>
            </w:tcBorders>
            <w:shd w:val="clear" w:color="auto" w:fill="auto"/>
            <w:vAlign w:val="center"/>
            <w:hideMark/>
          </w:tcPr>
          <w:p w14:paraId="6280B8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178</w:t>
            </w:r>
          </w:p>
        </w:tc>
        <w:tc>
          <w:tcPr>
            <w:tcW w:w="1321" w:type="dxa"/>
            <w:tcBorders>
              <w:top w:val="nil"/>
              <w:left w:val="nil"/>
              <w:bottom w:val="single" w:sz="4" w:space="0" w:color="auto"/>
              <w:right w:val="single" w:sz="4" w:space="0" w:color="auto"/>
            </w:tcBorders>
            <w:shd w:val="clear" w:color="auto" w:fill="auto"/>
            <w:vAlign w:val="center"/>
            <w:hideMark/>
          </w:tcPr>
          <w:p w14:paraId="7F23674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146</w:t>
            </w:r>
          </w:p>
        </w:tc>
        <w:tc>
          <w:tcPr>
            <w:tcW w:w="1221" w:type="dxa"/>
            <w:tcBorders>
              <w:top w:val="nil"/>
              <w:left w:val="nil"/>
              <w:bottom w:val="single" w:sz="4" w:space="0" w:color="auto"/>
              <w:right w:val="single" w:sz="4" w:space="0" w:color="auto"/>
            </w:tcBorders>
            <w:shd w:val="clear" w:color="auto" w:fill="auto"/>
            <w:vAlign w:val="center"/>
            <w:hideMark/>
          </w:tcPr>
          <w:p w14:paraId="0C3D10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129</w:t>
            </w:r>
          </w:p>
        </w:tc>
        <w:tc>
          <w:tcPr>
            <w:tcW w:w="968" w:type="dxa"/>
            <w:tcBorders>
              <w:top w:val="nil"/>
              <w:left w:val="nil"/>
              <w:bottom w:val="single" w:sz="4" w:space="0" w:color="auto"/>
              <w:right w:val="single" w:sz="4" w:space="0" w:color="auto"/>
            </w:tcBorders>
            <w:shd w:val="clear" w:color="auto" w:fill="auto"/>
            <w:vAlign w:val="center"/>
            <w:hideMark/>
          </w:tcPr>
          <w:p w14:paraId="1D9F165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25</w:t>
            </w:r>
          </w:p>
        </w:tc>
        <w:tc>
          <w:tcPr>
            <w:tcW w:w="1246" w:type="dxa"/>
            <w:tcBorders>
              <w:top w:val="nil"/>
              <w:left w:val="nil"/>
              <w:bottom w:val="single" w:sz="4" w:space="0" w:color="auto"/>
              <w:right w:val="single" w:sz="4" w:space="0" w:color="auto"/>
            </w:tcBorders>
            <w:shd w:val="clear" w:color="auto" w:fill="auto"/>
            <w:vAlign w:val="center"/>
            <w:hideMark/>
          </w:tcPr>
          <w:p w14:paraId="7B2945E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488" w:type="dxa"/>
            <w:tcBorders>
              <w:top w:val="nil"/>
              <w:left w:val="nil"/>
              <w:bottom w:val="single" w:sz="4" w:space="0" w:color="auto"/>
              <w:right w:val="single" w:sz="4" w:space="0" w:color="auto"/>
            </w:tcBorders>
            <w:shd w:val="clear" w:color="auto" w:fill="auto"/>
            <w:vAlign w:val="center"/>
            <w:hideMark/>
          </w:tcPr>
          <w:p w14:paraId="796C56A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138</w:t>
            </w:r>
          </w:p>
        </w:tc>
        <w:tc>
          <w:tcPr>
            <w:tcW w:w="1374" w:type="dxa"/>
            <w:tcBorders>
              <w:top w:val="nil"/>
              <w:left w:val="nil"/>
              <w:bottom w:val="single" w:sz="4" w:space="0" w:color="auto"/>
              <w:right w:val="single" w:sz="4" w:space="0" w:color="auto"/>
            </w:tcBorders>
            <w:shd w:val="clear" w:color="auto" w:fill="auto"/>
            <w:vAlign w:val="center"/>
            <w:hideMark/>
          </w:tcPr>
          <w:p w14:paraId="4C4568D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118</w:t>
            </w:r>
          </w:p>
        </w:tc>
        <w:tc>
          <w:tcPr>
            <w:tcW w:w="1133" w:type="dxa"/>
            <w:tcBorders>
              <w:top w:val="nil"/>
              <w:left w:val="nil"/>
              <w:bottom w:val="single" w:sz="4" w:space="0" w:color="auto"/>
              <w:right w:val="single" w:sz="4" w:space="0" w:color="auto"/>
            </w:tcBorders>
            <w:shd w:val="clear" w:color="auto" w:fill="auto"/>
            <w:vAlign w:val="center"/>
            <w:hideMark/>
          </w:tcPr>
          <w:p w14:paraId="1DD3B2A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182</w:t>
            </w:r>
          </w:p>
        </w:tc>
        <w:tc>
          <w:tcPr>
            <w:tcW w:w="306" w:type="dxa"/>
            <w:tcBorders>
              <w:top w:val="nil"/>
              <w:left w:val="nil"/>
              <w:bottom w:val="single" w:sz="4" w:space="0" w:color="auto"/>
              <w:right w:val="single" w:sz="4" w:space="0" w:color="auto"/>
            </w:tcBorders>
            <w:shd w:val="clear" w:color="auto" w:fill="auto"/>
            <w:vAlign w:val="center"/>
            <w:hideMark/>
          </w:tcPr>
          <w:p w14:paraId="5D7AAE5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w:t>
            </w:r>
          </w:p>
        </w:tc>
      </w:tr>
      <w:tr w:rsidR="00BC17A3" w:rsidRPr="00A546AD" w14:paraId="1A76EB0E"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7D7631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Palau</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D00C5E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144</w:t>
            </w:r>
          </w:p>
        </w:tc>
        <w:tc>
          <w:tcPr>
            <w:tcW w:w="1126" w:type="dxa"/>
            <w:tcBorders>
              <w:top w:val="nil"/>
              <w:left w:val="nil"/>
              <w:bottom w:val="single" w:sz="4" w:space="0" w:color="auto"/>
              <w:right w:val="single" w:sz="4" w:space="0" w:color="auto"/>
            </w:tcBorders>
            <w:shd w:val="clear" w:color="auto" w:fill="auto"/>
            <w:vAlign w:val="center"/>
            <w:hideMark/>
          </w:tcPr>
          <w:p w14:paraId="71B57F1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199" w:type="dxa"/>
            <w:tcBorders>
              <w:top w:val="nil"/>
              <w:left w:val="nil"/>
              <w:bottom w:val="single" w:sz="4" w:space="0" w:color="auto"/>
              <w:right w:val="single" w:sz="4" w:space="0" w:color="auto"/>
            </w:tcBorders>
            <w:shd w:val="clear" w:color="auto" w:fill="auto"/>
            <w:vAlign w:val="center"/>
            <w:hideMark/>
          </w:tcPr>
          <w:p w14:paraId="5AD89FF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129</w:t>
            </w:r>
          </w:p>
        </w:tc>
        <w:tc>
          <w:tcPr>
            <w:tcW w:w="1321" w:type="dxa"/>
            <w:tcBorders>
              <w:top w:val="nil"/>
              <w:left w:val="nil"/>
              <w:bottom w:val="single" w:sz="4" w:space="0" w:color="auto"/>
              <w:right w:val="single" w:sz="4" w:space="0" w:color="auto"/>
            </w:tcBorders>
            <w:shd w:val="clear" w:color="auto" w:fill="auto"/>
            <w:vAlign w:val="center"/>
            <w:hideMark/>
          </w:tcPr>
          <w:p w14:paraId="437CC8A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c>
          <w:tcPr>
            <w:tcW w:w="1221" w:type="dxa"/>
            <w:tcBorders>
              <w:top w:val="nil"/>
              <w:left w:val="nil"/>
              <w:bottom w:val="single" w:sz="4" w:space="0" w:color="auto"/>
              <w:right w:val="single" w:sz="4" w:space="0" w:color="auto"/>
            </w:tcBorders>
            <w:shd w:val="clear" w:color="auto" w:fill="auto"/>
            <w:vAlign w:val="center"/>
            <w:hideMark/>
          </w:tcPr>
          <w:p w14:paraId="252987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47</w:t>
            </w:r>
          </w:p>
        </w:tc>
        <w:tc>
          <w:tcPr>
            <w:tcW w:w="968" w:type="dxa"/>
            <w:tcBorders>
              <w:top w:val="nil"/>
              <w:left w:val="nil"/>
              <w:bottom w:val="single" w:sz="4" w:space="0" w:color="auto"/>
              <w:right w:val="single" w:sz="4" w:space="0" w:color="auto"/>
            </w:tcBorders>
            <w:shd w:val="clear" w:color="auto" w:fill="auto"/>
            <w:vAlign w:val="center"/>
            <w:hideMark/>
          </w:tcPr>
          <w:p w14:paraId="453D509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5C4A861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188</w:t>
            </w:r>
          </w:p>
        </w:tc>
        <w:tc>
          <w:tcPr>
            <w:tcW w:w="1488" w:type="dxa"/>
            <w:tcBorders>
              <w:top w:val="nil"/>
              <w:left w:val="nil"/>
              <w:bottom w:val="single" w:sz="4" w:space="0" w:color="auto"/>
              <w:right w:val="single" w:sz="4" w:space="0" w:color="auto"/>
            </w:tcBorders>
            <w:shd w:val="clear" w:color="auto" w:fill="auto"/>
            <w:vAlign w:val="center"/>
            <w:hideMark/>
          </w:tcPr>
          <w:p w14:paraId="32068E7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113</w:t>
            </w:r>
          </w:p>
        </w:tc>
        <w:tc>
          <w:tcPr>
            <w:tcW w:w="1374" w:type="dxa"/>
            <w:tcBorders>
              <w:top w:val="nil"/>
              <w:left w:val="nil"/>
              <w:bottom w:val="single" w:sz="4" w:space="0" w:color="auto"/>
              <w:right w:val="single" w:sz="4" w:space="0" w:color="auto"/>
            </w:tcBorders>
            <w:shd w:val="clear" w:color="auto" w:fill="auto"/>
            <w:vAlign w:val="center"/>
            <w:hideMark/>
          </w:tcPr>
          <w:p w14:paraId="40939BC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139</w:t>
            </w:r>
          </w:p>
        </w:tc>
        <w:tc>
          <w:tcPr>
            <w:tcW w:w="1133" w:type="dxa"/>
            <w:tcBorders>
              <w:top w:val="nil"/>
              <w:left w:val="nil"/>
              <w:bottom w:val="single" w:sz="4" w:space="0" w:color="auto"/>
              <w:right w:val="single" w:sz="4" w:space="0" w:color="auto"/>
            </w:tcBorders>
            <w:shd w:val="clear" w:color="auto" w:fill="auto"/>
            <w:vAlign w:val="center"/>
            <w:hideMark/>
          </w:tcPr>
          <w:p w14:paraId="79CD195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125</w:t>
            </w:r>
          </w:p>
        </w:tc>
        <w:tc>
          <w:tcPr>
            <w:tcW w:w="306" w:type="dxa"/>
            <w:tcBorders>
              <w:top w:val="nil"/>
              <w:left w:val="nil"/>
              <w:bottom w:val="single" w:sz="4" w:space="0" w:color="auto"/>
              <w:right w:val="single" w:sz="4" w:space="0" w:color="auto"/>
            </w:tcBorders>
            <w:shd w:val="clear" w:color="auto" w:fill="auto"/>
            <w:vAlign w:val="center"/>
            <w:hideMark/>
          </w:tcPr>
          <w:p w14:paraId="4C52AB0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166</w:t>
            </w:r>
          </w:p>
        </w:tc>
      </w:tr>
      <w:tr w:rsidR="00BC17A3" w:rsidRPr="00A546AD" w14:paraId="6BAD8E6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F24399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Grenada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BC18CC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145</w:t>
            </w:r>
          </w:p>
        </w:tc>
        <w:tc>
          <w:tcPr>
            <w:tcW w:w="1126" w:type="dxa"/>
            <w:tcBorders>
              <w:top w:val="nil"/>
              <w:left w:val="nil"/>
              <w:bottom w:val="single" w:sz="4" w:space="0" w:color="auto"/>
              <w:right w:val="single" w:sz="4" w:space="0" w:color="auto"/>
            </w:tcBorders>
            <w:shd w:val="clear" w:color="auto" w:fill="auto"/>
            <w:vAlign w:val="center"/>
            <w:hideMark/>
          </w:tcPr>
          <w:p w14:paraId="1B436A7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w:t>
            </w:r>
          </w:p>
        </w:tc>
        <w:tc>
          <w:tcPr>
            <w:tcW w:w="1199" w:type="dxa"/>
            <w:tcBorders>
              <w:top w:val="nil"/>
              <w:left w:val="nil"/>
              <w:bottom w:val="single" w:sz="4" w:space="0" w:color="auto"/>
              <w:right w:val="single" w:sz="4" w:space="0" w:color="auto"/>
            </w:tcBorders>
            <w:shd w:val="clear" w:color="auto" w:fill="auto"/>
            <w:vAlign w:val="center"/>
            <w:hideMark/>
          </w:tcPr>
          <w:p w14:paraId="04592B5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130</w:t>
            </w:r>
          </w:p>
        </w:tc>
        <w:tc>
          <w:tcPr>
            <w:tcW w:w="1321" w:type="dxa"/>
            <w:tcBorders>
              <w:top w:val="nil"/>
              <w:left w:val="nil"/>
              <w:bottom w:val="single" w:sz="4" w:space="0" w:color="auto"/>
              <w:right w:val="single" w:sz="4" w:space="0" w:color="auto"/>
            </w:tcBorders>
            <w:shd w:val="clear" w:color="auto" w:fill="auto"/>
            <w:vAlign w:val="center"/>
            <w:hideMark/>
          </w:tcPr>
          <w:p w14:paraId="6BE0214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w:t>
            </w:r>
          </w:p>
        </w:tc>
        <w:tc>
          <w:tcPr>
            <w:tcW w:w="1221" w:type="dxa"/>
            <w:tcBorders>
              <w:top w:val="nil"/>
              <w:left w:val="nil"/>
              <w:bottom w:val="single" w:sz="4" w:space="0" w:color="auto"/>
              <w:right w:val="single" w:sz="4" w:space="0" w:color="auto"/>
            </w:tcBorders>
            <w:shd w:val="clear" w:color="auto" w:fill="auto"/>
            <w:vAlign w:val="center"/>
            <w:hideMark/>
          </w:tcPr>
          <w:p w14:paraId="1068E8D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968" w:type="dxa"/>
            <w:tcBorders>
              <w:top w:val="nil"/>
              <w:left w:val="nil"/>
              <w:bottom w:val="single" w:sz="4" w:space="0" w:color="auto"/>
              <w:right w:val="single" w:sz="4" w:space="0" w:color="auto"/>
            </w:tcBorders>
            <w:shd w:val="clear" w:color="auto" w:fill="auto"/>
            <w:vAlign w:val="center"/>
            <w:hideMark/>
          </w:tcPr>
          <w:p w14:paraId="23B8A64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7DCF60B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1488" w:type="dxa"/>
            <w:tcBorders>
              <w:top w:val="nil"/>
              <w:left w:val="nil"/>
              <w:bottom w:val="single" w:sz="4" w:space="0" w:color="auto"/>
              <w:right w:val="single" w:sz="4" w:space="0" w:color="auto"/>
            </w:tcBorders>
            <w:shd w:val="clear" w:color="auto" w:fill="auto"/>
            <w:vAlign w:val="center"/>
            <w:hideMark/>
          </w:tcPr>
          <w:p w14:paraId="17BDF01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c>
          <w:tcPr>
            <w:tcW w:w="1374" w:type="dxa"/>
            <w:tcBorders>
              <w:top w:val="nil"/>
              <w:left w:val="nil"/>
              <w:bottom w:val="single" w:sz="4" w:space="0" w:color="auto"/>
              <w:right w:val="single" w:sz="4" w:space="0" w:color="auto"/>
            </w:tcBorders>
            <w:shd w:val="clear" w:color="auto" w:fill="auto"/>
            <w:vAlign w:val="center"/>
            <w:hideMark/>
          </w:tcPr>
          <w:p w14:paraId="6CAFC7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137</w:t>
            </w:r>
          </w:p>
        </w:tc>
        <w:tc>
          <w:tcPr>
            <w:tcW w:w="1133" w:type="dxa"/>
            <w:tcBorders>
              <w:top w:val="nil"/>
              <w:left w:val="nil"/>
              <w:bottom w:val="single" w:sz="4" w:space="0" w:color="auto"/>
              <w:right w:val="single" w:sz="4" w:space="0" w:color="auto"/>
            </w:tcBorders>
            <w:shd w:val="clear" w:color="auto" w:fill="auto"/>
            <w:vAlign w:val="center"/>
            <w:hideMark/>
          </w:tcPr>
          <w:p w14:paraId="2E78944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306" w:type="dxa"/>
            <w:tcBorders>
              <w:top w:val="nil"/>
              <w:left w:val="nil"/>
              <w:bottom w:val="single" w:sz="4" w:space="0" w:color="auto"/>
              <w:right w:val="single" w:sz="4" w:space="0" w:color="auto"/>
            </w:tcBorders>
            <w:shd w:val="clear" w:color="auto" w:fill="auto"/>
            <w:vAlign w:val="center"/>
            <w:hideMark/>
          </w:tcPr>
          <w:p w14:paraId="62DDA27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0502C65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C3E19C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Maldives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570D9C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146</w:t>
            </w:r>
          </w:p>
        </w:tc>
        <w:tc>
          <w:tcPr>
            <w:tcW w:w="1126" w:type="dxa"/>
            <w:tcBorders>
              <w:top w:val="nil"/>
              <w:left w:val="nil"/>
              <w:bottom w:val="single" w:sz="4" w:space="0" w:color="auto"/>
              <w:right w:val="single" w:sz="4" w:space="0" w:color="auto"/>
            </w:tcBorders>
            <w:shd w:val="clear" w:color="auto" w:fill="auto"/>
            <w:vAlign w:val="center"/>
            <w:hideMark/>
          </w:tcPr>
          <w:p w14:paraId="0560E2A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w:t>
            </w:r>
          </w:p>
        </w:tc>
        <w:tc>
          <w:tcPr>
            <w:tcW w:w="1199" w:type="dxa"/>
            <w:tcBorders>
              <w:top w:val="nil"/>
              <w:left w:val="nil"/>
              <w:bottom w:val="single" w:sz="4" w:space="0" w:color="auto"/>
              <w:right w:val="single" w:sz="4" w:space="0" w:color="auto"/>
            </w:tcBorders>
            <w:shd w:val="clear" w:color="auto" w:fill="auto"/>
            <w:vAlign w:val="center"/>
            <w:hideMark/>
          </w:tcPr>
          <w:p w14:paraId="70E3A4F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63</w:t>
            </w:r>
          </w:p>
        </w:tc>
        <w:tc>
          <w:tcPr>
            <w:tcW w:w="1321" w:type="dxa"/>
            <w:tcBorders>
              <w:top w:val="nil"/>
              <w:left w:val="nil"/>
              <w:bottom w:val="single" w:sz="4" w:space="0" w:color="auto"/>
              <w:right w:val="single" w:sz="4" w:space="0" w:color="auto"/>
            </w:tcBorders>
            <w:shd w:val="clear" w:color="auto" w:fill="auto"/>
            <w:vAlign w:val="center"/>
            <w:hideMark/>
          </w:tcPr>
          <w:p w14:paraId="683B729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149</w:t>
            </w:r>
          </w:p>
        </w:tc>
        <w:tc>
          <w:tcPr>
            <w:tcW w:w="1221" w:type="dxa"/>
            <w:tcBorders>
              <w:top w:val="nil"/>
              <w:left w:val="nil"/>
              <w:bottom w:val="single" w:sz="4" w:space="0" w:color="auto"/>
              <w:right w:val="single" w:sz="4" w:space="0" w:color="auto"/>
            </w:tcBorders>
            <w:shd w:val="clear" w:color="auto" w:fill="auto"/>
            <w:vAlign w:val="center"/>
            <w:hideMark/>
          </w:tcPr>
          <w:p w14:paraId="4BA7D7C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968" w:type="dxa"/>
            <w:tcBorders>
              <w:top w:val="nil"/>
              <w:left w:val="nil"/>
              <w:bottom w:val="single" w:sz="4" w:space="0" w:color="auto"/>
              <w:right w:val="single" w:sz="4" w:space="0" w:color="auto"/>
            </w:tcBorders>
            <w:shd w:val="clear" w:color="auto" w:fill="auto"/>
            <w:vAlign w:val="center"/>
            <w:hideMark/>
          </w:tcPr>
          <w:p w14:paraId="010EE89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246" w:type="dxa"/>
            <w:tcBorders>
              <w:top w:val="nil"/>
              <w:left w:val="nil"/>
              <w:bottom w:val="single" w:sz="4" w:space="0" w:color="auto"/>
              <w:right w:val="single" w:sz="4" w:space="0" w:color="auto"/>
            </w:tcBorders>
            <w:shd w:val="clear" w:color="auto" w:fill="auto"/>
            <w:vAlign w:val="center"/>
            <w:hideMark/>
          </w:tcPr>
          <w:p w14:paraId="33FD617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1488" w:type="dxa"/>
            <w:tcBorders>
              <w:top w:val="nil"/>
              <w:left w:val="nil"/>
              <w:bottom w:val="single" w:sz="4" w:space="0" w:color="auto"/>
              <w:right w:val="single" w:sz="4" w:space="0" w:color="auto"/>
            </w:tcBorders>
            <w:shd w:val="clear" w:color="auto" w:fill="auto"/>
            <w:vAlign w:val="center"/>
            <w:hideMark/>
          </w:tcPr>
          <w:p w14:paraId="1A8FE03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374" w:type="dxa"/>
            <w:tcBorders>
              <w:top w:val="nil"/>
              <w:left w:val="nil"/>
              <w:bottom w:val="single" w:sz="4" w:space="0" w:color="auto"/>
              <w:right w:val="single" w:sz="4" w:space="0" w:color="auto"/>
            </w:tcBorders>
            <w:shd w:val="clear" w:color="auto" w:fill="auto"/>
            <w:vAlign w:val="center"/>
            <w:hideMark/>
          </w:tcPr>
          <w:p w14:paraId="1C98FA0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1133" w:type="dxa"/>
            <w:tcBorders>
              <w:top w:val="nil"/>
              <w:left w:val="nil"/>
              <w:bottom w:val="single" w:sz="4" w:space="0" w:color="auto"/>
              <w:right w:val="single" w:sz="4" w:space="0" w:color="auto"/>
            </w:tcBorders>
            <w:shd w:val="clear" w:color="auto" w:fill="auto"/>
            <w:vAlign w:val="center"/>
            <w:hideMark/>
          </w:tcPr>
          <w:p w14:paraId="33BDAE0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124</w:t>
            </w:r>
          </w:p>
        </w:tc>
        <w:tc>
          <w:tcPr>
            <w:tcW w:w="306" w:type="dxa"/>
            <w:tcBorders>
              <w:top w:val="nil"/>
              <w:left w:val="nil"/>
              <w:bottom w:val="single" w:sz="4" w:space="0" w:color="auto"/>
              <w:right w:val="single" w:sz="4" w:space="0" w:color="auto"/>
            </w:tcBorders>
            <w:shd w:val="clear" w:color="auto" w:fill="auto"/>
            <w:vAlign w:val="center"/>
            <w:hideMark/>
          </w:tcPr>
          <w:p w14:paraId="0ECA614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141</w:t>
            </w:r>
          </w:p>
        </w:tc>
      </w:tr>
      <w:tr w:rsidR="00BC17A3" w:rsidRPr="00A546AD" w14:paraId="175F8B52"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680864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Mali</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BAC6BF6"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147</w:t>
            </w:r>
          </w:p>
        </w:tc>
        <w:tc>
          <w:tcPr>
            <w:tcW w:w="1126" w:type="dxa"/>
            <w:tcBorders>
              <w:top w:val="nil"/>
              <w:left w:val="nil"/>
              <w:bottom w:val="single" w:sz="4" w:space="0" w:color="auto"/>
              <w:right w:val="single" w:sz="4" w:space="0" w:color="auto"/>
            </w:tcBorders>
            <w:shd w:val="clear" w:color="auto" w:fill="auto"/>
            <w:vAlign w:val="center"/>
            <w:hideMark/>
          </w:tcPr>
          <w:p w14:paraId="40B678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124</w:t>
            </w:r>
          </w:p>
        </w:tc>
        <w:tc>
          <w:tcPr>
            <w:tcW w:w="1199" w:type="dxa"/>
            <w:tcBorders>
              <w:top w:val="nil"/>
              <w:left w:val="nil"/>
              <w:bottom w:val="single" w:sz="4" w:space="0" w:color="auto"/>
              <w:right w:val="single" w:sz="4" w:space="0" w:color="auto"/>
            </w:tcBorders>
            <w:shd w:val="clear" w:color="auto" w:fill="auto"/>
            <w:vAlign w:val="center"/>
            <w:hideMark/>
          </w:tcPr>
          <w:p w14:paraId="3338144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133</w:t>
            </w:r>
          </w:p>
        </w:tc>
        <w:tc>
          <w:tcPr>
            <w:tcW w:w="1321" w:type="dxa"/>
            <w:tcBorders>
              <w:top w:val="nil"/>
              <w:left w:val="nil"/>
              <w:bottom w:val="single" w:sz="4" w:space="0" w:color="auto"/>
              <w:right w:val="single" w:sz="4" w:space="0" w:color="auto"/>
            </w:tcBorders>
            <w:shd w:val="clear" w:color="auto" w:fill="auto"/>
            <w:vAlign w:val="center"/>
            <w:hideMark/>
          </w:tcPr>
          <w:p w14:paraId="096E66E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161</w:t>
            </w:r>
          </w:p>
        </w:tc>
        <w:tc>
          <w:tcPr>
            <w:tcW w:w="1221" w:type="dxa"/>
            <w:tcBorders>
              <w:top w:val="nil"/>
              <w:left w:val="nil"/>
              <w:bottom w:val="single" w:sz="4" w:space="0" w:color="auto"/>
              <w:right w:val="single" w:sz="4" w:space="0" w:color="auto"/>
            </w:tcBorders>
            <w:shd w:val="clear" w:color="auto" w:fill="auto"/>
            <w:vAlign w:val="center"/>
            <w:hideMark/>
          </w:tcPr>
          <w:p w14:paraId="6B6E322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140</w:t>
            </w:r>
          </w:p>
        </w:tc>
        <w:tc>
          <w:tcPr>
            <w:tcW w:w="968" w:type="dxa"/>
            <w:tcBorders>
              <w:top w:val="nil"/>
              <w:left w:val="nil"/>
              <w:bottom w:val="single" w:sz="4" w:space="0" w:color="auto"/>
              <w:right w:val="single" w:sz="4" w:space="0" w:color="auto"/>
            </w:tcBorders>
            <w:shd w:val="clear" w:color="auto" w:fill="auto"/>
            <w:vAlign w:val="center"/>
            <w:hideMark/>
          </w:tcPr>
          <w:p w14:paraId="7D86457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23242E5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488" w:type="dxa"/>
            <w:tcBorders>
              <w:top w:val="nil"/>
              <w:left w:val="nil"/>
              <w:bottom w:val="single" w:sz="4" w:space="0" w:color="auto"/>
              <w:right w:val="single" w:sz="4" w:space="0" w:color="auto"/>
            </w:tcBorders>
            <w:shd w:val="clear" w:color="auto" w:fill="auto"/>
            <w:vAlign w:val="center"/>
            <w:hideMark/>
          </w:tcPr>
          <w:p w14:paraId="3E1385E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173</w:t>
            </w:r>
          </w:p>
        </w:tc>
        <w:tc>
          <w:tcPr>
            <w:tcW w:w="1374" w:type="dxa"/>
            <w:tcBorders>
              <w:top w:val="nil"/>
              <w:left w:val="nil"/>
              <w:bottom w:val="single" w:sz="4" w:space="0" w:color="auto"/>
              <w:right w:val="single" w:sz="4" w:space="0" w:color="auto"/>
            </w:tcBorders>
            <w:shd w:val="clear" w:color="auto" w:fill="auto"/>
            <w:vAlign w:val="center"/>
            <w:hideMark/>
          </w:tcPr>
          <w:p w14:paraId="0E0563F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w:t>
            </w:r>
          </w:p>
        </w:tc>
        <w:tc>
          <w:tcPr>
            <w:tcW w:w="1133" w:type="dxa"/>
            <w:tcBorders>
              <w:top w:val="nil"/>
              <w:left w:val="nil"/>
              <w:bottom w:val="single" w:sz="4" w:space="0" w:color="auto"/>
              <w:right w:val="single" w:sz="4" w:space="0" w:color="auto"/>
            </w:tcBorders>
            <w:shd w:val="clear" w:color="auto" w:fill="auto"/>
            <w:vAlign w:val="center"/>
            <w:hideMark/>
          </w:tcPr>
          <w:p w14:paraId="7FD7A05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159</w:t>
            </w:r>
          </w:p>
        </w:tc>
        <w:tc>
          <w:tcPr>
            <w:tcW w:w="306" w:type="dxa"/>
            <w:tcBorders>
              <w:top w:val="nil"/>
              <w:left w:val="nil"/>
              <w:bottom w:val="single" w:sz="4" w:space="0" w:color="auto"/>
              <w:right w:val="single" w:sz="4" w:space="0" w:color="auto"/>
            </w:tcBorders>
            <w:shd w:val="clear" w:color="auto" w:fill="auto"/>
            <w:vAlign w:val="center"/>
            <w:hideMark/>
          </w:tcPr>
          <w:p w14:paraId="0E2E0AC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102</w:t>
            </w:r>
          </w:p>
        </w:tc>
      </w:tr>
      <w:tr w:rsidR="00BC17A3" w:rsidRPr="00A546AD" w14:paraId="7AE40D33"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770904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Benin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45B8BD8"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148</w:t>
            </w:r>
          </w:p>
        </w:tc>
        <w:tc>
          <w:tcPr>
            <w:tcW w:w="1126" w:type="dxa"/>
            <w:tcBorders>
              <w:top w:val="nil"/>
              <w:left w:val="nil"/>
              <w:bottom w:val="single" w:sz="4" w:space="0" w:color="auto"/>
              <w:right w:val="single" w:sz="4" w:space="0" w:color="auto"/>
            </w:tcBorders>
            <w:shd w:val="clear" w:color="auto" w:fill="auto"/>
            <w:vAlign w:val="center"/>
            <w:hideMark/>
          </w:tcPr>
          <w:p w14:paraId="0710C31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w:t>
            </w:r>
          </w:p>
        </w:tc>
        <w:tc>
          <w:tcPr>
            <w:tcW w:w="1199" w:type="dxa"/>
            <w:tcBorders>
              <w:top w:val="nil"/>
              <w:left w:val="nil"/>
              <w:bottom w:val="single" w:sz="4" w:space="0" w:color="auto"/>
              <w:right w:val="single" w:sz="4" w:space="0" w:color="auto"/>
            </w:tcBorders>
            <w:shd w:val="clear" w:color="auto" w:fill="auto"/>
            <w:vAlign w:val="center"/>
            <w:hideMark/>
          </w:tcPr>
          <w:p w14:paraId="29186F1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82</w:t>
            </w:r>
          </w:p>
        </w:tc>
        <w:tc>
          <w:tcPr>
            <w:tcW w:w="1321" w:type="dxa"/>
            <w:tcBorders>
              <w:top w:val="nil"/>
              <w:left w:val="nil"/>
              <w:bottom w:val="single" w:sz="4" w:space="0" w:color="auto"/>
              <w:right w:val="single" w:sz="4" w:space="0" w:color="auto"/>
            </w:tcBorders>
            <w:shd w:val="clear" w:color="auto" w:fill="auto"/>
            <w:vAlign w:val="center"/>
            <w:hideMark/>
          </w:tcPr>
          <w:p w14:paraId="2969BDB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178</w:t>
            </w:r>
          </w:p>
        </w:tc>
        <w:tc>
          <w:tcPr>
            <w:tcW w:w="1221" w:type="dxa"/>
            <w:tcBorders>
              <w:top w:val="nil"/>
              <w:left w:val="nil"/>
              <w:bottom w:val="single" w:sz="4" w:space="0" w:color="auto"/>
              <w:right w:val="single" w:sz="4" w:space="0" w:color="auto"/>
            </w:tcBorders>
            <w:shd w:val="clear" w:color="auto" w:fill="auto"/>
            <w:vAlign w:val="center"/>
            <w:hideMark/>
          </w:tcPr>
          <w:p w14:paraId="58A0B7F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126</w:t>
            </w:r>
          </w:p>
        </w:tc>
        <w:tc>
          <w:tcPr>
            <w:tcW w:w="968" w:type="dxa"/>
            <w:tcBorders>
              <w:top w:val="nil"/>
              <w:left w:val="nil"/>
              <w:bottom w:val="single" w:sz="4" w:space="0" w:color="auto"/>
              <w:right w:val="single" w:sz="4" w:space="0" w:color="auto"/>
            </w:tcBorders>
            <w:shd w:val="clear" w:color="auto" w:fill="auto"/>
            <w:vAlign w:val="center"/>
            <w:hideMark/>
          </w:tcPr>
          <w:p w14:paraId="28BED42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3BDCB57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488" w:type="dxa"/>
            <w:tcBorders>
              <w:top w:val="nil"/>
              <w:left w:val="nil"/>
              <w:bottom w:val="single" w:sz="4" w:space="0" w:color="auto"/>
              <w:right w:val="single" w:sz="4" w:space="0" w:color="auto"/>
            </w:tcBorders>
            <w:shd w:val="clear" w:color="auto" w:fill="auto"/>
            <w:vAlign w:val="center"/>
            <w:hideMark/>
          </w:tcPr>
          <w:p w14:paraId="1D29F73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171</w:t>
            </w:r>
          </w:p>
        </w:tc>
        <w:tc>
          <w:tcPr>
            <w:tcW w:w="1374" w:type="dxa"/>
            <w:tcBorders>
              <w:top w:val="nil"/>
              <w:left w:val="nil"/>
              <w:bottom w:val="single" w:sz="4" w:space="0" w:color="auto"/>
              <w:right w:val="single" w:sz="4" w:space="0" w:color="auto"/>
            </w:tcBorders>
            <w:shd w:val="clear" w:color="auto" w:fill="auto"/>
            <w:vAlign w:val="center"/>
            <w:hideMark/>
          </w:tcPr>
          <w:p w14:paraId="6DFDA4D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110</w:t>
            </w:r>
          </w:p>
        </w:tc>
        <w:tc>
          <w:tcPr>
            <w:tcW w:w="1133" w:type="dxa"/>
            <w:tcBorders>
              <w:top w:val="nil"/>
              <w:left w:val="nil"/>
              <w:bottom w:val="single" w:sz="4" w:space="0" w:color="auto"/>
              <w:right w:val="single" w:sz="4" w:space="0" w:color="auto"/>
            </w:tcBorders>
            <w:shd w:val="clear" w:color="auto" w:fill="auto"/>
            <w:vAlign w:val="center"/>
            <w:hideMark/>
          </w:tcPr>
          <w:p w14:paraId="36A8A35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306" w:type="dxa"/>
            <w:tcBorders>
              <w:top w:val="nil"/>
              <w:left w:val="nil"/>
              <w:bottom w:val="single" w:sz="4" w:space="0" w:color="auto"/>
              <w:right w:val="single" w:sz="4" w:space="0" w:color="auto"/>
            </w:tcBorders>
            <w:shd w:val="clear" w:color="auto" w:fill="auto"/>
            <w:vAlign w:val="center"/>
            <w:hideMark/>
          </w:tcPr>
          <w:p w14:paraId="7E9024E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108</w:t>
            </w:r>
          </w:p>
        </w:tc>
      </w:tr>
      <w:tr w:rsidR="00BC17A3" w:rsidRPr="00A546AD" w14:paraId="53D06346"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9DB5DB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Bolivia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FA7A0A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149</w:t>
            </w:r>
          </w:p>
        </w:tc>
        <w:tc>
          <w:tcPr>
            <w:tcW w:w="1126" w:type="dxa"/>
            <w:tcBorders>
              <w:top w:val="nil"/>
              <w:left w:val="nil"/>
              <w:bottom w:val="single" w:sz="4" w:space="0" w:color="auto"/>
              <w:right w:val="single" w:sz="4" w:space="0" w:color="auto"/>
            </w:tcBorders>
            <w:shd w:val="clear" w:color="auto" w:fill="auto"/>
            <w:vAlign w:val="center"/>
            <w:hideMark/>
          </w:tcPr>
          <w:p w14:paraId="2CCC139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175</w:t>
            </w:r>
          </w:p>
        </w:tc>
        <w:tc>
          <w:tcPr>
            <w:tcW w:w="1199" w:type="dxa"/>
            <w:tcBorders>
              <w:top w:val="nil"/>
              <w:left w:val="nil"/>
              <w:bottom w:val="single" w:sz="4" w:space="0" w:color="auto"/>
              <w:right w:val="single" w:sz="4" w:space="0" w:color="auto"/>
            </w:tcBorders>
            <w:shd w:val="clear" w:color="auto" w:fill="auto"/>
            <w:vAlign w:val="center"/>
            <w:hideMark/>
          </w:tcPr>
          <w:p w14:paraId="2C17922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139</w:t>
            </w:r>
          </w:p>
        </w:tc>
        <w:tc>
          <w:tcPr>
            <w:tcW w:w="1321" w:type="dxa"/>
            <w:tcBorders>
              <w:top w:val="nil"/>
              <w:left w:val="nil"/>
              <w:bottom w:val="single" w:sz="4" w:space="0" w:color="auto"/>
              <w:right w:val="single" w:sz="4" w:space="0" w:color="auto"/>
            </w:tcBorders>
            <w:shd w:val="clear" w:color="auto" w:fill="auto"/>
            <w:vAlign w:val="center"/>
            <w:hideMark/>
          </w:tcPr>
          <w:p w14:paraId="1F4E619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w:t>
            </w:r>
          </w:p>
        </w:tc>
        <w:tc>
          <w:tcPr>
            <w:tcW w:w="1221" w:type="dxa"/>
            <w:tcBorders>
              <w:top w:val="nil"/>
              <w:left w:val="nil"/>
              <w:bottom w:val="single" w:sz="4" w:space="0" w:color="auto"/>
              <w:right w:val="single" w:sz="4" w:space="0" w:color="auto"/>
            </w:tcBorders>
            <w:shd w:val="clear" w:color="auto" w:fill="auto"/>
            <w:vAlign w:val="center"/>
            <w:hideMark/>
          </w:tcPr>
          <w:p w14:paraId="1D01E6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148</w:t>
            </w:r>
          </w:p>
        </w:tc>
        <w:tc>
          <w:tcPr>
            <w:tcW w:w="968" w:type="dxa"/>
            <w:tcBorders>
              <w:top w:val="nil"/>
              <w:left w:val="nil"/>
              <w:bottom w:val="single" w:sz="4" w:space="0" w:color="auto"/>
              <w:right w:val="single" w:sz="4" w:space="0" w:color="auto"/>
            </w:tcBorders>
            <w:shd w:val="clear" w:color="auto" w:fill="auto"/>
            <w:vAlign w:val="center"/>
            <w:hideMark/>
          </w:tcPr>
          <w:p w14:paraId="6CF4626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246" w:type="dxa"/>
            <w:tcBorders>
              <w:top w:val="nil"/>
              <w:left w:val="nil"/>
              <w:bottom w:val="single" w:sz="4" w:space="0" w:color="auto"/>
              <w:right w:val="single" w:sz="4" w:space="0" w:color="auto"/>
            </w:tcBorders>
            <w:shd w:val="clear" w:color="auto" w:fill="auto"/>
            <w:vAlign w:val="center"/>
            <w:hideMark/>
          </w:tcPr>
          <w:p w14:paraId="767052E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c>
          <w:tcPr>
            <w:tcW w:w="1488" w:type="dxa"/>
            <w:tcBorders>
              <w:top w:val="nil"/>
              <w:left w:val="nil"/>
              <w:bottom w:val="single" w:sz="4" w:space="0" w:color="auto"/>
              <w:right w:val="single" w:sz="4" w:space="0" w:color="auto"/>
            </w:tcBorders>
            <w:shd w:val="clear" w:color="auto" w:fill="auto"/>
            <w:vAlign w:val="center"/>
            <w:hideMark/>
          </w:tcPr>
          <w:p w14:paraId="4E292C0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374" w:type="dxa"/>
            <w:tcBorders>
              <w:top w:val="nil"/>
              <w:left w:val="nil"/>
              <w:bottom w:val="single" w:sz="4" w:space="0" w:color="auto"/>
              <w:right w:val="single" w:sz="4" w:space="0" w:color="auto"/>
            </w:tcBorders>
            <w:shd w:val="clear" w:color="auto" w:fill="auto"/>
            <w:vAlign w:val="center"/>
            <w:hideMark/>
          </w:tcPr>
          <w:p w14:paraId="1C8AE6B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w:t>
            </w:r>
          </w:p>
        </w:tc>
        <w:tc>
          <w:tcPr>
            <w:tcW w:w="1133" w:type="dxa"/>
            <w:tcBorders>
              <w:top w:val="nil"/>
              <w:left w:val="nil"/>
              <w:bottom w:val="single" w:sz="4" w:space="0" w:color="auto"/>
              <w:right w:val="single" w:sz="4" w:space="0" w:color="auto"/>
            </w:tcBorders>
            <w:shd w:val="clear" w:color="auto" w:fill="auto"/>
            <w:vAlign w:val="center"/>
            <w:hideMark/>
          </w:tcPr>
          <w:p w14:paraId="17C253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109</w:t>
            </w:r>
          </w:p>
        </w:tc>
        <w:tc>
          <w:tcPr>
            <w:tcW w:w="306" w:type="dxa"/>
            <w:tcBorders>
              <w:top w:val="nil"/>
              <w:left w:val="nil"/>
              <w:bottom w:val="single" w:sz="4" w:space="0" w:color="auto"/>
              <w:right w:val="single" w:sz="4" w:space="0" w:color="auto"/>
            </w:tcBorders>
            <w:shd w:val="clear" w:color="auto" w:fill="auto"/>
            <w:vAlign w:val="center"/>
            <w:hideMark/>
          </w:tcPr>
          <w:p w14:paraId="1514A37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103</w:t>
            </w:r>
          </w:p>
        </w:tc>
      </w:tr>
      <w:tr w:rsidR="00BC17A3" w:rsidRPr="00A546AD" w14:paraId="459BB47A"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C7D5A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Burkina</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Faso</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FF6AA4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150</w:t>
            </w:r>
          </w:p>
        </w:tc>
        <w:tc>
          <w:tcPr>
            <w:tcW w:w="1126" w:type="dxa"/>
            <w:tcBorders>
              <w:top w:val="nil"/>
              <w:left w:val="nil"/>
              <w:bottom w:val="single" w:sz="4" w:space="0" w:color="auto"/>
              <w:right w:val="single" w:sz="4" w:space="0" w:color="auto"/>
            </w:tcBorders>
            <w:shd w:val="clear" w:color="auto" w:fill="auto"/>
            <w:vAlign w:val="center"/>
            <w:hideMark/>
          </w:tcPr>
          <w:p w14:paraId="64F04C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1199" w:type="dxa"/>
            <w:tcBorders>
              <w:top w:val="nil"/>
              <w:left w:val="nil"/>
              <w:bottom w:val="single" w:sz="4" w:space="0" w:color="auto"/>
              <w:right w:val="single" w:sz="4" w:space="0" w:color="auto"/>
            </w:tcBorders>
            <w:shd w:val="clear" w:color="auto" w:fill="auto"/>
            <w:vAlign w:val="center"/>
            <w:hideMark/>
          </w:tcPr>
          <w:p w14:paraId="71BE2B0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w:t>
            </w:r>
          </w:p>
        </w:tc>
        <w:tc>
          <w:tcPr>
            <w:tcW w:w="1321" w:type="dxa"/>
            <w:tcBorders>
              <w:top w:val="nil"/>
              <w:left w:val="nil"/>
              <w:bottom w:val="single" w:sz="4" w:space="0" w:color="auto"/>
              <w:right w:val="single" w:sz="4" w:space="0" w:color="auto"/>
            </w:tcBorders>
            <w:shd w:val="clear" w:color="auto" w:fill="auto"/>
            <w:vAlign w:val="center"/>
            <w:hideMark/>
          </w:tcPr>
          <w:p w14:paraId="2786C43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183</w:t>
            </w:r>
          </w:p>
        </w:tc>
        <w:tc>
          <w:tcPr>
            <w:tcW w:w="1221" w:type="dxa"/>
            <w:tcBorders>
              <w:top w:val="nil"/>
              <w:left w:val="nil"/>
              <w:bottom w:val="single" w:sz="4" w:space="0" w:color="auto"/>
              <w:right w:val="single" w:sz="4" w:space="0" w:color="auto"/>
            </w:tcBorders>
            <w:shd w:val="clear" w:color="auto" w:fill="auto"/>
            <w:vAlign w:val="center"/>
            <w:hideMark/>
          </w:tcPr>
          <w:p w14:paraId="7821CC2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141</w:t>
            </w:r>
          </w:p>
        </w:tc>
        <w:tc>
          <w:tcPr>
            <w:tcW w:w="968" w:type="dxa"/>
            <w:tcBorders>
              <w:top w:val="nil"/>
              <w:left w:val="nil"/>
              <w:bottom w:val="single" w:sz="4" w:space="0" w:color="auto"/>
              <w:right w:val="single" w:sz="4" w:space="0" w:color="auto"/>
            </w:tcBorders>
            <w:shd w:val="clear" w:color="auto" w:fill="auto"/>
            <w:vAlign w:val="center"/>
            <w:hideMark/>
          </w:tcPr>
          <w:p w14:paraId="43A1655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21B9493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488" w:type="dxa"/>
            <w:tcBorders>
              <w:top w:val="nil"/>
              <w:left w:val="nil"/>
              <w:bottom w:val="single" w:sz="4" w:space="0" w:color="auto"/>
              <w:right w:val="single" w:sz="4" w:space="0" w:color="auto"/>
            </w:tcBorders>
            <w:shd w:val="clear" w:color="auto" w:fill="auto"/>
            <w:vAlign w:val="center"/>
            <w:hideMark/>
          </w:tcPr>
          <w:p w14:paraId="5C3AACE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154</w:t>
            </w:r>
          </w:p>
        </w:tc>
        <w:tc>
          <w:tcPr>
            <w:tcW w:w="1374" w:type="dxa"/>
            <w:tcBorders>
              <w:top w:val="nil"/>
              <w:left w:val="nil"/>
              <w:bottom w:val="single" w:sz="4" w:space="0" w:color="auto"/>
              <w:right w:val="single" w:sz="4" w:space="0" w:color="auto"/>
            </w:tcBorders>
            <w:shd w:val="clear" w:color="auto" w:fill="auto"/>
            <w:vAlign w:val="center"/>
            <w:hideMark/>
          </w:tcPr>
          <w:p w14:paraId="5208FA2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122</w:t>
            </w:r>
          </w:p>
        </w:tc>
        <w:tc>
          <w:tcPr>
            <w:tcW w:w="1133" w:type="dxa"/>
            <w:tcBorders>
              <w:top w:val="nil"/>
              <w:left w:val="nil"/>
              <w:bottom w:val="single" w:sz="4" w:space="0" w:color="auto"/>
              <w:right w:val="single" w:sz="4" w:space="0" w:color="auto"/>
            </w:tcBorders>
            <w:shd w:val="clear" w:color="auto" w:fill="auto"/>
            <w:vAlign w:val="center"/>
            <w:hideMark/>
          </w:tcPr>
          <w:p w14:paraId="3D71A64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306" w:type="dxa"/>
            <w:tcBorders>
              <w:top w:val="nil"/>
              <w:left w:val="nil"/>
              <w:bottom w:val="single" w:sz="4" w:space="0" w:color="auto"/>
              <w:right w:val="single" w:sz="4" w:space="0" w:color="auto"/>
            </w:tcBorders>
            <w:shd w:val="clear" w:color="auto" w:fill="auto"/>
            <w:vAlign w:val="center"/>
            <w:hideMark/>
          </w:tcPr>
          <w:p w14:paraId="4C03B74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109</w:t>
            </w:r>
          </w:p>
        </w:tc>
      </w:tr>
      <w:tr w:rsidR="00BC17A3" w:rsidRPr="00A546AD" w14:paraId="073D65D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1678C4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Mauritania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C7E59F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151</w:t>
            </w:r>
          </w:p>
        </w:tc>
        <w:tc>
          <w:tcPr>
            <w:tcW w:w="1126" w:type="dxa"/>
            <w:tcBorders>
              <w:top w:val="nil"/>
              <w:left w:val="nil"/>
              <w:bottom w:val="single" w:sz="4" w:space="0" w:color="auto"/>
              <w:right w:val="single" w:sz="4" w:space="0" w:color="auto"/>
            </w:tcBorders>
            <w:shd w:val="clear" w:color="auto" w:fill="auto"/>
            <w:vAlign w:val="center"/>
            <w:hideMark/>
          </w:tcPr>
          <w:p w14:paraId="164E13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49</w:t>
            </w:r>
          </w:p>
        </w:tc>
        <w:tc>
          <w:tcPr>
            <w:tcW w:w="1199" w:type="dxa"/>
            <w:tcBorders>
              <w:top w:val="nil"/>
              <w:left w:val="nil"/>
              <w:bottom w:val="single" w:sz="4" w:space="0" w:color="auto"/>
              <w:right w:val="single" w:sz="4" w:space="0" w:color="auto"/>
            </w:tcBorders>
            <w:shd w:val="clear" w:color="auto" w:fill="auto"/>
            <w:vAlign w:val="center"/>
            <w:hideMark/>
          </w:tcPr>
          <w:p w14:paraId="4C3F9EA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109</w:t>
            </w:r>
          </w:p>
        </w:tc>
        <w:tc>
          <w:tcPr>
            <w:tcW w:w="1321" w:type="dxa"/>
            <w:tcBorders>
              <w:top w:val="nil"/>
              <w:left w:val="nil"/>
              <w:bottom w:val="single" w:sz="4" w:space="0" w:color="auto"/>
              <w:right w:val="single" w:sz="4" w:space="0" w:color="auto"/>
            </w:tcBorders>
            <w:shd w:val="clear" w:color="auto" w:fill="auto"/>
            <w:vAlign w:val="center"/>
            <w:hideMark/>
          </w:tcPr>
          <w:p w14:paraId="3FB5DD6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166</w:t>
            </w:r>
          </w:p>
        </w:tc>
        <w:tc>
          <w:tcPr>
            <w:tcW w:w="1221" w:type="dxa"/>
            <w:tcBorders>
              <w:top w:val="nil"/>
              <w:left w:val="nil"/>
              <w:bottom w:val="single" w:sz="4" w:space="0" w:color="auto"/>
              <w:right w:val="single" w:sz="4" w:space="0" w:color="auto"/>
            </w:tcBorders>
            <w:shd w:val="clear" w:color="auto" w:fill="auto"/>
            <w:vAlign w:val="center"/>
            <w:hideMark/>
          </w:tcPr>
          <w:p w14:paraId="3EFAD05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103</w:t>
            </w:r>
          </w:p>
        </w:tc>
        <w:tc>
          <w:tcPr>
            <w:tcW w:w="968" w:type="dxa"/>
            <w:tcBorders>
              <w:top w:val="nil"/>
              <w:left w:val="nil"/>
              <w:bottom w:val="single" w:sz="4" w:space="0" w:color="auto"/>
              <w:right w:val="single" w:sz="4" w:space="0" w:color="auto"/>
            </w:tcBorders>
            <w:shd w:val="clear" w:color="auto" w:fill="auto"/>
            <w:vAlign w:val="center"/>
            <w:hideMark/>
          </w:tcPr>
          <w:p w14:paraId="37178E5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1DBC9F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1488" w:type="dxa"/>
            <w:tcBorders>
              <w:top w:val="nil"/>
              <w:left w:val="nil"/>
              <w:bottom w:val="single" w:sz="4" w:space="0" w:color="auto"/>
              <w:right w:val="single" w:sz="4" w:space="0" w:color="auto"/>
            </w:tcBorders>
            <w:shd w:val="clear" w:color="auto" w:fill="auto"/>
            <w:vAlign w:val="center"/>
            <w:hideMark/>
          </w:tcPr>
          <w:p w14:paraId="6845DA2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177</w:t>
            </w:r>
          </w:p>
        </w:tc>
        <w:tc>
          <w:tcPr>
            <w:tcW w:w="1374" w:type="dxa"/>
            <w:tcBorders>
              <w:top w:val="nil"/>
              <w:left w:val="nil"/>
              <w:bottom w:val="single" w:sz="4" w:space="0" w:color="auto"/>
              <w:right w:val="single" w:sz="4" w:space="0" w:color="auto"/>
            </w:tcBorders>
            <w:shd w:val="clear" w:color="auto" w:fill="auto"/>
            <w:vAlign w:val="center"/>
            <w:hideMark/>
          </w:tcPr>
          <w:p w14:paraId="5ACE059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133" w:type="dxa"/>
            <w:tcBorders>
              <w:top w:val="nil"/>
              <w:left w:val="nil"/>
              <w:bottom w:val="single" w:sz="4" w:space="0" w:color="auto"/>
              <w:right w:val="single" w:sz="4" w:space="0" w:color="auto"/>
            </w:tcBorders>
            <w:shd w:val="clear" w:color="auto" w:fill="auto"/>
            <w:vAlign w:val="center"/>
            <w:hideMark/>
          </w:tcPr>
          <w:p w14:paraId="2CBA723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48</w:t>
            </w:r>
          </w:p>
        </w:tc>
        <w:tc>
          <w:tcPr>
            <w:tcW w:w="306" w:type="dxa"/>
            <w:tcBorders>
              <w:top w:val="nil"/>
              <w:left w:val="nil"/>
              <w:bottom w:val="single" w:sz="4" w:space="0" w:color="auto"/>
              <w:right w:val="single" w:sz="4" w:space="0" w:color="auto"/>
            </w:tcBorders>
            <w:shd w:val="clear" w:color="auto" w:fill="auto"/>
            <w:vAlign w:val="center"/>
            <w:hideMark/>
          </w:tcPr>
          <w:p w14:paraId="07BD60F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6FA04827"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97853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Marshall</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Islands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81AD089"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152</w:t>
            </w:r>
          </w:p>
        </w:tc>
        <w:tc>
          <w:tcPr>
            <w:tcW w:w="1126" w:type="dxa"/>
            <w:tcBorders>
              <w:top w:val="nil"/>
              <w:left w:val="nil"/>
              <w:bottom w:val="single" w:sz="4" w:space="0" w:color="auto"/>
              <w:right w:val="single" w:sz="4" w:space="0" w:color="auto"/>
            </w:tcBorders>
            <w:shd w:val="clear" w:color="auto" w:fill="auto"/>
            <w:vAlign w:val="center"/>
            <w:hideMark/>
          </w:tcPr>
          <w:p w14:paraId="37BF220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83</w:t>
            </w:r>
          </w:p>
        </w:tc>
        <w:tc>
          <w:tcPr>
            <w:tcW w:w="1199" w:type="dxa"/>
            <w:tcBorders>
              <w:top w:val="nil"/>
              <w:left w:val="nil"/>
              <w:bottom w:val="single" w:sz="4" w:space="0" w:color="auto"/>
              <w:right w:val="single" w:sz="4" w:space="0" w:color="auto"/>
            </w:tcBorders>
            <w:shd w:val="clear" w:color="auto" w:fill="auto"/>
            <w:vAlign w:val="center"/>
            <w:hideMark/>
          </w:tcPr>
          <w:p w14:paraId="3A88ABE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w:t>
            </w:r>
          </w:p>
        </w:tc>
        <w:tc>
          <w:tcPr>
            <w:tcW w:w="1321" w:type="dxa"/>
            <w:tcBorders>
              <w:top w:val="nil"/>
              <w:left w:val="nil"/>
              <w:bottom w:val="single" w:sz="4" w:space="0" w:color="auto"/>
              <w:right w:val="single" w:sz="4" w:space="0" w:color="auto"/>
            </w:tcBorders>
            <w:shd w:val="clear" w:color="auto" w:fill="auto"/>
            <w:vAlign w:val="center"/>
            <w:hideMark/>
          </w:tcPr>
          <w:p w14:paraId="2836819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140</w:t>
            </w:r>
          </w:p>
        </w:tc>
        <w:tc>
          <w:tcPr>
            <w:tcW w:w="1221" w:type="dxa"/>
            <w:tcBorders>
              <w:top w:val="nil"/>
              <w:left w:val="nil"/>
              <w:bottom w:val="single" w:sz="4" w:space="0" w:color="auto"/>
              <w:right w:val="single" w:sz="4" w:space="0" w:color="auto"/>
            </w:tcBorders>
            <w:shd w:val="clear" w:color="auto" w:fill="auto"/>
            <w:vAlign w:val="center"/>
            <w:hideMark/>
          </w:tcPr>
          <w:p w14:paraId="4E16A08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968" w:type="dxa"/>
            <w:tcBorders>
              <w:top w:val="nil"/>
              <w:left w:val="nil"/>
              <w:bottom w:val="single" w:sz="4" w:space="0" w:color="auto"/>
              <w:right w:val="single" w:sz="4" w:space="0" w:color="auto"/>
            </w:tcBorders>
            <w:shd w:val="clear" w:color="auto" w:fill="auto"/>
            <w:vAlign w:val="center"/>
            <w:hideMark/>
          </w:tcPr>
          <w:p w14:paraId="55191BA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3F45DF5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179</w:t>
            </w:r>
          </w:p>
        </w:tc>
        <w:tc>
          <w:tcPr>
            <w:tcW w:w="1488" w:type="dxa"/>
            <w:tcBorders>
              <w:top w:val="nil"/>
              <w:left w:val="nil"/>
              <w:bottom w:val="single" w:sz="4" w:space="0" w:color="auto"/>
              <w:right w:val="single" w:sz="4" w:space="0" w:color="auto"/>
            </w:tcBorders>
            <w:shd w:val="clear" w:color="auto" w:fill="auto"/>
            <w:vAlign w:val="center"/>
            <w:hideMark/>
          </w:tcPr>
          <w:p w14:paraId="769687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374" w:type="dxa"/>
            <w:tcBorders>
              <w:top w:val="nil"/>
              <w:left w:val="nil"/>
              <w:bottom w:val="single" w:sz="4" w:space="0" w:color="auto"/>
              <w:right w:val="single" w:sz="4" w:space="0" w:color="auto"/>
            </w:tcBorders>
            <w:shd w:val="clear" w:color="auto" w:fill="auto"/>
            <w:vAlign w:val="center"/>
            <w:hideMark/>
          </w:tcPr>
          <w:p w14:paraId="07CC3FB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77</w:t>
            </w:r>
          </w:p>
        </w:tc>
        <w:tc>
          <w:tcPr>
            <w:tcW w:w="1133" w:type="dxa"/>
            <w:tcBorders>
              <w:top w:val="nil"/>
              <w:left w:val="nil"/>
              <w:bottom w:val="single" w:sz="4" w:space="0" w:color="auto"/>
              <w:right w:val="single" w:sz="4" w:space="0" w:color="auto"/>
            </w:tcBorders>
            <w:shd w:val="clear" w:color="auto" w:fill="auto"/>
            <w:vAlign w:val="center"/>
            <w:hideMark/>
          </w:tcPr>
          <w:p w14:paraId="41B3E5E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106</w:t>
            </w:r>
          </w:p>
        </w:tc>
        <w:tc>
          <w:tcPr>
            <w:tcW w:w="306" w:type="dxa"/>
            <w:tcBorders>
              <w:top w:val="nil"/>
              <w:left w:val="nil"/>
              <w:bottom w:val="single" w:sz="4" w:space="0" w:color="auto"/>
              <w:right w:val="single" w:sz="4" w:space="0" w:color="auto"/>
            </w:tcBorders>
            <w:shd w:val="clear" w:color="auto" w:fill="auto"/>
            <w:vAlign w:val="center"/>
            <w:hideMark/>
          </w:tcPr>
          <w:p w14:paraId="2D88AEA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167</w:t>
            </w:r>
          </w:p>
        </w:tc>
      </w:tr>
      <w:tr w:rsidR="00BC17A3" w:rsidRPr="00A546AD" w14:paraId="5054AC0C"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2FCEF0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Lao</w:t>
            </w:r>
            <w:proofErr w:type="spellEnd"/>
            <w:r w:rsidRPr="00A546AD">
              <w:rPr>
                <w:rFonts w:ascii="Times New Roman" w:eastAsia="Times New Roman" w:hAnsi="Times New Roman" w:cs="Times New Roman"/>
                <w:sz w:val="20"/>
                <w:szCs w:val="20"/>
                <w:lang w:val="ru-RU" w:eastAsia="ru-RU" w:bidi="ar-SA"/>
              </w:rPr>
              <w:t xml:space="preserve"> PDR</w:t>
            </w:r>
          </w:p>
        </w:tc>
        <w:tc>
          <w:tcPr>
            <w:tcW w:w="802" w:type="dxa"/>
            <w:tcBorders>
              <w:top w:val="nil"/>
              <w:left w:val="nil"/>
              <w:bottom w:val="single" w:sz="4" w:space="0" w:color="auto"/>
              <w:right w:val="single" w:sz="4" w:space="0" w:color="auto"/>
            </w:tcBorders>
            <w:shd w:val="clear" w:color="auto" w:fill="auto"/>
            <w:vAlign w:val="center"/>
            <w:hideMark/>
          </w:tcPr>
          <w:p w14:paraId="6C6C0C0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153</w:t>
            </w:r>
          </w:p>
        </w:tc>
        <w:tc>
          <w:tcPr>
            <w:tcW w:w="1126" w:type="dxa"/>
            <w:tcBorders>
              <w:top w:val="nil"/>
              <w:left w:val="nil"/>
              <w:bottom w:val="single" w:sz="4" w:space="0" w:color="auto"/>
              <w:right w:val="single" w:sz="4" w:space="0" w:color="auto"/>
            </w:tcBorders>
            <w:shd w:val="clear" w:color="auto" w:fill="auto"/>
            <w:vAlign w:val="center"/>
            <w:hideMark/>
          </w:tcPr>
          <w:p w14:paraId="08176DC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181</w:t>
            </w:r>
          </w:p>
        </w:tc>
        <w:tc>
          <w:tcPr>
            <w:tcW w:w="1199" w:type="dxa"/>
            <w:tcBorders>
              <w:top w:val="nil"/>
              <w:left w:val="nil"/>
              <w:bottom w:val="single" w:sz="4" w:space="0" w:color="auto"/>
              <w:right w:val="single" w:sz="4" w:space="0" w:color="auto"/>
            </w:tcBorders>
            <w:shd w:val="clear" w:color="auto" w:fill="auto"/>
            <w:vAlign w:val="center"/>
            <w:hideMark/>
          </w:tcPr>
          <w:p w14:paraId="05DBF69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99</w:t>
            </w:r>
          </w:p>
        </w:tc>
        <w:tc>
          <w:tcPr>
            <w:tcW w:w="1321" w:type="dxa"/>
            <w:tcBorders>
              <w:top w:val="nil"/>
              <w:left w:val="nil"/>
              <w:bottom w:val="single" w:sz="4" w:space="0" w:color="auto"/>
              <w:right w:val="single" w:sz="4" w:space="0" w:color="auto"/>
            </w:tcBorders>
            <w:shd w:val="clear" w:color="auto" w:fill="auto"/>
            <w:vAlign w:val="center"/>
            <w:hideMark/>
          </w:tcPr>
          <w:p w14:paraId="628EC8C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221" w:type="dxa"/>
            <w:tcBorders>
              <w:top w:val="nil"/>
              <w:left w:val="nil"/>
              <w:bottom w:val="single" w:sz="4" w:space="0" w:color="auto"/>
              <w:right w:val="single" w:sz="4" w:space="0" w:color="auto"/>
            </w:tcBorders>
            <w:shd w:val="clear" w:color="auto" w:fill="auto"/>
            <w:vAlign w:val="center"/>
            <w:hideMark/>
          </w:tcPr>
          <w:p w14:paraId="1AB96B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88</w:t>
            </w:r>
          </w:p>
        </w:tc>
        <w:tc>
          <w:tcPr>
            <w:tcW w:w="968" w:type="dxa"/>
            <w:tcBorders>
              <w:top w:val="nil"/>
              <w:left w:val="nil"/>
              <w:bottom w:val="single" w:sz="4" w:space="0" w:color="auto"/>
              <w:right w:val="single" w:sz="4" w:space="0" w:color="auto"/>
            </w:tcBorders>
            <w:shd w:val="clear" w:color="auto" w:fill="auto"/>
            <w:vAlign w:val="center"/>
            <w:hideMark/>
          </w:tcPr>
          <w:p w14:paraId="5664056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5630973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179</w:t>
            </w:r>
          </w:p>
        </w:tc>
        <w:tc>
          <w:tcPr>
            <w:tcW w:w="1488" w:type="dxa"/>
            <w:tcBorders>
              <w:top w:val="nil"/>
              <w:left w:val="nil"/>
              <w:bottom w:val="single" w:sz="4" w:space="0" w:color="auto"/>
              <w:right w:val="single" w:sz="4" w:space="0" w:color="auto"/>
            </w:tcBorders>
            <w:shd w:val="clear" w:color="auto" w:fill="auto"/>
            <w:vAlign w:val="center"/>
            <w:hideMark/>
          </w:tcPr>
          <w:p w14:paraId="2126CFE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1374" w:type="dxa"/>
            <w:tcBorders>
              <w:top w:val="nil"/>
              <w:left w:val="nil"/>
              <w:bottom w:val="single" w:sz="4" w:space="0" w:color="auto"/>
              <w:right w:val="single" w:sz="4" w:space="0" w:color="auto"/>
            </w:tcBorders>
            <w:shd w:val="clear" w:color="auto" w:fill="auto"/>
            <w:vAlign w:val="center"/>
            <w:hideMark/>
          </w:tcPr>
          <w:p w14:paraId="6903D65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79</w:t>
            </w:r>
          </w:p>
        </w:tc>
        <w:tc>
          <w:tcPr>
            <w:tcW w:w="1133" w:type="dxa"/>
            <w:tcBorders>
              <w:top w:val="nil"/>
              <w:left w:val="nil"/>
              <w:bottom w:val="single" w:sz="4" w:space="0" w:color="auto"/>
              <w:right w:val="single" w:sz="4" w:space="0" w:color="auto"/>
            </w:tcBorders>
            <w:shd w:val="clear" w:color="auto" w:fill="auto"/>
            <w:vAlign w:val="center"/>
            <w:hideMark/>
          </w:tcPr>
          <w:p w14:paraId="5341E11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161</w:t>
            </w:r>
          </w:p>
        </w:tc>
        <w:tc>
          <w:tcPr>
            <w:tcW w:w="306" w:type="dxa"/>
            <w:tcBorders>
              <w:top w:val="nil"/>
              <w:left w:val="nil"/>
              <w:bottom w:val="single" w:sz="4" w:space="0" w:color="auto"/>
              <w:right w:val="single" w:sz="4" w:space="0" w:color="auto"/>
            </w:tcBorders>
            <w:shd w:val="clear" w:color="auto" w:fill="auto"/>
            <w:vAlign w:val="center"/>
            <w:hideMark/>
          </w:tcPr>
          <w:p w14:paraId="2165901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5164702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B593A5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Gambia</w:t>
            </w:r>
            <w:proofErr w:type="spellEnd"/>
            <w:r w:rsidRPr="00A546AD">
              <w:rPr>
                <w:rFonts w:ascii="Times New Roman" w:eastAsia="Times New Roman" w:hAnsi="Times New Roman" w:cs="Times New Roman"/>
                <w:sz w:val="20"/>
                <w:szCs w:val="20"/>
                <w:lang w:val="ru-RU" w:eastAsia="ru-RU" w:bidi="ar-SA"/>
              </w:rPr>
              <w:t>, The</w:t>
            </w:r>
          </w:p>
        </w:tc>
        <w:tc>
          <w:tcPr>
            <w:tcW w:w="802" w:type="dxa"/>
            <w:tcBorders>
              <w:top w:val="nil"/>
              <w:left w:val="nil"/>
              <w:bottom w:val="single" w:sz="4" w:space="0" w:color="auto"/>
              <w:right w:val="single" w:sz="4" w:space="0" w:color="auto"/>
            </w:tcBorders>
            <w:shd w:val="clear" w:color="auto" w:fill="auto"/>
            <w:vAlign w:val="center"/>
            <w:hideMark/>
          </w:tcPr>
          <w:p w14:paraId="091F668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154</w:t>
            </w:r>
          </w:p>
        </w:tc>
        <w:tc>
          <w:tcPr>
            <w:tcW w:w="1126" w:type="dxa"/>
            <w:tcBorders>
              <w:top w:val="nil"/>
              <w:left w:val="nil"/>
              <w:bottom w:val="single" w:sz="4" w:space="0" w:color="auto"/>
              <w:right w:val="single" w:sz="4" w:space="0" w:color="auto"/>
            </w:tcBorders>
            <w:shd w:val="clear" w:color="auto" w:fill="auto"/>
            <w:vAlign w:val="center"/>
            <w:hideMark/>
          </w:tcPr>
          <w:p w14:paraId="14AE3EB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199" w:type="dxa"/>
            <w:tcBorders>
              <w:top w:val="nil"/>
              <w:left w:val="nil"/>
              <w:bottom w:val="single" w:sz="4" w:space="0" w:color="auto"/>
              <w:right w:val="single" w:sz="4" w:space="0" w:color="auto"/>
            </w:tcBorders>
            <w:shd w:val="clear" w:color="auto" w:fill="auto"/>
            <w:vAlign w:val="center"/>
            <w:hideMark/>
          </w:tcPr>
          <w:p w14:paraId="7BA89F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145</w:t>
            </w:r>
          </w:p>
        </w:tc>
        <w:tc>
          <w:tcPr>
            <w:tcW w:w="1321" w:type="dxa"/>
            <w:tcBorders>
              <w:top w:val="nil"/>
              <w:left w:val="nil"/>
              <w:bottom w:val="single" w:sz="4" w:space="0" w:color="auto"/>
              <w:right w:val="single" w:sz="4" w:space="0" w:color="auto"/>
            </w:tcBorders>
            <w:shd w:val="clear" w:color="auto" w:fill="auto"/>
            <w:vAlign w:val="center"/>
            <w:hideMark/>
          </w:tcPr>
          <w:p w14:paraId="0F0AA42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221" w:type="dxa"/>
            <w:tcBorders>
              <w:top w:val="nil"/>
              <w:left w:val="nil"/>
              <w:bottom w:val="single" w:sz="4" w:space="0" w:color="auto"/>
              <w:right w:val="single" w:sz="4" w:space="0" w:color="auto"/>
            </w:tcBorders>
            <w:shd w:val="clear" w:color="auto" w:fill="auto"/>
            <w:vAlign w:val="center"/>
            <w:hideMark/>
          </w:tcPr>
          <w:p w14:paraId="26483A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c>
          <w:tcPr>
            <w:tcW w:w="968" w:type="dxa"/>
            <w:tcBorders>
              <w:top w:val="nil"/>
              <w:left w:val="nil"/>
              <w:bottom w:val="single" w:sz="4" w:space="0" w:color="auto"/>
              <w:right w:val="single" w:sz="4" w:space="0" w:color="auto"/>
            </w:tcBorders>
            <w:shd w:val="clear" w:color="auto" w:fill="auto"/>
            <w:vAlign w:val="center"/>
            <w:hideMark/>
          </w:tcPr>
          <w:p w14:paraId="3BEC60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764BA3B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1488" w:type="dxa"/>
            <w:tcBorders>
              <w:top w:val="nil"/>
              <w:left w:val="nil"/>
              <w:bottom w:val="single" w:sz="4" w:space="0" w:color="auto"/>
              <w:right w:val="single" w:sz="4" w:space="0" w:color="auto"/>
            </w:tcBorders>
            <w:shd w:val="clear" w:color="auto" w:fill="auto"/>
            <w:vAlign w:val="center"/>
            <w:hideMark/>
          </w:tcPr>
          <w:p w14:paraId="4ED4A99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172</w:t>
            </w:r>
          </w:p>
        </w:tc>
        <w:tc>
          <w:tcPr>
            <w:tcW w:w="1374" w:type="dxa"/>
            <w:tcBorders>
              <w:top w:val="nil"/>
              <w:left w:val="nil"/>
              <w:bottom w:val="single" w:sz="4" w:space="0" w:color="auto"/>
              <w:right w:val="single" w:sz="4" w:space="0" w:color="auto"/>
            </w:tcBorders>
            <w:shd w:val="clear" w:color="auto" w:fill="auto"/>
            <w:vAlign w:val="center"/>
            <w:hideMark/>
          </w:tcPr>
          <w:p w14:paraId="4F7B582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115</w:t>
            </w:r>
          </w:p>
        </w:tc>
        <w:tc>
          <w:tcPr>
            <w:tcW w:w="1133" w:type="dxa"/>
            <w:tcBorders>
              <w:top w:val="nil"/>
              <w:left w:val="nil"/>
              <w:bottom w:val="single" w:sz="4" w:space="0" w:color="auto"/>
              <w:right w:val="single" w:sz="4" w:space="0" w:color="auto"/>
            </w:tcBorders>
            <w:shd w:val="clear" w:color="auto" w:fill="auto"/>
            <w:vAlign w:val="center"/>
            <w:hideMark/>
          </w:tcPr>
          <w:p w14:paraId="49F2B16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129</w:t>
            </w:r>
          </w:p>
        </w:tc>
        <w:tc>
          <w:tcPr>
            <w:tcW w:w="306" w:type="dxa"/>
            <w:tcBorders>
              <w:top w:val="nil"/>
              <w:left w:val="nil"/>
              <w:bottom w:val="single" w:sz="4" w:space="0" w:color="auto"/>
              <w:right w:val="single" w:sz="4" w:space="0" w:color="auto"/>
            </w:tcBorders>
            <w:shd w:val="clear" w:color="auto" w:fill="auto"/>
            <w:vAlign w:val="center"/>
            <w:hideMark/>
          </w:tcPr>
          <w:p w14:paraId="7E8BB9D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r>
      <w:tr w:rsidR="00BC17A3" w:rsidRPr="00A546AD" w14:paraId="0F49BE66"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52E565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Guinea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DB4065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155</w:t>
            </w:r>
          </w:p>
        </w:tc>
        <w:tc>
          <w:tcPr>
            <w:tcW w:w="1126" w:type="dxa"/>
            <w:tcBorders>
              <w:top w:val="nil"/>
              <w:left w:val="nil"/>
              <w:bottom w:val="single" w:sz="4" w:space="0" w:color="auto"/>
              <w:right w:val="single" w:sz="4" w:space="0" w:color="auto"/>
            </w:tcBorders>
            <w:shd w:val="clear" w:color="auto" w:fill="auto"/>
            <w:vAlign w:val="center"/>
            <w:hideMark/>
          </w:tcPr>
          <w:p w14:paraId="6E6478F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122</w:t>
            </w:r>
          </w:p>
        </w:tc>
        <w:tc>
          <w:tcPr>
            <w:tcW w:w="1199" w:type="dxa"/>
            <w:tcBorders>
              <w:top w:val="nil"/>
              <w:left w:val="nil"/>
              <w:bottom w:val="single" w:sz="4" w:space="0" w:color="auto"/>
              <w:right w:val="single" w:sz="4" w:space="0" w:color="auto"/>
            </w:tcBorders>
            <w:shd w:val="clear" w:color="auto" w:fill="auto"/>
            <w:vAlign w:val="center"/>
            <w:hideMark/>
          </w:tcPr>
          <w:p w14:paraId="1F82A15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116</w:t>
            </w:r>
          </w:p>
        </w:tc>
        <w:tc>
          <w:tcPr>
            <w:tcW w:w="1321" w:type="dxa"/>
            <w:tcBorders>
              <w:top w:val="nil"/>
              <w:left w:val="nil"/>
              <w:bottom w:val="single" w:sz="4" w:space="0" w:color="auto"/>
              <w:right w:val="single" w:sz="4" w:space="0" w:color="auto"/>
            </w:tcBorders>
            <w:shd w:val="clear" w:color="auto" w:fill="auto"/>
            <w:vAlign w:val="center"/>
            <w:hideMark/>
          </w:tcPr>
          <w:p w14:paraId="71750E4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150</w:t>
            </w:r>
          </w:p>
        </w:tc>
        <w:tc>
          <w:tcPr>
            <w:tcW w:w="1221" w:type="dxa"/>
            <w:tcBorders>
              <w:top w:val="nil"/>
              <w:left w:val="nil"/>
              <w:bottom w:val="single" w:sz="4" w:space="0" w:color="auto"/>
              <w:right w:val="single" w:sz="4" w:space="0" w:color="auto"/>
            </w:tcBorders>
            <w:shd w:val="clear" w:color="auto" w:fill="auto"/>
            <w:vAlign w:val="center"/>
            <w:hideMark/>
          </w:tcPr>
          <w:p w14:paraId="32B19B0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122</w:t>
            </w:r>
          </w:p>
        </w:tc>
        <w:tc>
          <w:tcPr>
            <w:tcW w:w="968" w:type="dxa"/>
            <w:tcBorders>
              <w:top w:val="nil"/>
              <w:left w:val="nil"/>
              <w:bottom w:val="single" w:sz="4" w:space="0" w:color="auto"/>
              <w:right w:val="single" w:sz="4" w:space="0" w:color="auto"/>
            </w:tcBorders>
            <w:shd w:val="clear" w:color="auto" w:fill="auto"/>
            <w:vAlign w:val="center"/>
            <w:hideMark/>
          </w:tcPr>
          <w:p w14:paraId="629612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325EC3F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488" w:type="dxa"/>
            <w:tcBorders>
              <w:top w:val="nil"/>
              <w:left w:val="nil"/>
              <w:bottom w:val="single" w:sz="4" w:space="0" w:color="auto"/>
              <w:right w:val="single" w:sz="4" w:space="0" w:color="auto"/>
            </w:tcBorders>
            <w:shd w:val="clear" w:color="auto" w:fill="auto"/>
            <w:vAlign w:val="center"/>
            <w:hideMark/>
          </w:tcPr>
          <w:p w14:paraId="7891859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183</w:t>
            </w:r>
          </w:p>
        </w:tc>
        <w:tc>
          <w:tcPr>
            <w:tcW w:w="1374" w:type="dxa"/>
            <w:tcBorders>
              <w:top w:val="nil"/>
              <w:left w:val="nil"/>
              <w:bottom w:val="single" w:sz="4" w:space="0" w:color="auto"/>
              <w:right w:val="single" w:sz="4" w:space="0" w:color="auto"/>
            </w:tcBorders>
            <w:shd w:val="clear" w:color="auto" w:fill="auto"/>
            <w:vAlign w:val="center"/>
            <w:hideMark/>
          </w:tcPr>
          <w:p w14:paraId="01BFEDE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167</w:t>
            </w:r>
          </w:p>
        </w:tc>
        <w:tc>
          <w:tcPr>
            <w:tcW w:w="1133" w:type="dxa"/>
            <w:tcBorders>
              <w:top w:val="nil"/>
              <w:left w:val="nil"/>
              <w:bottom w:val="single" w:sz="4" w:space="0" w:color="auto"/>
              <w:right w:val="single" w:sz="4" w:space="0" w:color="auto"/>
            </w:tcBorders>
            <w:shd w:val="clear" w:color="auto" w:fill="auto"/>
            <w:vAlign w:val="center"/>
            <w:hideMark/>
          </w:tcPr>
          <w:p w14:paraId="3B1628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118</w:t>
            </w:r>
          </w:p>
        </w:tc>
        <w:tc>
          <w:tcPr>
            <w:tcW w:w="306" w:type="dxa"/>
            <w:tcBorders>
              <w:top w:val="nil"/>
              <w:left w:val="nil"/>
              <w:bottom w:val="single" w:sz="4" w:space="0" w:color="auto"/>
              <w:right w:val="single" w:sz="4" w:space="0" w:color="auto"/>
            </w:tcBorders>
            <w:shd w:val="clear" w:color="auto" w:fill="auto"/>
            <w:vAlign w:val="center"/>
            <w:hideMark/>
          </w:tcPr>
          <w:p w14:paraId="5C1AE8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118</w:t>
            </w:r>
          </w:p>
        </w:tc>
      </w:tr>
      <w:tr w:rsidR="00BC17A3" w:rsidRPr="00A546AD" w14:paraId="3BFA862C"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B19FD7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Algeria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F1C75D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156</w:t>
            </w:r>
          </w:p>
        </w:tc>
        <w:tc>
          <w:tcPr>
            <w:tcW w:w="1126" w:type="dxa"/>
            <w:tcBorders>
              <w:top w:val="nil"/>
              <w:left w:val="nil"/>
              <w:bottom w:val="single" w:sz="4" w:space="0" w:color="auto"/>
              <w:right w:val="single" w:sz="4" w:space="0" w:color="auto"/>
            </w:tcBorders>
            <w:shd w:val="clear" w:color="auto" w:fill="auto"/>
            <w:vAlign w:val="center"/>
            <w:hideMark/>
          </w:tcPr>
          <w:p w14:paraId="11E2D1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199" w:type="dxa"/>
            <w:tcBorders>
              <w:top w:val="nil"/>
              <w:left w:val="nil"/>
              <w:bottom w:val="single" w:sz="4" w:space="0" w:color="auto"/>
              <w:right w:val="single" w:sz="4" w:space="0" w:color="auto"/>
            </w:tcBorders>
            <w:shd w:val="clear" w:color="auto" w:fill="auto"/>
            <w:vAlign w:val="center"/>
            <w:hideMark/>
          </w:tcPr>
          <w:p w14:paraId="457C3A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121</w:t>
            </w:r>
          </w:p>
        </w:tc>
        <w:tc>
          <w:tcPr>
            <w:tcW w:w="1321" w:type="dxa"/>
            <w:tcBorders>
              <w:top w:val="nil"/>
              <w:left w:val="nil"/>
              <w:bottom w:val="single" w:sz="4" w:space="0" w:color="auto"/>
              <w:right w:val="single" w:sz="4" w:space="0" w:color="auto"/>
            </w:tcBorders>
            <w:shd w:val="clear" w:color="auto" w:fill="auto"/>
            <w:vAlign w:val="center"/>
            <w:hideMark/>
          </w:tcPr>
          <w:p w14:paraId="49DBE2A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102</w:t>
            </w:r>
          </w:p>
        </w:tc>
        <w:tc>
          <w:tcPr>
            <w:tcW w:w="1221" w:type="dxa"/>
            <w:tcBorders>
              <w:top w:val="nil"/>
              <w:left w:val="nil"/>
              <w:bottom w:val="single" w:sz="4" w:space="0" w:color="auto"/>
              <w:right w:val="single" w:sz="4" w:space="0" w:color="auto"/>
            </w:tcBorders>
            <w:shd w:val="clear" w:color="auto" w:fill="auto"/>
            <w:vAlign w:val="center"/>
            <w:hideMark/>
          </w:tcPr>
          <w:p w14:paraId="1392674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968" w:type="dxa"/>
            <w:tcBorders>
              <w:top w:val="nil"/>
              <w:left w:val="nil"/>
              <w:bottom w:val="single" w:sz="4" w:space="0" w:color="auto"/>
              <w:right w:val="single" w:sz="4" w:space="0" w:color="auto"/>
            </w:tcBorders>
            <w:shd w:val="clear" w:color="auto" w:fill="auto"/>
            <w:vAlign w:val="center"/>
            <w:hideMark/>
          </w:tcPr>
          <w:p w14:paraId="7290BD0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181</w:t>
            </w:r>
          </w:p>
        </w:tc>
        <w:tc>
          <w:tcPr>
            <w:tcW w:w="1246" w:type="dxa"/>
            <w:tcBorders>
              <w:top w:val="nil"/>
              <w:left w:val="nil"/>
              <w:bottom w:val="single" w:sz="4" w:space="0" w:color="auto"/>
              <w:right w:val="single" w:sz="4" w:space="0" w:color="auto"/>
            </w:tcBorders>
            <w:shd w:val="clear" w:color="auto" w:fill="auto"/>
            <w:vAlign w:val="center"/>
            <w:hideMark/>
          </w:tcPr>
          <w:p w14:paraId="35B06BC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179</w:t>
            </w:r>
          </w:p>
        </w:tc>
        <w:tc>
          <w:tcPr>
            <w:tcW w:w="1488" w:type="dxa"/>
            <w:tcBorders>
              <w:top w:val="nil"/>
              <w:left w:val="nil"/>
              <w:bottom w:val="single" w:sz="4" w:space="0" w:color="auto"/>
              <w:right w:val="single" w:sz="4" w:space="0" w:color="auto"/>
            </w:tcBorders>
            <w:shd w:val="clear" w:color="auto" w:fill="auto"/>
            <w:vAlign w:val="center"/>
            <w:hideMark/>
          </w:tcPr>
          <w:p w14:paraId="4C2411B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158</w:t>
            </w:r>
          </w:p>
        </w:tc>
        <w:tc>
          <w:tcPr>
            <w:tcW w:w="1374" w:type="dxa"/>
            <w:tcBorders>
              <w:top w:val="nil"/>
              <w:left w:val="nil"/>
              <w:bottom w:val="single" w:sz="4" w:space="0" w:color="auto"/>
              <w:right w:val="single" w:sz="4" w:space="0" w:color="auto"/>
            </w:tcBorders>
            <w:shd w:val="clear" w:color="auto" w:fill="auto"/>
            <w:vAlign w:val="center"/>
            <w:hideMark/>
          </w:tcPr>
          <w:p w14:paraId="1EC800C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172</w:t>
            </w:r>
          </w:p>
        </w:tc>
        <w:tc>
          <w:tcPr>
            <w:tcW w:w="1133" w:type="dxa"/>
            <w:tcBorders>
              <w:top w:val="nil"/>
              <w:left w:val="nil"/>
              <w:bottom w:val="single" w:sz="4" w:space="0" w:color="auto"/>
              <w:right w:val="single" w:sz="4" w:space="0" w:color="auto"/>
            </w:tcBorders>
            <w:shd w:val="clear" w:color="auto" w:fill="auto"/>
            <w:vAlign w:val="center"/>
            <w:hideMark/>
          </w:tcPr>
          <w:p w14:paraId="79D1C83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113</w:t>
            </w:r>
          </w:p>
        </w:tc>
        <w:tc>
          <w:tcPr>
            <w:tcW w:w="306" w:type="dxa"/>
            <w:tcBorders>
              <w:top w:val="nil"/>
              <w:left w:val="nil"/>
              <w:bottom w:val="single" w:sz="4" w:space="0" w:color="auto"/>
              <w:right w:val="single" w:sz="4" w:space="0" w:color="auto"/>
            </w:tcBorders>
            <w:shd w:val="clear" w:color="auto" w:fill="auto"/>
            <w:vAlign w:val="center"/>
            <w:hideMark/>
          </w:tcPr>
          <w:p w14:paraId="7FFA2F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81</w:t>
            </w:r>
          </w:p>
        </w:tc>
      </w:tr>
      <w:tr w:rsidR="00BC17A3" w:rsidRPr="00A546AD" w14:paraId="0186A3B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4FA1F8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Micronesia</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Fed</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Sts</w:t>
            </w:r>
            <w:proofErr w:type="spellEnd"/>
            <w:r w:rsidRPr="00A546AD">
              <w:rPr>
                <w:rFonts w:ascii="Times New Roman" w:eastAsia="Times New Roman" w:hAnsi="Times New Roman" w:cs="Times New Roman"/>
                <w:sz w:val="20"/>
                <w:szCs w:val="20"/>
                <w:lang w:val="ru-RU" w:eastAsia="ru-RU" w:bidi="ar-SA"/>
              </w:rPr>
              <w:t>.</w:t>
            </w:r>
          </w:p>
        </w:tc>
        <w:tc>
          <w:tcPr>
            <w:tcW w:w="802" w:type="dxa"/>
            <w:tcBorders>
              <w:top w:val="nil"/>
              <w:left w:val="nil"/>
              <w:bottom w:val="single" w:sz="4" w:space="0" w:color="auto"/>
              <w:right w:val="single" w:sz="4" w:space="0" w:color="auto"/>
            </w:tcBorders>
            <w:shd w:val="clear" w:color="auto" w:fill="auto"/>
            <w:vAlign w:val="center"/>
            <w:hideMark/>
          </w:tcPr>
          <w:p w14:paraId="5A9833D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157</w:t>
            </w:r>
          </w:p>
        </w:tc>
        <w:tc>
          <w:tcPr>
            <w:tcW w:w="1126" w:type="dxa"/>
            <w:tcBorders>
              <w:top w:val="nil"/>
              <w:left w:val="nil"/>
              <w:bottom w:val="single" w:sz="4" w:space="0" w:color="auto"/>
              <w:right w:val="single" w:sz="4" w:space="0" w:color="auto"/>
            </w:tcBorders>
            <w:shd w:val="clear" w:color="auto" w:fill="auto"/>
            <w:vAlign w:val="center"/>
            <w:hideMark/>
          </w:tcPr>
          <w:p w14:paraId="1C09A8F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174</w:t>
            </w:r>
          </w:p>
        </w:tc>
        <w:tc>
          <w:tcPr>
            <w:tcW w:w="1199" w:type="dxa"/>
            <w:tcBorders>
              <w:top w:val="nil"/>
              <w:left w:val="nil"/>
              <w:bottom w:val="single" w:sz="4" w:space="0" w:color="auto"/>
              <w:right w:val="single" w:sz="4" w:space="0" w:color="auto"/>
            </w:tcBorders>
            <w:shd w:val="clear" w:color="auto" w:fill="auto"/>
            <w:vAlign w:val="center"/>
            <w:hideMark/>
          </w:tcPr>
          <w:p w14:paraId="39A471E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c>
          <w:tcPr>
            <w:tcW w:w="1321" w:type="dxa"/>
            <w:tcBorders>
              <w:top w:val="nil"/>
              <w:left w:val="nil"/>
              <w:bottom w:val="single" w:sz="4" w:space="0" w:color="auto"/>
              <w:right w:val="single" w:sz="4" w:space="0" w:color="auto"/>
            </w:tcBorders>
            <w:shd w:val="clear" w:color="auto" w:fill="auto"/>
            <w:vAlign w:val="center"/>
            <w:hideMark/>
          </w:tcPr>
          <w:p w14:paraId="74B2D17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122</w:t>
            </w:r>
          </w:p>
        </w:tc>
        <w:tc>
          <w:tcPr>
            <w:tcW w:w="1221" w:type="dxa"/>
            <w:tcBorders>
              <w:top w:val="nil"/>
              <w:left w:val="nil"/>
              <w:bottom w:val="single" w:sz="4" w:space="0" w:color="auto"/>
              <w:right w:val="single" w:sz="4" w:space="0" w:color="auto"/>
            </w:tcBorders>
            <w:shd w:val="clear" w:color="auto" w:fill="auto"/>
            <w:vAlign w:val="center"/>
            <w:hideMark/>
          </w:tcPr>
          <w:p w14:paraId="0B1B53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968" w:type="dxa"/>
            <w:tcBorders>
              <w:top w:val="nil"/>
              <w:left w:val="nil"/>
              <w:bottom w:val="single" w:sz="4" w:space="0" w:color="auto"/>
              <w:right w:val="single" w:sz="4" w:space="0" w:color="auto"/>
            </w:tcBorders>
            <w:shd w:val="clear" w:color="auto" w:fill="auto"/>
            <w:vAlign w:val="center"/>
            <w:hideMark/>
          </w:tcPr>
          <w:p w14:paraId="3267936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4A8DF2C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185</w:t>
            </w:r>
          </w:p>
        </w:tc>
        <w:tc>
          <w:tcPr>
            <w:tcW w:w="1488" w:type="dxa"/>
            <w:tcBorders>
              <w:top w:val="nil"/>
              <w:left w:val="nil"/>
              <w:bottom w:val="single" w:sz="4" w:space="0" w:color="auto"/>
              <w:right w:val="single" w:sz="4" w:space="0" w:color="auto"/>
            </w:tcBorders>
            <w:shd w:val="clear" w:color="auto" w:fill="auto"/>
            <w:vAlign w:val="center"/>
            <w:hideMark/>
          </w:tcPr>
          <w:p w14:paraId="42A70CB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111</w:t>
            </w:r>
          </w:p>
        </w:tc>
        <w:tc>
          <w:tcPr>
            <w:tcW w:w="1374" w:type="dxa"/>
            <w:tcBorders>
              <w:top w:val="nil"/>
              <w:left w:val="nil"/>
              <w:bottom w:val="single" w:sz="4" w:space="0" w:color="auto"/>
              <w:right w:val="single" w:sz="4" w:space="0" w:color="auto"/>
            </w:tcBorders>
            <w:shd w:val="clear" w:color="auto" w:fill="auto"/>
            <w:vAlign w:val="center"/>
            <w:hideMark/>
          </w:tcPr>
          <w:p w14:paraId="1D9F953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65</w:t>
            </w:r>
          </w:p>
        </w:tc>
        <w:tc>
          <w:tcPr>
            <w:tcW w:w="1133" w:type="dxa"/>
            <w:tcBorders>
              <w:top w:val="nil"/>
              <w:left w:val="nil"/>
              <w:bottom w:val="single" w:sz="4" w:space="0" w:color="auto"/>
              <w:right w:val="single" w:sz="4" w:space="0" w:color="auto"/>
            </w:tcBorders>
            <w:shd w:val="clear" w:color="auto" w:fill="auto"/>
            <w:vAlign w:val="center"/>
            <w:hideMark/>
          </w:tcPr>
          <w:p w14:paraId="0E2BEC1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184</w:t>
            </w:r>
          </w:p>
        </w:tc>
        <w:tc>
          <w:tcPr>
            <w:tcW w:w="306" w:type="dxa"/>
            <w:tcBorders>
              <w:top w:val="nil"/>
              <w:left w:val="nil"/>
              <w:bottom w:val="single" w:sz="4" w:space="0" w:color="auto"/>
              <w:right w:val="single" w:sz="4" w:space="0" w:color="auto"/>
            </w:tcBorders>
            <w:shd w:val="clear" w:color="auto" w:fill="auto"/>
            <w:vAlign w:val="center"/>
            <w:hideMark/>
          </w:tcPr>
          <w:p w14:paraId="460D266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125</w:t>
            </w:r>
          </w:p>
        </w:tc>
      </w:tr>
      <w:tr w:rsidR="00BC17A3" w:rsidRPr="00A546AD" w14:paraId="233CA94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543981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lastRenderedPageBreak/>
              <w:t>Ethiopia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D2DB64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158</w:t>
            </w:r>
          </w:p>
        </w:tc>
        <w:tc>
          <w:tcPr>
            <w:tcW w:w="1126" w:type="dxa"/>
            <w:tcBorders>
              <w:top w:val="nil"/>
              <w:left w:val="nil"/>
              <w:bottom w:val="single" w:sz="4" w:space="0" w:color="auto"/>
              <w:right w:val="single" w:sz="4" w:space="0" w:color="auto"/>
            </w:tcBorders>
            <w:shd w:val="clear" w:color="auto" w:fill="auto"/>
            <w:vAlign w:val="center"/>
            <w:hideMark/>
          </w:tcPr>
          <w:p w14:paraId="4DB732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c>
          <w:tcPr>
            <w:tcW w:w="1199" w:type="dxa"/>
            <w:tcBorders>
              <w:top w:val="nil"/>
              <w:left w:val="nil"/>
              <w:bottom w:val="single" w:sz="4" w:space="0" w:color="auto"/>
              <w:right w:val="single" w:sz="4" w:space="0" w:color="auto"/>
            </w:tcBorders>
            <w:shd w:val="clear" w:color="auto" w:fill="auto"/>
            <w:vAlign w:val="center"/>
            <w:hideMark/>
          </w:tcPr>
          <w:p w14:paraId="0821D2B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142</w:t>
            </w:r>
          </w:p>
        </w:tc>
        <w:tc>
          <w:tcPr>
            <w:tcW w:w="1321" w:type="dxa"/>
            <w:tcBorders>
              <w:top w:val="nil"/>
              <w:left w:val="nil"/>
              <w:bottom w:val="single" w:sz="4" w:space="0" w:color="auto"/>
              <w:right w:val="single" w:sz="4" w:space="0" w:color="auto"/>
            </w:tcBorders>
            <w:shd w:val="clear" w:color="auto" w:fill="auto"/>
            <w:vAlign w:val="center"/>
            <w:hideMark/>
          </w:tcPr>
          <w:p w14:paraId="149E71A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137</w:t>
            </w:r>
          </w:p>
        </w:tc>
        <w:tc>
          <w:tcPr>
            <w:tcW w:w="1221" w:type="dxa"/>
            <w:tcBorders>
              <w:top w:val="nil"/>
              <w:left w:val="nil"/>
              <w:bottom w:val="single" w:sz="4" w:space="0" w:color="auto"/>
              <w:right w:val="single" w:sz="4" w:space="0" w:color="auto"/>
            </w:tcBorders>
            <w:shd w:val="clear" w:color="auto" w:fill="auto"/>
            <w:vAlign w:val="center"/>
            <w:hideMark/>
          </w:tcPr>
          <w:p w14:paraId="1D7A069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142</w:t>
            </w:r>
          </w:p>
        </w:tc>
        <w:tc>
          <w:tcPr>
            <w:tcW w:w="968" w:type="dxa"/>
            <w:tcBorders>
              <w:top w:val="nil"/>
              <w:left w:val="nil"/>
              <w:bottom w:val="single" w:sz="4" w:space="0" w:color="auto"/>
              <w:right w:val="single" w:sz="4" w:space="0" w:color="auto"/>
            </w:tcBorders>
            <w:shd w:val="clear" w:color="auto" w:fill="auto"/>
            <w:vAlign w:val="center"/>
            <w:hideMark/>
          </w:tcPr>
          <w:p w14:paraId="6D5B347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246" w:type="dxa"/>
            <w:tcBorders>
              <w:top w:val="nil"/>
              <w:left w:val="nil"/>
              <w:bottom w:val="single" w:sz="4" w:space="0" w:color="auto"/>
              <w:right w:val="single" w:sz="4" w:space="0" w:color="auto"/>
            </w:tcBorders>
            <w:shd w:val="clear" w:color="auto" w:fill="auto"/>
            <w:vAlign w:val="center"/>
            <w:hideMark/>
          </w:tcPr>
          <w:p w14:paraId="5EF92EE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189</w:t>
            </w:r>
          </w:p>
        </w:tc>
        <w:tc>
          <w:tcPr>
            <w:tcW w:w="1488" w:type="dxa"/>
            <w:tcBorders>
              <w:top w:val="nil"/>
              <w:left w:val="nil"/>
              <w:bottom w:val="single" w:sz="4" w:space="0" w:color="auto"/>
              <w:right w:val="single" w:sz="4" w:space="0" w:color="auto"/>
            </w:tcBorders>
            <w:shd w:val="clear" w:color="auto" w:fill="auto"/>
            <w:vAlign w:val="center"/>
            <w:hideMark/>
          </w:tcPr>
          <w:p w14:paraId="1889DE4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374" w:type="dxa"/>
            <w:tcBorders>
              <w:top w:val="nil"/>
              <w:left w:val="nil"/>
              <w:bottom w:val="single" w:sz="4" w:space="0" w:color="auto"/>
              <w:right w:val="single" w:sz="4" w:space="0" w:color="auto"/>
            </w:tcBorders>
            <w:shd w:val="clear" w:color="auto" w:fill="auto"/>
            <w:vAlign w:val="center"/>
            <w:hideMark/>
          </w:tcPr>
          <w:p w14:paraId="7C218C7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156</w:t>
            </w:r>
          </w:p>
        </w:tc>
        <w:tc>
          <w:tcPr>
            <w:tcW w:w="1133" w:type="dxa"/>
            <w:tcBorders>
              <w:top w:val="nil"/>
              <w:left w:val="nil"/>
              <w:bottom w:val="single" w:sz="4" w:space="0" w:color="auto"/>
              <w:right w:val="single" w:sz="4" w:space="0" w:color="auto"/>
            </w:tcBorders>
            <w:shd w:val="clear" w:color="auto" w:fill="auto"/>
            <w:vAlign w:val="center"/>
            <w:hideMark/>
          </w:tcPr>
          <w:p w14:paraId="2E163A9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67</w:t>
            </w:r>
          </w:p>
        </w:tc>
        <w:tc>
          <w:tcPr>
            <w:tcW w:w="306" w:type="dxa"/>
            <w:tcBorders>
              <w:top w:val="nil"/>
              <w:left w:val="nil"/>
              <w:bottom w:val="single" w:sz="4" w:space="0" w:color="auto"/>
              <w:right w:val="single" w:sz="4" w:space="0" w:color="auto"/>
            </w:tcBorders>
            <w:shd w:val="clear" w:color="auto" w:fill="auto"/>
            <w:vAlign w:val="center"/>
            <w:hideMark/>
          </w:tcPr>
          <w:p w14:paraId="25D2CE2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149</w:t>
            </w:r>
          </w:p>
        </w:tc>
      </w:tr>
      <w:tr w:rsidR="00BC17A3" w:rsidRPr="00A546AD" w14:paraId="231A2DDB"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937F31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Comoros</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274DC4C"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159</w:t>
            </w:r>
          </w:p>
        </w:tc>
        <w:tc>
          <w:tcPr>
            <w:tcW w:w="1126" w:type="dxa"/>
            <w:tcBorders>
              <w:top w:val="nil"/>
              <w:left w:val="nil"/>
              <w:bottom w:val="single" w:sz="4" w:space="0" w:color="auto"/>
              <w:right w:val="single" w:sz="4" w:space="0" w:color="auto"/>
            </w:tcBorders>
            <w:shd w:val="clear" w:color="auto" w:fill="auto"/>
            <w:vAlign w:val="center"/>
            <w:hideMark/>
          </w:tcPr>
          <w:p w14:paraId="7834128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158</w:t>
            </w:r>
          </w:p>
        </w:tc>
        <w:tc>
          <w:tcPr>
            <w:tcW w:w="1199" w:type="dxa"/>
            <w:tcBorders>
              <w:top w:val="nil"/>
              <w:left w:val="nil"/>
              <w:bottom w:val="single" w:sz="4" w:space="0" w:color="auto"/>
              <w:right w:val="single" w:sz="4" w:space="0" w:color="auto"/>
            </w:tcBorders>
            <w:shd w:val="clear" w:color="auto" w:fill="auto"/>
            <w:vAlign w:val="center"/>
            <w:hideMark/>
          </w:tcPr>
          <w:p w14:paraId="00B75A0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101</w:t>
            </w:r>
          </w:p>
        </w:tc>
        <w:tc>
          <w:tcPr>
            <w:tcW w:w="1321" w:type="dxa"/>
            <w:tcBorders>
              <w:top w:val="nil"/>
              <w:left w:val="nil"/>
              <w:bottom w:val="single" w:sz="4" w:space="0" w:color="auto"/>
              <w:right w:val="single" w:sz="4" w:space="0" w:color="auto"/>
            </w:tcBorders>
            <w:shd w:val="clear" w:color="auto" w:fill="auto"/>
            <w:vAlign w:val="center"/>
            <w:hideMark/>
          </w:tcPr>
          <w:p w14:paraId="15056CA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c>
          <w:tcPr>
            <w:tcW w:w="1221" w:type="dxa"/>
            <w:tcBorders>
              <w:top w:val="nil"/>
              <w:left w:val="nil"/>
              <w:bottom w:val="single" w:sz="4" w:space="0" w:color="auto"/>
              <w:right w:val="single" w:sz="4" w:space="0" w:color="auto"/>
            </w:tcBorders>
            <w:shd w:val="clear" w:color="auto" w:fill="auto"/>
            <w:vAlign w:val="center"/>
            <w:hideMark/>
          </w:tcPr>
          <w:p w14:paraId="0C2504C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113</w:t>
            </w:r>
          </w:p>
        </w:tc>
        <w:tc>
          <w:tcPr>
            <w:tcW w:w="968" w:type="dxa"/>
            <w:tcBorders>
              <w:top w:val="nil"/>
              <w:left w:val="nil"/>
              <w:bottom w:val="single" w:sz="4" w:space="0" w:color="auto"/>
              <w:right w:val="single" w:sz="4" w:space="0" w:color="auto"/>
            </w:tcBorders>
            <w:shd w:val="clear" w:color="auto" w:fill="auto"/>
            <w:vAlign w:val="center"/>
            <w:hideMark/>
          </w:tcPr>
          <w:p w14:paraId="033607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4ABE0B3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488" w:type="dxa"/>
            <w:tcBorders>
              <w:top w:val="nil"/>
              <w:left w:val="nil"/>
              <w:bottom w:val="single" w:sz="4" w:space="0" w:color="auto"/>
              <w:right w:val="single" w:sz="4" w:space="0" w:color="auto"/>
            </w:tcBorders>
            <w:shd w:val="clear" w:color="auto" w:fill="auto"/>
            <w:vAlign w:val="center"/>
            <w:hideMark/>
          </w:tcPr>
          <w:p w14:paraId="77C253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c>
          <w:tcPr>
            <w:tcW w:w="1374" w:type="dxa"/>
            <w:tcBorders>
              <w:top w:val="nil"/>
              <w:left w:val="nil"/>
              <w:bottom w:val="single" w:sz="4" w:space="0" w:color="auto"/>
              <w:right w:val="single" w:sz="4" w:space="0" w:color="auto"/>
            </w:tcBorders>
            <w:shd w:val="clear" w:color="auto" w:fill="auto"/>
            <w:vAlign w:val="center"/>
            <w:hideMark/>
          </w:tcPr>
          <w:p w14:paraId="75078C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133" w:type="dxa"/>
            <w:tcBorders>
              <w:top w:val="nil"/>
              <w:left w:val="nil"/>
              <w:bottom w:val="single" w:sz="4" w:space="0" w:color="auto"/>
              <w:right w:val="single" w:sz="4" w:space="0" w:color="auto"/>
            </w:tcBorders>
            <w:shd w:val="clear" w:color="auto" w:fill="auto"/>
            <w:vAlign w:val="center"/>
            <w:hideMark/>
          </w:tcPr>
          <w:p w14:paraId="3DA45B1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179</w:t>
            </w:r>
          </w:p>
        </w:tc>
        <w:tc>
          <w:tcPr>
            <w:tcW w:w="306" w:type="dxa"/>
            <w:tcBorders>
              <w:top w:val="nil"/>
              <w:left w:val="nil"/>
              <w:bottom w:val="single" w:sz="4" w:space="0" w:color="auto"/>
              <w:right w:val="single" w:sz="4" w:space="0" w:color="auto"/>
            </w:tcBorders>
            <w:shd w:val="clear" w:color="auto" w:fill="auto"/>
            <w:vAlign w:val="center"/>
            <w:hideMark/>
          </w:tcPr>
          <w:p w14:paraId="6548560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3759572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E5DEB1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Madagascar</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40FFA71"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160</w:t>
            </w:r>
          </w:p>
        </w:tc>
        <w:tc>
          <w:tcPr>
            <w:tcW w:w="1126" w:type="dxa"/>
            <w:tcBorders>
              <w:top w:val="nil"/>
              <w:left w:val="nil"/>
              <w:bottom w:val="single" w:sz="4" w:space="0" w:color="auto"/>
              <w:right w:val="single" w:sz="4" w:space="0" w:color="auto"/>
            </w:tcBorders>
            <w:shd w:val="clear" w:color="auto" w:fill="auto"/>
            <w:vAlign w:val="center"/>
            <w:hideMark/>
          </w:tcPr>
          <w:p w14:paraId="64077F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199" w:type="dxa"/>
            <w:tcBorders>
              <w:top w:val="nil"/>
              <w:left w:val="nil"/>
              <w:bottom w:val="single" w:sz="4" w:space="0" w:color="auto"/>
              <w:right w:val="single" w:sz="4" w:space="0" w:color="auto"/>
            </w:tcBorders>
            <w:shd w:val="clear" w:color="auto" w:fill="auto"/>
            <w:vAlign w:val="center"/>
            <w:hideMark/>
          </w:tcPr>
          <w:p w14:paraId="0EC31D1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182</w:t>
            </w:r>
          </w:p>
        </w:tc>
        <w:tc>
          <w:tcPr>
            <w:tcW w:w="1321" w:type="dxa"/>
            <w:tcBorders>
              <w:top w:val="nil"/>
              <w:left w:val="nil"/>
              <w:bottom w:val="single" w:sz="4" w:space="0" w:color="auto"/>
              <w:right w:val="single" w:sz="4" w:space="0" w:color="auto"/>
            </w:tcBorders>
            <w:shd w:val="clear" w:color="auto" w:fill="auto"/>
            <w:vAlign w:val="center"/>
            <w:hideMark/>
          </w:tcPr>
          <w:p w14:paraId="6E3E954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221" w:type="dxa"/>
            <w:tcBorders>
              <w:top w:val="nil"/>
              <w:left w:val="nil"/>
              <w:bottom w:val="single" w:sz="4" w:space="0" w:color="auto"/>
              <w:right w:val="single" w:sz="4" w:space="0" w:color="auto"/>
            </w:tcBorders>
            <w:shd w:val="clear" w:color="auto" w:fill="auto"/>
            <w:vAlign w:val="center"/>
            <w:hideMark/>
          </w:tcPr>
          <w:p w14:paraId="71F0990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164</w:t>
            </w:r>
          </w:p>
        </w:tc>
        <w:tc>
          <w:tcPr>
            <w:tcW w:w="968" w:type="dxa"/>
            <w:tcBorders>
              <w:top w:val="nil"/>
              <w:left w:val="nil"/>
              <w:bottom w:val="single" w:sz="4" w:space="0" w:color="auto"/>
              <w:right w:val="single" w:sz="4" w:space="0" w:color="auto"/>
            </w:tcBorders>
            <w:shd w:val="clear" w:color="auto" w:fill="auto"/>
            <w:vAlign w:val="center"/>
            <w:hideMark/>
          </w:tcPr>
          <w:p w14:paraId="362CA20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694FB3D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140</w:t>
            </w:r>
          </w:p>
        </w:tc>
        <w:tc>
          <w:tcPr>
            <w:tcW w:w="1488" w:type="dxa"/>
            <w:tcBorders>
              <w:top w:val="nil"/>
              <w:left w:val="nil"/>
              <w:bottom w:val="single" w:sz="4" w:space="0" w:color="auto"/>
              <w:right w:val="single" w:sz="4" w:space="0" w:color="auto"/>
            </w:tcBorders>
            <w:shd w:val="clear" w:color="auto" w:fill="auto"/>
            <w:vAlign w:val="center"/>
            <w:hideMark/>
          </w:tcPr>
          <w:p w14:paraId="31B310C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134</w:t>
            </w:r>
          </w:p>
        </w:tc>
        <w:tc>
          <w:tcPr>
            <w:tcW w:w="1374" w:type="dxa"/>
            <w:tcBorders>
              <w:top w:val="nil"/>
              <w:left w:val="nil"/>
              <w:bottom w:val="single" w:sz="4" w:space="0" w:color="auto"/>
              <w:right w:val="single" w:sz="4" w:space="0" w:color="auto"/>
            </w:tcBorders>
            <w:shd w:val="clear" w:color="auto" w:fill="auto"/>
            <w:vAlign w:val="center"/>
            <w:hideMark/>
          </w:tcPr>
          <w:p w14:paraId="3D977BA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140</w:t>
            </w:r>
          </w:p>
        </w:tc>
        <w:tc>
          <w:tcPr>
            <w:tcW w:w="1133" w:type="dxa"/>
            <w:tcBorders>
              <w:top w:val="nil"/>
              <w:left w:val="nil"/>
              <w:bottom w:val="single" w:sz="4" w:space="0" w:color="auto"/>
              <w:right w:val="single" w:sz="4" w:space="0" w:color="auto"/>
            </w:tcBorders>
            <w:shd w:val="clear" w:color="auto" w:fill="auto"/>
            <w:vAlign w:val="center"/>
            <w:hideMark/>
          </w:tcPr>
          <w:p w14:paraId="7770B6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c>
          <w:tcPr>
            <w:tcW w:w="306" w:type="dxa"/>
            <w:tcBorders>
              <w:top w:val="nil"/>
              <w:left w:val="nil"/>
              <w:bottom w:val="single" w:sz="4" w:space="0" w:color="auto"/>
              <w:right w:val="single" w:sz="4" w:space="0" w:color="auto"/>
            </w:tcBorders>
            <w:shd w:val="clear" w:color="auto" w:fill="auto"/>
            <w:vAlign w:val="center"/>
            <w:hideMark/>
          </w:tcPr>
          <w:p w14:paraId="3A21A23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135</w:t>
            </w:r>
          </w:p>
        </w:tc>
      </w:tr>
      <w:tr w:rsidR="00BC17A3" w:rsidRPr="00A546AD" w14:paraId="0455632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970281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Suriname</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5EBFB0E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161</w:t>
            </w:r>
          </w:p>
        </w:tc>
        <w:tc>
          <w:tcPr>
            <w:tcW w:w="1126" w:type="dxa"/>
            <w:tcBorders>
              <w:top w:val="nil"/>
              <w:left w:val="nil"/>
              <w:bottom w:val="single" w:sz="4" w:space="0" w:color="auto"/>
              <w:right w:val="single" w:sz="4" w:space="0" w:color="auto"/>
            </w:tcBorders>
            <w:shd w:val="clear" w:color="auto" w:fill="auto"/>
            <w:vAlign w:val="center"/>
            <w:hideMark/>
          </w:tcPr>
          <w:p w14:paraId="7AF396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182</w:t>
            </w:r>
          </w:p>
        </w:tc>
        <w:tc>
          <w:tcPr>
            <w:tcW w:w="1199" w:type="dxa"/>
            <w:tcBorders>
              <w:top w:val="nil"/>
              <w:left w:val="nil"/>
              <w:bottom w:val="single" w:sz="4" w:space="0" w:color="auto"/>
              <w:right w:val="single" w:sz="4" w:space="0" w:color="auto"/>
            </w:tcBorders>
            <w:shd w:val="clear" w:color="auto" w:fill="auto"/>
            <w:vAlign w:val="center"/>
            <w:hideMark/>
          </w:tcPr>
          <w:p w14:paraId="6DF183E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115</w:t>
            </w:r>
          </w:p>
        </w:tc>
        <w:tc>
          <w:tcPr>
            <w:tcW w:w="1321" w:type="dxa"/>
            <w:tcBorders>
              <w:top w:val="nil"/>
              <w:left w:val="nil"/>
              <w:bottom w:val="single" w:sz="4" w:space="0" w:color="auto"/>
              <w:right w:val="single" w:sz="4" w:space="0" w:color="auto"/>
            </w:tcBorders>
            <w:shd w:val="clear" w:color="auto" w:fill="auto"/>
            <w:vAlign w:val="center"/>
            <w:hideMark/>
          </w:tcPr>
          <w:p w14:paraId="655DCFD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145</w:t>
            </w:r>
          </w:p>
        </w:tc>
        <w:tc>
          <w:tcPr>
            <w:tcW w:w="1221" w:type="dxa"/>
            <w:tcBorders>
              <w:top w:val="nil"/>
              <w:left w:val="nil"/>
              <w:bottom w:val="single" w:sz="4" w:space="0" w:color="auto"/>
              <w:right w:val="single" w:sz="4" w:space="0" w:color="auto"/>
            </w:tcBorders>
            <w:shd w:val="clear" w:color="auto" w:fill="auto"/>
            <w:vAlign w:val="center"/>
            <w:hideMark/>
          </w:tcPr>
          <w:p w14:paraId="5AFA66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968" w:type="dxa"/>
            <w:tcBorders>
              <w:top w:val="nil"/>
              <w:left w:val="nil"/>
              <w:bottom w:val="single" w:sz="4" w:space="0" w:color="auto"/>
              <w:right w:val="single" w:sz="4" w:space="0" w:color="auto"/>
            </w:tcBorders>
            <w:shd w:val="clear" w:color="auto" w:fill="auto"/>
            <w:vAlign w:val="center"/>
            <w:hideMark/>
          </w:tcPr>
          <w:p w14:paraId="5348C8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181</w:t>
            </w:r>
          </w:p>
        </w:tc>
        <w:tc>
          <w:tcPr>
            <w:tcW w:w="1246" w:type="dxa"/>
            <w:tcBorders>
              <w:top w:val="nil"/>
              <w:left w:val="nil"/>
              <w:bottom w:val="single" w:sz="4" w:space="0" w:color="auto"/>
              <w:right w:val="single" w:sz="4" w:space="0" w:color="auto"/>
            </w:tcBorders>
            <w:shd w:val="clear" w:color="auto" w:fill="auto"/>
            <w:vAlign w:val="center"/>
            <w:hideMark/>
          </w:tcPr>
          <w:p w14:paraId="2A5054F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1488" w:type="dxa"/>
            <w:tcBorders>
              <w:top w:val="nil"/>
              <w:left w:val="nil"/>
              <w:bottom w:val="single" w:sz="4" w:space="0" w:color="auto"/>
              <w:right w:val="single" w:sz="4" w:space="0" w:color="auto"/>
            </w:tcBorders>
            <w:shd w:val="clear" w:color="auto" w:fill="auto"/>
            <w:vAlign w:val="center"/>
            <w:hideMark/>
          </w:tcPr>
          <w:p w14:paraId="66D80B5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107</w:t>
            </w:r>
          </w:p>
        </w:tc>
        <w:tc>
          <w:tcPr>
            <w:tcW w:w="1374" w:type="dxa"/>
            <w:tcBorders>
              <w:top w:val="nil"/>
              <w:left w:val="nil"/>
              <w:bottom w:val="single" w:sz="4" w:space="0" w:color="auto"/>
              <w:right w:val="single" w:sz="4" w:space="0" w:color="auto"/>
            </w:tcBorders>
            <w:shd w:val="clear" w:color="auto" w:fill="auto"/>
            <w:vAlign w:val="center"/>
            <w:hideMark/>
          </w:tcPr>
          <w:p w14:paraId="0937649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87</w:t>
            </w:r>
          </w:p>
        </w:tc>
        <w:tc>
          <w:tcPr>
            <w:tcW w:w="1133" w:type="dxa"/>
            <w:tcBorders>
              <w:top w:val="nil"/>
              <w:left w:val="nil"/>
              <w:bottom w:val="single" w:sz="4" w:space="0" w:color="auto"/>
              <w:right w:val="single" w:sz="4" w:space="0" w:color="auto"/>
            </w:tcBorders>
            <w:shd w:val="clear" w:color="auto" w:fill="auto"/>
            <w:vAlign w:val="center"/>
            <w:hideMark/>
          </w:tcPr>
          <w:p w14:paraId="2D19DA5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188</w:t>
            </w:r>
          </w:p>
        </w:tc>
        <w:tc>
          <w:tcPr>
            <w:tcW w:w="306" w:type="dxa"/>
            <w:tcBorders>
              <w:top w:val="nil"/>
              <w:left w:val="nil"/>
              <w:bottom w:val="single" w:sz="4" w:space="0" w:color="auto"/>
              <w:right w:val="single" w:sz="4" w:space="0" w:color="auto"/>
            </w:tcBorders>
            <w:shd w:val="clear" w:color="auto" w:fill="auto"/>
            <w:vAlign w:val="center"/>
            <w:hideMark/>
          </w:tcPr>
          <w:p w14:paraId="53DA9A1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139</w:t>
            </w:r>
          </w:p>
        </w:tc>
      </w:tr>
      <w:tr w:rsidR="00BC17A3" w:rsidRPr="00A546AD" w14:paraId="5FD4313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ACAAF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Sierra</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Leone</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CC93DB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162</w:t>
            </w:r>
          </w:p>
        </w:tc>
        <w:tc>
          <w:tcPr>
            <w:tcW w:w="1126" w:type="dxa"/>
            <w:tcBorders>
              <w:top w:val="nil"/>
              <w:left w:val="nil"/>
              <w:bottom w:val="single" w:sz="4" w:space="0" w:color="auto"/>
              <w:right w:val="single" w:sz="4" w:space="0" w:color="auto"/>
            </w:tcBorders>
            <w:shd w:val="clear" w:color="auto" w:fill="auto"/>
            <w:vAlign w:val="center"/>
            <w:hideMark/>
          </w:tcPr>
          <w:p w14:paraId="3F51C1E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58</w:t>
            </w:r>
          </w:p>
        </w:tc>
        <w:tc>
          <w:tcPr>
            <w:tcW w:w="1199" w:type="dxa"/>
            <w:tcBorders>
              <w:top w:val="nil"/>
              <w:left w:val="nil"/>
              <w:bottom w:val="single" w:sz="4" w:space="0" w:color="auto"/>
              <w:right w:val="single" w:sz="4" w:space="0" w:color="auto"/>
            </w:tcBorders>
            <w:shd w:val="clear" w:color="auto" w:fill="auto"/>
            <w:vAlign w:val="center"/>
            <w:hideMark/>
          </w:tcPr>
          <w:p w14:paraId="3E881FF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181</w:t>
            </w:r>
          </w:p>
        </w:tc>
        <w:tc>
          <w:tcPr>
            <w:tcW w:w="1321" w:type="dxa"/>
            <w:tcBorders>
              <w:top w:val="nil"/>
              <w:left w:val="nil"/>
              <w:bottom w:val="single" w:sz="4" w:space="0" w:color="auto"/>
              <w:right w:val="single" w:sz="4" w:space="0" w:color="auto"/>
            </w:tcBorders>
            <w:shd w:val="clear" w:color="auto" w:fill="auto"/>
            <w:vAlign w:val="center"/>
            <w:hideMark/>
          </w:tcPr>
          <w:p w14:paraId="073E51C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181</w:t>
            </w:r>
          </w:p>
        </w:tc>
        <w:tc>
          <w:tcPr>
            <w:tcW w:w="1221" w:type="dxa"/>
            <w:tcBorders>
              <w:top w:val="nil"/>
              <w:left w:val="nil"/>
              <w:bottom w:val="single" w:sz="4" w:space="0" w:color="auto"/>
              <w:right w:val="single" w:sz="4" w:space="0" w:color="auto"/>
            </w:tcBorders>
            <w:shd w:val="clear" w:color="auto" w:fill="auto"/>
            <w:vAlign w:val="center"/>
            <w:hideMark/>
          </w:tcPr>
          <w:p w14:paraId="7CD3B7A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169</w:t>
            </w:r>
          </w:p>
        </w:tc>
        <w:tc>
          <w:tcPr>
            <w:tcW w:w="968" w:type="dxa"/>
            <w:tcBorders>
              <w:top w:val="nil"/>
              <w:left w:val="nil"/>
              <w:bottom w:val="single" w:sz="4" w:space="0" w:color="auto"/>
              <w:right w:val="single" w:sz="4" w:space="0" w:color="auto"/>
            </w:tcBorders>
            <w:shd w:val="clear" w:color="auto" w:fill="auto"/>
            <w:vAlign w:val="center"/>
            <w:hideMark/>
          </w:tcPr>
          <w:p w14:paraId="6139474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246" w:type="dxa"/>
            <w:tcBorders>
              <w:top w:val="nil"/>
              <w:left w:val="nil"/>
              <w:bottom w:val="single" w:sz="4" w:space="0" w:color="auto"/>
              <w:right w:val="single" w:sz="4" w:space="0" w:color="auto"/>
            </w:tcBorders>
            <w:shd w:val="clear" w:color="auto" w:fill="auto"/>
            <w:vAlign w:val="center"/>
            <w:hideMark/>
          </w:tcPr>
          <w:p w14:paraId="6D703EE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128</w:t>
            </w:r>
          </w:p>
        </w:tc>
        <w:tc>
          <w:tcPr>
            <w:tcW w:w="1488" w:type="dxa"/>
            <w:tcBorders>
              <w:top w:val="nil"/>
              <w:left w:val="nil"/>
              <w:bottom w:val="single" w:sz="4" w:space="0" w:color="auto"/>
              <w:right w:val="single" w:sz="4" w:space="0" w:color="auto"/>
            </w:tcBorders>
            <w:shd w:val="clear" w:color="auto" w:fill="auto"/>
            <w:vAlign w:val="center"/>
            <w:hideMark/>
          </w:tcPr>
          <w:p w14:paraId="0629915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93</w:t>
            </w:r>
          </w:p>
        </w:tc>
        <w:tc>
          <w:tcPr>
            <w:tcW w:w="1374" w:type="dxa"/>
            <w:tcBorders>
              <w:top w:val="nil"/>
              <w:left w:val="nil"/>
              <w:bottom w:val="single" w:sz="4" w:space="0" w:color="auto"/>
              <w:right w:val="single" w:sz="4" w:space="0" w:color="auto"/>
            </w:tcBorders>
            <w:shd w:val="clear" w:color="auto" w:fill="auto"/>
            <w:vAlign w:val="center"/>
            <w:hideMark/>
          </w:tcPr>
          <w:p w14:paraId="03B9684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133" w:type="dxa"/>
            <w:tcBorders>
              <w:top w:val="nil"/>
              <w:left w:val="nil"/>
              <w:bottom w:val="single" w:sz="4" w:space="0" w:color="auto"/>
              <w:right w:val="single" w:sz="4" w:space="0" w:color="auto"/>
            </w:tcBorders>
            <w:shd w:val="clear" w:color="auto" w:fill="auto"/>
            <w:vAlign w:val="center"/>
            <w:hideMark/>
          </w:tcPr>
          <w:p w14:paraId="7AE27C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108</w:t>
            </w:r>
          </w:p>
        </w:tc>
        <w:tc>
          <w:tcPr>
            <w:tcW w:w="306" w:type="dxa"/>
            <w:tcBorders>
              <w:top w:val="nil"/>
              <w:left w:val="nil"/>
              <w:bottom w:val="single" w:sz="4" w:space="0" w:color="auto"/>
              <w:right w:val="single" w:sz="4" w:space="0" w:color="auto"/>
            </w:tcBorders>
            <w:shd w:val="clear" w:color="auto" w:fill="auto"/>
            <w:vAlign w:val="center"/>
            <w:hideMark/>
          </w:tcPr>
          <w:p w14:paraId="5DCB6AF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r>
      <w:tr w:rsidR="00BC17A3" w:rsidRPr="00A546AD" w14:paraId="7E1B20C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A710B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Kiribati</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DE0BA96"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163</w:t>
            </w:r>
          </w:p>
        </w:tc>
        <w:tc>
          <w:tcPr>
            <w:tcW w:w="1126" w:type="dxa"/>
            <w:tcBorders>
              <w:top w:val="nil"/>
              <w:left w:val="nil"/>
              <w:bottom w:val="single" w:sz="4" w:space="0" w:color="auto"/>
              <w:right w:val="single" w:sz="4" w:space="0" w:color="auto"/>
            </w:tcBorders>
            <w:shd w:val="clear" w:color="auto" w:fill="auto"/>
            <w:vAlign w:val="center"/>
            <w:hideMark/>
          </w:tcPr>
          <w:p w14:paraId="0162C0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149</w:t>
            </w:r>
          </w:p>
        </w:tc>
        <w:tc>
          <w:tcPr>
            <w:tcW w:w="1199" w:type="dxa"/>
            <w:tcBorders>
              <w:top w:val="nil"/>
              <w:left w:val="nil"/>
              <w:bottom w:val="single" w:sz="4" w:space="0" w:color="auto"/>
              <w:right w:val="single" w:sz="4" w:space="0" w:color="auto"/>
            </w:tcBorders>
            <w:shd w:val="clear" w:color="auto" w:fill="auto"/>
            <w:vAlign w:val="center"/>
            <w:hideMark/>
          </w:tcPr>
          <w:p w14:paraId="448AFD5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169</w:t>
            </w:r>
          </w:p>
        </w:tc>
        <w:tc>
          <w:tcPr>
            <w:tcW w:w="1321" w:type="dxa"/>
            <w:tcBorders>
              <w:top w:val="nil"/>
              <w:left w:val="nil"/>
              <w:bottom w:val="single" w:sz="4" w:space="0" w:color="auto"/>
              <w:right w:val="single" w:sz="4" w:space="0" w:color="auto"/>
            </w:tcBorders>
            <w:shd w:val="clear" w:color="auto" w:fill="auto"/>
            <w:vAlign w:val="center"/>
            <w:hideMark/>
          </w:tcPr>
          <w:p w14:paraId="2325EB6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172</w:t>
            </w:r>
          </w:p>
        </w:tc>
        <w:tc>
          <w:tcPr>
            <w:tcW w:w="1221" w:type="dxa"/>
            <w:tcBorders>
              <w:top w:val="nil"/>
              <w:left w:val="nil"/>
              <w:bottom w:val="single" w:sz="4" w:space="0" w:color="auto"/>
              <w:right w:val="single" w:sz="4" w:space="0" w:color="auto"/>
            </w:tcBorders>
            <w:shd w:val="clear" w:color="auto" w:fill="auto"/>
            <w:vAlign w:val="center"/>
            <w:hideMark/>
          </w:tcPr>
          <w:p w14:paraId="00C4392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150</w:t>
            </w:r>
          </w:p>
        </w:tc>
        <w:tc>
          <w:tcPr>
            <w:tcW w:w="968" w:type="dxa"/>
            <w:tcBorders>
              <w:top w:val="nil"/>
              <w:left w:val="nil"/>
              <w:bottom w:val="single" w:sz="4" w:space="0" w:color="auto"/>
              <w:right w:val="single" w:sz="4" w:space="0" w:color="auto"/>
            </w:tcBorders>
            <w:shd w:val="clear" w:color="auto" w:fill="auto"/>
            <w:vAlign w:val="center"/>
            <w:hideMark/>
          </w:tcPr>
          <w:p w14:paraId="02D0DD7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173</w:t>
            </w:r>
          </w:p>
        </w:tc>
        <w:tc>
          <w:tcPr>
            <w:tcW w:w="1246" w:type="dxa"/>
            <w:tcBorders>
              <w:top w:val="nil"/>
              <w:left w:val="nil"/>
              <w:bottom w:val="single" w:sz="4" w:space="0" w:color="auto"/>
              <w:right w:val="single" w:sz="4" w:space="0" w:color="auto"/>
            </w:tcBorders>
            <w:shd w:val="clear" w:color="auto" w:fill="auto"/>
            <w:vAlign w:val="center"/>
            <w:hideMark/>
          </w:tcPr>
          <w:p w14:paraId="21CBF6D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c>
          <w:tcPr>
            <w:tcW w:w="1488" w:type="dxa"/>
            <w:tcBorders>
              <w:top w:val="nil"/>
              <w:left w:val="nil"/>
              <w:bottom w:val="single" w:sz="4" w:space="0" w:color="auto"/>
              <w:right w:val="single" w:sz="4" w:space="0" w:color="auto"/>
            </w:tcBorders>
            <w:shd w:val="clear" w:color="auto" w:fill="auto"/>
            <w:vAlign w:val="center"/>
            <w:hideMark/>
          </w:tcPr>
          <w:p w14:paraId="28C983B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98</w:t>
            </w:r>
          </w:p>
        </w:tc>
        <w:tc>
          <w:tcPr>
            <w:tcW w:w="1374" w:type="dxa"/>
            <w:tcBorders>
              <w:top w:val="nil"/>
              <w:left w:val="nil"/>
              <w:bottom w:val="single" w:sz="4" w:space="0" w:color="auto"/>
              <w:right w:val="single" w:sz="4" w:space="0" w:color="auto"/>
            </w:tcBorders>
            <w:shd w:val="clear" w:color="auto" w:fill="auto"/>
            <w:vAlign w:val="center"/>
            <w:hideMark/>
          </w:tcPr>
          <w:p w14:paraId="55CDBF8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135</w:t>
            </w:r>
          </w:p>
        </w:tc>
        <w:tc>
          <w:tcPr>
            <w:tcW w:w="1133" w:type="dxa"/>
            <w:tcBorders>
              <w:top w:val="nil"/>
              <w:left w:val="nil"/>
              <w:bottom w:val="single" w:sz="4" w:space="0" w:color="auto"/>
              <w:right w:val="single" w:sz="4" w:space="0" w:color="auto"/>
            </w:tcBorders>
            <w:shd w:val="clear" w:color="auto" w:fill="auto"/>
            <w:vAlign w:val="center"/>
            <w:hideMark/>
          </w:tcPr>
          <w:p w14:paraId="5138A1C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121</w:t>
            </w:r>
          </w:p>
        </w:tc>
        <w:tc>
          <w:tcPr>
            <w:tcW w:w="306" w:type="dxa"/>
            <w:tcBorders>
              <w:top w:val="nil"/>
              <w:left w:val="nil"/>
              <w:bottom w:val="single" w:sz="4" w:space="0" w:color="auto"/>
              <w:right w:val="single" w:sz="4" w:space="0" w:color="auto"/>
            </w:tcBorders>
            <w:shd w:val="clear" w:color="auto" w:fill="auto"/>
            <w:vAlign w:val="center"/>
            <w:hideMark/>
          </w:tcPr>
          <w:p w14:paraId="04A30C4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4C9DA70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1C6B2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Myanmar</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EC0FB32"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164</w:t>
            </w:r>
          </w:p>
        </w:tc>
        <w:tc>
          <w:tcPr>
            <w:tcW w:w="1126" w:type="dxa"/>
            <w:tcBorders>
              <w:top w:val="nil"/>
              <w:left w:val="nil"/>
              <w:bottom w:val="single" w:sz="4" w:space="0" w:color="auto"/>
              <w:right w:val="single" w:sz="4" w:space="0" w:color="auto"/>
            </w:tcBorders>
            <w:shd w:val="clear" w:color="auto" w:fill="auto"/>
            <w:vAlign w:val="center"/>
            <w:hideMark/>
          </w:tcPr>
          <w:p w14:paraId="7C71AC7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70</w:t>
            </w:r>
          </w:p>
        </w:tc>
        <w:tc>
          <w:tcPr>
            <w:tcW w:w="1199" w:type="dxa"/>
            <w:tcBorders>
              <w:top w:val="nil"/>
              <w:left w:val="nil"/>
              <w:bottom w:val="single" w:sz="4" w:space="0" w:color="auto"/>
              <w:right w:val="single" w:sz="4" w:space="0" w:color="auto"/>
            </w:tcBorders>
            <w:shd w:val="clear" w:color="auto" w:fill="auto"/>
            <w:vAlign w:val="center"/>
            <w:hideMark/>
          </w:tcPr>
          <w:p w14:paraId="2FF2427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46</w:t>
            </w:r>
          </w:p>
        </w:tc>
        <w:tc>
          <w:tcPr>
            <w:tcW w:w="1321" w:type="dxa"/>
            <w:tcBorders>
              <w:top w:val="nil"/>
              <w:left w:val="nil"/>
              <w:bottom w:val="single" w:sz="4" w:space="0" w:color="auto"/>
              <w:right w:val="single" w:sz="4" w:space="0" w:color="auto"/>
            </w:tcBorders>
            <w:shd w:val="clear" w:color="auto" w:fill="auto"/>
            <w:vAlign w:val="center"/>
            <w:hideMark/>
          </w:tcPr>
          <w:p w14:paraId="7BEBFAE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148</w:t>
            </w:r>
          </w:p>
        </w:tc>
        <w:tc>
          <w:tcPr>
            <w:tcW w:w="1221" w:type="dxa"/>
            <w:tcBorders>
              <w:top w:val="nil"/>
              <w:left w:val="nil"/>
              <w:bottom w:val="single" w:sz="4" w:space="0" w:color="auto"/>
              <w:right w:val="single" w:sz="4" w:space="0" w:color="auto"/>
            </w:tcBorders>
            <w:shd w:val="clear" w:color="auto" w:fill="auto"/>
            <w:vAlign w:val="center"/>
            <w:hideMark/>
          </w:tcPr>
          <w:p w14:paraId="270695C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125</w:t>
            </w:r>
          </w:p>
        </w:tc>
        <w:tc>
          <w:tcPr>
            <w:tcW w:w="968" w:type="dxa"/>
            <w:tcBorders>
              <w:top w:val="nil"/>
              <w:left w:val="nil"/>
              <w:bottom w:val="single" w:sz="4" w:space="0" w:color="auto"/>
              <w:right w:val="single" w:sz="4" w:space="0" w:color="auto"/>
            </w:tcBorders>
            <w:shd w:val="clear" w:color="auto" w:fill="auto"/>
            <w:vAlign w:val="center"/>
            <w:hideMark/>
          </w:tcPr>
          <w:p w14:paraId="42AC4C4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181</w:t>
            </w:r>
          </w:p>
        </w:tc>
        <w:tc>
          <w:tcPr>
            <w:tcW w:w="1246" w:type="dxa"/>
            <w:tcBorders>
              <w:top w:val="nil"/>
              <w:left w:val="nil"/>
              <w:bottom w:val="single" w:sz="4" w:space="0" w:color="auto"/>
              <w:right w:val="single" w:sz="4" w:space="0" w:color="auto"/>
            </w:tcBorders>
            <w:shd w:val="clear" w:color="auto" w:fill="auto"/>
            <w:vAlign w:val="center"/>
            <w:hideMark/>
          </w:tcPr>
          <w:p w14:paraId="66F641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488" w:type="dxa"/>
            <w:tcBorders>
              <w:top w:val="nil"/>
              <w:left w:val="nil"/>
              <w:bottom w:val="single" w:sz="4" w:space="0" w:color="auto"/>
              <w:right w:val="single" w:sz="4" w:space="0" w:color="auto"/>
            </w:tcBorders>
            <w:shd w:val="clear" w:color="auto" w:fill="auto"/>
            <w:vAlign w:val="center"/>
            <w:hideMark/>
          </w:tcPr>
          <w:p w14:paraId="103A42A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129</w:t>
            </w:r>
          </w:p>
        </w:tc>
        <w:tc>
          <w:tcPr>
            <w:tcW w:w="1374" w:type="dxa"/>
            <w:tcBorders>
              <w:top w:val="nil"/>
              <w:left w:val="nil"/>
              <w:bottom w:val="single" w:sz="4" w:space="0" w:color="auto"/>
              <w:right w:val="single" w:sz="4" w:space="0" w:color="auto"/>
            </w:tcBorders>
            <w:shd w:val="clear" w:color="auto" w:fill="auto"/>
            <w:vAlign w:val="center"/>
            <w:hideMark/>
          </w:tcPr>
          <w:p w14:paraId="261AF08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c>
          <w:tcPr>
            <w:tcW w:w="1133" w:type="dxa"/>
            <w:tcBorders>
              <w:top w:val="nil"/>
              <w:left w:val="nil"/>
              <w:bottom w:val="single" w:sz="4" w:space="0" w:color="auto"/>
              <w:right w:val="single" w:sz="4" w:space="0" w:color="auto"/>
            </w:tcBorders>
            <w:shd w:val="clear" w:color="auto" w:fill="auto"/>
            <w:vAlign w:val="center"/>
            <w:hideMark/>
          </w:tcPr>
          <w:p w14:paraId="728972C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306" w:type="dxa"/>
            <w:tcBorders>
              <w:top w:val="nil"/>
              <w:left w:val="nil"/>
              <w:bottom w:val="single" w:sz="4" w:space="0" w:color="auto"/>
              <w:right w:val="single" w:sz="4" w:space="0" w:color="auto"/>
            </w:tcBorders>
            <w:shd w:val="clear" w:color="auto" w:fill="auto"/>
            <w:vAlign w:val="center"/>
            <w:hideMark/>
          </w:tcPr>
          <w:p w14:paraId="1E054E6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164</w:t>
            </w:r>
          </w:p>
        </w:tc>
      </w:tr>
      <w:tr w:rsidR="00BC17A3" w:rsidRPr="00A546AD" w14:paraId="4CC10233"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71E6B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Burundi</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503565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165</w:t>
            </w:r>
          </w:p>
        </w:tc>
        <w:tc>
          <w:tcPr>
            <w:tcW w:w="1126" w:type="dxa"/>
            <w:tcBorders>
              <w:top w:val="nil"/>
              <w:left w:val="nil"/>
              <w:bottom w:val="single" w:sz="4" w:space="0" w:color="auto"/>
              <w:right w:val="single" w:sz="4" w:space="0" w:color="auto"/>
            </w:tcBorders>
            <w:shd w:val="clear" w:color="auto" w:fill="auto"/>
            <w:vAlign w:val="center"/>
            <w:hideMark/>
          </w:tcPr>
          <w:p w14:paraId="2C137CF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43</w:t>
            </w:r>
          </w:p>
        </w:tc>
        <w:tc>
          <w:tcPr>
            <w:tcW w:w="1199" w:type="dxa"/>
            <w:tcBorders>
              <w:top w:val="nil"/>
              <w:left w:val="nil"/>
              <w:bottom w:val="single" w:sz="4" w:space="0" w:color="auto"/>
              <w:right w:val="single" w:sz="4" w:space="0" w:color="auto"/>
            </w:tcBorders>
            <w:shd w:val="clear" w:color="auto" w:fill="auto"/>
            <w:vAlign w:val="center"/>
            <w:hideMark/>
          </w:tcPr>
          <w:p w14:paraId="02AE5FF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161</w:t>
            </w:r>
          </w:p>
        </w:tc>
        <w:tc>
          <w:tcPr>
            <w:tcW w:w="1321" w:type="dxa"/>
            <w:tcBorders>
              <w:top w:val="nil"/>
              <w:left w:val="nil"/>
              <w:bottom w:val="single" w:sz="4" w:space="0" w:color="auto"/>
              <w:right w:val="single" w:sz="4" w:space="0" w:color="auto"/>
            </w:tcBorders>
            <w:shd w:val="clear" w:color="auto" w:fill="auto"/>
            <w:vAlign w:val="center"/>
            <w:hideMark/>
          </w:tcPr>
          <w:p w14:paraId="76A40B5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184</w:t>
            </w:r>
          </w:p>
        </w:tc>
        <w:tc>
          <w:tcPr>
            <w:tcW w:w="1221" w:type="dxa"/>
            <w:tcBorders>
              <w:top w:val="nil"/>
              <w:left w:val="nil"/>
              <w:bottom w:val="single" w:sz="4" w:space="0" w:color="auto"/>
              <w:right w:val="single" w:sz="4" w:space="0" w:color="auto"/>
            </w:tcBorders>
            <w:shd w:val="clear" w:color="auto" w:fill="auto"/>
            <w:vAlign w:val="center"/>
            <w:hideMark/>
          </w:tcPr>
          <w:p w14:paraId="0E5545C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100</w:t>
            </w:r>
          </w:p>
        </w:tc>
        <w:tc>
          <w:tcPr>
            <w:tcW w:w="968" w:type="dxa"/>
            <w:tcBorders>
              <w:top w:val="nil"/>
              <w:left w:val="nil"/>
              <w:bottom w:val="single" w:sz="4" w:space="0" w:color="auto"/>
              <w:right w:val="single" w:sz="4" w:space="0" w:color="auto"/>
            </w:tcBorders>
            <w:shd w:val="clear" w:color="auto" w:fill="auto"/>
            <w:vAlign w:val="center"/>
            <w:hideMark/>
          </w:tcPr>
          <w:p w14:paraId="7861F2D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246" w:type="dxa"/>
            <w:tcBorders>
              <w:top w:val="nil"/>
              <w:left w:val="nil"/>
              <w:bottom w:val="single" w:sz="4" w:space="0" w:color="auto"/>
              <w:right w:val="single" w:sz="4" w:space="0" w:color="auto"/>
            </w:tcBorders>
            <w:shd w:val="clear" w:color="auto" w:fill="auto"/>
            <w:vAlign w:val="center"/>
            <w:hideMark/>
          </w:tcPr>
          <w:p w14:paraId="60AD703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c>
          <w:tcPr>
            <w:tcW w:w="1488" w:type="dxa"/>
            <w:tcBorders>
              <w:top w:val="nil"/>
              <w:left w:val="nil"/>
              <w:bottom w:val="single" w:sz="4" w:space="0" w:color="auto"/>
              <w:right w:val="single" w:sz="4" w:space="0" w:color="auto"/>
            </w:tcBorders>
            <w:shd w:val="clear" w:color="auto" w:fill="auto"/>
            <w:vAlign w:val="center"/>
            <w:hideMark/>
          </w:tcPr>
          <w:p w14:paraId="78B655E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140</w:t>
            </w:r>
          </w:p>
        </w:tc>
        <w:tc>
          <w:tcPr>
            <w:tcW w:w="1374" w:type="dxa"/>
            <w:tcBorders>
              <w:top w:val="nil"/>
              <w:left w:val="nil"/>
              <w:bottom w:val="single" w:sz="4" w:space="0" w:color="auto"/>
              <w:right w:val="single" w:sz="4" w:space="0" w:color="auto"/>
            </w:tcBorders>
            <w:shd w:val="clear" w:color="auto" w:fill="auto"/>
            <w:vAlign w:val="center"/>
            <w:hideMark/>
          </w:tcPr>
          <w:p w14:paraId="060B598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169</w:t>
            </w:r>
          </w:p>
        </w:tc>
        <w:tc>
          <w:tcPr>
            <w:tcW w:w="1133" w:type="dxa"/>
            <w:tcBorders>
              <w:top w:val="nil"/>
              <w:left w:val="nil"/>
              <w:bottom w:val="single" w:sz="4" w:space="0" w:color="auto"/>
              <w:right w:val="single" w:sz="4" w:space="0" w:color="auto"/>
            </w:tcBorders>
            <w:shd w:val="clear" w:color="auto" w:fill="auto"/>
            <w:vAlign w:val="center"/>
            <w:hideMark/>
          </w:tcPr>
          <w:p w14:paraId="7C76C1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158</w:t>
            </w:r>
          </w:p>
        </w:tc>
        <w:tc>
          <w:tcPr>
            <w:tcW w:w="306" w:type="dxa"/>
            <w:tcBorders>
              <w:top w:val="nil"/>
              <w:left w:val="nil"/>
              <w:bottom w:val="single" w:sz="4" w:space="0" w:color="auto"/>
              <w:right w:val="single" w:sz="4" w:space="0" w:color="auto"/>
            </w:tcBorders>
            <w:shd w:val="clear" w:color="auto" w:fill="auto"/>
            <w:vAlign w:val="center"/>
            <w:hideMark/>
          </w:tcPr>
          <w:p w14:paraId="72DABE3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r>
      <w:tr w:rsidR="00BC17A3" w:rsidRPr="00A546AD" w14:paraId="67D406E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37E48D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Cameroon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EBDA35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166</w:t>
            </w:r>
          </w:p>
        </w:tc>
        <w:tc>
          <w:tcPr>
            <w:tcW w:w="1126" w:type="dxa"/>
            <w:tcBorders>
              <w:top w:val="nil"/>
              <w:left w:val="nil"/>
              <w:bottom w:val="single" w:sz="4" w:space="0" w:color="auto"/>
              <w:right w:val="single" w:sz="4" w:space="0" w:color="auto"/>
            </w:tcBorders>
            <w:shd w:val="clear" w:color="auto" w:fill="auto"/>
            <w:vAlign w:val="center"/>
            <w:hideMark/>
          </w:tcPr>
          <w:p w14:paraId="0C3134A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199" w:type="dxa"/>
            <w:tcBorders>
              <w:top w:val="nil"/>
              <w:left w:val="nil"/>
              <w:bottom w:val="single" w:sz="4" w:space="0" w:color="auto"/>
              <w:right w:val="single" w:sz="4" w:space="0" w:color="auto"/>
            </w:tcBorders>
            <w:shd w:val="clear" w:color="auto" w:fill="auto"/>
            <w:vAlign w:val="center"/>
            <w:hideMark/>
          </w:tcPr>
          <w:p w14:paraId="56BCB20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154</w:t>
            </w:r>
          </w:p>
        </w:tc>
        <w:tc>
          <w:tcPr>
            <w:tcW w:w="1321" w:type="dxa"/>
            <w:tcBorders>
              <w:top w:val="nil"/>
              <w:left w:val="nil"/>
              <w:bottom w:val="single" w:sz="4" w:space="0" w:color="auto"/>
              <w:right w:val="single" w:sz="4" w:space="0" w:color="auto"/>
            </w:tcBorders>
            <w:shd w:val="clear" w:color="auto" w:fill="auto"/>
            <w:vAlign w:val="center"/>
            <w:hideMark/>
          </w:tcPr>
          <w:p w14:paraId="20073A9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133</w:t>
            </w:r>
          </w:p>
        </w:tc>
        <w:tc>
          <w:tcPr>
            <w:tcW w:w="1221" w:type="dxa"/>
            <w:tcBorders>
              <w:top w:val="nil"/>
              <w:left w:val="nil"/>
              <w:bottom w:val="single" w:sz="4" w:space="0" w:color="auto"/>
              <w:right w:val="single" w:sz="4" w:space="0" w:color="auto"/>
            </w:tcBorders>
            <w:shd w:val="clear" w:color="auto" w:fill="auto"/>
            <w:vAlign w:val="center"/>
            <w:hideMark/>
          </w:tcPr>
          <w:p w14:paraId="5060AB7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175</w:t>
            </w:r>
          </w:p>
        </w:tc>
        <w:tc>
          <w:tcPr>
            <w:tcW w:w="968" w:type="dxa"/>
            <w:tcBorders>
              <w:top w:val="nil"/>
              <w:left w:val="nil"/>
              <w:bottom w:val="single" w:sz="4" w:space="0" w:color="auto"/>
              <w:right w:val="single" w:sz="4" w:space="0" w:color="auto"/>
            </w:tcBorders>
            <w:shd w:val="clear" w:color="auto" w:fill="auto"/>
            <w:vAlign w:val="center"/>
            <w:hideMark/>
          </w:tcPr>
          <w:p w14:paraId="279E0B6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80</w:t>
            </w:r>
          </w:p>
        </w:tc>
        <w:tc>
          <w:tcPr>
            <w:tcW w:w="1246" w:type="dxa"/>
            <w:tcBorders>
              <w:top w:val="nil"/>
              <w:left w:val="nil"/>
              <w:bottom w:val="single" w:sz="4" w:space="0" w:color="auto"/>
              <w:right w:val="single" w:sz="4" w:space="0" w:color="auto"/>
            </w:tcBorders>
            <w:shd w:val="clear" w:color="auto" w:fill="auto"/>
            <w:vAlign w:val="center"/>
            <w:hideMark/>
          </w:tcPr>
          <w:p w14:paraId="75286A3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1488" w:type="dxa"/>
            <w:tcBorders>
              <w:top w:val="nil"/>
              <w:left w:val="nil"/>
              <w:bottom w:val="single" w:sz="4" w:space="0" w:color="auto"/>
              <w:right w:val="single" w:sz="4" w:space="0" w:color="auto"/>
            </w:tcBorders>
            <w:shd w:val="clear" w:color="auto" w:fill="auto"/>
            <w:vAlign w:val="center"/>
            <w:hideMark/>
          </w:tcPr>
          <w:p w14:paraId="2A7F031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181</w:t>
            </w:r>
          </w:p>
        </w:tc>
        <w:tc>
          <w:tcPr>
            <w:tcW w:w="1374" w:type="dxa"/>
            <w:tcBorders>
              <w:top w:val="nil"/>
              <w:left w:val="nil"/>
              <w:bottom w:val="single" w:sz="4" w:space="0" w:color="auto"/>
              <w:right w:val="single" w:sz="4" w:space="0" w:color="auto"/>
            </w:tcBorders>
            <w:shd w:val="clear" w:color="auto" w:fill="auto"/>
            <w:vAlign w:val="center"/>
            <w:hideMark/>
          </w:tcPr>
          <w:p w14:paraId="65A5633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133" w:type="dxa"/>
            <w:tcBorders>
              <w:top w:val="nil"/>
              <w:left w:val="nil"/>
              <w:bottom w:val="single" w:sz="4" w:space="0" w:color="auto"/>
              <w:right w:val="single" w:sz="4" w:space="0" w:color="auto"/>
            </w:tcBorders>
            <w:shd w:val="clear" w:color="auto" w:fill="auto"/>
            <w:vAlign w:val="center"/>
            <w:hideMark/>
          </w:tcPr>
          <w:p w14:paraId="14DD009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167</w:t>
            </w:r>
          </w:p>
        </w:tc>
        <w:tc>
          <w:tcPr>
            <w:tcW w:w="306" w:type="dxa"/>
            <w:tcBorders>
              <w:top w:val="nil"/>
              <w:left w:val="nil"/>
              <w:bottom w:val="single" w:sz="4" w:space="0" w:color="auto"/>
              <w:right w:val="single" w:sz="4" w:space="0" w:color="auto"/>
            </w:tcBorders>
            <w:shd w:val="clear" w:color="auto" w:fill="auto"/>
            <w:vAlign w:val="center"/>
            <w:hideMark/>
          </w:tcPr>
          <w:p w14:paraId="7D6D5E9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129</w:t>
            </w:r>
          </w:p>
        </w:tc>
      </w:tr>
      <w:tr w:rsidR="00BC17A3" w:rsidRPr="00A546AD" w14:paraId="76E01A3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C1A940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Bangladesh</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2ADB9E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167</w:t>
            </w:r>
          </w:p>
        </w:tc>
        <w:tc>
          <w:tcPr>
            <w:tcW w:w="1126" w:type="dxa"/>
            <w:tcBorders>
              <w:top w:val="nil"/>
              <w:left w:val="nil"/>
              <w:bottom w:val="single" w:sz="4" w:space="0" w:color="auto"/>
              <w:right w:val="single" w:sz="4" w:space="0" w:color="auto"/>
            </w:tcBorders>
            <w:shd w:val="clear" w:color="auto" w:fill="auto"/>
            <w:vAlign w:val="center"/>
            <w:hideMark/>
          </w:tcPr>
          <w:p w14:paraId="4DC1488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131</w:t>
            </w:r>
          </w:p>
        </w:tc>
        <w:tc>
          <w:tcPr>
            <w:tcW w:w="1199" w:type="dxa"/>
            <w:tcBorders>
              <w:top w:val="nil"/>
              <w:left w:val="nil"/>
              <w:bottom w:val="single" w:sz="4" w:space="0" w:color="auto"/>
              <w:right w:val="single" w:sz="4" w:space="0" w:color="auto"/>
            </w:tcBorders>
            <w:shd w:val="clear" w:color="auto" w:fill="auto"/>
            <w:vAlign w:val="center"/>
            <w:hideMark/>
          </w:tcPr>
          <w:p w14:paraId="0B074D3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135</w:t>
            </w:r>
          </w:p>
        </w:tc>
        <w:tc>
          <w:tcPr>
            <w:tcW w:w="1321" w:type="dxa"/>
            <w:tcBorders>
              <w:top w:val="nil"/>
              <w:left w:val="nil"/>
              <w:bottom w:val="single" w:sz="4" w:space="0" w:color="auto"/>
              <w:right w:val="single" w:sz="4" w:space="0" w:color="auto"/>
            </w:tcBorders>
            <w:shd w:val="clear" w:color="auto" w:fill="auto"/>
            <w:vAlign w:val="center"/>
            <w:hideMark/>
          </w:tcPr>
          <w:p w14:paraId="3228F97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221" w:type="dxa"/>
            <w:tcBorders>
              <w:top w:val="nil"/>
              <w:left w:val="nil"/>
              <w:bottom w:val="single" w:sz="4" w:space="0" w:color="auto"/>
              <w:right w:val="single" w:sz="4" w:space="0" w:color="auto"/>
            </w:tcBorders>
            <w:shd w:val="clear" w:color="auto" w:fill="auto"/>
            <w:vAlign w:val="center"/>
            <w:hideMark/>
          </w:tcPr>
          <w:p w14:paraId="68F7FC1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184</w:t>
            </w:r>
          </w:p>
        </w:tc>
        <w:tc>
          <w:tcPr>
            <w:tcW w:w="968" w:type="dxa"/>
            <w:tcBorders>
              <w:top w:val="nil"/>
              <w:left w:val="nil"/>
              <w:bottom w:val="single" w:sz="4" w:space="0" w:color="auto"/>
              <w:right w:val="single" w:sz="4" w:space="0" w:color="auto"/>
            </w:tcBorders>
            <w:shd w:val="clear" w:color="auto" w:fill="auto"/>
            <w:vAlign w:val="center"/>
            <w:hideMark/>
          </w:tcPr>
          <w:p w14:paraId="0C8EC35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c>
          <w:tcPr>
            <w:tcW w:w="1246" w:type="dxa"/>
            <w:tcBorders>
              <w:top w:val="nil"/>
              <w:left w:val="nil"/>
              <w:bottom w:val="single" w:sz="4" w:space="0" w:color="auto"/>
              <w:right w:val="single" w:sz="4" w:space="0" w:color="auto"/>
            </w:tcBorders>
            <w:shd w:val="clear" w:color="auto" w:fill="auto"/>
            <w:vAlign w:val="center"/>
            <w:hideMark/>
          </w:tcPr>
          <w:p w14:paraId="5BE9ABC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72</w:t>
            </w:r>
          </w:p>
        </w:tc>
        <w:tc>
          <w:tcPr>
            <w:tcW w:w="1488" w:type="dxa"/>
            <w:tcBorders>
              <w:top w:val="nil"/>
              <w:left w:val="nil"/>
              <w:bottom w:val="single" w:sz="4" w:space="0" w:color="auto"/>
              <w:right w:val="single" w:sz="4" w:space="0" w:color="auto"/>
            </w:tcBorders>
            <w:shd w:val="clear" w:color="auto" w:fill="auto"/>
            <w:vAlign w:val="center"/>
            <w:hideMark/>
          </w:tcPr>
          <w:p w14:paraId="2E70388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151</w:t>
            </w:r>
          </w:p>
        </w:tc>
        <w:tc>
          <w:tcPr>
            <w:tcW w:w="1374" w:type="dxa"/>
            <w:tcBorders>
              <w:top w:val="nil"/>
              <w:left w:val="nil"/>
              <w:bottom w:val="single" w:sz="4" w:space="0" w:color="auto"/>
              <w:right w:val="single" w:sz="4" w:space="0" w:color="auto"/>
            </w:tcBorders>
            <w:shd w:val="clear" w:color="auto" w:fill="auto"/>
            <w:vAlign w:val="center"/>
            <w:hideMark/>
          </w:tcPr>
          <w:p w14:paraId="22356C3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133" w:type="dxa"/>
            <w:tcBorders>
              <w:top w:val="nil"/>
              <w:left w:val="nil"/>
              <w:bottom w:val="single" w:sz="4" w:space="0" w:color="auto"/>
              <w:right w:val="single" w:sz="4" w:space="0" w:color="auto"/>
            </w:tcBorders>
            <w:shd w:val="clear" w:color="auto" w:fill="auto"/>
            <w:vAlign w:val="center"/>
            <w:hideMark/>
          </w:tcPr>
          <w:p w14:paraId="76850CE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189</w:t>
            </w:r>
          </w:p>
        </w:tc>
        <w:tc>
          <w:tcPr>
            <w:tcW w:w="306" w:type="dxa"/>
            <w:tcBorders>
              <w:top w:val="nil"/>
              <w:left w:val="nil"/>
              <w:bottom w:val="single" w:sz="4" w:space="0" w:color="auto"/>
              <w:right w:val="single" w:sz="4" w:space="0" w:color="auto"/>
            </w:tcBorders>
            <w:shd w:val="clear" w:color="auto" w:fill="auto"/>
            <w:vAlign w:val="center"/>
            <w:hideMark/>
          </w:tcPr>
          <w:p w14:paraId="694E2B4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154</w:t>
            </w:r>
          </w:p>
        </w:tc>
      </w:tr>
      <w:tr w:rsidR="00BC17A3" w:rsidRPr="00A546AD" w14:paraId="3EBCC5E6"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E598EE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Gabon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CCB603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168</w:t>
            </w:r>
          </w:p>
        </w:tc>
        <w:tc>
          <w:tcPr>
            <w:tcW w:w="1126" w:type="dxa"/>
            <w:tcBorders>
              <w:top w:val="nil"/>
              <w:left w:val="nil"/>
              <w:bottom w:val="single" w:sz="4" w:space="0" w:color="auto"/>
              <w:right w:val="single" w:sz="4" w:space="0" w:color="auto"/>
            </w:tcBorders>
            <w:shd w:val="clear" w:color="auto" w:fill="auto"/>
            <w:vAlign w:val="center"/>
            <w:hideMark/>
          </w:tcPr>
          <w:p w14:paraId="413748A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96</w:t>
            </w:r>
          </w:p>
        </w:tc>
        <w:tc>
          <w:tcPr>
            <w:tcW w:w="1199" w:type="dxa"/>
            <w:tcBorders>
              <w:top w:val="nil"/>
              <w:left w:val="nil"/>
              <w:bottom w:val="single" w:sz="4" w:space="0" w:color="auto"/>
              <w:right w:val="single" w:sz="4" w:space="0" w:color="auto"/>
            </w:tcBorders>
            <w:shd w:val="clear" w:color="auto" w:fill="auto"/>
            <w:vAlign w:val="center"/>
            <w:hideMark/>
          </w:tcPr>
          <w:p w14:paraId="00EB996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141</w:t>
            </w:r>
          </w:p>
        </w:tc>
        <w:tc>
          <w:tcPr>
            <w:tcW w:w="1321" w:type="dxa"/>
            <w:tcBorders>
              <w:top w:val="nil"/>
              <w:left w:val="nil"/>
              <w:bottom w:val="single" w:sz="4" w:space="0" w:color="auto"/>
              <w:right w:val="single" w:sz="4" w:space="0" w:color="auto"/>
            </w:tcBorders>
            <w:shd w:val="clear" w:color="auto" w:fill="auto"/>
            <w:vAlign w:val="center"/>
            <w:hideMark/>
          </w:tcPr>
          <w:p w14:paraId="69697AC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164</w:t>
            </w:r>
          </w:p>
        </w:tc>
        <w:tc>
          <w:tcPr>
            <w:tcW w:w="1221" w:type="dxa"/>
            <w:tcBorders>
              <w:top w:val="nil"/>
              <w:left w:val="nil"/>
              <w:bottom w:val="single" w:sz="4" w:space="0" w:color="auto"/>
              <w:right w:val="single" w:sz="4" w:space="0" w:color="auto"/>
            </w:tcBorders>
            <w:shd w:val="clear" w:color="auto" w:fill="auto"/>
            <w:vAlign w:val="center"/>
            <w:hideMark/>
          </w:tcPr>
          <w:p w14:paraId="0E982D7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171</w:t>
            </w:r>
          </w:p>
        </w:tc>
        <w:tc>
          <w:tcPr>
            <w:tcW w:w="968" w:type="dxa"/>
            <w:tcBorders>
              <w:top w:val="nil"/>
              <w:left w:val="nil"/>
              <w:bottom w:val="single" w:sz="4" w:space="0" w:color="auto"/>
              <w:right w:val="single" w:sz="4" w:space="0" w:color="auto"/>
            </w:tcBorders>
            <w:shd w:val="clear" w:color="auto" w:fill="auto"/>
            <w:vAlign w:val="center"/>
            <w:hideMark/>
          </w:tcPr>
          <w:p w14:paraId="7F15E9C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06B566A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1488" w:type="dxa"/>
            <w:tcBorders>
              <w:top w:val="nil"/>
              <w:left w:val="nil"/>
              <w:bottom w:val="single" w:sz="4" w:space="0" w:color="auto"/>
              <w:right w:val="single" w:sz="4" w:space="0" w:color="auto"/>
            </w:tcBorders>
            <w:shd w:val="clear" w:color="auto" w:fill="auto"/>
            <w:vAlign w:val="center"/>
            <w:hideMark/>
          </w:tcPr>
          <w:p w14:paraId="78310BD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182</w:t>
            </w:r>
          </w:p>
        </w:tc>
        <w:tc>
          <w:tcPr>
            <w:tcW w:w="1374" w:type="dxa"/>
            <w:tcBorders>
              <w:top w:val="nil"/>
              <w:left w:val="nil"/>
              <w:bottom w:val="single" w:sz="4" w:space="0" w:color="auto"/>
              <w:right w:val="single" w:sz="4" w:space="0" w:color="auto"/>
            </w:tcBorders>
            <w:shd w:val="clear" w:color="auto" w:fill="auto"/>
            <w:vAlign w:val="center"/>
            <w:hideMark/>
          </w:tcPr>
          <w:p w14:paraId="0C9FD6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1133" w:type="dxa"/>
            <w:tcBorders>
              <w:top w:val="nil"/>
              <w:left w:val="nil"/>
              <w:bottom w:val="single" w:sz="4" w:space="0" w:color="auto"/>
              <w:right w:val="single" w:sz="4" w:space="0" w:color="auto"/>
            </w:tcBorders>
            <w:shd w:val="clear" w:color="auto" w:fill="auto"/>
            <w:vAlign w:val="center"/>
            <w:hideMark/>
          </w:tcPr>
          <w:p w14:paraId="6AF1EAB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180</w:t>
            </w:r>
          </w:p>
        </w:tc>
        <w:tc>
          <w:tcPr>
            <w:tcW w:w="306" w:type="dxa"/>
            <w:tcBorders>
              <w:top w:val="nil"/>
              <w:left w:val="nil"/>
              <w:bottom w:val="single" w:sz="4" w:space="0" w:color="auto"/>
              <w:right w:val="single" w:sz="4" w:space="0" w:color="auto"/>
            </w:tcBorders>
            <w:shd w:val="clear" w:color="auto" w:fill="auto"/>
            <w:vAlign w:val="center"/>
            <w:hideMark/>
          </w:tcPr>
          <w:p w14:paraId="5DC7380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130</w:t>
            </w:r>
          </w:p>
        </w:tc>
      </w:tr>
      <w:tr w:rsidR="00BC17A3" w:rsidRPr="00A546AD" w14:paraId="0F7D2C5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B00D73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São</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Tomé</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and</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Príncipe</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A4DC1A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169</w:t>
            </w:r>
          </w:p>
        </w:tc>
        <w:tc>
          <w:tcPr>
            <w:tcW w:w="1126" w:type="dxa"/>
            <w:tcBorders>
              <w:top w:val="nil"/>
              <w:left w:val="nil"/>
              <w:bottom w:val="single" w:sz="4" w:space="0" w:color="auto"/>
              <w:right w:val="single" w:sz="4" w:space="0" w:color="auto"/>
            </w:tcBorders>
            <w:shd w:val="clear" w:color="auto" w:fill="auto"/>
            <w:vAlign w:val="center"/>
            <w:hideMark/>
          </w:tcPr>
          <w:p w14:paraId="340A3D8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150</w:t>
            </w:r>
          </w:p>
        </w:tc>
        <w:tc>
          <w:tcPr>
            <w:tcW w:w="1199" w:type="dxa"/>
            <w:tcBorders>
              <w:top w:val="nil"/>
              <w:left w:val="nil"/>
              <w:bottom w:val="single" w:sz="4" w:space="0" w:color="auto"/>
              <w:right w:val="single" w:sz="4" w:space="0" w:color="auto"/>
            </w:tcBorders>
            <w:shd w:val="clear" w:color="auto" w:fill="auto"/>
            <w:vAlign w:val="center"/>
            <w:hideMark/>
          </w:tcPr>
          <w:p w14:paraId="07E7C13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111</w:t>
            </w:r>
          </w:p>
        </w:tc>
        <w:tc>
          <w:tcPr>
            <w:tcW w:w="1321" w:type="dxa"/>
            <w:tcBorders>
              <w:top w:val="nil"/>
              <w:left w:val="nil"/>
              <w:bottom w:val="single" w:sz="4" w:space="0" w:color="auto"/>
              <w:right w:val="single" w:sz="4" w:space="0" w:color="auto"/>
            </w:tcBorders>
            <w:shd w:val="clear" w:color="auto" w:fill="auto"/>
            <w:vAlign w:val="center"/>
            <w:hideMark/>
          </w:tcPr>
          <w:p w14:paraId="60ECD61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130</w:t>
            </w:r>
          </w:p>
        </w:tc>
        <w:tc>
          <w:tcPr>
            <w:tcW w:w="1221" w:type="dxa"/>
            <w:tcBorders>
              <w:top w:val="nil"/>
              <w:left w:val="nil"/>
              <w:bottom w:val="single" w:sz="4" w:space="0" w:color="auto"/>
              <w:right w:val="single" w:sz="4" w:space="0" w:color="auto"/>
            </w:tcBorders>
            <w:shd w:val="clear" w:color="auto" w:fill="auto"/>
            <w:vAlign w:val="center"/>
            <w:hideMark/>
          </w:tcPr>
          <w:p w14:paraId="78DD17A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172</w:t>
            </w:r>
          </w:p>
        </w:tc>
        <w:tc>
          <w:tcPr>
            <w:tcW w:w="968" w:type="dxa"/>
            <w:tcBorders>
              <w:top w:val="nil"/>
              <w:left w:val="nil"/>
              <w:bottom w:val="single" w:sz="4" w:space="0" w:color="auto"/>
              <w:right w:val="single" w:sz="4" w:space="0" w:color="auto"/>
            </w:tcBorders>
            <w:shd w:val="clear" w:color="auto" w:fill="auto"/>
            <w:vAlign w:val="center"/>
            <w:hideMark/>
          </w:tcPr>
          <w:p w14:paraId="54E1347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c>
          <w:tcPr>
            <w:tcW w:w="1246" w:type="dxa"/>
            <w:tcBorders>
              <w:top w:val="nil"/>
              <w:left w:val="nil"/>
              <w:bottom w:val="single" w:sz="4" w:space="0" w:color="auto"/>
              <w:right w:val="single" w:sz="4" w:space="0" w:color="auto"/>
            </w:tcBorders>
            <w:shd w:val="clear" w:color="auto" w:fill="auto"/>
            <w:vAlign w:val="center"/>
            <w:hideMark/>
          </w:tcPr>
          <w:p w14:paraId="5EA6882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179</w:t>
            </w:r>
          </w:p>
        </w:tc>
        <w:tc>
          <w:tcPr>
            <w:tcW w:w="1488" w:type="dxa"/>
            <w:tcBorders>
              <w:top w:val="nil"/>
              <w:left w:val="nil"/>
              <w:bottom w:val="single" w:sz="4" w:space="0" w:color="auto"/>
              <w:right w:val="single" w:sz="4" w:space="0" w:color="auto"/>
            </w:tcBorders>
            <w:shd w:val="clear" w:color="auto" w:fill="auto"/>
            <w:vAlign w:val="center"/>
            <w:hideMark/>
          </w:tcPr>
          <w:p w14:paraId="35C13E1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137</w:t>
            </w:r>
          </w:p>
        </w:tc>
        <w:tc>
          <w:tcPr>
            <w:tcW w:w="1374" w:type="dxa"/>
            <w:tcBorders>
              <w:top w:val="nil"/>
              <w:left w:val="nil"/>
              <w:bottom w:val="single" w:sz="4" w:space="0" w:color="auto"/>
              <w:right w:val="single" w:sz="4" w:space="0" w:color="auto"/>
            </w:tcBorders>
            <w:shd w:val="clear" w:color="auto" w:fill="auto"/>
            <w:vAlign w:val="center"/>
            <w:hideMark/>
          </w:tcPr>
          <w:p w14:paraId="5177EBF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124</w:t>
            </w:r>
          </w:p>
        </w:tc>
        <w:tc>
          <w:tcPr>
            <w:tcW w:w="1133" w:type="dxa"/>
            <w:tcBorders>
              <w:top w:val="nil"/>
              <w:left w:val="nil"/>
              <w:bottom w:val="single" w:sz="4" w:space="0" w:color="auto"/>
              <w:right w:val="single" w:sz="4" w:space="0" w:color="auto"/>
            </w:tcBorders>
            <w:shd w:val="clear" w:color="auto" w:fill="auto"/>
            <w:vAlign w:val="center"/>
            <w:hideMark/>
          </w:tcPr>
          <w:p w14:paraId="00A46D5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185</w:t>
            </w:r>
          </w:p>
        </w:tc>
        <w:tc>
          <w:tcPr>
            <w:tcW w:w="306" w:type="dxa"/>
            <w:tcBorders>
              <w:top w:val="nil"/>
              <w:left w:val="nil"/>
              <w:bottom w:val="single" w:sz="4" w:space="0" w:color="auto"/>
              <w:right w:val="single" w:sz="4" w:space="0" w:color="auto"/>
            </w:tcBorders>
            <w:shd w:val="clear" w:color="auto" w:fill="auto"/>
            <w:vAlign w:val="center"/>
            <w:hideMark/>
          </w:tcPr>
          <w:p w14:paraId="3F03CA8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4290B896"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01A79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Sudan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2C3F95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170</w:t>
            </w:r>
          </w:p>
        </w:tc>
        <w:tc>
          <w:tcPr>
            <w:tcW w:w="1126" w:type="dxa"/>
            <w:tcBorders>
              <w:top w:val="nil"/>
              <w:left w:val="nil"/>
              <w:bottom w:val="single" w:sz="4" w:space="0" w:color="auto"/>
              <w:right w:val="single" w:sz="4" w:space="0" w:color="auto"/>
            </w:tcBorders>
            <w:shd w:val="clear" w:color="auto" w:fill="auto"/>
            <w:vAlign w:val="center"/>
            <w:hideMark/>
          </w:tcPr>
          <w:p w14:paraId="5340AD8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1199" w:type="dxa"/>
            <w:tcBorders>
              <w:top w:val="nil"/>
              <w:left w:val="nil"/>
              <w:bottom w:val="single" w:sz="4" w:space="0" w:color="auto"/>
              <w:right w:val="single" w:sz="4" w:space="0" w:color="auto"/>
            </w:tcBorders>
            <w:shd w:val="clear" w:color="auto" w:fill="auto"/>
            <w:vAlign w:val="center"/>
            <w:hideMark/>
          </w:tcPr>
          <w:p w14:paraId="734E261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124</w:t>
            </w:r>
          </w:p>
        </w:tc>
        <w:tc>
          <w:tcPr>
            <w:tcW w:w="1321" w:type="dxa"/>
            <w:tcBorders>
              <w:top w:val="nil"/>
              <w:left w:val="nil"/>
              <w:bottom w:val="single" w:sz="4" w:space="0" w:color="auto"/>
              <w:right w:val="single" w:sz="4" w:space="0" w:color="auto"/>
            </w:tcBorders>
            <w:shd w:val="clear" w:color="auto" w:fill="auto"/>
            <w:vAlign w:val="center"/>
            <w:hideMark/>
          </w:tcPr>
          <w:p w14:paraId="1817A7C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221" w:type="dxa"/>
            <w:tcBorders>
              <w:top w:val="nil"/>
              <w:left w:val="nil"/>
              <w:bottom w:val="single" w:sz="4" w:space="0" w:color="auto"/>
              <w:right w:val="single" w:sz="4" w:space="0" w:color="auto"/>
            </w:tcBorders>
            <w:shd w:val="clear" w:color="auto" w:fill="auto"/>
            <w:vAlign w:val="center"/>
            <w:hideMark/>
          </w:tcPr>
          <w:p w14:paraId="5E8C675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95</w:t>
            </w:r>
          </w:p>
        </w:tc>
        <w:tc>
          <w:tcPr>
            <w:tcW w:w="968" w:type="dxa"/>
            <w:tcBorders>
              <w:top w:val="nil"/>
              <w:left w:val="nil"/>
              <w:bottom w:val="single" w:sz="4" w:space="0" w:color="auto"/>
              <w:right w:val="single" w:sz="4" w:space="0" w:color="auto"/>
            </w:tcBorders>
            <w:shd w:val="clear" w:color="auto" w:fill="auto"/>
            <w:vAlign w:val="center"/>
            <w:hideMark/>
          </w:tcPr>
          <w:p w14:paraId="4B64691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246" w:type="dxa"/>
            <w:tcBorders>
              <w:top w:val="nil"/>
              <w:left w:val="nil"/>
              <w:bottom w:val="single" w:sz="4" w:space="0" w:color="auto"/>
              <w:right w:val="single" w:sz="4" w:space="0" w:color="auto"/>
            </w:tcBorders>
            <w:shd w:val="clear" w:color="auto" w:fill="auto"/>
            <w:vAlign w:val="center"/>
            <w:hideMark/>
          </w:tcPr>
          <w:p w14:paraId="662068F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c>
          <w:tcPr>
            <w:tcW w:w="1488" w:type="dxa"/>
            <w:tcBorders>
              <w:top w:val="nil"/>
              <w:left w:val="nil"/>
              <w:bottom w:val="single" w:sz="4" w:space="0" w:color="auto"/>
              <w:right w:val="single" w:sz="4" w:space="0" w:color="auto"/>
            </w:tcBorders>
            <w:shd w:val="clear" w:color="auto" w:fill="auto"/>
            <w:vAlign w:val="center"/>
            <w:hideMark/>
          </w:tcPr>
          <w:p w14:paraId="04672B1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164</w:t>
            </w:r>
          </w:p>
        </w:tc>
        <w:tc>
          <w:tcPr>
            <w:tcW w:w="1374" w:type="dxa"/>
            <w:tcBorders>
              <w:top w:val="nil"/>
              <w:left w:val="nil"/>
              <w:bottom w:val="single" w:sz="4" w:space="0" w:color="auto"/>
              <w:right w:val="single" w:sz="4" w:space="0" w:color="auto"/>
            </w:tcBorders>
            <w:shd w:val="clear" w:color="auto" w:fill="auto"/>
            <w:vAlign w:val="center"/>
            <w:hideMark/>
          </w:tcPr>
          <w:p w14:paraId="04EBD72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185</w:t>
            </w:r>
          </w:p>
        </w:tc>
        <w:tc>
          <w:tcPr>
            <w:tcW w:w="1133" w:type="dxa"/>
            <w:tcBorders>
              <w:top w:val="nil"/>
              <w:left w:val="nil"/>
              <w:bottom w:val="single" w:sz="4" w:space="0" w:color="auto"/>
              <w:right w:val="single" w:sz="4" w:space="0" w:color="auto"/>
            </w:tcBorders>
            <w:shd w:val="clear" w:color="auto" w:fill="auto"/>
            <w:vAlign w:val="center"/>
            <w:hideMark/>
          </w:tcPr>
          <w:p w14:paraId="66AA0B4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148</w:t>
            </w:r>
          </w:p>
        </w:tc>
        <w:tc>
          <w:tcPr>
            <w:tcW w:w="306" w:type="dxa"/>
            <w:tcBorders>
              <w:top w:val="nil"/>
              <w:left w:val="nil"/>
              <w:bottom w:val="single" w:sz="4" w:space="0" w:color="auto"/>
              <w:right w:val="single" w:sz="4" w:space="0" w:color="auto"/>
            </w:tcBorders>
            <w:shd w:val="clear" w:color="auto" w:fill="auto"/>
            <w:vAlign w:val="center"/>
            <w:hideMark/>
          </w:tcPr>
          <w:p w14:paraId="247F4BE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r>
      <w:tr w:rsidR="00BC17A3" w:rsidRPr="00A546AD" w14:paraId="7A2AFAA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506252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Iraq</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7CB96F8"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171</w:t>
            </w:r>
          </w:p>
        </w:tc>
        <w:tc>
          <w:tcPr>
            <w:tcW w:w="1126" w:type="dxa"/>
            <w:tcBorders>
              <w:top w:val="nil"/>
              <w:left w:val="nil"/>
              <w:bottom w:val="single" w:sz="4" w:space="0" w:color="auto"/>
              <w:right w:val="single" w:sz="4" w:space="0" w:color="auto"/>
            </w:tcBorders>
            <w:shd w:val="clear" w:color="auto" w:fill="auto"/>
            <w:vAlign w:val="center"/>
            <w:hideMark/>
          </w:tcPr>
          <w:p w14:paraId="786B67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154</w:t>
            </w:r>
          </w:p>
        </w:tc>
        <w:tc>
          <w:tcPr>
            <w:tcW w:w="1199" w:type="dxa"/>
            <w:tcBorders>
              <w:top w:val="nil"/>
              <w:left w:val="nil"/>
              <w:bottom w:val="single" w:sz="4" w:space="0" w:color="auto"/>
              <w:right w:val="single" w:sz="4" w:space="0" w:color="auto"/>
            </w:tcBorders>
            <w:shd w:val="clear" w:color="auto" w:fill="auto"/>
            <w:vAlign w:val="center"/>
            <w:hideMark/>
          </w:tcPr>
          <w:p w14:paraId="4B5F6DC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103</w:t>
            </w:r>
          </w:p>
        </w:tc>
        <w:tc>
          <w:tcPr>
            <w:tcW w:w="1321" w:type="dxa"/>
            <w:tcBorders>
              <w:top w:val="nil"/>
              <w:left w:val="nil"/>
              <w:bottom w:val="single" w:sz="4" w:space="0" w:color="auto"/>
              <w:right w:val="single" w:sz="4" w:space="0" w:color="auto"/>
            </w:tcBorders>
            <w:shd w:val="clear" w:color="auto" w:fill="auto"/>
            <w:vAlign w:val="center"/>
            <w:hideMark/>
          </w:tcPr>
          <w:p w14:paraId="2703EFA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131</w:t>
            </w:r>
          </w:p>
        </w:tc>
        <w:tc>
          <w:tcPr>
            <w:tcW w:w="1221" w:type="dxa"/>
            <w:tcBorders>
              <w:top w:val="nil"/>
              <w:left w:val="nil"/>
              <w:bottom w:val="single" w:sz="4" w:space="0" w:color="auto"/>
              <w:right w:val="single" w:sz="4" w:space="0" w:color="auto"/>
            </w:tcBorders>
            <w:shd w:val="clear" w:color="auto" w:fill="auto"/>
            <w:vAlign w:val="center"/>
            <w:hideMark/>
          </w:tcPr>
          <w:p w14:paraId="5D0E54A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121</w:t>
            </w:r>
          </w:p>
        </w:tc>
        <w:tc>
          <w:tcPr>
            <w:tcW w:w="968" w:type="dxa"/>
            <w:tcBorders>
              <w:top w:val="nil"/>
              <w:left w:val="nil"/>
              <w:bottom w:val="single" w:sz="4" w:space="0" w:color="auto"/>
              <w:right w:val="single" w:sz="4" w:space="0" w:color="auto"/>
            </w:tcBorders>
            <w:shd w:val="clear" w:color="auto" w:fill="auto"/>
            <w:vAlign w:val="center"/>
            <w:hideMark/>
          </w:tcPr>
          <w:p w14:paraId="09D35DB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246" w:type="dxa"/>
            <w:tcBorders>
              <w:top w:val="nil"/>
              <w:left w:val="nil"/>
              <w:bottom w:val="single" w:sz="4" w:space="0" w:color="auto"/>
              <w:right w:val="single" w:sz="4" w:space="0" w:color="auto"/>
            </w:tcBorders>
            <w:shd w:val="clear" w:color="auto" w:fill="auto"/>
            <w:vAlign w:val="center"/>
            <w:hideMark/>
          </w:tcPr>
          <w:p w14:paraId="0CBF32C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111</w:t>
            </w:r>
          </w:p>
        </w:tc>
        <w:tc>
          <w:tcPr>
            <w:tcW w:w="1488" w:type="dxa"/>
            <w:tcBorders>
              <w:top w:val="nil"/>
              <w:left w:val="nil"/>
              <w:bottom w:val="single" w:sz="4" w:space="0" w:color="auto"/>
              <w:right w:val="single" w:sz="4" w:space="0" w:color="auto"/>
            </w:tcBorders>
            <w:shd w:val="clear" w:color="auto" w:fill="auto"/>
            <w:vAlign w:val="center"/>
            <w:hideMark/>
          </w:tcPr>
          <w:p w14:paraId="1E0B314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131</w:t>
            </w:r>
          </w:p>
        </w:tc>
        <w:tc>
          <w:tcPr>
            <w:tcW w:w="1374" w:type="dxa"/>
            <w:tcBorders>
              <w:top w:val="nil"/>
              <w:left w:val="nil"/>
              <w:bottom w:val="single" w:sz="4" w:space="0" w:color="auto"/>
              <w:right w:val="single" w:sz="4" w:space="0" w:color="auto"/>
            </w:tcBorders>
            <w:shd w:val="clear" w:color="auto" w:fill="auto"/>
            <w:vAlign w:val="center"/>
            <w:hideMark/>
          </w:tcPr>
          <w:p w14:paraId="2E6EC48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181</w:t>
            </w:r>
          </w:p>
        </w:tc>
        <w:tc>
          <w:tcPr>
            <w:tcW w:w="1133" w:type="dxa"/>
            <w:tcBorders>
              <w:top w:val="nil"/>
              <w:left w:val="nil"/>
              <w:bottom w:val="single" w:sz="4" w:space="0" w:color="auto"/>
              <w:right w:val="single" w:sz="4" w:space="0" w:color="auto"/>
            </w:tcBorders>
            <w:shd w:val="clear" w:color="auto" w:fill="auto"/>
            <w:vAlign w:val="center"/>
            <w:hideMark/>
          </w:tcPr>
          <w:p w14:paraId="6A76C81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306" w:type="dxa"/>
            <w:tcBorders>
              <w:top w:val="nil"/>
              <w:left w:val="nil"/>
              <w:bottom w:val="single" w:sz="4" w:space="0" w:color="auto"/>
              <w:right w:val="single" w:sz="4" w:space="0" w:color="auto"/>
            </w:tcBorders>
            <w:shd w:val="clear" w:color="auto" w:fill="auto"/>
            <w:vAlign w:val="center"/>
            <w:hideMark/>
          </w:tcPr>
          <w:p w14:paraId="69E7BC2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47998F77"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DDF304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Afghanistan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564D3DE9"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172</w:t>
            </w:r>
          </w:p>
        </w:tc>
        <w:tc>
          <w:tcPr>
            <w:tcW w:w="1126" w:type="dxa"/>
            <w:tcBorders>
              <w:top w:val="nil"/>
              <w:left w:val="nil"/>
              <w:bottom w:val="single" w:sz="4" w:space="0" w:color="auto"/>
              <w:right w:val="single" w:sz="4" w:space="0" w:color="auto"/>
            </w:tcBorders>
            <w:shd w:val="clear" w:color="auto" w:fill="auto"/>
            <w:vAlign w:val="center"/>
            <w:hideMark/>
          </w:tcPr>
          <w:p w14:paraId="6C4CED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52</w:t>
            </w:r>
          </w:p>
        </w:tc>
        <w:tc>
          <w:tcPr>
            <w:tcW w:w="1199" w:type="dxa"/>
            <w:tcBorders>
              <w:top w:val="nil"/>
              <w:left w:val="nil"/>
              <w:bottom w:val="single" w:sz="4" w:space="0" w:color="auto"/>
              <w:right w:val="single" w:sz="4" w:space="0" w:color="auto"/>
            </w:tcBorders>
            <w:shd w:val="clear" w:color="auto" w:fill="auto"/>
            <w:vAlign w:val="center"/>
            <w:hideMark/>
          </w:tcPr>
          <w:p w14:paraId="5E31205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183</w:t>
            </w:r>
          </w:p>
        </w:tc>
        <w:tc>
          <w:tcPr>
            <w:tcW w:w="1321" w:type="dxa"/>
            <w:tcBorders>
              <w:top w:val="nil"/>
              <w:left w:val="nil"/>
              <w:bottom w:val="single" w:sz="4" w:space="0" w:color="auto"/>
              <w:right w:val="single" w:sz="4" w:space="0" w:color="auto"/>
            </w:tcBorders>
            <w:shd w:val="clear" w:color="auto" w:fill="auto"/>
            <w:vAlign w:val="center"/>
            <w:hideMark/>
          </w:tcPr>
          <w:p w14:paraId="1DB37D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173</w:t>
            </w:r>
          </w:p>
        </w:tc>
        <w:tc>
          <w:tcPr>
            <w:tcW w:w="1221" w:type="dxa"/>
            <w:tcBorders>
              <w:top w:val="nil"/>
              <w:left w:val="nil"/>
              <w:bottom w:val="single" w:sz="4" w:space="0" w:color="auto"/>
              <w:right w:val="single" w:sz="4" w:space="0" w:color="auto"/>
            </w:tcBorders>
            <w:shd w:val="clear" w:color="auto" w:fill="auto"/>
            <w:vAlign w:val="center"/>
            <w:hideMark/>
          </w:tcPr>
          <w:p w14:paraId="09F00D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968" w:type="dxa"/>
            <w:tcBorders>
              <w:top w:val="nil"/>
              <w:left w:val="nil"/>
              <w:bottom w:val="single" w:sz="4" w:space="0" w:color="auto"/>
              <w:right w:val="single" w:sz="4" w:space="0" w:color="auto"/>
            </w:tcBorders>
            <w:shd w:val="clear" w:color="auto" w:fill="auto"/>
            <w:vAlign w:val="center"/>
            <w:hideMark/>
          </w:tcPr>
          <w:p w14:paraId="595149F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1E8FE27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140</w:t>
            </w:r>
          </w:p>
        </w:tc>
        <w:tc>
          <w:tcPr>
            <w:tcW w:w="1488" w:type="dxa"/>
            <w:tcBorders>
              <w:top w:val="nil"/>
              <w:left w:val="nil"/>
              <w:bottom w:val="single" w:sz="4" w:space="0" w:color="auto"/>
              <w:right w:val="single" w:sz="4" w:space="0" w:color="auto"/>
            </w:tcBorders>
            <w:shd w:val="clear" w:color="auto" w:fill="auto"/>
            <w:vAlign w:val="center"/>
            <w:hideMark/>
          </w:tcPr>
          <w:p w14:paraId="10F00FF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178</w:t>
            </w:r>
          </w:p>
        </w:tc>
        <w:tc>
          <w:tcPr>
            <w:tcW w:w="1374" w:type="dxa"/>
            <w:tcBorders>
              <w:top w:val="nil"/>
              <w:left w:val="nil"/>
              <w:bottom w:val="single" w:sz="4" w:space="0" w:color="auto"/>
              <w:right w:val="single" w:sz="4" w:space="0" w:color="auto"/>
            </w:tcBorders>
            <w:shd w:val="clear" w:color="auto" w:fill="auto"/>
            <w:vAlign w:val="center"/>
            <w:hideMark/>
          </w:tcPr>
          <w:p w14:paraId="64A0CE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177</w:t>
            </w:r>
          </w:p>
        </w:tc>
        <w:tc>
          <w:tcPr>
            <w:tcW w:w="1133" w:type="dxa"/>
            <w:tcBorders>
              <w:top w:val="nil"/>
              <w:left w:val="nil"/>
              <w:bottom w:val="single" w:sz="4" w:space="0" w:color="auto"/>
              <w:right w:val="single" w:sz="4" w:space="0" w:color="auto"/>
            </w:tcBorders>
            <w:shd w:val="clear" w:color="auto" w:fill="auto"/>
            <w:vAlign w:val="center"/>
            <w:hideMark/>
          </w:tcPr>
          <w:p w14:paraId="082D029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181</w:t>
            </w:r>
          </w:p>
        </w:tc>
        <w:tc>
          <w:tcPr>
            <w:tcW w:w="306" w:type="dxa"/>
            <w:tcBorders>
              <w:top w:val="nil"/>
              <w:left w:val="nil"/>
              <w:bottom w:val="single" w:sz="4" w:space="0" w:color="auto"/>
              <w:right w:val="single" w:sz="4" w:space="0" w:color="auto"/>
            </w:tcBorders>
            <w:shd w:val="clear" w:color="auto" w:fill="auto"/>
            <w:vAlign w:val="center"/>
            <w:hideMark/>
          </w:tcPr>
          <w:p w14:paraId="41C898C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w:t>
            </w:r>
          </w:p>
        </w:tc>
      </w:tr>
      <w:tr w:rsidR="00BC17A3" w:rsidRPr="00A546AD" w14:paraId="0A7D8883"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921902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Guinea-Bissau</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47A45D1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173</w:t>
            </w:r>
          </w:p>
        </w:tc>
        <w:tc>
          <w:tcPr>
            <w:tcW w:w="1126" w:type="dxa"/>
            <w:tcBorders>
              <w:top w:val="nil"/>
              <w:left w:val="nil"/>
              <w:bottom w:val="single" w:sz="4" w:space="0" w:color="auto"/>
              <w:right w:val="single" w:sz="4" w:space="0" w:color="auto"/>
            </w:tcBorders>
            <w:shd w:val="clear" w:color="auto" w:fill="auto"/>
            <w:vAlign w:val="center"/>
            <w:hideMark/>
          </w:tcPr>
          <w:p w14:paraId="07953B2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161</w:t>
            </w:r>
          </w:p>
        </w:tc>
        <w:tc>
          <w:tcPr>
            <w:tcW w:w="1199" w:type="dxa"/>
            <w:tcBorders>
              <w:top w:val="nil"/>
              <w:left w:val="nil"/>
              <w:bottom w:val="single" w:sz="4" w:space="0" w:color="auto"/>
              <w:right w:val="single" w:sz="4" w:space="0" w:color="auto"/>
            </w:tcBorders>
            <w:shd w:val="clear" w:color="auto" w:fill="auto"/>
            <w:vAlign w:val="center"/>
            <w:hideMark/>
          </w:tcPr>
          <w:p w14:paraId="030A95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177</w:t>
            </w:r>
          </w:p>
        </w:tc>
        <w:tc>
          <w:tcPr>
            <w:tcW w:w="1321" w:type="dxa"/>
            <w:tcBorders>
              <w:top w:val="nil"/>
              <w:left w:val="nil"/>
              <w:bottom w:val="single" w:sz="4" w:space="0" w:color="auto"/>
              <w:right w:val="single" w:sz="4" w:space="0" w:color="auto"/>
            </w:tcBorders>
            <w:shd w:val="clear" w:color="auto" w:fill="auto"/>
            <w:vAlign w:val="center"/>
            <w:hideMark/>
          </w:tcPr>
          <w:p w14:paraId="4815CC3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182</w:t>
            </w:r>
          </w:p>
        </w:tc>
        <w:tc>
          <w:tcPr>
            <w:tcW w:w="1221" w:type="dxa"/>
            <w:tcBorders>
              <w:top w:val="nil"/>
              <w:left w:val="nil"/>
              <w:bottom w:val="single" w:sz="4" w:space="0" w:color="auto"/>
              <w:right w:val="single" w:sz="4" w:space="0" w:color="auto"/>
            </w:tcBorders>
            <w:shd w:val="clear" w:color="auto" w:fill="auto"/>
            <w:vAlign w:val="center"/>
            <w:hideMark/>
          </w:tcPr>
          <w:p w14:paraId="0747C10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968" w:type="dxa"/>
            <w:tcBorders>
              <w:top w:val="nil"/>
              <w:left w:val="nil"/>
              <w:bottom w:val="single" w:sz="4" w:space="0" w:color="auto"/>
              <w:right w:val="single" w:sz="4" w:space="0" w:color="auto"/>
            </w:tcBorders>
            <w:shd w:val="clear" w:color="auto" w:fill="auto"/>
            <w:vAlign w:val="center"/>
            <w:hideMark/>
          </w:tcPr>
          <w:p w14:paraId="66C52E1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35860E8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114</w:t>
            </w:r>
          </w:p>
        </w:tc>
        <w:tc>
          <w:tcPr>
            <w:tcW w:w="1488" w:type="dxa"/>
            <w:tcBorders>
              <w:top w:val="nil"/>
              <w:left w:val="nil"/>
              <w:bottom w:val="single" w:sz="4" w:space="0" w:color="auto"/>
              <w:right w:val="single" w:sz="4" w:space="0" w:color="auto"/>
            </w:tcBorders>
            <w:shd w:val="clear" w:color="auto" w:fill="auto"/>
            <w:vAlign w:val="center"/>
            <w:hideMark/>
          </w:tcPr>
          <w:p w14:paraId="72E954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155</w:t>
            </w:r>
          </w:p>
        </w:tc>
        <w:tc>
          <w:tcPr>
            <w:tcW w:w="1374" w:type="dxa"/>
            <w:tcBorders>
              <w:top w:val="nil"/>
              <w:left w:val="nil"/>
              <w:bottom w:val="single" w:sz="4" w:space="0" w:color="auto"/>
              <w:right w:val="single" w:sz="4" w:space="0" w:color="auto"/>
            </w:tcBorders>
            <w:shd w:val="clear" w:color="auto" w:fill="auto"/>
            <w:vAlign w:val="center"/>
            <w:hideMark/>
          </w:tcPr>
          <w:p w14:paraId="7C5B701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146</w:t>
            </w:r>
          </w:p>
        </w:tc>
        <w:tc>
          <w:tcPr>
            <w:tcW w:w="1133" w:type="dxa"/>
            <w:tcBorders>
              <w:top w:val="nil"/>
              <w:left w:val="nil"/>
              <w:bottom w:val="single" w:sz="4" w:space="0" w:color="auto"/>
              <w:right w:val="single" w:sz="4" w:space="0" w:color="auto"/>
            </w:tcBorders>
            <w:shd w:val="clear" w:color="auto" w:fill="auto"/>
            <w:vAlign w:val="center"/>
            <w:hideMark/>
          </w:tcPr>
          <w:p w14:paraId="5AE8082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171</w:t>
            </w:r>
          </w:p>
        </w:tc>
        <w:tc>
          <w:tcPr>
            <w:tcW w:w="306" w:type="dxa"/>
            <w:tcBorders>
              <w:top w:val="nil"/>
              <w:left w:val="nil"/>
              <w:bottom w:val="single" w:sz="4" w:space="0" w:color="auto"/>
              <w:right w:val="single" w:sz="4" w:space="0" w:color="auto"/>
            </w:tcBorders>
            <w:shd w:val="clear" w:color="auto" w:fill="auto"/>
            <w:vAlign w:val="center"/>
            <w:hideMark/>
          </w:tcPr>
          <w:p w14:paraId="128EC73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41F6FFA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CEAC2E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Liberia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25443CC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174</w:t>
            </w:r>
          </w:p>
        </w:tc>
        <w:tc>
          <w:tcPr>
            <w:tcW w:w="1126" w:type="dxa"/>
            <w:tcBorders>
              <w:top w:val="nil"/>
              <w:left w:val="nil"/>
              <w:bottom w:val="single" w:sz="4" w:space="0" w:color="auto"/>
              <w:right w:val="single" w:sz="4" w:space="0" w:color="auto"/>
            </w:tcBorders>
            <w:shd w:val="clear" w:color="auto" w:fill="auto"/>
            <w:vAlign w:val="center"/>
            <w:hideMark/>
          </w:tcPr>
          <w:p w14:paraId="45DBCFB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75</w:t>
            </w:r>
          </w:p>
        </w:tc>
        <w:tc>
          <w:tcPr>
            <w:tcW w:w="1199" w:type="dxa"/>
            <w:tcBorders>
              <w:top w:val="nil"/>
              <w:left w:val="nil"/>
              <w:bottom w:val="single" w:sz="4" w:space="0" w:color="auto"/>
              <w:right w:val="single" w:sz="4" w:space="0" w:color="auto"/>
            </w:tcBorders>
            <w:shd w:val="clear" w:color="auto" w:fill="auto"/>
            <w:vAlign w:val="center"/>
            <w:hideMark/>
          </w:tcPr>
          <w:p w14:paraId="1CBBA4C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185</w:t>
            </w:r>
          </w:p>
        </w:tc>
        <w:tc>
          <w:tcPr>
            <w:tcW w:w="1321" w:type="dxa"/>
            <w:tcBorders>
              <w:top w:val="nil"/>
              <w:left w:val="nil"/>
              <w:bottom w:val="single" w:sz="4" w:space="0" w:color="auto"/>
              <w:right w:val="single" w:sz="4" w:space="0" w:color="auto"/>
            </w:tcBorders>
            <w:shd w:val="clear" w:color="auto" w:fill="auto"/>
            <w:vAlign w:val="center"/>
            <w:hideMark/>
          </w:tcPr>
          <w:p w14:paraId="65AC1F5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175</w:t>
            </w:r>
          </w:p>
        </w:tc>
        <w:tc>
          <w:tcPr>
            <w:tcW w:w="1221" w:type="dxa"/>
            <w:tcBorders>
              <w:top w:val="nil"/>
              <w:left w:val="nil"/>
              <w:bottom w:val="single" w:sz="4" w:space="0" w:color="auto"/>
              <w:right w:val="single" w:sz="4" w:space="0" w:color="auto"/>
            </w:tcBorders>
            <w:shd w:val="clear" w:color="auto" w:fill="auto"/>
            <w:vAlign w:val="center"/>
            <w:hideMark/>
          </w:tcPr>
          <w:p w14:paraId="173BDC7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180</w:t>
            </w:r>
          </w:p>
        </w:tc>
        <w:tc>
          <w:tcPr>
            <w:tcW w:w="968" w:type="dxa"/>
            <w:tcBorders>
              <w:top w:val="nil"/>
              <w:left w:val="nil"/>
              <w:bottom w:val="single" w:sz="4" w:space="0" w:color="auto"/>
              <w:right w:val="single" w:sz="4" w:space="0" w:color="auto"/>
            </w:tcBorders>
            <w:shd w:val="clear" w:color="auto" w:fill="auto"/>
            <w:vAlign w:val="center"/>
            <w:hideMark/>
          </w:tcPr>
          <w:p w14:paraId="6E84DAF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104</w:t>
            </w:r>
          </w:p>
        </w:tc>
        <w:tc>
          <w:tcPr>
            <w:tcW w:w="1246" w:type="dxa"/>
            <w:tcBorders>
              <w:top w:val="nil"/>
              <w:left w:val="nil"/>
              <w:bottom w:val="single" w:sz="4" w:space="0" w:color="auto"/>
              <w:right w:val="single" w:sz="4" w:space="0" w:color="auto"/>
            </w:tcBorders>
            <w:shd w:val="clear" w:color="auto" w:fill="auto"/>
            <w:vAlign w:val="center"/>
            <w:hideMark/>
          </w:tcPr>
          <w:p w14:paraId="79D09EC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488" w:type="dxa"/>
            <w:tcBorders>
              <w:top w:val="nil"/>
              <w:left w:val="nil"/>
              <w:bottom w:val="single" w:sz="4" w:space="0" w:color="auto"/>
              <w:right w:val="single" w:sz="4" w:space="0" w:color="auto"/>
            </w:tcBorders>
            <w:shd w:val="clear" w:color="auto" w:fill="auto"/>
            <w:vAlign w:val="center"/>
            <w:hideMark/>
          </w:tcPr>
          <w:p w14:paraId="5369087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76</w:t>
            </w:r>
          </w:p>
        </w:tc>
        <w:tc>
          <w:tcPr>
            <w:tcW w:w="1374" w:type="dxa"/>
            <w:tcBorders>
              <w:top w:val="nil"/>
              <w:left w:val="nil"/>
              <w:bottom w:val="single" w:sz="4" w:space="0" w:color="auto"/>
              <w:right w:val="single" w:sz="4" w:space="0" w:color="auto"/>
            </w:tcBorders>
            <w:shd w:val="clear" w:color="auto" w:fill="auto"/>
            <w:vAlign w:val="center"/>
            <w:hideMark/>
          </w:tcPr>
          <w:p w14:paraId="7F77CAD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184</w:t>
            </w:r>
          </w:p>
        </w:tc>
        <w:tc>
          <w:tcPr>
            <w:tcW w:w="1133" w:type="dxa"/>
            <w:tcBorders>
              <w:top w:val="nil"/>
              <w:left w:val="nil"/>
              <w:bottom w:val="single" w:sz="4" w:space="0" w:color="auto"/>
              <w:right w:val="single" w:sz="4" w:space="0" w:color="auto"/>
            </w:tcBorders>
            <w:shd w:val="clear" w:color="auto" w:fill="auto"/>
            <w:vAlign w:val="center"/>
            <w:hideMark/>
          </w:tcPr>
          <w:p w14:paraId="31AECBF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175</w:t>
            </w:r>
          </w:p>
        </w:tc>
        <w:tc>
          <w:tcPr>
            <w:tcW w:w="306" w:type="dxa"/>
            <w:tcBorders>
              <w:top w:val="nil"/>
              <w:left w:val="nil"/>
              <w:bottom w:val="single" w:sz="4" w:space="0" w:color="auto"/>
              <w:right w:val="single" w:sz="4" w:space="0" w:color="auto"/>
            </w:tcBorders>
            <w:shd w:val="clear" w:color="auto" w:fill="auto"/>
            <w:vAlign w:val="center"/>
            <w:hideMark/>
          </w:tcPr>
          <w:p w14:paraId="19D2AB0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110</w:t>
            </w:r>
          </w:p>
        </w:tc>
      </w:tr>
      <w:tr w:rsidR="00BC17A3" w:rsidRPr="00A546AD" w14:paraId="124E1A7D"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BBAB60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Syrian</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Arab</w:t>
            </w:r>
            <w:proofErr w:type="spellEnd"/>
            <w:r w:rsidRPr="00A546AD">
              <w:rPr>
                <w:rFonts w:ascii="Times New Roman" w:eastAsia="Times New Roman" w:hAnsi="Times New Roman" w:cs="Times New Roman"/>
                <w:sz w:val="20"/>
                <w:szCs w:val="20"/>
                <w:lang w:val="ru-RU" w:eastAsia="ru-RU" w:bidi="ar-SA"/>
              </w:rPr>
              <w:t xml:space="preserve"> Republic</w:t>
            </w:r>
          </w:p>
        </w:tc>
        <w:tc>
          <w:tcPr>
            <w:tcW w:w="802" w:type="dxa"/>
            <w:tcBorders>
              <w:top w:val="nil"/>
              <w:left w:val="nil"/>
              <w:bottom w:val="single" w:sz="4" w:space="0" w:color="auto"/>
              <w:right w:val="single" w:sz="4" w:space="0" w:color="auto"/>
            </w:tcBorders>
            <w:shd w:val="clear" w:color="auto" w:fill="auto"/>
            <w:vAlign w:val="center"/>
            <w:hideMark/>
          </w:tcPr>
          <w:p w14:paraId="04E54CBD"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175</w:t>
            </w:r>
          </w:p>
        </w:tc>
        <w:tc>
          <w:tcPr>
            <w:tcW w:w="1126" w:type="dxa"/>
            <w:tcBorders>
              <w:top w:val="nil"/>
              <w:left w:val="nil"/>
              <w:bottom w:val="single" w:sz="4" w:space="0" w:color="auto"/>
              <w:right w:val="single" w:sz="4" w:space="0" w:color="auto"/>
            </w:tcBorders>
            <w:shd w:val="clear" w:color="auto" w:fill="auto"/>
            <w:vAlign w:val="center"/>
            <w:hideMark/>
          </w:tcPr>
          <w:p w14:paraId="6BBD924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c>
          <w:tcPr>
            <w:tcW w:w="1199" w:type="dxa"/>
            <w:tcBorders>
              <w:top w:val="nil"/>
              <w:left w:val="nil"/>
              <w:bottom w:val="single" w:sz="4" w:space="0" w:color="auto"/>
              <w:right w:val="single" w:sz="4" w:space="0" w:color="auto"/>
            </w:tcBorders>
            <w:shd w:val="clear" w:color="auto" w:fill="auto"/>
            <w:vAlign w:val="center"/>
            <w:hideMark/>
          </w:tcPr>
          <w:p w14:paraId="62A085C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321" w:type="dxa"/>
            <w:tcBorders>
              <w:top w:val="nil"/>
              <w:left w:val="nil"/>
              <w:bottom w:val="single" w:sz="4" w:space="0" w:color="auto"/>
              <w:right w:val="single" w:sz="4" w:space="0" w:color="auto"/>
            </w:tcBorders>
            <w:shd w:val="clear" w:color="auto" w:fill="auto"/>
            <w:vAlign w:val="center"/>
            <w:hideMark/>
          </w:tcPr>
          <w:p w14:paraId="433A00A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160</w:t>
            </w:r>
          </w:p>
        </w:tc>
        <w:tc>
          <w:tcPr>
            <w:tcW w:w="1221" w:type="dxa"/>
            <w:tcBorders>
              <w:top w:val="nil"/>
              <w:left w:val="nil"/>
              <w:bottom w:val="single" w:sz="4" w:space="0" w:color="auto"/>
              <w:right w:val="single" w:sz="4" w:space="0" w:color="auto"/>
            </w:tcBorders>
            <w:shd w:val="clear" w:color="auto" w:fill="auto"/>
            <w:vAlign w:val="center"/>
            <w:hideMark/>
          </w:tcPr>
          <w:p w14:paraId="2339130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968" w:type="dxa"/>
            <w:tcBorders>
              <w:top w:val="nil"/>
              <w:left w:val="nil"/>
              <w:bottom w:val="single" w:sz="4" w:space="0" w:color="auto"/>
              <w:right w:val="single" w:sz="4" w:space="0" w:color="auto"/>
            </w:tcBorders>
            <w:shd w:val="clear" w:color="auto" w:fill="auto"/>
            <w:vAlign w:val="center"/>
            <w:hideMark/>
          </w:tcPr>
          <w:p w14:paraId="5F9C3BD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246" w:type="dxa"/>
            <w:tcBorders>
              <w:top w:val="nil"/>
              <w:left w:val="nil"/>
              <w:bottom w:val="single" w:sz="4" w:space="0" w:color="auto"/>
              <w:right w:val="single" w:sz="4" w:space="0" w:color="auto"/>
            </w:tcBorders>
            <w:shd w:val="clear" w:color="auto" w:fill="auto"/>
            <w:vAlign w:val="center"/>
            <w:hideMark/>
          </w:tcPr>
          <w:p w14:paraId="07AFFBA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97</w:t>
            </w:r>
          </w:p>
        </w:tc>
        <w:tc>
          <w:tcPr>
            <w:tcW w:w="1488" w:type="dxa"/>
            <w:tcBorders>
              <w:top w:val="nil"/>
              <w:left w:val="nil"/>
              <w:bottom w:val="single" w:sz="4" w:space="0" w:color="auto"/>
              <w:right w:val="single" w:sz="4" w:space="0" w:color="auto"/>
            </w:tcBorders>
            <w:shd w:val="clear" w:color="auto" w:fill="auto"/>
            <w:vAlign w:val="center"/>
            <w:hideMark/>
          </w:tcPr>
          <w:p w14:paraId="0555DB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91</w:t>
            </w:r>
          </w:p>
        </w:tc>
        <w:tc>
          <w:tcPr>
            <w:tcW w:w="1374" w:type="dxa"/>
            <w:tcBorders>
              <w:top w:val="nil"/>
              <w:left w:val="nil"/>
              <w:bottom w:val="single" w:sz="4" w:space="0" w:color="auto"/>
              <w:right w:val="single" w:sz="4" w:space="0" w:color="auto"/>
            </w:tcBorders>
            <w:shd w:val="clear" w:color="auto" w:fill="auto"/>
            <w:vAlign w:val="center"/>
            <w:hideMark/>
          </w:tcPr>
          <w:p w14:paraId="49D8996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178</w:t>
            </w:r>
          </w:p>
        </w:tc>
        <w:tc>
          <w:tcPr>
            <w:tcW w:w="1133" w:type="dxa"/>
            <w:tcBorders>
              <w:top w:val="nil"/>
              <w:left w:val="nil"/>
              <w:bottom w:val="single" w:sz="4" w:space="0" w:color="auto"/>
              <w:right w:val="single" w:sz="4" w:space="0" w:color="auto"/>
            </w:tcBorders>
            <w:shd w:val="clear" w:color="auto" w:fill="auto"/>
            <w:vAlign w:val="center"/>
            <w:hideMark/>
          </w:tcPr>
          <w:p w14:paraId="1581779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160</w:t>
            </w:r>
          </w:p>
        </w:tc>
        <w:tc>
          <w:tcPr>
            <w:tcW w:w="306" w:type="dxa"/>
            <w:tcBorders>
              <w:top w:val="nil"/>
              <w:left w:val="nil"/>
              <w:bottom w:val="single" w:sz="4" w:space="0" w:color="auto"/>
              <w:right w:val="single" w:sz="4" w:space="0" w:color="auto"/>
            </w:tcBorders>
            <w:shd w:val="clear" w:color="auto" w:fill="auto"/>
            <w:vAlign w:val="center"/>
            <w:hideMark/>
          </w:tcPr>
          <w:p w14:paraId="22D64CD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158</w:t>
            </w:r>
          </w:p>
        </w:tc>
      </w:tr>
      <w:tr w:rsidR="00BC17A3" w:rsidRPr="00A546AD" w14:paraId="20FE425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95AED1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Angola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046C10F"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176</w:t>
            </w:r>
          </w:p>
        </w:tc>
        <w:tc>
          <w:tcPr>
            <w:tcW w:w="1126" w:type="dxa"/>
            <w:tcBorders>
              <w:top w:val="nil"/>
              <w:left w:val="nil"/>
              <w:bottom w:val="single" w:sz="4" w:space="0" w:color="auto"/>
              <w:right w:val="single" w:sz="4" w:space="0" w:color="auto"/>
            </w:tcBorders>
            <w:shd w:val="clear" w:color="auto" w:fill="auto"/>
            <w:vAlign w:val="center"/>
            <w:hideMark/>
          </w:tcPr>
          <w:p w14:paraId="0569224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146</w:t>
            </w:r>
          </w:p>
        </w:tc>
        <w:tc>
          <w:tcPr>
            <w:tcW w:w="1199" w:type="dxa"/>
            <w:tcBorders>
              <w:top w:val="nil"/>
              <w:left w:val="nil"/>
              <w:bottom w:val="single" w:sz="4" w:space="0" w:color="auto"/>
              <w:right w:val="single" w:sz="4" w:space="0" w:color="auto"/>
            </w:tcBorders>
            <w:shd w:val="clear" w:color="auto" w:fill="auto"/>
            <w:vAlign w:val="center"/>
            <w:hideMark/>
          </w:tcPr>
          <w:p w14:paraId="2D55091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120</w:t>
            </w:r>
          </w:p>
        </w:tc>
        <w:tc>
          <w:tcPr>
            <w:tcW w:w="1321" w:type="dxa"/>
            <w:tcBorders>
              <w:top w:val="nil"/>
              <w:left w:val="nil"/>
              <w:bottom w:val="single" w:sz="4" w:space="0" w:color="auto"/>
              <w:right w:val="single" w:sz="4" w:space="0" w:color="auto"/>
            </w:tcBorders>
            <w:shd w:val="clear" w:color="auto" w:fill="auto"/>
            <w:vAlign w:val="center"/>
            <w:hideMark/>
          </w:tcPr>
          <w:p w14:paraId="324A5E2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156</w:t>
            </w:r>
          </w:p>
        </w:tc>
        <w:tc>
          <w:tcPr>
            <w:tcW w:w="1221" w:type="dxa"/>
            <w:tcBorders>
              <w:top w:val="nil"/>
              <w:left w:val="nil"/>
              <w:bottom w:val="single" w:sz="4" w:space="0" w:color="auto"/>
              <w:right w:val="single" w:sz="4" w:space="0" w:color="auto"/>
            </w:tcBorders>
            <w:shd w:val="clear" w:color="auto" w:fill="auto"/>
            <w:vAlign w:val="center"/>
            <w:hideMark/>
          </w:tcPr>
          <w:p w14:paraId="6A0B74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167</w:t>
            </w:r>
          </w:p>
        </w:tc>
        <w:tc>
          <w:tcPr>
            <w:tcW w:w="968" w:type="dxa"/>
            <w:tcBorders>
              <w:top w:val="nil"/>
              <w:left w:val="nil"/>
              <w:bottom w:val="single" w:sz="4" w:space="0" w:color="auto"/>
              <w:right w:val="single" w:sz="4" w:space="0" w:color="auto"/>
            </w:tcBorders>
            <w:shd w:val="clear" w:color="auto" w:fill="auto"/>
            <w:vAlign w:val="center"/>
            <w:hideMark/>
          </w:tcPr>
          <w:p w14:paraId="5490C79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185</w:t>
            </w:r>
          </w:p>
        </w:tc>
        <w:tc>
          <w:tcPr>
            <w:tcW w:w="1246" w:type="dxa"/>
            <w:tcBorders>
              <w:top w:val="nil"/>
              <w:left w:val="nil"/>
              <w:bottom w:val="single" w:sz="4" w:space="0" w:color="auto"/>
              <w:right w:val="single" w:sz="4" w:space="0" w:color="auto"/>
            </w:tcBorders>
            <w:shd w:val="clear" w:color="auto" w:fill="auto"/>
            <w:vAlign w:val="center"/>
            <w:hideMark/>
          </w:tcPr>
          <w:p w14:paraId="5145C77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1488" w:type="dxa"/>
            <w:tcBorders>
              <w:top w:val="nil"/>
              <w:left w:val="nil"/>
              <w:bottom w:val="single" w:sz="4" w:space="0" w:color="auto"/>
              <w:right w:val="single" w:sz="4" w:space="0" w:color="auto"/>
            </w:tcBorders>
            <w:shd w:val="clear" w:color="auto" w:fill="auto"/>
            <w:vAlign w:val="center"/>
            <w:hideMark/>
          </w:tcPr>
          <w:p w14:paraId="7D030C3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106</w:t>
            </w:r>
          </w:p>
        </w:tc>
        <w:tc>
          <w:tcPr>
            <w:tcW w:w="1374" w:type="dxa"/>
            <w:tcBorders>
              <w:top w:val="nil"/>
              <w:left w:val="nil"/>
              <w:bottom w:val="single" w:sz="4" w:space="0" w:color="auto"/>
              <w:right w:val="single" w:sz="4" w:space="0" w:color="auto"/>
            </w:tcBorders>
            <w:shd w:val="clear" w:color="auto" w:fill="auto"/>
            <w:vAlign w:val="center"/>
            <w:hideMark/>
          </w:tcPr>
          <w:p w14:paraId="78F91D0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174</w:t>
            </w:r>
          </w:p>
        </w:tc>
        <w:tc>
          <w:tcPr>
            <w:tcW w:w="1133" w:type="dxa"/>
            <w:tcBorders>
              <w:top w:val="nil"/>
              <w:left w:val="nil"/>
              <w:bottom w:val="single" w:sz="4" w:space="0" w:color="auto"/>
              <w:right w:val="single" w:sz="4" w:space="0" w:color="auto"/>
            </w:tcBorders>
            <w:shd w:val="clear" w:color="auto" w:fill="auto"/>
            <w:vAlign w:val="center"/>
            <w:hideMark/>
          </w:tcPr>
          <w:p w14:paraId="07DAAD0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306" w:type="dxa"/>
            <w:tcBorders>
              <w:top w:val="nil"/>
              <w:left w:val="nil"/>
              <w:bottom w:val="single" w:sz="4" w:space="0" w:color="auto"/>
              <w:right w:val="single" w:sz="4" w:space="0" w:color="auto"/>
            </w:tcBorders>
            <w:shd w:val="clear" w:color="auto" w:fill="auto"/>
            <w:vAlign w:val="center"/>
            <w:hideMark/>
          </w:tcPr>
          <w:p w14:paraId="6B2C63D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5C3A3520"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5542B46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Equatorial</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Guinea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B10B0BB"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177</w:t>
            </w:r>
          </w:p>
        </w:tc>
        <w:tc>
          <w:tcPr>
            <w:tcW w:w="1126" w:type="dxa"/>
            <w:tcBorders>
              <w:top w:val="nil"/>
              <w:left w:val="nil"/>
              <w:bottom w:val="single" w:sz="4" w:space="0" w:color="auto"/>
              <w:right w:val="single" w:sz="4" w:space="0" w:color="auto"/>
            </w:tcBorders>
            <w:shd w:val="clear" w:color="auto" w:fill="auto"/>
            <w:vAlign w:val="center"/>
            <w:hideMark/>
          </w:tcPr>
          <w:p w14:paraId="4A58EEC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183</w:t>
            </w:r>
          </w:p>
        </w:tc>
        <w:tc>
          <w:tcPr>
            <w:tcW w:w="1199" w:type="dxa"/>
            <w:tcBorders>
              <w:top w:val="nil"/>
              <w:left w:val="nil"/>
              <w:bottom w:val="single" w:sz="4" w:space="0" w:color="auto"/>
              <w:right w:val="single" w:sz="4" w:space="0" w:color="auto"/>
            </w:tcBorders>
            <w:shd w:val="clear" w:color="auto" w:fill="auto"/>
            <w:vAlign w:val="center"/>
            <w:hideMark/>
          </w:tcPr>
          <w:p w14:paraId="50CDBB2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321" w:type="dxa"/>
            <w:tcBorders>
              <w:top w:val="nil"/>
              <w:left w:val="nil"/>
              <w:bottom w:val="single" w:sz="4" w:space="0" w:color="auto"/>
              <w:right w:val="single" w:sz="4" w:space="0" w:color="auto"/>
            </w:tcBorders>
            <w:shd w:val="clear" w:color="auto" w:fill="auto"/>
            <w:vAlign w:val="center"/>
            <w:hideMark/>
          </w:tcPr>
          <w:p w14:paraId="7F90FBF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155</w:t>
            </w:r>
          </w:p>
        </w:tc>
        <w:tc>
          <w:tcPr>
            <w:tcW w:w="1221" w:type="dxa"/>
            <w:tcBorders>
              <w:top w:val="nil"/>
              <w:left w:val="nil"/>
              <w:bottom w:val="single" w:sz="4" w:space="0" w:color="auto"/>
              <w:right w:val="single" w:sz="4" w:space="0" w:color="auto"/>
            </w:tcBorders>
            <w:shd w:val="clear" w:color="auto" w:fill="auto"/>
            <w:vAlign w:val="center"/>
            <w:hideMark/>
          </w:tcPr>
          <w:p w14:paraId="781E184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163</w:t>
            </w:r>
          </w:p>
        </w:tc>
        <w:tc>
          <w:tcPr>
            <w:tcW w:w="968" w:type="dxa"/>
            <w:tcBorders>
              <w:top w:val="nil"/>
              <w:left w:val="nil"/>
              <w:bottom w:val="single" w:sz="4" w:space="0" w:color="auto"/>
              <w:right w:val="single" w:sz="4" w:space="0" w:color="auto"/>
            </w:tcBorders>
            <w:shd w:val="clear" w:color="auto" w:fill="auto"/>
            <w:vAlign w:val="center"/>
            <w:hideMark/>
          </w:tcPr>
          <w:p w14:paraId="3597346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04C1A1E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488" w:type="dxa"/>
            <w:tcBorders>
              <w:top w:val="nil"/>
              <w:left w:val="nil"/>
              <w:bottom w:val="single" w:sz="4" w:space="0" w:color="auto"/>
              <w:right w:val="single" w:sz="4" w:space="0" w:color="auto"/>
            </w:tcBorders>
            <w:shd w:val="clear" w:color="auto" w:fill="auto"/>
            <w:vAlign w:val="center"/>
            <w:hideMark/>
          </w:tcPr>
          <w:p w14:paraId="136C7F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179</w:t>
            </w:r>
          </w:p>
        </w:tc>
        <w:tc>
          <w:tcPr>
            <w:tcW w:w="1374" w:type="dxa"/>
            <w:tcBorders>
              <w:top w:val="nil"/>
              <w:left w:val="nil"/>
              <w:bottom w:val="single" w:sz="4" w:space="0" w:color="auto"/>
              <w:right w:val="single" w:sz="4" w:space="0" w:color="auto"/>
            </w:tcBorders>
            <w:shd w:val="clear" w:color="auto" w:fill="auto"/>
            <w:vAlign w:val="center"/>
            <w:hideMark/>
          </w:tcPr>
          <w:p w14:paraId="4458731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175</w:t>
            </w:r>
          </w:p>
        </w:tc>
        <w:tc>
          <w:tcPr>
            <w:tcW w:w="1133" w:type="dxa"/>
            <w:tcBorders>
              <w:top w:val="nil"/>
              <w:left w:val="nil"/>
              <w:bottom w:val="single" w:sz="4" w:space="0" w:color="auto"/>
              <w:right w:val="single" w:sz="4" w:space="0" w:color="auto"/>
            </w:tcBorders>
            <w:shd w:val="clear" w:color="auto" w:fill="auto"/>
            <w:vAlign w:val="center"/>
            <w:hideMark/>
          </w:tcPr>
          <w:p w14:paraId="1042F4B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105</w:t>
            </w:r>
          </w:p>
        </w:tc>
        <w:tc>
          <w:tcPr>
            <w:tcW w:w="306" w:type="dxa"/>
            <w:tcBorders>
              <w:top w:val="nil"/>
              <w:left w:val="nil"/>
              <w:bottom w:val="single" w:sz="4" w:space="0" w:color="auto"/>
              <w:right w:val="single" w:sz="4" w:space="0" w:color="auto"/>
            </w:tcBorders>
            <w:shd w:val="clear" w:color="auto" w:fill="auto"/>
            <w:vAlign w:val="center"/>
            <w:hideMark/>
          </w:tcPr>
          <w:p w14:paraId="73B4053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78CE37F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014F48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Haiti</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7EF69C96"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178</w:t>
            </w:r>
          </w:p>
        </w:tc>
        <w:tc>
          <w:tcPr>
            <w:tcW w:w="1126" w:type="dxa"/>
            <w:tcBorders>
              <w:top w:val="nil"/>
              <w:left w:val="nil"/>
              <w:bottom w:val="single" w:sz="4" w:space="0" w:color="auto"/>
              <w:right w:val="single" w:sz="4" w:space="0" w:color="auto"/>
            </w:tcBorders>
            <w:shd w:val="clear" w:color="auto" w:fill="auto"/>
            <w:vAlign w:val="center"/>
            <w:hideMark/>
          </w:tcPr>
          <w:p w14:paraId="55E21EC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189</w:t>
            </w:r>
          </w:p>
        </w:tc>
        <w:tc>
          <w:tcPr>
            <w:tcW w:w="1199" w:type="dxa"/>
            <w:tcBorders>
              <w:top w:val="nil"/>
              <w:left w:val="nil"/>
              <w:bottom w:val="single" w:sz="4" w:space="0" w:color="auto"/>
              <w:right w:val="single" w:sz="4" w:space="0" w:color="auto"/>
            </w:tcBorders>
            <w:shd w:val="clear" w:color="auto" w:fill="auto"/>
            <w:vAlign w:val="center"/>
            <w:hideMark/>
          </w:tcPr>
          <w:p w14:paraId="5EC29A1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179</w:t>
            </w:r>
          </w:p>
        </w:tc>
        <w:tc>
          <w:tcPr>
            <w:tcW w:w="1321" w:type="dxa"/>
            <w:tcBorders>
              <w:top w:val="nil"/>
              <w:left w:val="nil"/>
              <w:bottom w:val="single" w:sz="4" w:space="0" w:color="auto"/>
              <w:right w:val="single" w:sz="4" w:space="0" w:color="auto"/>
            </w:tcBorders>
            <w:shd w:val="clear" w:color="auto" w:fill="auto"/>
            <w:vAlign w:val="center"/>
            <w:hideMark/>
          </w:tcPr>
          <w:p w14:paraId="6A9F601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147</w:t>
            </w:r>
          </w:p>
        </w:tc>
        <w:tc>
          <w:tcPr>
            <w:tcW w:w="1221" w:type="dxa"/>
            <w:tcBorders>
              <w:top w:val="nil"/>
              <w:left w:val="nil"/>
              <w:bottom w:val="single" w:sz="4" w:space="0" w:color="auto"/>
              <w:right w:val="single" w:sz="4" w:space="0" w:color="auto"/>
            </w:tcBorders>
            <w:shd w:val="clear" w:color="auto" w:fill="auto"/>
            <w:vAlign w:val="center"/>
            <w:hideMark/>
          </w:tcPr>
          <w:p w14:paraId="7F36417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182</w:t>
            </w:r>
          </w:p>
        </w:tc>
        <w:tc>
          <w:tcPr>
            <w:tcW w:w="968" w:type="dxa"/>
            <w:tcBorders>
              <w:top w:val="nil"/>
              <w:left w:val="nil"/>
              <w:bottom w:val="single" w:sz="4" w:space="0" w:color="auto"/>
              <w:right w:val="single" w:sz="4" w:space="0" w:color="auto"/>
            </w:tcBorders>
            <w:shd w:val="clear" w:color="auto" w:fill="auto"/>
            <w:vAlign w:val="center"/>
            <w:hideMark/>
          </w:tcPr>
          <w:p w14:paraId="5F7AA71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246" w:type="dxa"/>
            <w:tcBorders>
              <w:top w:val="nil"/>
              <w:left w:val="nil"/>
              <w:bottom w:val="single" w:sz="4" w:space="0" w:color="auto"/>
              <w:right w:val="single" w:sz="4" w:space="0" w:color="auto"/>
            </w:tcBorders>
            <w:shd w:val="clear" w:color="auto" w:fill="auto"/>
            <w:vAlign w:val="center"/>
            <w:hideMark/>
          </w:tcPr>
          <w:p w14:paraId="7F69A33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183</w:t>
            </w:r>
          </w:p>
        </w:tc>
        <w:tc>
          <w:tcPr>
            <w:tcW w:w="1488" w:type="dxa"/>
            <w:tcBorders>
              <w:top w:val="nil"/>
              <w:left w:val="nil"/>
              <w:bottom w:val="single" w:sz="4" w:space="0" w:color="auto"/>
              <w:right w:val="single" w:sz="4" w:space="0" w:color="auto"/>
            </w:tcBorders>
            <w:shd w:val="clear" w:color="auto" w:fill="auto"/>
            <w:vAlign w:val="center"/>
            <w:hideMark/>
          </w:tcPr>
          <w:p w14:paraId="12A7E1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149</w:t>
            </w:r>
          </w:p>
        </w:tc>
        <w:tc>
          <w:tcPr>
            <w:tcW w:w="1374" w:type="dxa"/>
            <w:tcBorders>
              <w:top w:val="nil"/>
              <w:left w:val="nil"/>
              <w:bottom w:val="single" w:sz="4" w:space="0" w:color="auto"/>
              <w:right w:val="single" w:sz="4" w:space="0" w:color="auto"/>
            </w:tcBorders>
            <w:shd w:val="clear" w:color="auto" w:fill="auto"/>
            <w:vAlign w:val="center"/>
            <w:hideMark/>
          </w:tcPr>
          <w:p w14:paraId="4D92423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85</w:t>
            </w:r>
          </w:p>
        </w:tc>
        <w:tc>
          <w:tcPr>
            <w:tcW w:w="1133" w:type="dxa"/>
            <w:tcBorders>
              <w:top w:val="nil"/>
              <w:left w:val="nil"/>
              <w:bottom w:val="single" w:sz="4" w:space="0" w:color="auto"/>
              <w:right w:val="single" w:sz="4" w:space="0" w:color="auto"/>
            </w:tcBorders>
            <w:shd w:val="clear" w:color="auto" w:fill="auto"/>
            <w:vAlign w:val="center"/>
            <w:hideMark/>
          </w:tcPr>
          <w:p w14:paraId="7F0430D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127</w:t>
            </w:r>
          </w:p>
        </w:tc>
        <w:tc>
          <w:tcPr>
            <w:tcW w:w="306" w:type="dxa"/>
            <w:tcBorders>
              <w:top w:val="nil"/>
              <w:left w:val="nil"/>
              <w:bottom w:val="single" w:sz="4" w:space="0" w:color="auto"/>
              <w:right w:val="single" w:sz="4" w:space="0" w:color="auto"/>
            </w:tcBorders>
            <w:shd w:val="clear" w:color="auto" w:fill="auto"/>
            <w:vAlign w:val="center"/>
            <w:hideMark/>
          </w:tcPr>
          <w:p w14:paraId="5ED3A78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46DDF1D8"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1A45BD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Congo</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Rep</w:t>
            </w:r>
            <w:proofErr w:type="spellEnd"/>
            <w:r w:rsidRPr="00A546AD">
              <w:rPr>
                <w:rFonts w:ascii="Times New Roman" w:eastAsia="Times New Roman" w:hAnsi="Times New Roman" w:cs="Times New Roman"/>
                <w:sz w:val="20"/>
                <w:szCs w:val="20"/>
                <w:lang w:val="ru-RU" w:eastAsia="ru-RU" w:bidi="ar-SA"/>
              </w:rPr>
              <w:t>.</w:t>
            </w:r>
          </w:p>
        </w:tc>
        <w:tc>
          <w:tcPr>
            <w:tcW w:w="802" w:type="dxa"/>
            <w:tcBorders>
              <w:top w:val="nil"/>
              <w:left w:val="nil"/>
              <w:bottom w:val="single" w:sz="4" w:space="0" w:color="auto"/>
              <w:right w:val="single" w:sz="4" w:space="0" w:color="auto"/>
            </w:tcBorders>
            <w:shd w:val="clear" w:color="auto" w:fill="auto"/>
            <w:vAlign w:val="center"/>
            <w:hideMark/>
          </w:tcPr>
          <w:p w14:paraId="007EB9A9"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179</w:t>
            </w:r>
          </w:p>
        </w:tc>
        <w:tc>
          <w:tcPr>
            <w:tcW w:w="1126" w:type="dxa"/>
            <w:tcBorders>
              <w:top w:val="nil"/>
              <w:left w:val="nil"/>
              <w:bottom w:val="single" w:sz="4" w:space="0" w:color="auto"/>
              <w:right w:val="single" w:sz="4" w:space="0" w:color="auto"/>
            </w:tcBorders>
            <w:shd w:val="clear" w:color="auto" w:fill="auto"/>
            <w:vAlign w:val="center"/>
            <w:hideMark/>
          </w:tcPr>
          <w:p w14:paraId="18A53B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179</w:t>
            </w:r>
          </w:p>
        </w:tc>
        <w:tc>
          <w:tcPr>
            <w:tcW w:w="1199" w:type="dxa"/>
            <w:tcBorders>
              <w:top w:val="nil"/>
              <w:left w:val="nil"/>
              <w:bottom w:val="single" w:sz="4" w:space="0" w:color="auto"/>
              <w:right w:val="single" w:sz="4" w:space="0" w:color="auto"/>
            </w:tcBorders>
            <w:shd w:val="clear" w:color="auto" w:fill="auto"/>
            <w:vAlign w:val="center"/>
            <w:hideMark/>
          </w:tcPr>
          <w:p w14:paraId="15DCCCD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134</w:t>
            </w:r>
          </w:p>
        </w:tc>
        <w:tc>
          <w:tcPr>
            <w:tcW w:w="1321" w:type="dxa"/>
            <w:tcBorders>
              <w:top w:val="nil"/>
              <w:left w:val="nil"/>
              <w:bottom w:val="single" w:sz="4" w:space="0" w:color="auto"/>
              <w:right w:val="single" w:sz="4" w:space="0" w:color="auto"/>
            </w:tcBorders>
            <w:shd w:val="clear" w:color="auto" w:fill="auto"/>
            <w:vAlign w:val="center"/>
            <w:hideMark/>
          </w:tcPr>
          <w:p w14:paraId="52AB847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179</w:t>
            </w:r>
          </w:p>
        </w:tc>
        <w:tc>
          <w:tcPr>
            <w:tcW w:w="1221" w:type="dxa"/>
            <w:tcBorders>
              <w:top w:val="nil"/>
              <w:left w:val="nil"/>
              <w:bottom w:val="single" w:sz="4" w:space="0" w:color="auto"/>
              <w:right w:val="single" w:sz="4" w:space="0" w:color="auto"/>
            </w:tcBorders>
            <w:shd w:val="clear" w:color="auto" w:fill="auto"/>
            <w:vAlign w:val="center"/>
            <w:hideMark/>
          </w:tcPr>
          <w:p w14:paraId="1905094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174</w:t>
            </w:r>
          </w:p>
        </w:tc>
        <w:tc>
          <w:tcPr>
            <w:tcW w:w="968" w:type="dxa"/>
            <w:tcBorders>
              <w:top w:val="nil"/>
              <w:left w:val="nil"/>
              <w:bottom w:val="single" w:sz="4" w:space="0" w:color="auto"/>
              <w:right w:val="single" w:sz="4" w:space="0" w:color="auto"/>
            </w:tcBorders>
            <w:shd w:val="clear" w:color="auto" w:fill="auto"/>
            <w:vAlign w:val="center"/>
            <w:hideMark/>
          </w:tcPr>
          <w:p w14:paraId="7141D4B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0589535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488" w:type="dxa"/>
            <w:tcBorders>
              <w:top w:val="nil"/>
              <w:left w:val="nil"/>
              <w:bottom w:val="single" w:sz="4" w:space="0" w:color="auto"/>
              <w:right w:val="single" w:sz="4" w:space="0" w:color="auto"/>
            </w:tcBorders>
            <w:shd w:val="clear" w:color="auto" w:fill="auto"/>
            <w:vAlign w:val="center"/>
            <w:hideMark/>
          </w:tcPr>
          <w:p w14:paraId="004FA7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185</w:t>
            </w:r>
          </w:p>
        </w:tc>
        <w:tc>
          <w:tcPr>
            <w:tcW w:w="1374" w:type="dxa"/>
            <w:tcBorders>
              <w:top w:val="nil"/>
              <w:left w:val="nil"/>
              <w:bottom w:val="single" w:sz="4" w:space="0" w:color="auto"/>
              <w:right w:val="single" w:sz="4" w:space="0" w:color="auto"/>
            </w:tcBorders>
            <w:shd w:val="clear" w:color="auto" w:fill="auto"/>
            <w:vAlign w:val="center"/>
            <w:hideMark/>
          </w:tcPr>
          <w:p w14:paraId="0AE4F98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183</w:t>
            </w:r>
          </w:p>
        </w:tc>
        <w:tc>
          <w:tcPr>
            <w:tcW w:w="1133" w:type="dxa"/>
            <w:tcBorders>
              <w:top w:val="nil"/>
              <w:left w:val="nil"/>
              <w:bottom w:val="single" w:sz="4" w:space="0" w:color="auto"/>
              <w:right w:val="single" w:sz="4" w:space="0" w:color="auto"/>
            </w:tcBorders>
            <w:shd w:val="clear" w:color="auto" w:fill="auto"/>
            <w:vAlign w:val="center"/>
            <w:hideMark/>
          </w:tcPr>
          <w:p w14:paraId="0D448CC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155</w:t>
            </w:r>
          </w:p>
        </w:tc>
        <w:tc>
          <w:tcPr>
            <w:tcW w:w="306" w:type="dxa"/>
            <w:tcBorders>
              <w:top w:val="nil"/>
              <w:left w:val="nil"/>
              <w:bottom w:val="single" w:sz="4" w:space="0" w:color="auto"/>
              <w:right w:val="single" w:sz="4" w:space="0" w:color="auto"/>
            </w:tcBorders>
            <w:shd w:val="clear" w:color="auto" w:fill="auto"/>
            <w:vAlign w:val="center"/>
            <w:hideMark/>
          </w:tcPr>
          <w:p w14:paraId="19D9780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119</w:t>
            </w:r>
          </w:p>
        </w:tc>
      </w:tr>
      <w:tr w:rsidR="00BC17A3" w:rsidRPr="00A546AD" w14:paraId="7B59F9A9"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B93CDD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Timor-Leste</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04CEAA2"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180</w:t>
            </w:r>
          </w:p>
        </w:tc>
        <w:tc>
          <w:tcPr>
            <w:tcW w:w="1126" w:type="dxa"/>
            <w:tcBorders>
              <w:top w:val="nil"/>
              <w:left w:val="nil"/>
              <w:bottom w:val="single" w:sz="4" w:space="0" w:color="auto"/>
              <w:right w:val="single" w:sz="4" w:space="0" w:color="auto"/>
            </w:tcBorders>
            <w:shd w:val="clear" w:color="auto" w:fill="auto"/>
            <w:vAlign w:val="center"/>
            <w:hideMark/>
          </w:tcPr>
          <w:p w14:paraId="21D1F27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68</w:t>
            </w:r>
          </w:p>
        </w:tc>
        <w:tc>
          <w:tcPr>
            <w:tcW w:w="1199" w:type="dxa"/>
            <w:tcBorders>
              <w:top w:val="nil"/>
              <w:left w:val="nil"/>
              <w:bottom w:val="single" w:sz="4" w:space="0" w:color="auto"/>
              <w:right w:val="single" w:sz="4" w:space="0" w:color="auto"/>
            </w:tcBorders>
            <w:shd w:val="clear" w:color="auto" w:fill="auto"/>
            <w:vAlign w:val="center"/>
            <w:hideMark/>
          </w:tcPr>
          <w:p w14:paraId="0E4E854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159</w:t>
            </w:r>
          </w:p>
        </w:tc>
        <w:tc>
          <w:tcPr>
            <w:tcW w:w="1321" w:type="dxa"/>
            <w:tcBorders>
              <w:top w:val="nil"/>
              <w:left w:val="nil"/>
              <w:bottom w:val="single" w:sz="4" w:space="0" w:color="auto"/>
              <w:right w:val="single" w:sz="4" w:space="0" w:color="auto"/>
            </w:tcBorders>
            <w:shd w:val="clear" w:color="auto" w:fill="auto"/>
            <w:vAlign w:val="center"/>
            <w:hideMark/>
          </w:tcPr>
          <w:p w14:paraId="755B23A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126</w:t>
            </w:r>
          </w:p>
        </w:tc>
        <w:tc>
          <w:tcPr>
            <w:tcW w:w="1221" w:type="dxa"/>
            <w:tcBorders>
              <w:top w:val="nil"/>
              <w:left w:val="nil"/>
              <w:bottom w:val="single" w:sz="4" w:space="0" w:color="auto"/>
              <w:right w:val="single" w:sz="4" w:space="0" w:color="auto"/>
            </w:tcBorders>
            <w:shd w:val="clear" w:color="auto" w:fill="auto"/>
            <w:vAlign w:val="center"/>
            <w:hideMark/>
          </w:tcPr>
          <w:p w14:paraId="447355A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968" w:type="dxa"/>
            <w:tcBorders>
              <w:top w:val="nil"/>
              <w:left w:val="nil"/>
              <w:bottom w:val="single" w:sz="4" w:space="0" w:color="auto"/>
              <w:right w:val="single" w:sz="4" w:space="0" w:color="auto"/>
            </w:tcBorders>
            <w:shd w:val="clear" w:color="auto" w:fill="auto"/>
            <w:vAlign w:val="center"/>
            <w:hideMark/>
          </w:tcPr>
          <w:p w14:paraId="17A9799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173</w:t>
            </w:r>
          </w:p>
        </w:tc>
        <w:tc>
          <w:tcPr>
            <w:tcW w:w="1246" w:type="dxa"/>
            <w:tcBorders>
              <w:top w:val="nil"/>
              <w:left w:val="nil"/>
              <w:bottom w:val="single" w:sz="4" w:space="0" w:color="auto"/>
              <w:right w:val="single" w:sz="4" w:space="0" w:color="auto"/>
            </w:tcBorders>
            <w:shd w:val="clear" w:color="auto" w:fill="auto"/>
            <w:vAlign w:val="center"/>
            <w:hideMark/>
          </w:tcPr>
          <w:p w14:paraId="5BA9E60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157</w:t>
            </w:r>
          </w:p>
        </w:tc>
        <w:tc>
          <w:tcPr>
            <w:tcW w:w="1488" w:type="dxa"/>
            <w:tcBorders>
              <w:top w:val="nil"/>
              <w:left w:val="nil"/>
              <w:bottom w:val="single" w:sz="4" w:space="0" w:color="auto"/>
              <w:right w:val="single" w:sz="4" w:space="0" w:color="auto"/>
            </w:tcBorders>
            <w:shd w:val="clear" w:color="auto" w:fill="auto"/>
            <w:vAlign w:val="center"/>
            <w:hideMark/>
          </w:tcPr>
          <w:p w14:paraId="1FEB5EE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136</w:t>
            </w:r>
          </w:p>
        </w:tc>
        <w:tc>
          <w:tcPr>
            <w:tcW w:w="1374" w:type="dxa"/>
            <w:tcBorders>
              <w:top w:val="nil"/>
              <w:left w:val="nil"/>
              <w:bottom w:val="single" w:sz="4" w:space="0" w:color="auto"/>
              <w:right w:val="single" w:sz="4" w:space="0" w:color="auto"/>
            </w:tcBorders>
            <w:shd w:val="clear" w:color="auto" w:fill="auto"/>
            <w:vAlign w:val="center"/>
            <w:hideMark/>
          </w:tcPr>
          <w:p w14:paraId="23A4D07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107</w:t>
            </w:r>
          </w:p>
        </w:tc>
        <w:tc>
          <w:tcPr>
            <w:tcW w:w="1133" w:type="dxa"/>
            <w:tcBorders>
              <w:top w:val="nil"/>
              <w:left w:val="nil"/>
              <w:bottom w:val="single" w:sz="4" w:space="0" w:color="auto"/>
              <w:right w:val="single" w:sz="4" w:space="0" w:color="auto"/>
            </w:tcBorders>
            <w:shd w:val="clear" w:color="auto" w:fill="auto"/>
            <w:vAlign w:val="center"/>
            <w:hideMark/>
          </w:tcPr>
          <w:p w14:paraId="04DEF59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190</w:t>
            </w:r>
          </w:p>
        </w:tc>
        <w:tc>
          <w:tcPr>
            <w:tcW w:w="306" w:type="dxa"/>
            <w:tcBorders>
              <w:top w:val="nil"/>
              <w:left w:val="nil"/>
              <w:bottom w:val="single" w:sz="4" w:space="0" w:color="auto"/>
              <w:right w:val="single" w:sz="4" w:space="0" w:color="auto"/>
            </w:tcBorders>
            <w:shd w:val="clear" w:color="auto" w:fill="auto"/>
            <w:vAlign w:val="center"/>
            <w:hideMark/>
          </w:tcPr>
          <w:p w14:paraId="7880AC2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624CADB3"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5CBB4F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lastRenderedPageBreak/>
              <w:t>Chad</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32EA4937"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181</w:t>
            </w:r>
          </w:p>
        </w:tc>
        <w:tc>
          <w:tcPr>
            <w:tcW w:w="1126" w:type="dxa"/>
            <w:tcBorders>
              <w:top w:val="nil"/>
              <w:left w:val="nil"/>
              <w:bottom w:val="single" w:sz="4" w:space="0" w:color="auto"/>
              <w:right w:val="single" w:sz="4" w:space="0" w:color="auto"/>
            </w:tcBorders>
            <w:shd w:val="clear" w:color="auto" w:fill="auto"/>
            <w:vAlign w:val="center"/>
            <w:hideMark/>
          </w:tcPr>
          <w:p w14:paraId="6107828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199" w:type="dxa"/>
            <w:tcBorders>
              <w:top w:val="nil"/>
              <w:left w:val="nil"/>
              <w:bottom w:val="single" w:sz="4" w:space="0" w:color="auto"/>
              <w:right w:val="single" w:sz="4" w:space="0" w:color="auto"/>
            </w:tcBorders>
            <w:shd w:val="clear" w:color="auto" w:fill="auto"/>
            <w:vAlign w:val="center"/>
            <w:hideMark/>
          </w:tcPr>
          <w:p w14:paraId="7827035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174</w:t>
            </w:r>
          </w:p>
        </w:tc>
        <w:tc>
          <w:tcPr>
            <w:tcW w:w="1321" w:type="dxa"/>
            <w:tcBorders>
              <w:top w:val="nil"/>
              <w:left w:val="nil"/>
              <w:bottom w:val="single" w:sz="4" w:space="0" w:color="auto"/>
              <w:right w:val="single" w:sz="4" w:space="0" w:color="auto"/>
            </w:tcBorders>
            <w:shd w:val="clear" w:color="auto" w:fill="auto"/>
            <w:vAlign w:val="center"/>
            <w:hideMark/>
          </w:tcPr>
          <w:p w14:paraId="0BB8882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180</w:t>
            </w:r>
          </w:p>
        </w:tc>
        <w:tc>
          <w:tcPr>
            <w:tcW w:w="1221" w:type="dxa"/>
            <w:tcBorders>
              <w:top w:val="nil"/>
              <w:left w:val="nil"/>
              <w:bottom w:val="single" w:sz="4" w:space="0" w:color="auto"/>
              <w:right w:val="single" w:sz="4" w:space="0" w:color="auto"/>
            </w:tcBorders>
            <w:shd w:val="clear" w:color="auto" w:fill="auto"/>
            <w:vAlign w:val="center"/>
            <w:hideMark/>
          </w:tcPr>
          <w:p w14:paraId="414B64A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131</w:t>
            </w:r>
          </w:p>
        </w:tc>
        <w:tc>
          <w:tcPr>
            <w:tcW w:w="968" w:type="dxa"/>
            <w:tcBorders>
              <w:top w:val="nil"/>
              <w:left w:val="nil"/>
              <w:bottom w:val="single" w:sz="4" w:space="0" w:color="auto"/>
              <w:right w:val="single" w:sz="4" w:space="0" w:color="auto"/>
            </w:tcBorders>
            <w:shd w:val="clear" w:color="auto" w:fill="auto"/>
            <w:vAlign w:val="center"/>
            <w:hideMark/>
          </w:tcPr>
          <w:p w14:paraId="0462495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49A5730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1488" w:type="dxa"/>
            <w:tcBorders>
              <w:top w:val="nil"/>
              <w:left w:val="nil"/>
              <w:bottom w:val="single" w:sz="4" w:space="0" w:color="auto"/>
              <w:right w:val="single" w:sz="4" w:space="0" w:color="auto"/>
            </w:tcBorders>
            <w:shd w:val="clear" w:color="auto" w:fill="auto"/>
            <w:vAlign w:val="center"/>
            <w:hideMark/>
          </w:tcPr>
          <w:p w14:paraId="6B3B22F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188</w:t>
            </w:r>
          </w:p>
        </w:tc>
        <w:tc>
          <w:tcPr>
            <w:tcW w:w="1374" w:type="dxa"/>
            <w:tcBorders>
              <w:top w:val="nil"/>
              <w:left w:val="nil"/>
              <w:bottom w:val="single" w:sz="4" w:space="0" w:color="auto"/>
              <w:right w:val="single" w:sz="4" w:space="0" w:color="auto"/>
            </w:tcBorders>
            <w:shd w:val="clear" w:color="auto" w:fill="auto"/>
            <w:vAlign w:val="center"/>
            <w:hideMark/>
          </w:tcPr>
          <w:p w14:paraId="56B86F5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173</w:t>
            </w:r>
          </w:p>
        </w:tc>
        <w:tc>
          <w:tcPr>
            <w:tcW w:w="1133" w:type="dxa"/>
            <w:tcBorders>
              <w:top w:val="nil"/>
              <w:left w:val="nil"/>
              <w:bottom w:val="single" w:sz="4" w:space="0" w:color="auto"/>
              <w:right w:val="single" w:sz="4" w:space="0" w:color="auto"/>
            </w:tcBorders>
            <w:shd w:val="clear" w:color="auto" w:fill="auto"/>
            <w:vAlign w:val="center"/>
            <w:hideMark/>
          </w:tcPr>
          <w:p w14:paraId="7C95075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c>
          <w:tcPr>
            <w:tcW w:w="306" w:type="dxa"/>
            <w:tcBorders>
              <w:top w:val="nil"/>
              <w:left w:val="nil"/>
              <w:bottom w:val="single" w:sz="4" w:space="0" w:color="auto"/>
              <w:right w:val="single" w:sz="4" w:space="0" w:color="auto"/>
            </w:tcBorders>
            <w:shd w:val="clear" w:color="auto" w:fill="auto"/>
            <w:vAlign w:val="center"/>
            <w:hideMark/>
          </w:tcPr>
          <w:p w14:paraId="7C479C8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155</w:t>
            </w:r>
          </w:p>
        </w:tc>
      </w:tr>
      <w:tr w:rsidR="00BC17A3" w:rsidRPr="00A546AD" w14:paraId="3551EBF4"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32B090F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Congo</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Dem</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Rep</w:t>
            </w:r>
            <w:proofErr w:type="spellEnd"/>
            <w:r w:rsidRPr="00A546AD">
              <w:rPr>
                <w:rFonts w:ascii="Times New Roman" w:eastAsia="Times New Roman" w:hAnsi="Times New Roman" w:cs="Times New Roman"/>
                <w:sz w:val="20"/>
                <w:szCs w:val="20"/>
                <w:lang w:val="ru-RU" w:eastAsia="ru-RU" w:bidi="ar-SA"/>
              </w:rPr>
              <w:t>.</w:t>
            </w:r>
          </w:p>
        </w:tc>
        <w:tc>
          <w:tcPr>
            <w:tcW w:w="802" w:type="dxa"/>
            <w:tcBorders>
              <w:top w:val="nil"/>
              <w:left w:val="nil"/>
              <w:bottom w:val="single" w:sz="4" w:space="0" w:color="auto"/>
              <w:right w:val="single" w:sz="4" w:space="0" w:color="auto"/>
            </w:tcBorders>
            <w:shd w:val="clear" w:color="auto" w:fill="auto"/>
            <w:vAlign w:val="center"/>
            <w:hideMark/>
          </w:tcPr>
          <w:p w14:paraId="3AB5D42E"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182</w:t>
            </w:r>
          </w:p>
        </w:tc>
        <w:tc>
          <w:tcPr>
            <w:tcW w:w="1126" w:type="dxa"/>
            <w:tcBorders>
              <w:top w:val="nil"/>
              <w:left w:val="nil"/>
              <w:bottom w:val="single" w:sz="4" w:space="0" w:color="auto"/>
              <w:right w:val="single" w:sz="4" w:space="0" w:color="auto"/>
            </w:tcBorders>
            <w:shd w:val="clear" w:color="auto" w:fill="auto"/>
            <w:vAlign w:val="center"/>
            <w:hideMark/>
          </w:tcPr>
          <w:p w14:paraId="6C99C5F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54</w:t>
            </w:r>
          </w:p>
        </w:tc>
        <w:tc>
          <w:tcPr>
            <w:tcW w:w="1199" w:type="dxa"/>
            <w:tcBorders>
              <w:top w:val="nil"/>
              <w:left w:val="nil"/>
              <w:bottom w:val="single" w:sz="4" w:space="0" w:color="auto"/>
              <w:right w:val="single" w:sz="4" w:space="0" w:color="auto"/>
            </w:tcBorders>
            <w:shd w:val="clear" w:color="auto" w:fill="auto"/>
            <w:vAlign w:val="center"/>
            <w:hideMark/>
          </w:tcPr>
          <w:p w14:paraId="624DA6F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321" w:type="dxa"/>
            <w:tcBorders>
              <w:top w:val="nil"/>
              <w:left w:val="nil"/>
              <w:bottom w:val="single" w:sz="4" w:space="0" w:color="auto"/>
              <w:right w:val="single" w:sz="4" w:space="0" w:color="auto"/>
            </w:tcBorders>
            <w:shd w:val="clear" w:color="auto" w:fill="auto"/>
            <w:vAlign w:val="center"/>
            <w:hideMark/>
          </w:tcPr>
          <w:p w14:paraId="580A6D8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177</w:t>
            </w:r>
          </w:p>
        </w:tc>
        <w:tc>
          <w:tcPr>
            <w:tcW w:w="1221" w:type="dxa"/>
            <w:tcBorders>
              <w:top w:val="nil"/>
              <w:left w:val="nil"/>
              <w:bottom w:val="single" w:sz="4" w:space="0" w:color="auto"/>
              <w:right w:val="single" w:sz="4" w:space="0" w:color="auto"/>
            </w:tcBorders>
            <w:shd w:val="clear" w:color="auto" w:fill="auto"/>
            <w:vAlign w:val="center"/>
            <w:hideMark/>
          </w:tcPr>
          <w:p w14:paraId="231999A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159</w:t>
            </w:r>
          </w:p>
        </w:tc>
        <w:tc>
          <w:tcPr>
            <w:tcW w:w="968" w:type="dxa"/>
            <w:tcBorders>
              <w:top w:val="nil"/>
              <w:left w:val="nil"/>
              <w:bottom w:val="single" w:sz="4" w:space="0" w:color="auto"/>
              <w:right w:val="single" w:sz="4" w:space="0" w:color="auto"/>
            </w:tcBorders>
            <w:shd w:val="clear" w:color="auto" w:fill="auto"/>
            <w:vAlign w:val="center"/>
            <w:hideMark/>
          </w:tcPr>
          <w:p w14:paraId="282991C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152</w:t>
            </w:r>
          </w:p>
        </w:tc>
        <w:tc>
          <w:tcPr>
            <w:tcW w:w="1246" w:type="dxa"/>
            <w:tcBorders>
              <w:top w:val="nil"/>
              <w:left w:val="nil"/>
              <w:bottom w:val="single" w:sz="4" w:space="0" w:color="auto"/>
              <w:right w:val="single" w:sz="4" w:space="0" w:color="auto"/>
            </w:tcBorders>
            <w:shd w:val="clear" w:color="auto" w:fill="auto"/>
            <w:vAlign w:val="center"/>
            <w:hideMark/>
          </w:tcPr>
          <w:p w14:paraId="5DCAA33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176</w:t>
            </w:r>
          </w:p>
        </w:tc>
        <w:tc>
          <w:tcPr>
            <w:tcW w:w="1488" w:type="dxa"/>
            <w:tcBorders>
              <w:top w:val="nil"/>
              <w:left w:val="nil"/>
              <w:bottom w:val="single" w:sz="4" w:space="0" w:color="auto"/>
              <w:right w:val="single" w:sz="4" w:space="0" w:color="auto"/>
            </w:tcBorders>
            <w:shd w:val="clear" w:color="auto" w:fill="auto"/>
            <w:vAlign w:val="center"/>
            <w:hideMark/>
          </w:tcPr>
          <w:p w14:paraId="41E51F1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180</w:t>
            </w:r>
          </w:p>
        </w:tc>
        <w:tc>
          <w:tcPr>
            <w:tcW w:w="1374" w:type="dxa"/>
            <w:tcBorders>
              <w:top w:val="nil"/>
              <w:left w:val="nil"/>
              <w:bottom w:val="single" w:sz="4" w:space="0" w:color="auto"/>
              <w:right w:val="single" w:sz="4" w:space="0" w:color="auto"/>
            </w:tcBorders>
            <w:shd w:val="clear" w:color="auto" w:fill="auto"/>
            <w:vAlign w:val="center"/>
            <w:hideMark/>
          </w:tcPr>
          <w:p w14:paraId="0DE7B87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1133" w:type="dxa"/>
            <w:tcBorders>
              <w:top w:val="nil"/>
              <w:left w:val="nil"/>
              <w:bottom w:val="single" w:sz="4" w:space="0" w:color="auto"/>
              <w:right w:val="single" w:sz="4" w:space="0" w:color="auto"/>
            </w:tcBorders>
            <w:shd w:val="clear" w:color="auto" w:fill="auto"/>
            <w:vAlign w:val="center"/>
            <w:hideMark/>
          </w:tcPr>
          <w:p w14:paraId="0D9B61C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178</w:t>
            </w:r>
          </w:p>
        </w:tc>
        <w:tc>
          <w:tcPr>
            <w:tcW w:w="306" w:type="dxa"/>
            <w:tcBorders>
              <w:top w:val="nil"/>
              <w:left w:val="nil"/>
              <w:bottom w:val="single" w:sz="4" w:space="0" w:color="auto"/>
              <w:right w:val="single" w:sz="4" w:space="0" w:color="auto"/>
            </w:tcBorders>
            <w:shd w:val="clear" w:color="auto" w:fill="auto"/>
            <w:vAlign w:val="center"/>
            <w:hideMark/>
          </w:tcPr>
          <w:p w14:paraId="1D03C96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3A97D21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2D5B55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Central </w:t>
            </w:r>
            <w:proofErr w:type="spellStart"/>
            <w:r w:rsidRPr="00A546AD">
              <w:rPr>
                <w:rFonts w:ascii="Times New Roman" w:eastAsia="Times New Roman" w:hAnsi="Times New Roman" w:cs="Times New Roman"/>
                <w:sz w:val="20"/>
                <w:szCs w:val="20"/>
                <w:lang w:val="ru-RU" w:eastAsia="ru-RU" w:bidi="ar-SA"/>
              </w:rPr>
              <w:t>African</w:t>
            </w:r>
            <w:proofErr w:type="spellEnd"/>
            <w:r w:rsidRPr="00A546AD">
              <w:rPr>
                <w:rFonts w:ascii="Times New Roman" w:eastAsia="Times New Roman" w:hAnsi="Times New Roman" w:cs="Times New Roman"/>
                <w:sz w:val="20"/>
                <w:szCs w:val="20"/>
                <w:lang w:val="ru-RU" w:eastAsia="ru-RU" w:bidi="ar-SA"/>
              </w:rPr>
              <w:t xml:space="preserve"> Republic</w:t>
            </w:r>
          </w:p>
        </w:tc>
        <w:tc>
          <w:tcPr>
            <w:tcW w:w="802" w:type="dxa"/>
            <w:tcBorders>
              <w:top w:val="nil"/>
              <w:left w:val="nil"/>
              <w:bottom w:val="single" w:sz="4" w:space="0" w:color="auto"/>
              <w:right w:val="single" w:sz="4" w:space="0" w:color="auto"/>
            </w:tcBorders>
            <w:shd w:val="clear" w:color="auto" w:fill="auto"/>
            <w:vAlign w:val="center"/>
            <w:hideMark/>
          </w:tcPr>
          <w:p w14:paraId="7B9A0824"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183</w:t>
            </w:r>
          </w:p>
        </w:tc>
        <w:tc>
          <w:tcPr>
            <w:tcW w:w="1126" w:type="dxa"/>
            <w:tcBorders>
              <w:top w:val="nil"/>
              <w:left w:val="nil"/>
              <w:bottom w:val="single" w:sz="4" w:space="0" w:color="auto"/>
              <w:right w:val="single" w:sz="4" w:space="0" w:color="auto"/>
            </w:tcBorders>
            <w:shd w:val="clear" w:color="auto" w:fill="auto"/>
            <w:vAlign w:val="center"/>
            <w:hideMark/>
          </w:tcPr>
          <w:p w14:paraId="5F3748D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180</w:t>
            </w:r>
          </w:p>
        </w:tc>
        <w:tc>
          <w:tcPr>
            <w:tcW w:w="1199" w:type="dxa"/>
            <w:tcBorders>
              <w:top w:val="nil"/>
              <w:left w:val="nil"/>
              <w:bottom w:val="single" w:sz="4" w:space="0" w:color="auto"/>
              <w:right w:val="single" w:sz="4" w:space="0" w:color="auto"/>
            </w:tcBorders>
            <w:shd w:val="clear" w:color="auto" w:fill="auto"/>
            <w:vAlign w:val="center"/>
            <w:hideMark/>
          </w:tcPr>
          <w:p w14:paraId="66F2FC7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184</w:t>
            </w:r>
          </w:p>
        </w:tc>
        <w:tc>
          <w:tcPr>
            <w:tcW w:w="1321" w:type="dxa"/>
            <w:tcBorders>
              <w:top w:val="nil"/>
              <w:left w:val="nil"/>
              <w:bottom w:val="single" w:sz="4" w:space="0" w:color="auto"/>
              <w:right w:val="single" w:sz="4" w:space="0" w:color="auto"/>
            </w:tcBorders>
            <w:shd w:val="clear" w:color="auto" w:fill="auto"/>
            <w:vAlign w:val="center"/>
            <w:hideMark/>
          </w:tcPr>
          <w:p w14:paraId="12CBFAD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185</w:t>
            </w:r>
          </w:p>
        </w:tc>
        <w:tc>
          <w:tcPr>
            <w:tcW w:w="1221" w:type="dxa"/>
            <w:tcBorders>
              <w:top w:val="nil"/>
              <w:left w:val="nil"/>
              <w:bottom w:val="single" w:sz="4" w:space="0" w:color="auto"/>
              <w:right w:val="single" w:sz="4" w:space="0" w:color="auto"/>
            </w:tcBorders>
            <w:shd w:val="clear" w:color="auto" w:fill="auto"/>
            <w:vAlign w:val="center"/>
            <w:hideMark/>
          </w:tcPr>
          <w:p w14:paraId="3663820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968" w:type="dxa"/>
            <w:tcBorders>
              <w:top w:val="nil"/>
              <w:left w:val="nil"/>
              <w:bottom w:val="single" w:sz="4" w:space="0" w:color="auto"/>
              <w:right w:val="single" w:sz="4" w:space="0" w:color="auto"/>
            </w:tcBorders>
            <w:shd w:val="clear" w:color="auto" w:fill="auto"/>
            <w:vAlign w:val="center"/>
            <w:hideMark/>
          </w:tcPr>
          <w:p w14:paraId="2280BBB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144</w:t>
            </w:r>
          </w:p>
        </w:tc>
        <w:tc>
          <w:tcPr>
            <w:tcW w:w="1246" w:type="dxa"/>
            <w:tcBorders>
              <w:top w:val="nil"/>
              <w:left w:val="nil"/>
              <w:bottom w:val="single" w:sz="4" w:space="0" w:color="auto"/>
              <w:right w:val="single" w:sz="4" w:space="0" w:color="auto"/>
            </w:tcBorders>
            <w:shd w:val="clear" w:color="auto" w:fill="auto"/>
            <w:vAlign w:val="center"/>
            <w:hideMark/>
          </w:tcPr>
          <w:p w14:paraId="3FADF52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488" w:type="dxa"/>
            <w:tcBorders>
              <w:top w:val="nil"/>
              <w:left w:val="nil"/>
              <w:bottom w:val="single" w:sz="4" w:space="0" w:color="auto"/>
              <w:right w:val="single" w:sz="4" w:space="0" w:color="auto"/>
            </w:tcBorders>
            <w:shd w:val="clear" w:color="auto" w:fill="auto"/>
            <w:vAlign w:val="center"/>
            <w:hideMark/>
          </w:tcPr>
          <w:p w14:paraId="0FA3CB2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1374" w:type="dxa"/>
            <w:tcBorders>
              <w:top w:val="nil"/>
              <w:left w:val="nil"/>
              <w:bottom w:val="single" w:sz="4" w:space="0" w:color="auto"/>
              <w:right w:val="single" w:sz="4" w:space="0" w:color="auto"/>
            </w:tcBorders>
            <w:shd w:val="clear" w:color="auto" w:fill="auto"/>
            <w:vAlign w:val="center"/>
            <w:hideMark/>
          </w:tcPr>
          <w:p w14:paraId="19B5E1D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164</w:t>
            </w:r>
          </w:p>
        </w:tc>
        <w:tc>
          <w:tcPr>
            <w:tcW w:w="1133" w:type="dxa"/>
            <w:tcBorders>
              <w:top w:val="nil"/>
              <w:left w:val="nil"/>
              <w:bottom w:val="single" w:sz="4" w:space="0" w:color="auto"/>
              <w:right w:val="single" w:sz="4" w:space="0" w:color="auto"/>
            </w:tcBorders>
            <w:shd w:val="clear" w:color="auto" w:fill="auto"/>
            <w:vAlign w:val="center"/>
            <w:hideMark/>
          </w:tcPr>
          <w:p w14:paraId="71A628A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183</w:t>
            </w:r>
          </w:p>
        </w:tc>
        <w:tc>
          <w:tcPr>
            <w:tcW w:w="306" w:type="dxa"/>
            <w:tcBorders>
              <w:top w:val="nil"/>
              <w:left w:val="nil"/>
              <w:bottom w:val="single" w:sz="4" w:space="0" w:color="auto"/>
              <w:right w:val="single" w:sz="4" w:space="0" w:color="auto"/>
            </w:tcBorders>
            <w:shd w:val="clear" w:color="auto" w:fill="auto"/>
            <w:vAlign w:val="center"/>
            <w:hideMark/>
          </w:tcPr>
          <w:p w14:paraId="0E71B0C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155</w:t>
            </w:r>
          </w:p>
        </w:tc>
      </w:tr>
      <w:tr w:rsidR="00BC17A3" w:rsidRPr="00A546AD" w14:paraId="6F37B17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6D6338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 xml:space="preserve">South </w:t>
            </w:r>
            <w:proofErr w:type="spellStart"/>
            <w:r w:rsidRPr="00A546AD">
              <w:rPr>
                <w:rFonts w:ascii="Times New Roman" w:eastAsia="Times New Roman" w:hAnsi="Times New Roman" w:cs="Times New Roman"/>
                <w:sz w:val="20"/>
                <w:szCs w:val="20"/>
                <w:lang w:val="ru-RU" w:eastAsia="ru-RU" w:bidi="ar-SA"/>
              </w:rPr>
              <w:t>Sudan</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28B0EDA"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184</w:t>
            </w:r>
          </w:p>
        </w:tc>
        <w:tc>
          <w:tcPr>
            <w:tcW w:w="1126" w:type="dxa"/>
            <w:tcBorders>
              <w:top w:val="nil"/>
              <w:left w:val="nil"/>
              <w:bottom w:val="single" w:sz="4" w:space="0" w:color="auto"/>
              <w:right w:val="single" w:sz="4" w:space="0" w:color="auto"/>
            </w:tcBorders>
            <w:shd w:val="clear" w:color="auto" w:fill="auto"/>
            <w:vAlign w:val="center"/>
            <w:hideMark/>
          </w:tcPr>
          <w:p w14:paraId="7BC56A5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172</w:t>
            </w:r>
          </w:p>
        </w:tc>
        <w:tc>
          <w:tcPr>
            <w:tcW w:w="1199" w:type="dxa"/>
            <w:tcBorders>
              <w:top w:val="nil"/>
              <w:left w:val="nil"/>
              <w:bottom w:val="single" w:sz="4" w:space="0" w:color="auto"/>
              <w:right w:val="single" w:sz="4" w:space="0" w:color="auto"/>
            </w:tcBorders>
            <w:shd w:val="clear" w:color="auto" w:fill="auto"/>
            <w:vAlign w:val="center"/>
            <w:hideMark/>
          </w:tcPr>
          <w:p w14:paraId="5F8D0E0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171</w:t>
            </w:r>
          </w:p>
        </w:tc>
        <w:tc>
          <w:tcPr>
            <w:tcW w:w="1321" w:type="dxa"/>
            <w:tcBorders>
              <w:top w:val="nil"/>
              <w:left w:val="nil"/>
              <w:bottom w:val="single" w:sz="4" w:space="0" w:color="auto"/>
              <w:right w:val="single" w:sz="4" w:space="0" w:color="auto"/>
            </w:tcBorders>
            <w:shd w:val="clear" w:color="auto" w:fill="auto"/>
            <w:vAlign w:val="center"/>
            <w:hideMark/>
          </w:tcPr>
          <w:p w14:paraId="415F0F0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1221" w:type="dxa"/>
            <w:tcBorders>
              <w:top w:val="nil"/>
              <w:left w:val="nil"/>
              <w:bottom w:val="single" w:sz="4" w:space="0" w:color="auto"/>
              <w:right w:val="single" w:sz="4" w:space="0" w:color="auto"/>
            </w:tcBorders>
            <w:shd w:val="clear" w:color="auto" w:fill="auto"/>
            <w:vAlign w:val="center"/>
            <w:hideMark/>
          </w:tcPr>
          <w:p w14:paraId="76CFA6F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177</w:t>
            </w:r>
          </w:p>
        </w:tc>
        <w:tc>
          <w:tcPr>
            <w:tcW w:w="968" w:type="dxa"/>
            <w:tcBorders>
              <w:top w:val="nil"/>
              <w:left w:val="nil"/>
              <w:bottom w:val="single" w:sz="4" w:space="0" w:color="auto"/>
              <w:right w:val="single" w:sz="4" w:space="0" w:color="auto"/>
            </w:tcBorders>
            <w:shd w:val="clear" w:color="auto" w:fill="auto"/>
            <w:vAlign w:val="center"/>
            <w:hideMark/>
          </w:tcPr>
          <w:p w14:paraId="1745AA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181</w:t>
            </w:r>
          </w:p>
        </w:tc>
        <w:tc>
          <w:tcPr>
            <w:tcW w:w="1246" w:type="dxa"/>
            <w:tcBorders>
              <w:top w:val="nil"/>
              <w:left w:val="nil"/>
              <w:bottom w:val="single" w:sz="4" w:space="0" w:color="auto"/>
              <w:right w:val="single" w:sz="4" w:space="0" w:color="auto"/>
            </w:tcBorders>
            <w:shd w:val="clear" w:color="auto" w:fill="auto"/>
            <w:vAlign w:val="center"/>
            <w:hideMark/>
          </w:tcPr>
          <w:p w14:paraId="669F373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185</w:t>
            </w:r>
          </w:p>
        </w:tc>
        <w:tc>
          <w:tcPr>
            <w:tcW w:w="1488" w:type="dxa"/>
            <w:tcBorders>
              <w:top w:val="nil"/>
              <w:left w:val="nil"/>
              <w:bottom w:val="single" w:sz="4" w:space="0" w:color="auto"/>
              <w:right w:val="single" w:sz="4" w:space="0" w:color="auto"/>
            </w:tcBorders>
            <w:shd w:val="clear" w:color="auto" w:fill="auto"/>
            <w:vAlign w:val="center"/>
            <w:hideMark/>
          </w:tcPr>
          <w:p w14:paraId="0516779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74</w:t>
            </w:r>
          </w:p>
        </w:tc>
        <w:tc>
          <w:tcPr>
            <w:tcW w:w="1374" w:type="dxa"/>
            <w:tcBorders>
              <w:top w:val="nil"/>
              <w:left w:val="nil"/>
              <w:bottom w:val="single" w:sz="4" w:space="0" w:color="auto"/>
              <w:right w:val="single" w:sz="4" w:space="0" w:color="auto"/>
            </w:tcBorders>
            <w:shd w:val="clear" w:color="auto" w:fill="auto"/>
            <w:vAlign w:val="center"/>
            <w:hideMark/>
          </w:tcPr>
          <w:p w14:paraId="49F7060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180</w:t>
            </w:r>
          </w:p>
        </w:tc>
        <w:tc>
          <w:tcPr>
            <w:tcW w:w="1133" w:type="dxa"/>
            <w:tcBorders>
              <w:top w:val="nil"/>
              <w:left w:val="nil"/>
              <w:bottom w:val="single" w:sz="4" w:space="0" w:color="auto"/>
              <w:right w:val="single" w:sz="4" w:space="0" w:color="auto"/>
            </w:tcBorders>
            <w:shd w:val="clear" w:color="auto" w:fill="auto"/>
            <w:vAlign w:val="center"/>
            <w:hideMark/>
          </w:tcPr>
          <w:p w14:paraId="24AEB4B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84</w:t>
            </w:r>
          </w:p>
        </w:tc>
        <w:tc>
          <w:tcPr>
            <w:tcW w:w="306" w:type="dxa"/>
            <w:tcBorders>
              <w:top w:val="nil"/>
              <w:left w:val="nil"/>
              <w:bottom w:val="single" w:sz="4" w:space="0" w:color="auto"/>
              <w:right w:val="single" w:sz="4" w:space="0" w:color="auto"/>
            </w:tcBorders>
            <w:shd w:val="clear" w:color="auto" w:fill="auto"/>
            <w:vAlign w:val="center"/>
            <w:hideMark/>
          </w:tcPr>
          <w:p w14:paraId="5D570A6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6ECEA525"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69F1E9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Libya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61650E92"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185</w:t>
            </w:r>
          </w:p>
        </w:tc>
        <w:tc>
          <w:tcPr>
            <w:tcW w:w="1126" w:type="dxa"/>
            <w:tcBorders>
              <w:top w:val="nil"/>
              <w:left w:val="nil"/>
              <w:bottom w:val="single" w:sz="4" w:space="0" w:color="auto"/>
              <w:right w:val="single" w:sz="4" w:space="0" w:color="auto"/>
            </w:tcBorders>
            <w:shd w:val="clear" w:color="auto" w:fill="auto"/>
            <w:vAlign w:val="center"/>
            <w:hideMark/>
          </w:tcPr>
          <w:p w14:paraId="7CECEC1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164</w:t>
            </w:r>
          </w:p>
        </w:tc>
        <w:tc>
          <w:tcPr>
            <w:tcW w:w="1199" w:type="dxa"/>
            <w:tcBorders>
              <w:top w:val="nil"/>
              <w:left w:val="nil"/>
              <w:bottom w:val="single" w:sz="4" w:space="0" w:color="auto"/>
              <w:right w:val="single" w:sz="4" w:space="0" w:color="auto"/>
            </w:tcBorders>
            <w:shd w:val="clear" w:color="auto" w:fill="auto"/>
            <w:vAlign w:val="center"/>
            <w:hideMark/>
          </w:tcPr>
          <w:p w14:paraId="28298A7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321" w:type="dxa"/>
            <w:tcBorders>
              <w:top w:val="nil"/>
              <w:left w:val="nil"/>
              <w:bottom w:val="single" w:sz="4" w:space="0" w:color="auto"/>
              <w:right w:val="single" w:sz="4" w:space="0" w:color="auto"/>
            </w:tcBorders>
            <w:shd w:val="clear" w:color="auto" w:fill="auto"/>
            <w:vAlign w:val="center"/>
            <w:hideMark/>
          </w:tcPr>
          <w:p w14:paraId="5CB1D0E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142</w:t>
            </w:r>
          </w:p>
        </w:tc>
        <w:tc>
          <w:tcPr>
            <w:tcW w:w="1221" w:type="dxa"/>
            <w:tcBorders>
              <w:top w:val="nil"/>
              <w:left w:val="nil"/>
              <w:bottom w:val="single" w:sz="4" w:space="0" w:color="auto"/>
              <w:right w:val="single" w:sz="4" w:space="0" w:color="auto"/>
            </w:tcBorders>
            <w:shd w:val="clear" w:color="auto" w:fill="auto"/>
            <w:vAlign w:val="center"/>
            <w:hideMark/>
          </w:tcPr>
          <w:p w14:paraId="2CA8B17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968" w:type="dxa"/>
            <w:tcBorders>
              <w:top w:val="nil"/>
              <w:left w:val="nil"/>
              <w:bottom w:val="single" w:sz="4" w:space="0" w:color="auto"/>
              <w:right w:val="single" w:sz="4" w:space="0" w:color="auto"/>
            </w:tcBorders>
            <w:shd w:val="clear" w:color="auto" w:fill="auto"/>
            <w:vAlign w:val="center"/>
            <w:hideMark/>
          </w:tcPr>
          <w:p w14:paraId="5EAD2A3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246" w:type="dxa"/>
            <w:tcBorders>
              <w:top w:val="nil"/>
              <w:left w:val="nil"/>
              <w:bottom w:val="single" w:sz="4" w:space="0" w:color="auto"/>
              <w:right w:val="single" w:sz="4" w:space="0" w:color="auto"/>
            </w:tcBorders>
            <w:shd w:val="clear" w:color="auto" w:fill="auto"/>
            <w:vAlign w:val="center"/>
            <w:hideMark/>
          </w:tcPr>
          <w:p w14:paraId="3439C08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183</w:t>
            </w:r>
          </w:p>
        </w:tc>
        <w:tc>
          <w:tcPr>
            <w:tcW w:w="1488" w:type="dxa"/>
            <w:tcBorders>
              <w:top w:val="nil"/>
              <w:left w:val="nil"/>
              <w:bottom w:val="single" w:sz="4" w:space="0" w:color="auto"/>
              <w:right w:val="single" w:sz="4" w:space="0" w:color="auto"/>
            </w:tcBorders>
            <w:shd w:val="clear" w:color="auto" w:fill="auto"/>
            <w:vAlign w:val="center"/>
            <w:hideMark/>
          </w:tcPr>
          <w:p w14:paraId="269C8DA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130</w:t>
            </w:r>
          </w:p>
        </w:tc>
        <w:tc>
          <w:tcPr>
            <w:tcW w:w="1374" w:type="dxa"/>
            <w:tcBorders>
              <w:top w:val="nil"/>
              <w:left w:val="nil"/>
              <w:bottom w:val="single" w:sz="4" w:space="0" w:color="auto"/>
              <w:right w:val="single" w:sz="4" w:space="0" w:color="auto"/>
            </w:tcBorders>
            <w:shd w:val="clear" w:color="auto" w:fill="auto"/>
            <w:vAlign w:val="center"/>
            <w:hideMark/>
          </w:tcPr>
          <w:p w14:paraId="5EF334D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129</w:t>
            </w:r>
          </w:p>
        </w:tc>
        <w:tc>
          <w:tcPr>
            <w:tcW w:w="1133" w:type="dxa"/>
            <w:tcBorders>
              <w:top w:val="nil"/>
              <w:left w:val="nil"/>
              <w:bottom w:val="single" w:sz="4" w:space="0" w:color="auto"/>
              <w:right w:val="single" w:sz="4" w:space="0" w:color="auto"/>
            </w:tcBorders>
            <w:shd w:val="clear" w:color="auto" w:fill="auto"/>
            <w:vAlign w:val="center"/>
            <w:hideMark/>
          </w:tcPr>
          <w:p w14:paraId="333F92B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145</w:t>
            </w:r>
          </w:p>
        </w:tc>
        <w:tc>
          <w:tcPr>
            <w:tcW w:w="306" w:type="dxa"/>
            <w:tcBorders>
              <w:top w:val="nil"/>
              <w:left w:val="nil"/>
              <w:bottom w:val="single" w:sz="4" w:space="0" w:color="auto"/>
              <w:right w:val="single" w:sz="4" w:space="0" w:color="auto"/>
            </w:tcBorders>
            <w:shd w:val="clear" w:color="auto" w:fill="auto"/>
            <w:vAlign w:val="center"/>
            <w:hideMark/>
          </w:tcPr>
          <w:p w14:paraId="28EB880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40057222"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08A2818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Yemen</w:t>
            </w:r>
            <w:proofErr w:type="spellEnd"/>
            <w:r w:rsidRPr="00A546AD">
              <w:rPr>
                <w:rFonts w:ascii="Times New Roman" w:eastAsia="Times New Roman" w:hAnsi="Times New Roman" w:cs="Times New Roman"/>
                <w:sz w:val="20"/>
                <w:szCs w:val="20"/>
                <w:lang w:val="ru-RU" w:eastAsia="ru-RU" w:bidi="ar-SA"/>
              </w:rPr>
              <w:t xml:space="preserve">, </w:t>
            </w:r>
            <w:proofErr w:type="spellStart"/>
            <w:r w:rsidRPr="00A546AD">
              <w:rPr>
                <w:rFonts w:ascii="Times New Roman" w:eastAsia="Times New Roman" w:hAnsi="Times New Roman" w:cs="Times New Roman"/>
                <w:sz w:val="20"/>
                <w:szCs w:val="20"/>
                <w:lang w:val="ru-RU" w:eastAsia="ru-RU" w:bidi="ar-SA"/>
              </w:rPr>
              <w:t>Rep</w:t>
            </w:r>
            <w:proofErr w:type="spellEnd"/>
            <w:r w:rsidRPr="00A546AD">
              <w:rPr>
                <w:rFonts w:ascii="Times New Roman" w:eastAsia="Times New Roman" w:hAnsi="Times New Roman" w:cs="Times New Roman"/>
                <w:sz w:val="20"/>
                <w:szCs w:val="20"/>
                <w:lang w:val="ru-RU" w:eastAsia="ru-RU" w:bidi="ar-SA"/>
              </w:rPr>
              <w:t>.</w:t>
            </w:r>
          </w:p>
        </w:tc>
        <w:tc>
          <w:tcPr>
            <w:tcW w:w="802" w:type="dxa"/>
            <w:tcBorders>
              <w:top w:val="nil"/>
              <w:left w:val="nil"/>
              <w:bottom w:val="single" w:sz="4" w:space="0" w:color="auto"/>
              <w:right w:val="single" w:sz="4" w:space="0" w:color="auto"/>
            </w:tcBorders>
            <w:shd w:val="clear" w:color="auto" w:fill="auto"/>
            <w:vAlign w:val="center"/>
            <w:hideMark/>
          </w:tcPr>
          <w:p w14:paraId="5D4F6F3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186</w:t>
            </w:r>
          </w:p>
        </w:tc>
        <w:tc>
          <w:tcPr>
            <w:tcW w:w="1126" w:type="dxa"/>
            <w:tcBorders>
              <w:top w:val="nil"/>
              <w:left w:val="nil"/>
              <w:bottom w:val="single" w:sz="4" w:space="0" w:color="auto"/>
              <w:right w:val="single" w:sz="4" w:space="0" w:color="auto"/>
            </w:tcBorders>
            <w:shd w:val="clear" w:color="auto" w:fill="auto"/>
            <w:vAlign w:val="center"/>
            <w:hideMark/>
          </w:tcPr>
          <w:p w14:paraId="4B6A1E5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156</w:t>
            </w:r>
          </w:p>
        </w:tc>
        <w:tc>
          <w:tcPr>
            <w:tcW w:w="1199" w:type="dxa"/>
            <w:tcBorders>
              <w:top w:val="nil"/>
              <w:left w:val="nil"/>
              <w:bottom w:val="single" w:sz="4" w:space="0" w:color="auto"/>
              <w:right w:val="single" w:sz="4" w:space="0" w:color="auto"/>
            </w:tcBorders>
            <w:shd w:val="clear" w:color="auto" w:fill="auto"/>
            <w:vAlign w:val="center"/>
            <w:hideMark/>
          </w:tcPr>
          <w:p w14:paraId="4119F00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321" w:type="dxa"/>
            <w:tcBorders>
              <w:top w:val="nil"/>
              <w:left w:val="nil"/>
              <w:bottom w:val="single" w:sz="4" w:space="0" w:color="auto"/>
              <w:right w:val="single" w:sz="4" w:space="0" w:color="auto"/>
            </w:tcBorders>
            <w:shd w:val="clear" w:color="auto" w:fill="auto"/>
            <w:vAlign w:val="center"/>
            <w:hideMark/>
          </w:tcPr>
          <w:p w14:paraId="1B19236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1221" w:type="dxa"/>
            <w:tcBorders>
              <w:top w:val="nil"/>
              <w:left w:val="nil"/>
              <w:bottom w:val="single" w:sz="4" w:space="0" w:color="auto"/>
              <w:right w:val="single" w:sz="4" w:space="0" w:color="auto"/>
            </w:tcBorders>
            <w:shd w:val="clear" w:color="auto" w:fill="auto"/>
            <w:vAlign w:val="center"/>
            <w:hideMark/>
          </w:tcPr>
          <w:p w14:paraId="2E6F82A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86</w:t>
            </w:r>
          </w:p>
        </w:tc>
        <w:tc>
          <w:tcPr>
            <w:tcW w:w="968" w:type="dxa"/>
            <w:tcBorders>
              <w:top w:val="nil"/>
              <w:left w:val="nil"/>
              <w:bottom w:val="single" w:sz="4" w:space="0" w:color="auto"/>
              <w:right w:val="single" w:sz="4" w:space="0" w:color="auto"/>
            </w:tcBorders>
            <w:shd w:val="clear" w:color="auto" w:fill="auto"/>
            <w:vAlign w:val="center"/>
            <w:hideMark/>
          </w:tcPr>
          <w:p w14:paraId="06F50E6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246" w:type="dxa"/>
            <w:tcBorders>
              <w:top w:val="nil"/>
              <w:left w:val="nil"/>
              <w:bottom w:val="single" w:sz="4" w:space="0" w:color="auto"/>
              <w:right w:val="single" w:sz="4" w:space="0" w:color="auto"/>
            </w:tcBorders>
            <w:shd w:val="clear" w:color="auto" w:fill="auto"/>
            <w:vAlign w:val="center"/>
            <w:hideMark/>
          </w:tcPr>
          <w:p w14:paraId="023639F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162</w:t>
            </w:r>
          </w:p>
        </w:tc>
        <w:tc>
          <w:tcPr>
            <w:tcW w:w="1488" w:type="dxa"/>
            <w:tcBorders>
              <w:top w:val="nil"/>
              <w:left w:val="nil"/>
              <w:bottom w:val="single" w:sz="4" w:space="0" w:color="auto"/>
              <w:right w:val="single" w:sz="4" w:space="0" w:color="auto"/>
            </w:tcBorders>
            <w:shd w:val="clear" w:color="auto" w:fill="auto"/>
            <w:vAlign w:val="center"/>
            <w:hideMark/>
          </w:tcPr>
          <w:p w14:paraId="7559B90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89</w:t>
            </w:r>
          </w:p>
        </w:tc>
        <w:tc>
          <w:tcPr>
            <w:tcW w:w="1374" w:type="dxa"/>
            <w:tcBorders>
              <w:top w:val="nil"/>
              <w:left w:val="nil"/>
              <w:bottom w:val="single" w:sz="4" w:space="0" w:color="auto"/>
              <w:right w:val="single" w:sz="4" w:space="0" w:color="auto"/>
            </w:tcBorders>
            <w:shd w:val="clear" w:color="auto" w:fill="auto"/>
            <w:vAlign w:val="center"/>
            <w:hideMark/>
          </w:tcPr>
          <w:p w14:paraId="0E1D142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188</w:t>
            </w:r>
          </w:p>
        </w:tc>
        <w:tc>
          <w:tcPr>
            <w:tcW w:w="1133" w:type="dxa"/>
            <w:tcBorders>
              <w:top w:val="nil"/>
              <w:left w:val="nil"/>
              <w:bottom w:val="single" w:sz="4" w:space="0" w:color="auto"/>
              <w:right w:val="single" w:sz="4" w:space="0" w:color="auto"/>
            </w:tcBorders>
            <w:shd w:val="clear" w:color="auto" w:fill="auto"/>
            <w:vAlign w:val="center"/>
            <w:hideMark/>
          </w:tcPr>
          <w:p w14:paraId="0C9AB9E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143</w:t>
            </w:r>
          </w:p>
        </w:tc>
        <w:tc>
          <w:tcPr>
            <w:tcW w:w="306" w:type="dxa"/>
            <w:tcBorders>
              <w:top w:val="nil"/>
              <w:left w:val="nil"/>
              <w:bottom w:val="single" w:sz="4" w:space="0" w:color="auto"/>
              <w:right w:val="single" w:sz="4" w:space="0" w:color="auto"/>
            </w:tcBorders>
            <w:shd w:val="clear" w:color="auto" w:fill="auto"/>
            <w:vAlign w:val="center"/>
            <w:hideMark/>
          </w:tcPr>
          <w:p w14:paraId="26DB241F"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159</w:t>
            </w:r>
          </w:p>
        </w:tc>
      </w:tr>
      <w:tr w:rsidR="00BC17A3" w:rsidRPr="00A546AD" w14:paraId="1E3F32E1"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2BF85706"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Venezuela</w:t>
            </w:r>
            <w:proofErr w:type="spellEnd"/>
            <w:r w:rsidRPr="00A546AD">
              <w:rPr>
                <w:rFonts w:ascii="Times New Roman" w:eastAsia="Times New Roman" w:hAnsi="Times New Roman" w:cs="Times New Roman"/>
                <w:sz w:val="20"/>
                <w:szCs w:val="20"/>
                <w:lang w:val="ru-RU" w:eastAsia="ru-RU" w:bidi="ar-SA"/>
              </w:rPr>
              <w:t>, RB</w:t>
            </w:r>
          </w:p>
        </w:tc>
        <w:tc>
          <w:tcPr>
            <w:tcW w:w="802" w:type="dxa"/>
            <w:tcBorders>
              <w:top w:val="nil"/>
              <w:left w:val="nil"/>
              <w:bottom w:val="single" w:sz="4" w:space="0" w:color="auto"/>
              <w:right w:val="single" w:sz="4" w:space="0" w:color="auto"/>
            </w:tcBorders>
            <w:shd w:val="clear" w:color="auto" w:fill="auto"/>
            <w:vAlign w:val="center"/>
            <w:hideMark/>
          </w:tcPr>
          <w:p w14:paraId="712F3E65"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187</w:t>
            </w:r>
          </w:p>
        </w:tc>
        <w:tc>
          <w:tcPr>
            <w:tcW w:w="1126" w:type="dxa"/>
            <w:tcBorders>
              <w:top w:val="nil"/>
              <w:left w:val="nil"/>
              <w:bottom w:val="single" w:sz="4" w:space="0" w:color="auto"/>
              <w:right w:val="single" w:sz="4" w:space="0" w:color="auto"/>
            </w:tcBorders>
            <w:shd w:val="clear" w:color="auto" w:fill="auto"/>
            <w:vAlign w:val="center"/>
            <w:hideMark/>
          </w:tcPr>
          <w:p w14:paraId="3C7991E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190</w:t>
            </w:r>
          </w:p>
        </w:tc>
        <w:tc>
          <w:tcPr>
            <w:tcW w:w="1199" w:type="dxa"/>
            <w:tcBorders>
              <w:top w:val="nil"/>
              <w:left w:val="nil"/>
              <w:bottom w:val="single" w:sz="4" w:space="0" w:color="auto"/>
              <w:right w:val="single" w:sz="4" w:space="0" w:color="auto"/>
            </w:tcBorders>
            <w:shd w:val="clear" w:color="auto" w:fill="auto"/>
            <w:vAlign w:val="center"/>
            <w:hideMark/>
          </w:tcPr>
          <w:p w14:paraId="1EDEB29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175</w:t>
            </w:r>
          </w:p>
        </w:tc>
        <w:tc>
          <w:tcPr>
            <w:tcW w:w="1321" w:type="dxa"/>
            <w:tcBorders>
              <w:top w:val="nil"/>
              <w:left w:val="nil"/>
              <w:bottom w:val="single" w:sz="4" w:space="0" w:color="auto"/>
              <w:right w:val="single" w:sz="4" w:space="0" w:color="auto"/>
            </w:tcBorders>
            <w:shd w:val="clear" w:color="auto" w:fill="auto"/>
            <w:vAlign w:val="center"/>
            <w:hideMark/>
          </w:tcPr>
          <w:p w14:paraId="60753D3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174</w:t>
            </w:r>
          </w:p>
        </w:tc>
        <w:tc>
          <w:tcPr>
            <w:tcW w:w="1221" w:type="dxa"/>
            <w:tcBorders>
              <w:top w:val="nil"/>
              <w:left w:val="nil"/>
              <w:bottom w:val="single" w:sz="4" w:space="0" w:color="auto"/>
              <w:right w:val="single" w:sz="4" w:space="0" w:color="auto"/>
            </w:tcBorders>
            <w:shd w:val="clear" w:color="auto" w:fill="auto"/>
            <w:vAlign w:val="center"/>
            <w:hideMark/>
          </w:tcPr>
          <w:p w14:paraId="0CBB41D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145</w:t>
            </w:r>
          </w:p>
        </w:tc>
        <w:tc>
          <w:tcPr>
            <w:tcW w:w="968" w:type="dxa"/>
            <w:tcBorders>
              <w:top w:val="nil"/>
              <w:left w:val="nil"/>
              <w:bottom w:val="single" w:sz="4" w:space="0" w:color="auto"/>
              <w:right w:val="single" w:sz="4" w:space="0" w:color="auto"/>
            </w:tcBorders>
            <w:shd w:val="clear" w:color="auto" w:fill="auto"/>
            <w:vAlign w:val="center"/>
            <w:hideMark/>
          </w:tcPr>
          <w:p w14:paraId="06D90E61"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132</w:t>
            </w:r>
          </w:p>
        </w:tc>
        <w:tc>
          <w:tcPr>
            <w:tcW w:w="1246" w:type="dxa"/>
            <w:tcBorders>
              <w:top w:val="nil"/>
              <w:left w:val="nil"/>
              <w:bottom w:val="single" w:sz="4" w:space="0" w:color="auto"/>
              <w:right w:val="single" w:sz="4" w:space="0" w:color="auto"/>
            </w:tcBorders>
            <w:shd w:val="clear" w:color="auto" w:fill="auto"/>
            <w:vAlign w:val="center"/>
            <w:hideMark/>
          </w:tcPr>
          <w:p w14:paraId="500940B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170</w:t>
            </w:r>
          </w:p>
        </w:tc>
        <w:tc>
          <w:tcPr>
            <w:tcW w:w="1488" w:type="dxa"/>
            <w:tcBorders>
              <w:top w:val="nil"/>
              <w:left w:val="nil"/>
              <w:bottom w:val="single" w:sz="4" w:space="0" w:color="auto"/>
              <w:right w:val="single" w:sz="4" w:space="0" w:color="auto"/>
            </w:tcBorders>
            <w:shd w:val="clear" w:color="auto" w:fill="auto"/>
            <w:vAlign w:val="center"/>
            <w:hideMark/>
          </w:tcPr>
          <w:p w14:paraId="0E05273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189</w:t>
            </w:r>
          </w:p>
        </w:tc>
        <w:tc>
          <w:tcPr>
            <w:tcW w:w="1374" w:type="dxa"/>
            <w:tcBorders>
              <w:top w:val="nil"/>
              <w:left w:val="nil"/>
              <w:bottom w:val="single" w:sz="4" w:space="0" w:color="auto"/>
              <w:right w:val="single" w:sz="4" w:space="0" w:color="auto"/>
            </w:tcBorders>
            <w:shd w:val="clear" w:color="auto" w:fill="auto"/>
            <w:vAlign w:val="center"/>
            <w:hideMark/>
          </w:tcPr>
          <w:p w14:paraId="76BD53C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188</w:t>
            </w:r>
          </w:p>
        </w:tc>
        <w:tc>
          <w:tcPr>
            <w:tcW w:w="1133" w:type="dxa"/>
            <w:tcBorders>
              <w:top w:val="nil"/>
              <w:left w:val="nil"/>
              <w:bottom w:val="single" w:sz="4" w:space="0" w:color="auto"/>
              <w:right w:val="single" w:sz="4" w:space="0" w:color="auto"/>
            </w:tcBorders>
            <w:shd w:val="clear" w:color="auto" w:fill="auto"/>
            <w:vAlign w:val="center"/>
            <w:hideMark/>
          </w:tcPr>
          <w:p w14:paraId="5844A08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150</w:t>
            </w:r>
          </w:p>
        </w:tc>
        <w:tc>
          <w:tcPr>
            <w:tcW w:w="306" w:type="dxa"/>
            <w:tcBorders>
              <w:top w:val="nil"/>
              <w:left w:val="nil"/>
              <w:bottom w:val="single" w:sz="4" w:space="0" w:color="auto"/>
              <w:right w:val="single" w:sz="4" w:space="0" w:color="auto"/>
            </w:tcBorders>
            <w:shd w:val="clear" w:color="auto" w:fill="auto"/>
            <w:vAlign w:val="center"/>
            <w:hideMark/>
          </w:tcPr>
          <w:p w14:paraId="5BCE8E8A"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165</w:t>
            </w:r>
          </w:p>
        </w:tc>
      </w:tr>
      <w:tr w:rsidR="00BC17A3" w:rsidRPr="00A546AD" w14:paraId="0523F352"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798FA70B"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Eritrea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170851E0"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188</w:t>
            </w:r>
          </w:p>
        </w:tc>
        <w:tc>
          <w:tcPr>
            <w:tcW w:w="1126" w:type="dxa"/>
            <w:tcBorders>
              <w:top w:val="nil"/>
              <w:left w:val="nil"/>
              <w:bottom w:val="single" w:sz="4" w:space="0" w:color="auto"/>
              <w:right w:val="single" w:sz="4" w:space="0" w:color="auto"/>
            </w:tcBorders>
            <w:shd w:val="clear" w:color="auto" w:fill="auto"/>
            <w:vAlign w:val="center"/>
            <w:hideMark/>
          </w:tcPr>
          <w:p w14:paraId="3539C20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185</w:t>
            </w:r>
          </w:p>
        </w:tc>
        <w:tc>
          <w:tcPr>
            <w:tcW w:w="1199" w:type="dxa"/>
            <w:tcBorders>
              <w:top w:val="nil"/>
              <w:left w:val="nil"/>
              <w:bottom w:val="single" w:sz="4" w:space="0" w:color="auto"/>
              <w:right w:val="single" w:sz="4" w:space="0" w:color="auto"/>
            </w:tcBorders>
            <w:shd w:val="clear" w:color="auto" w:fill="auto"/>
            <w:vAlign w:val="center"/>
            <w:hideMark/>
          </w:tcPr>
          <w:p w14:paraId="03D5ADF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321" w:type="dxa"/>
            <w:tcBorders>
              <w:top w:val="nil"/>
              <w:left w:val="nil"/>
              <w:bottom w:val="single" w:sz="4" w:space="0" w:color="auto"/>
              <w:right w:val="single" w:sz="4" w:space="0" w:color="auto"/>
            </w:tcBorders>
            <w:shd w:val="clear" w:color="auto" w:fill="auto"/>
            <w:vAlign w:val="center"/>
            <w:hideMark/>
          </w:tcPr>
          <w:p w14:paraId="377E7B6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1221" w:type="dxa"/>
            <w:tcBorders>
              <w:top w:val="nil"/>
              <w:left w:val="nil"/>
              <w:bottom w:val="single" w:sz="4" w:space="0" w:color="auto"/>
              <w:right w:val="single" w:sz="4" w:space="0" w:color="auto"/>
            </w:tcBorders>
            <w:shd w:val="clear" w:color="auto" w:fill="auto"/>
            <w:vAlign w:val="center"/>
            <w:hideMark/>
          </w:tcPr>
          <w:p w14:paraId="0A51B0A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178</w:t>
            </w:r>
          </w:p>
        </w:tc>
        <w:tc>
          <w:tcPr>
            <w:tcW w:w="968" w:type="dxa"/>
            <w:tcBorders>
              <w:top w:val="nil"/>
              <w:left w:val="nil"/>
              <w:bottom w:val="single" w:sz="4" w:space="0" w:color="auto"/>
              <w:right w:val="single" w:sz="4" w:space="0" w:color="auto"/>
            </w:tcBorders>
            <w:shd w:val="clear" w:color="auto" w:fill="auto"/>
            <w:vAlign w:val="center"/>
            <w:hideMark/>
          </w:tcPr>
          <w:p w14:paraId="7AF2EF60"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246" w:type="dxa"/>
            <w:tcBorders>
              <w:top w:val="nil"/>
              <w:left w:val="nil"/>
              <w:bottom w:val="single" w:sz="4" w:space="0" w:color="auto"/>
              <w:right w:val="single" w:sz="4" w:space="0" w:color="auto"/>
            </w:tcBorders>
            <w:shd w:val="clear" w:color="auto" w:fill="auto"/>
            <w:vAlign w:val="center"/>
            <w:hideMark/>
          </w:tcPr>
          <w:p w14:paraId="54D6279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185</w:t>
            </w:r>
          </w:p>
        </w:tc>
        <w:tc>
          <w:tcPr>
            <w:tcW w:w="1488" w:type="dxa"/>
            <w:tcBorders>
              <w:top w:val="nil"/>
              <w:left w:val="nil"/>
              <w:bottom w:val="single" w:sz="4" w:space="0" w:color="auto"/>
              <w:right w:val="single" w:sz="4" w:space="0" w:color="auto"/>
            </w:tcBorders>
            <w:shd w:val="clear" w:color="auto" w:fill="auto"/>
            <w:vAlign w:val="center"/>
            <w:hideMark/>
          </w:tcPr>
          <w:p w14:paraId="36BAA80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c>
          <w:tcPr>
            <w:tcW w:w="1374" w:type="dxa"/>
            <w:tcBorders>
              <w:top w:val="nil"/>
              <w:left w:val="nil"/>
              <w:bottom w:val="single" w:sz="4" w:space="0" w:color="auto"/>
              <w:right w:val="single" w:sz="4" w:space="0" w:color="auto"/>
            </w:tcBorders>
            <w:shd w:val="clear" w:color="auto" w:fill="auto"/>
            <w:vAlign w:val="center"/>
            <w:hideMark/>
          </w:tcPr>
          <w:p w14:paraId="31CDB16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188</w:t>
            </w:r>
          </w:p>
        </w:tc>
        <w:tc>
          <w:tcPr>
            <w:tcW w:w="1133" w:type="dxa"/>
            <w:tcBorders>
              <w:top w:val="nil"/>
              <w:left w:val="nil"/>
              <w:bottom w:val="single" w:sz="4" w:space="0" w:color="auto"/>
              <w:right w:val="single" w:sz="4" w:space="0" w:color="auto"/>
            </w:tcBorders>
            <w:shd w:val="clear" w:color="auto" w:fill="auto"/>
            <w:vAlign w:val="center"/>
            <w:hideMark/>
          </w:tcPr>
          <w:p w14:paraId="3B1C46A4"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107</w:t>
            </w:r>
          </w:p>
        </w:tc>
        <w:tc>
          <w:tcPr>
            <w:tcW w:w="306" w:type="dxa"/>
            <w:tcBorders>
              <w:top w:val="nil"/>
              <w:left w:val="nil"/>
              <w:bottom w:val="single" w:sz="4" w:space="0" w:color="auto"/>
              <w:right w:val="single" w:sz="4" w:space="0" w:color="auto"/>
            </w:tcBorders>
            <w:shd w:val="clear" w:color="auto" w:fill="auto"/>
            <w:vAlign w:val="center"/>
            <w:hideMark/>
          </w:tcPr>
          <w:p w14:paraId="46CEC337"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r w:rsidR="00BC17A3" w:rsidRPr="00A546AD" w14:paraId="29667CCF" w14:textId="77777777" w:rsidTr="00A546AD">
        <w:trPr>
          <w:trHeight w:val="300"/>
        </w:trPr>
        <w:tc>
          <w:tcPr>
            <w:tcW w:w="1278" w:type="dxa"/>
            <w:tcBorders>
              <w:top w:val="nil"/>
              <w:left w:val="single" w:sz="4" w:space="0" w:color="auto"/>
              <w:bottom w:val="single" w:sz="4" w:space="0" w:color="auto"/>
              <w:right w:val="single" w:sz="4" w:space="0" w:color="auto"/>
            </w:tcBorders>
            <w:shd w:val="clear" w:color="auto" w:fill="auto"/>
            <w:noWrap/>
            <w:vAlign w:val="center"/>
            <w:hideMark/>
          </w:tcPr>
          <w:p w14:paraId="4F3A3833"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proofErr w:type="spellStart"/>
            <w:r w:rsidRPr="00A546AD">
              <w:rPr>
                <w:rFonts w:ascii="Times New Roman" w:eastAsia="Times New Roman" w:hAnsi="Times New Roman" w:cs="Times New Roman"/>
                <w:sz w:val="20"/>
                <w:szCs w:val="20"/>
                <w:lang w:val="ru-RU" w:eastAsia="ru-RU" w:bidi="ar-SA"/>
              </w:rPr>
              <w:t>Somalia</w:t>
            </w:r>
            <w:proofErr w:type="spellEnd"/>
          </w:p>
        </w:tc>
        <w:tc>
          <w:tcPr>
            <w:tcW w:w="802" w:type="dxa"/>
            <w:tcBorders>
              <w:top w:val="nil"/>
              <w:left w:val="nil"/>
              <w:bottom w:val="single" w:sz="4" w:space="0" w:color="auto"/>
              <w:right w:val="single" w:sz="4" w:space="0" w:color="auto"/>
            </w:tcBorders>
            <w:shd w:val="clear" w:color="auto" w:fill="auto"/>
            <w:vAlign w:val="center"/>
            <w:hideMark/>
          </w:tcPr>
          <w:p w14:paraId="078AEB33" w14:textId="77777777" w:rsidR="00BC17A3" w:rsidRPr="00A546AD" w:rsidRDefault="00BC17A3" w:rsidP="00A546AD">
            <w:pPr>
              <w:spacing w:after="0" w:line="240" w:lineRule="auto"/>
              <w:jc w:val="center"/>
              <w:rPr>
                <w:rFonts w:ascii="Times New Roman" w:eastAsia="Times New Roman" w:hAnsi="Times New Roman" w:cs="Times New Roman"/>
                <w:color w:val="000000"/>
                <w:sz w:val="20"/>
                <w:szCs w:val="20"/>
                <w:lang w:val="ru-RU" w:eastAsia="ru-RU" w:bidi="ar-SA"/>
              </w:rPr>
            </w:pPr>
            <w:r w:rsidRPr="00A546AD">
              <w:rPr>
                <w:rFonts w:ascii="Times New Roman" w:eastAsia="Times New Roman" w:hAnsi="Times New Roman" w:cs="Times New Roman"/>
                <w:color w:val="000000"/>
                <w:sz w:val="20"/>
                <w:szCs w:val="20"/>
                <w:lang w:val="ru-RU" w:eastAsia="ru-RU" w:bidi="ar-SA"/>
              </w:rPr>
              <w:t>189</w:t>
            </w:r>
          </w:p>
        </w:tc>
        <w:tc>
          <w:tcPr>
            <w:tcW w:w="1126" w:type="dxa"/>
            <w:tcBorders>
              <w:top w:val="nil"/>
              <w:left w:val="nil"/>
              <w:bottom w:val="single" w:sz="4" w:space="0" w:color="auto"/>
              <w:right w:val="single" w:sz="4" w:space="0" w:color="auto"/>
            </w:tcBorders>
            <w:shd w:val="clear" w:color="auto" w:fill="auto"/>
            <w:vAlign w:val="center"/>
            <w:hideMark/>
          </w:tcPr>
          <w:p w14:paraId="776DC1DD"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188</w:t>
            </w:r>
          </w:p>
        </w:tc>
        <w:tc>
          <w:tcPr>
            <w:tcW w:w="1199" w:type="dxa"/>
            <w:tcBorders>
              <w:top w:val="nil"/>
              <w:left w:val="nil"/>
              <w:bottom w:val="single" w:sz="4" w:space="0" w:color="auto"/>
              <w:right w:val="single" w:sz="4" w:space="0" w:color="auto"/>
            </w:tcBorders>
            <w:shd w:val="clear" w:color="auto" w:fill="auto"/>
            <w:vAlign w:val="center"/>
            <w:hideMark/>
          </w:tcPr>
          <w:p w14:paraId="48B3404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321" w:type="dxa"/>
            <w:tcBorders>
              <w:top w:val="nil"/>
              <w:left w:val="nil"/>
              <w:bottom w:val="single" w:sz="4" w:space="0" w:color="auto"/>
              <w:right w:val="single" w:sz="4" w:space="0" w:color="auto"/>
            </w:tcBorders>
            <w:shd w:val="clear" w:color="auto" w:fill="auto"/>
            <w:vAlign w:val="center"/>
            <w:hideMark/>
          </w:tcPr>
          <w:p w14:paraId="1FB5F3E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187</w:t>
            </w:r>
          </w:p>
        </w:tc>
        <w:tc>
          <w:tcPr>
            <w:tcW w:w="1221" w:type="dxa"/>
            <w:tcBorders>
              <w:top w:val="nil"/>
              <w:left w:val="nil"/>
              <w:bottom w:val="single" w:sz="4" w:space="0" w:color="auto"/>
              <w:right w:val="single" w:sz="4" w:space="0" w:color="auto"/>
            </w:tcBorders>
            <w:shd w:val="clear" w:color="auto" w:fill="auto"/>
            <w:vAlign w:val="center"/>
            <w:hideMark/>
          </w:tcPr>
          <w:p w14:paraId="2259E3E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153</w:t>
            </w:r>
          </w:p>
        </w:tc>
        <w:tc>
          <w:tcPr>
            <w:tcW w:w="968" w:type="dxa"/>
            <w:tcBorders>
              <w:top w:val="nil"/>
              <w:left w:val="nil"/>
              <w:bottom w:val="single" w:sz="4" w:space="0" w:color="auto"/>
              <w:right w:val="single" w:sz="4" w:space="0" w:color="auto"/>
            </w:tcBorders>
            <w:shd w:val="clear" w:color="auto" w:fill="auto"/>
            <w:vAlign w:val="center"/>
            <w:hideMark/>
          </w:tcPr>
          <w:p w14:paraId="6D8883E8"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186</w:t>
            </w:r>
          </w:p>
        </w:tc>
        <w:tc>
          <w:tcPr>
            <w:tcW w:w="1246" w:type="dxa"/>
            <w:tcBorders>
              <w:top w:val="nil"/>
              <w:left w:val="nil"/>
              <w:bottom w:val="single" w:sz="4" w:space="0" w:color="auto"/>
              <w:right w:val="single" w:sz="4" w:space="0" w:color="auto"/>
            </w:tcBorders>
            <w:shd w:val="clear" w:color="auto" w:fill="auto"/>
            <w:vAlign w:val="center"/>
            <w:hideMark/>
          </w:tcPr>
          <w:p w14:paraId="29395292"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190</w:t>
            </w:r>
          </w:p>
        </w:tc>
        <w:tc>
          <w:tcPr>
            <w:tcW w:w="1488" w:type="dxa"/>
            <w:tcBorders>
              <w:top w:val="nil"/>
              <w:left w:val="nil"/>
              <w:bottom w:val="single" w:sz="4" w:space="0" w:color="auto"/>
              <w:right w:val="single" w:sz="4" w:space="0" w:color="auto"/>
            </w:tcBorders>
            <w:shd w:val="clear" w:color="auto" w:fill="auto"/>
            <w:vAlign w:val="center"/>
            <w:hideMark/>
          </w:tcPr>
          <w:p w14:paraId="1721651C"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190</w:t>
            </w:r>
          </w:p>
        </w:tc>
        <w:tc>
          <w:tcPr>
            <w:tcW w:w="1374" w:type="dxa"/>
            <w:tcBorders>
              <w:top w:val="nil"/>
              <w:left w:val="nil"/>
              <w:bottom w:val="single" w:sz="4" w:space="0" w:color="auto"/>
              <w:right w:val="single" w:sz="4" w:space="0" w:color="auto"/>
            </w:tcBorders>
            <w:shd w:val="clear" w:color="auto" w:fill="auto"/>
            <w:vAlign w:val="center"/>
            <w:hideMark/>
          </w:tcPr>
          <w:p w14:paraId="7730B43E"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166</w:t>
            </w:r>
          </w:p>
        </w:tc>
        <w:tc>
          <w:tcPr>
            <w:tcW w:w="1133" w:type="dxa"/>
            <w:tcBorders>
              <w:top w:val="nil"/>
              <w:left w:val="nil"/>
              <w:bottom w:val="single" w:sz="4" w:space="0" w:color="auto"/>
              <w:right w:val="single" w:sz="4" w:space="0" w:color="auto"/>
            </w:tcBorders>
            <w:shd w:val="clear" w:color="auto" w:fill="auto"/>
            <w:vAlign w:val="center"/>
            <w:hideMark/>
          </w:tcPr>
          <w:p w14:paraId="227F9CE5"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116</w:t>
            </w:r>
          </w:p>
        </w:tc>
        <w:tc>
          <w:tcPr>
            <w:tcW w:w="306" w:type="dxa"/>
            <w:tcBorders>
              <w:top w:val="nil"/>
              <w:left w:val="nil"/>
              <w:bottom w:val="single" w:sz="4" w:space="0" w:color="auto"/>
              <w:right w:val="single" w:sz="4" w:space="0" w:color="auto"/>
            </w:tcBorders>
            <w:shd w:val="clear" w:color="auto" w:fill="auto"/>
            <w:vAlign w:val="center"/>
            <w:hideMark/>
          </w:tcPr>
          <w:p w14:paraId="14B2C619" w14:textId="77777777" w:rsidR="00BC17A3" w:rsidRPr="00A546AD" w:rsidRDefault="00BC17A3" w:rsidP="00A546AD">
            <w:pPr>
              <w:spacing w:after="0" w:line="240" w:lineRule="auto"/>
              <w:jc w:val="center"/>
              <w:rPr>
                <w:rFonts w:ascii="Times New Roman" w:eastAsia="Times New Roman" w:hAnsi="Times New Roman" w:cs="Times New Roman"/>
                <w:sz w:val="20"/>
                <w:szCs w:val="20"/>
                <w:lang w:val="ru-RU" w:eastAsia="ru-RU" w:bidi="ar-SA"/>
              </w:rPr>
            </w:pPr>
            <w:r w:rsidRPr="00A546AD">
              <w:rPr>
                <w:rFonts w:ascii="Times New Roman" w:eastAsia="Times New Roman" w:hAnsi="Times New Roman" w:cs="Times New Roman"/>
                <w:sz w:val="20"/>
                <w:szCs w:val="20"/>
                <w:lang w:val="ru-RU" w:eastAsia="ru-RU" w:bidi="ar-SA"/>
              </w:rPr>
              <w:t>168</w:t>
            </w:r>
          </w:p>
        </w:tc>
      </w:tr>
    </w:tbl>
    <w:p w14:paraId="7DA00C09" w14:textId="7F3E3C92" w:rsidR="00AE4368" w:rsidRDefault="00AE4368">
      <w:pPr>
        <w:spacing w:after="0" w:line="360" w:lineRule="auto"/>
        <w:contextualSpacing/>
        <w:rPr>
          <w:rFonts w:ascii="Times New Roman" w:hAnsi="Times New Roman" w:cs="Times New Roman"/>
          <w:sz w:val="24"/>
          <w:szCs w:val="24"/>
          <w:lang w:val="ru-RU"/>
        </w:rPr>
      </w:pPr>
    </w:p>
    <w:p w14:paraId="5433995B" w14:textId="1ED99C5F" w:rsidR="008203C3" w:rsidRPr="00FC1AEF" w:rsidRDefault="008203C3">
      <w:pPr>
        <w:spacing w:after="0" w:line="360" w:lineRule="auto"/>
        <w:contextualSpacing/>
        <w:rPr>
          <w:rFonts w:ascii="Times New Roman" w:hAnsi="Times New Roman" w:cs="Times New Roman"/>
          <w:color w:val="000000"/>
          <w:sz w:val="24"/>
          <w:szCs w:val="24"/>
          <w:lang w:val="ru-RU"/>
        </w:rPr>
      </w:pPr>
      <w:r>
        <w:rPr>
          <w:rFonts w:ascii="Times New Roman" w:hAnsi="Times New Roman" w:cs="Times New Roman"/>
          <w:color w:val="000000" w:themeColor="text1"/>
          <w:sz w:val="24"/>
          <w:szCs w:val="24"/>
          <w:lang w:val="ru-RU"/>
        </w:rPr>
        <w:t xml:space="preserve">Источник: </w:t>
      </w:r>
      <w:r>
        <w:rPr>
          <w:rFonts w:ascii="Times New Roman" w:hAnsi="Times New Roman" w:cs="Times New Roman"/>
          <w:sz w:val="24"/>
          <w:szCs w:val="24"/>
        </w:rPr>
        <w:t>[</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_Ref135397695 \r \h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45</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w:t>
      </w:r>
    </w:p>
    <w:p w14:paraId="6E86B41E" w14:textId="0C5B0B44" w:rsidR="008203C3" w:rsidRDefault="008203C3">
      <w:pPr>
        <w:spacing w:after="0" w:line="360" w:lineRule="auto"/>
        <w:contextualSpacing/>
        <w:rPr>
          <w:rFonts w:ascii="Times New Roman" w:hAnsi="Times New Roman" w:cs="Times New Roman"/>
          <w:sz w:val="24"/>
          <w:szCs w:val="24"/>
          <w:lang w:val="ru-RU"/>
        </w:rPr>
      </w:pPr>
    </w:p>
    <w:p w14:paraId="1BCBE61B" w14:textId="77777777" w:rsidR="008203C3" w:rsidRDefault="008203C3">
      <w:pPr>
        <w:spacing w:after="0" w:line="360" w:lineRule="auto"/>
        <w:contextualSpacing/>
        <w:rPr>
          <w:rFonts w:ascii="Times New Roman" w:hAnsi="Times New Roman" w:cs="Times New Roman"/>
          <w:sz w:val="24"/>
          <w:szCs w:val="24"/>
          <w:lang w:val="ru-RU"/>
        </w:rPr>
        <w:sectPr w:rsidR="008203C3">
          <w:pgSz w:w="16838" w:h="11906" w:orient="landscape"/>
          <w:pgMar w:top="850" w:right="709" w:bottom="1701" w:left="1134" w:header="708" w:footer="708" w:gutter="0"/>
          <w:cols w:space="708"/>
          <w:titlePg/>
          <w:docGrid w:linePitch="360"/>
        </w:sectPr>
      </w:pPr>
    </w:p>
    <w:tbl>
      <w:tblPr>
        <w:tblW w:w="8994" w:type="dxa"/>
        <w:tblInd w:w="93" w:type="dxa"/>
        <w:tblLayout w:type="fixed"/>
        <w:tblLook w:val="04A0" w:firstRow="1" w:lastRow="0" w:firstColumn="1" w:lastColumn="0" w:noHBand="0" w:noVBand="1"/>
      </w:tblPr>
      <w:tblGrid>
        <w:gridCol w:w="582"/>
        <w:gridCol w:w="1701"/>
        <w:gridCol w:w="1276"/>
        <w:gridCol w:w="1701"/>
        <w:gridCol w:w="1754"/>
        <w:gridCol w:w="1980"/>
      </w:tblGrid>
      <w:tr w:rsidR="00AE4368" w:rsidRPr="00225BFE" w14:paraId="10F64D7B" w14:textId="77777777">
        <w:trPr>
          <w:trHeight w:val="300"/>
        </w:trPr>
        <w:tc>
          <w:tcPr>
            <w:tcW w:w="8994" w:type="dxa"/>
            <w:gridSpan w:val="6"/>
            <w:tcBorders>
              <w:top w:val="none" w:sz="4" w:space="0" w:color="000000"/>
              <w:left w:val="none" w:sz="4" w:space="0" w:color="000000"/>
              <w:bottom w:val="none" w:sz="4" w:space="0" w:color="000000"/>
              <w:right w:val="none" w:sz="4" w:space="0" w:color="000000"/>
            </w:tcBorders>
            <w:shd w:val="clear" w:color="auto" w:fill="auto"/>
            <w:noWrap/>
            <w:vAlign w:val="bottom"/>
          </w:tcPr>
          <w:p w14:paraId="7FFA9E51" w14:textId="77777777" w:rsidR="00AE4368" w:rsidRDefault="002023F4" w:rsidP="00E01178">
            <w:pPr>
              <w:pStyle w:val="2"/>
              <w:spacing w:before="0" w:line="360" w:lineRule="auto"/>
              <w:contextualSpacing/>
              <w:rPr>
                <w:rFonts w:cs="Times New Roman"/>
                <w:sz w:val="24"/>
                <w:szCs w:val="24"/>
              </w:rPr>
            </w:pPr>
            <w:bookmarkStart w:id="214" w:name="Приложение6ипотека"/>
            <w:bookmarkStart w:id="215" w:name="_Toc136448491"/>
            <w:r>
              <w:rPr>
                <w:rFonts w:cs="Times New Roman"/>
                <w:sz w:val="24"/>
                <w:szCs w:val="24"/>
              </w:rPr>
              <w:lastRenderedPageBreak/>
              <w:t>Приложение 5</w:t>
            </w:r>
            <w:bookmarkEnd w:id="214"/>
            <w:bookmarkEnd w:id="215"/>
          </w:p>
          <w:p w14:paraId="4C987CBD" w14:textId="26A54FEF" w:rsidR="00AE4368" w:rsidRDefault="002023F4" w:rsidP="00E01178">
            <w:pPr>
              <w:pStyle w:val="aff6"/>
              <w:spacing w:before="0" w:beforeAutospacing="0" w:after="0"/>
            </w:pPr>
            <w:r>
              <w:t xml:space="preserve">Таблица </w:t>
            </w:r>
            <w:r w:rsidR="006978F8">
              <w:t>7</w:t>
            </w:r>
            <w:r>
              <w:t>. Рейтинг доступности ипотечных кредитов в Европе (2014)</w:t>
            </w:r>
          </w:p>
        </w:tc>
      </w:tr>
      <w:tr w:rsidR="00AE4368" w14:paraId="1C11FA2F" w14:textId="77777777">
        <w:trPr>
          <w:trHeight w:val="1170"/>
        </w:trPr>
        <w:tc>
          <w:tcPr>
            <w:tcW w:w="582" w:type="dxa"/>
            <w:tcBorders>
              <w:top w:val="single" w:sz="4" w:space="0" w:color="auto"/>
              <w:left w:val="single" w:sz="4" w:space="0" w:color="auto"/>
              <w:bottom w:val="single" w:sz="4" w:space="0" w:color="auto"/>
              <w:right w:val="single" w:sz="4" w:space="0" w:color="auto"/>
            </w:tcBorders>
            <w:shd w:val="clear" w:color="auto" w:fill="auto"/>
          </w:tcPr>
          <w:p w14:paraId="34180EE0" w14:textId="77777777" w:rsidR="00AE4368" w:rsidRDefault="002023F4">
            <w:pPr>
              <w:spacing w:after="0" w:line="360" w:lineRule="auto"/>
              <w:contextualSpacing/>
              <w:rPr>
                <w:rFonts w:ascii="Times New Roman" w:eastAsia="Times New Roman" w:hAnsi="Times New Roman" w:cs="Times New Roman"/>
                <w:bCs/>
                <w:color w:val="333333"/>
                <w:sz w:val="24"/>
                <w:szCs w:val="24"/>
                <w:lang w:val="ru-RU" w:eastAsia="zh-CN" w:bidi="ar-SA"/>
              </w:rPr>
            </w:pPr>
            <w:r>
              <w:rPr>
                <w:rFonts w:ascii="Times New Roman" w:eastAsia="Times New Roman" w:hAnsi="Times New Roman" w:cs="Times New Roman"/>
                <w:bCs/>
                <w:color w:val="333333"/>
                <w:sz w:val="24"/>
                <w:szCs w:val="24"/>
                <w:lang w:val="ru-RU" w:eastAsia="zh-CN" w:bidi="ar-SA"/>
              </w:rPr>
              <w:t> </w:t>
            </w:r>
          </w:p>
        </w:tc>
        <w:tc>
          <w:tcPr>
            <w:tcW w:w="1701" w:type="dxa"/>
            <w:tcBorders>
              <w:top w:val="single" w:sz="4" w:space="0" w:color="auto"/>
              <w:left w:val="none" w:sz="4" w:space="0" w:color="000000"/>
              <w:bottom w:val="single" w:sz="4" w:space="0" w:color="auto"/>
              <w:right w:val="single" w:sz="4" w:space="0" w:color="auto"/>
            </w:tcBorders>
            <w:shd w:val="clear" w:color="auto" w:fill="auto"/>
          </w:tcPr>
          <w:p w14:paraId="19FF7E85"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Страна</w:t>
            </w:r>
          </w:p>
        </w:tc>
        <w:tc>
          <w:tcPr>
            <w:tcW w:w="1276" w:type="dxa"/>
            <w:tcBorders>
              <w:top w:val="single" w:sz="4" w:space="0" w:color="auto"/>
              <w:left w:val="none" w:sz="4" w:space="0" w:color="000000"/>
              <w:bottom w:val="single" w:sz="4" w:space="0" w:color="auto"/>
              <w:right w:val="single" w:sz="4" w:space="0" w:color="auto"/>
            </w:tcBorders>
            <w:shd w:val="clear" w:color="auto" w:fill="auto"/>
          </w:tcPr>
          <w:p w14:paraId="79A5714E"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Средняя процентная ставка</w:t>
            </w:r>
          </w:p>
        </w:tc>
        <w:tc>
          <w:tcPr>
            <w:tcW w:w="1701" w:type="dxa"/>
            <w:tcBorders>
              <w:top w:val="single" w:sz="4" w:space="0" w:color="auto"/>
              <w:left w:val="none" w:sz="4" w:space="0" w:color="000000"/>
              <w:bottom w:val="single" w:sz="4" w:space="0" w:color="auto"/>
              <w:right w:val="single" w:sz="4" w:space="0" w:color="auto"/>
            </w:tcBorders>
            <w:shd w:val="clear" w:color="auto" w:fill="auto"/>
          </w:tcPr>
          <w:p w14:paraId="5AF8B7FE"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Ежемесячный платеж, евро</w:t>
            </w:r>
          </w:p>
        </w:tc>
        <w:tc>
          <w:tcPr>
            <w:tcW w:w="1754" w:type="dxa"/>
            <w:tcBorders>
              <w:top w:val="single" w:sz="4" w:space="0" w:color="auto"/>
              <w:left w:val="none" w:sz="4" w:space="0" w:color="000000"/>
              <w:bottom w:val="single" w:sz="4" w:space="0" w:color="auto"/>
              <w:right w:val="single" w:sz="4" w:space="0" w:color="auto"/>
            </w:tcBorders>
            <w:shd w:val="clear" w:color="auto" w:fill="auto"/>
          </w:tcPr>
          <w:p w14:paraId="12B77274"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Переплата по процентам, евро</w:t>
            </w:r>
          </w:p>
        </w:tc>
        <w:tc>
          <w:tcPr>
            <w:tcW w:w="1980" w:type="dxa"/>
            <w:tcBorders>
              <w:top w:val="single" w:sz="4" w:space="0" w:color="auto"/>
              <w:left w:val="none" w:sz="4" w:space="0" w:color="000000"/>
              <w:bottom w:val="single" w:sz="4" w:space="0" w:color="auto"/>
              <w:right w:val="single" w:sz="4" w:space="0" w:color="auto"/>
            </w:tcBorders>
            <w:shd w:val="clear" w:color="auto" w:fill="auto"/>
          </w:tcPr>
          <w:p w14:paraId="22AE8430"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Полная стоимость кредита, евро </w:t>
            </w:r>
          </w:p>
        </w:tc>
      </w:tr>
      <w:tr w:rsidR="00AE4368" w14:paraId="4E27EFD4" w14:textId="77777777">
        <w:trPr>
          <w:trHeight w:val="810"/>
        </w:trPr>
        <w:tc>
          <w:tcPr>
            <w:tcW w:w="582" w:type="dxa"/>
            <w:tcBorders>
              <w:top w:val="none" w:sz="4" w:space="0" w:color="000000"/>
              <w:left w:val="single" w:sz="4" w:space="0" w:color="auto"/>
              <w:bottom w:val="single" w:sz="4" w:space="0" w:color="auto"/>
              <w:right w:val="single" w:sz="4" w:space="0" w:color="auto"/>
            </w:tcBorders>
            <w:shd w:val="clear" w:color="auto" w:fill="auto"/>
          </w:tcPr>
          <w:p w14:paraId="78B7A141"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37B2460E"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Дания</w:t>
            </w:r>
          </w:p>
        </w:tc>
        <w:tc>
          <w:tcPr>
            <w:tcW w:w="1276" w:type="dxa"/>
            <w:tcBorders>
              <w:top w:val="none" w:sz="4" w:space="0" w:color="000000"/>
              <w:left w:val="none" w:sz="4" w:space="0" w:color="000000"/>
              <w:bottom w:val="single" w:sz="4" w:space="0" w:color="auto"/>
              <w:right w:val="single" w:sz="4" w:space="0" w:color="auto"/>
            </w:tcBorders>
            <w:shd w:val="clear" w:color="auto" w:fill="auto"/>
          </w:tcPr>
          <w:p w14:paraId="4D366246"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1,36%</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3A64F371"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566</w:t>
            </w:r>
          </w:p>
        </w:tc>
        <w:tc>
          <w:tcPr>
            <w:tcW w:w="1754" w:type="dxa"/>
            <w:tcBorders>
              <w:top w:val="none" w:sz="4" w:space="0" w:color="000000"/>
              <w:left w:val="none" w:sz="4" w:space="0" w:color="000000"/>
              <w:bottom w:val="single" w:sz="4" w:space="0" w:color="auto"/>
              <w:right w:val="single" w:sz="4" w:space="0" w:color="auto"/>
            </w:tcBorders>
            <w:shd w:val="clear" w:color="auto" w:fill="auto"/>
          </w:tcPr>
          <w:p w14:paraId="4DDC11FD"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16 684</w:t>
            </w:r>
          </w:p>
        </w:tc>
        <w:tc>
          <w:tcPr>
            <w:tcW w:w="1980" w:type="dxa"/>
            <w:tcBorders>
              <w:top w:val="none" w:sz="4" w:space="0" w:color="000000"/>
              <w:left w:val="none" w:sz="4" w:space="0" w:color="000000"/>
              <w:bottom w:val="single" w:sz="4" w:space="0" w:color="auto"/>
              <w:right w:val="single" w:sz="4" w:space="0" w:color="auto"/>
            </w:tcBorders>
            <w:shd w:val="clear" w:color="auto" w:fill="auto"/>
          </w:tcPr>
          <w:p w14:paraId="0EAAEBE2"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138 935 или 114% </w:t>
            </w:r>
          </w:p>
        </w:tc>
      </w:tr>
      <w:tr w:rsidR="00AE4368" w14:paraId="2C7B8B8E" w14:textId="77777777">
        <w:trPr>
          <w:trHeight w:val="930"/>
        </w:trPr>
        <w:tc>
          <w:tcPr>
            <w:tcW w:w="582" w:type="dxa"/>
            <w:tcBorders>
              <w:top w:val="none" w:sz="4" w:space="0" w:color="000000"/>
              <w:left w:val="single" w:sz="4" w:space="0" w:color="auto"/>
              <w:bottom w:val="single" w:sz="4" w:space="0" w:color="auto"/>
              <w:right w:val="single" w:sz="4" w:space="0" w:color="auto"/>
            </w:tcBorders>
            <w:shd w:val="clear" w:color="auto" w:fill="auto"/>
          </w:tcPr>
          <w:p w14:paraId="6D2870BA"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2</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4379922C"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Швеция</w:t>
            </w:r>
          </w:p>
        </w:tc>
        <w:tc>
          <w:tcPr>
            <w:tcW w:w="1276" w:type="dxa"/>
            <w:tcBorders>
              <w:top w:val="none" w:sz="4" w:space="0" w:color="000000"/>
              <w:left w:val="none" w:sz="4" w:space="0" w:color="000000"/>
              <w:bottom w:val="single" w:sz="4" w:space="0" w:color="auto"/>
              <w:right w:val="single" w:sz="4" w:space="0" w:color="auto"/>
            </w:tcBorders>
            <w:shd w:val="clear" w:color="auto" w:fill="auto"/>
          </w:tcPr>
          <w:p w14:paraId="29E96C8A"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2,23%</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7AF5B9B4"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596</w:t>
            </w:r>
          </w:p>
        </w:tc>
        <w:tc>
          <w:tcPr>
            <w:tcW w:w="1754" w:type="dxa"/>
            <w:tcBorders>
              <w:top w:val="none" w:sz="4" w:space="0" w:color="000000"/>
              <w:left w:val="none" w:sz="4" w:space="0" w:color="000000"/>
              <w:bottom w:val="single" w:sz="4" w:space="0" w:color="auto"/>
              <w:right w:val="single" w:sz="4" w:space="0" w:color="auto"/>
            </w:tcBorders>
            <w:shd w:val="clear" w:color="auto" w:fill="auto"/>
          </w:tcPr>
          <w:p w14:paraId="3FE22AD9"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20 733</w:t>
            </w:r>
          </w:p>
        </w:tc>
        <w:tc>
          <w:tcPr>
            <w:tcW w:w="1980" w:type="dxa"/>
            <w:tcBorders>
              <w:top w:val="none" w:sz="4" w:space="0" w:color="000000"/>
              <w:left w:val="none" w:sz="4" w:space="0" w:color="000000"/>
              <w:bottom w:val="single" w:sz="4" w:space="0" w:color="auto"/>
              <w:right w:val="single" w:sz="4" w:space="0" w:color="auto"/>
            </w:tcBorders>
            <w:shd w:val="clear" w:color="auto" w:fill="auto"/>
          </w:tcPr>
          <w:p w14:paraId="6292956E"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142 983 или 117% </w:t>
            </w:r>
          </w:p>
        </w:tc>
      </w:tr>
      <w:tr w:rsidR="00AE4368" w14:paraId="0D304AED" w14:textId="77777777">
        <w:trPr>
          <w:trHeight w:val="825"/>
        </w:trPr>
        <w:tc>
          <w:tcPr>
            <w:tcW w:w="582" w:type="dxa"/>
            <w:tcBorders>
              <w:top w:val="none" w:sz="4" w:space="0" w:color="000000"/>
              <w:left w:val="single" w:sz="4" w:space="0" w:color="auto"/>
              <w:bottom w:val="single" w:sz="4" w:space="0" w:color="auto"/>
              <w:right w:val="single" w:sz="4" w:space="0" w:color="auto"/>
            </w:tcBorders>
            <w:shd w:val="clear" w:color="auto" w:fill="auto"/>
          </w:tcPr>
          <w:p w14:paraId="1AA5A453"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3</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5F9DC08B"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Испания</w:t>
            </w:r>
          </w:p>
        </w:tc>
        <w:tc>
          <w:tcPr>
            <w:tcW w:w="1276" w:type="dxa"/>
            <w:tcBorders>
              <w:top w:val="none" w:sz="4" w:space="0" w:color="000000"/>
              <w:left w:val="none" w:sz="4" w:space="0" w:color="000000"/>
              <w:bottom w:val="single" w:sz="4" w:space="0" w:color="auto"/>
              <w:right w:val="single" w:sz="4" w:space="0" w:color="auto"/>
            </w:tcBorders>
            <w:shd w:val="clear" w:color="auto" w:fill="auto"/>
          </w:tcPr>
          <w:p w14:paraId="41F07DC5"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2,44%</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4215D046"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628</w:t>
            </w:r>
          </w:p>
        </w:tc>
        <w:tc>
          <w:tcPr>
            <w:tcW w:w="1754" w:type="dxa"/>
            <w:tcBorders>
              <w:top w:val="none" w:sz="4" w:space="0" w:color="000000"/>
              <w:left w:val="none" w:sz="4" w:space="0" w:color="000000"/>
              <w:bottom w:val="single" w:sz="4" w:space="0" w:color="auto"/>
              <w:right w:val="single" w:sz="4" w:space="0" w:color="auto"/>
            </w:tcBorders>
            <w:shd w:val="clear" w:color="auto" w:fill="auto"/>
          </w:tcPr>
          <w:p w14:paraId="59E3E1DF"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28 584</w:t>
            </w:r>
          </w:p>
        </w:tc>
        <w:tc>
          <w:tcPr>
            <w:tcW w:w="1980" w:type="dxa"/>
            <w:tcBorders>
              <w:top w:val="none" w:sz="4" w:space="0" w:color="000000"/>
              <w:left w:val="none" w:sz="4" w:space="0" w:color="000000"/>
              <w:bottom w:val="single" w:sz="4" w:space="0" w:color="auto"/>
              <w:right w:val="single" w:sz="4" w:space="0" w:color="auto"/>
            </w:tcBorders>
            <w:shd w:val="clear" w:color="auto" w:fill="auto"/>
          </w:tcPr>
          <w:p w14:paraId="165D1D0D"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150 834 или 123%</w:t>
            </w:r>
          </w:p>
        </w:tc>
      </w:tr>
      <w:tr w:rsidR="00AE4368" w14:paraId="0E9CB724" w14:textId="77777777">
        <w:trPr>
          <w:trHeight w:val="975"/>
        </w:trPr>
        <w:tc>
          <w:tcPr>
            <w:tcW w:w="582" w:type="dxa"/>
            <w:tcBorders>
              <w:top w:val="none" w:sz="4" w:space="0" w:color="000000"/>
              <w:left w:val="single" w:sz="4" w:space="0" w:color="auto"/>
              <w:bottom w:val="single" w:sz="4" w:space="0" w:color="auto"/>
              <w:right w:val="single" w:sz="4" w:space="0" w:color="auto"/>
            </w:tcBorders>
            <w:shd w:val="clear" w:color="auto" w:fill="auto"/>
          </w:tcPr>
          <w:p w14:paraId="10B7195A"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4</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5B544E76"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Португалия</w:t>
            </w:r>
          </w:p>
        </w:tc>
        <w:tc>
          <w:tcPr>
            <w:tcW w:w="1276" w:type="dxa"/>
            <w:tcBorders>
              <w:top w:val="none" w:sz="4" w:space="0" w:color="000000"/>
              <w:left w:val="none" w:sz="4" w:space="0" w:color="000000"/>
              <w:bottom w:val="single" w:sz="4" w:space="0" w:color="auto"/>
              <w:right w:val="single" w:sz="4" w:space="0" w:color="auto"/>
            </w:tcBorders>
            <w:shd w:val="clear" w:color="auto" w:fill="auto"/>
          </w:tcPr>
          <w:p w14:paraId="4C52EA9F"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2,51%</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23FFA2DD"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624</w:t>
            </w:r>
          </w:p>
        </w:tc>
        <w:tc>
          <w:tcPr>
            <w:tcW w:w="1754" w:type="dxa"/>
            <w:tcBorders>
              <w:top w:val="none" w:sz="4" w:space="0" w:color="000000"/>
              <w:left w:val="none" w:sz="4" w:space="0" w:color="000000"/>
              <w:bottom w:val="single" w:sz="4" w:space="0" w:color="auto"/>
              <w:right w:val="single" w:sz="4" w:space="0" w:color="auto"/>
            </w:tcBorders>
            <w:shd w:val="clear" w:color="auto" w:fill="auto"/>
          </w:tcPr>
          <w:p w14:paraId="2117CE9B"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27 603</w:t>
            </w:r>
          </w:p>
        </w:tc>
        <w:tc>
          <w:tcPr>
            <w:tcW w:w="1980" w:type="dxa"/>
            <w:tcBorders>
              <w:top w:val="none" w:sz="4" w:space="0" w:color="000000"/>
              <w:left w:val="none" w:sz="4" w:space="0" w:color="000000"/>
              <w:bottom w:val="single" w:sz="4" w:space="0" w:color="auto"/>
              <w:right w:val="single" w:sz="4" w:space="0" w:color="auto"/>
            </w:tcBorders>
            <w:shd w:val="clear" w:color="auto" w:fill="auto"/>
          </w:tcPr>
          <w:p w14:paraId="295DCD60"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149 853 или 123%     </w:t>
            </w:r>
          </w:p>
        </w:tc>
      </w:tr>
      <w:tr w:rsidR="00AE4368" w14:paraId="258863F5" w14:textId="77777777">
        <w:trPr>
          <w:trHeight w:val="660"/>
        </w:trPr>
        <w:tc>
          <w:tcPr>
            <w:tcW w:w="582" w:type="dxa"/>
            <w:tcBorders>
              <w:top w:val="none" w:sz="4" w:space="0" w:color="000000"/>
              <w:left w:val="single" w:sz="4" w:space="0" w:color="auto"/>
              <w:bottom w:val="single" w:sz="4" w:space="0" w:color="auto"/>
              <w:right w:val="single" w:sz="4" w:space="0" w:color="auto"/>
            </w:tcBorders>
            <w:shd w:val="clear" w:color="auto" w:fill="auto"/>
          </w:tcPr>
          <w:p w14:paraId="2D2A9CB2"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5</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56CA307B"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Норвегия</w:t>
            </w:r>
          </w:p>
        </w:tc>
        <w:tc>
          <w:tcPr>
            <w:tcW w:w="1276" w:type="dxa"/>
            <w:tcBorders>
              <w:top w:val="none" w:sz="4" w:space="0" w:color="000000"/>
              <w:left w:val="none" w:sz="4" w:space="0" w:color="000000"/>
              <w:bottom w:val="single" w:sz="4" w:space="0" w:color="auto"/>
              <w:right w:val="single" w:sz="4" w:space="0" w:color="auto"/>
            </w:tcBorders>
            <w:shd w:val="clear" w:color="auto" w:fill="auto"/>
          </w:tcPr>
          <w:p w14:paraId="25B2B407"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2,89%</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53B1461C"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658</w:t>
            </w:r>
          </w:p>
        </w:tc>
        <w:tc>
          <w:tcPr>
            <w:tcW w:w="1754" w:type="dxa"/>
            <w:tcBorders>
              <w:top w:val="none" w:sz="4" w:space="0" w:color="000000"/>
              <w:left w:val="none" w:sz="4" w:space="0" w:color="000000"/>
              <w:bottom w:val="single" w:sz="4" w:space="0" w:color="auto"/>
              <w:right w:val="single" w:sz="4" w:space="0" w:color="auto"/>
            </w:tcBorders>
            <w:shd w:val="clear" w:color="auto" w:fill="auto"/>
          </w:tcPr>
          <w:p w14:paraId="52DB8AA5"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35 577</w:t>
            </w:r>
          </w:p>
        </w:tc>
        <w:tc>
          <w:tcPr>
            <w:tcW w:w="1980" w:type="dxa"/>
            <w:tcBorders>
              <w:top w:val="none" w:sz="4" w:space="0" w:color="000000"/>
              <w:left w:val="none" w:sz="4" w:space="0" w:color="000000"/>
              <w:bottom w:val="single" w:sz="4" w:space="0" w:color="auto"/>
              <w:right w:val="single" w:sz="4" w:space="0" w:color="auto"/>
            </w:tcBorders>
            <w:shd w:val="clear" w:color="auto" w:fill="auto"/>
          </w:tcPr>
          <w:p w14:paraId="4B62BA0D"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157 827 или 130% </w:t>
            </w:r>
          </w:p>
        </w:tc>
      </w:tr>
      <w:tr w:rsidR="00AE4368" w14:paraId="7E57D90C" w14:textId="77777777">
        <w:trPr>
          <w:trHeight w:val="870"/>
        </w:trPr>
        <w:tc>
          <w:tcPr>
            <w:tcW w:w="582" w:type="dxa"/>
            <w:tcBorders>
              <w:top w:val="none" w:sz="4" w:space="0" w:color="000000"/>
              <w:left w:val="single" w:sz="4" w:space="0" w:color="auto"/>
              <w:bottom w:val="single" w:sz="4" w:space="0" w:color="auto"/>
              <w:right w:val="single" w:sz="4" w:space="0" w:color="auto"/>
            </w:tcBorders>
            <w:shd w:val="clear" w:color="auto" w:fill="auto"/>
          </w:tcPr>
          <w:p w14:paraId="7C6F82AB"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6</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5CF4E410"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Ирландия</w:t>
            </w:r>
          </w:p>
        </w:tc>
        <w:tc>
          <w:tcPr>
            <w:tcW w:w="1276" w:type="dxa"/>
            <w:tcBorders>
              <w:top w:val="none" w:sz="4" w:space="0" w:color="000000"/>
              <w:left w:val="none" w:sz="4" w:space="0" w:color="000000"/>
              <w:bottom w:val="single" w:sz="4" w:space="0" w:color="auto"/>
              <w:right w:val="single" w:sz="4" w:space="0" w:color="auto"/>
            </w:tcBorders>
            <w:shd w:val="clear" w:color="auto" w:fill="auto"/>
          </w:tcPr>
          <w:p w14:paraId="39DE2316"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2,96%</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19F4E4B4"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654</w:t>
            </w:r>
          </w:p>
        </w:tc>
        <w:tc>
          <w:tcPr>
            <w:tcW w:w="1754" w:type="dxa"/>
            <w:tcBorders>
              <w:top w:val="none" w:sz="4" w:space="0" w:color="000000"/>
              <w:left w:val="none" w:sz="4" w:space="0" w:color="000000"/>
              <w:bottom w:val="single" w:sz="4" w:space="0" w:color="auto"/>
              <w:right w:val="single" w:sz="4" w:space="0" w:color="auto"/>
            </w:tcBorders>
            <w:shd w:val="clear" w:color="auto" w:fill="auto"/>
          </w:tcPr>
          <w:p w14:paraId="62F67B78"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34 718</w:t>
            </w:r>
          </w:p>
        </w:tc>
        <w:tc>
          <w:tcPr>
            <w:tcW w:w="1980" w:type="dxa"/>
            <w:tcBorders>
              <w:top w:val="none" w:sz="4" w:space="0" w:color="000000"/>
              <w:left w:val="none" w:sz="4" w:space="0" w:color="000000"/>
              <w:bottom w:val="single" w:sz="4" w:space="0" w:color="auto"/>
              <w:right w:val="single" w:sz="4" w:space="0" w:color="auto"/>
            </w:tcBorders>
            <w:shd w:val="clear" w:color="auto" w:fill="auto"/>
          </w:tcPr>
          <w:p w14:paraId="24EB9FA2"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156 968 или 128%</w:t>
            </w:r>
          </w:p>
        </w:tc>
      </w:tr>
      <w:tr w:rsidR="00AE4368" w14:paraId="65378ED8" w14:textId="77777777">
        <w:trPr>
          <w:trHeight w:val="900"/>
        </w:trPr>
        <w:tc>
          <w:tcPr>
            <w:tcW w:w="582" w:type="dxa"/>
            <w:tcBorders>
              <w:top w:val="none" w:sz="4" w:space="0" w:color="000000"/>
              <w:left w:val="single" w:sz="4" w:space="0" w:color="auto"/>
              <w:bottom w:val="single" w:sz="4" w:space="0" w:color="auto"/>
              <w:right w:val="single" w:sz="4" w:space="0" w:color="auto"/>
            </w:tcBorders>
            <w:shd w:val="clear" w:color="auto" w:fill="auto"/>
          </w:tcPr>
          <w:p w14:paraId="0B2EA157"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7</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16F04360"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Греция</w:t>
            </w:r>
          </w:p>
        </w:tc>
        <w:tc>
          <w:tcPr>
            <w:tcW w:w="1276" w:type="dxa"/>
            <w:tcBorders>
              <w:top w:val="none" w:sz="4" w:space="0" w:color="000000"/>
              <w:left w:val="none" w:sz="4" w:space="0" w:color="000000"/>
              <w:bottom w:val="single" w:sz="4" w:space="0" w:color="auto"/>
              <w:right w:val="single" w:sz="4" w:space="0" w:color="auto"/>
            </w:tcBorders>
            <w:shd w:val="clear" w:color="auto" w:fill="auto"/>
          </w:tcPr>
          <w:p w14:paraId="1A557944"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3,54%</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5C19F2CE"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676</w:t>
            </w:r>
          </w:p>
        </w:tc>
        <w:tc>
          <w:tcPr>
            <w:tcW w:w="1754" w:type="dxa"/>
            <w:tcBorders>
              <w:top w:val="none" w:sz="4" w:space="0" w:color="000000"/>
              <w:left w:val="none" w:sz="4" w:space="0" w:color="000000"/>
              <w:bottom w:val="single" w:sz="4" w:space="0" w:color="auto"/>
              <w:right w:val="single" w:sz="4" w:space="0" w:color="auto"/>
            </w:tcBorders>
            <w:shd w:val="clear" w:color="auto" w:fill="auto"/>
          </w:tcPr>
          <w:p w14:paraId="6A849F27"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39 993</w:t>
            </w:r>
          </w:p>
        </w:tc>
        <w:tc>
          <w:tcPr>
            <w:tcW w:w="1980" w:type="dxa"/>
            <w:tcBorders>
              <w:top w:val="none" w:sz="4" w:space="0" w:color="000000"/>
              <w:left w:val="none" w:sz="4" w:space="0" w:color="000000"/>
              <w:bottom w:val="single" w:sz="4" w:space="0" w:color="auto"/>
              <w:right w:val="single" w:sz="4" w:space="0" w:color="auto"/>
            </w:tcBorders>
            <w:shd w:val="clear" w:color="auto" w:fill="auto"/>
          </w:tcPr>
          <w:p w14:paraId="7CDA7E98"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162 243 или 133% </w:t>
            </w:r>
          </w:p>
        </w:tc>
      </w:tr>
      <w:tr w:rsidR="00AE4368" w14:paraId="5676711D" w14:textId="77777777">
        <w:trPr>
          <w:trHeight w:val="915"/>
        </w:trPr>
        <w:tc>
          <w:tcPr>
            <w:tcW w:w="582" w:type="dxa"/>
            <w:tcBorders>
              <w:top w:val="none" w:sz="4" w:space="0" w:color="000000"/>
              <w:left w:val="single" w:sz="4" w:space="0" w:color="auto"/>
              <w:bottom w:val="single" w:sz="4" w:space="0" w:color="auto"/>
              <w:right w:val="single" w:sz="4" w:space="0" w:color="auto"/>
            </w:tcBorders>
            <w:shd w:val="clear" w:color="auto" w:fill="auto"/>
          </w:tcPr>
          <w:p w14:paraId="1F6FD79A"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8</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20AEEE56"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Германия</w:t>
            </w:r>
          </w:p>
        </w:tc>
        <w:tc>
          <w:tcPr>
            <w:tcW w:w="1276" w:type="dxa"/>
            <w:tcBorders>
              <w:top w:val="none" w:sz="4" w:space="0" w:color="000000"/>
              <w:left w:val="none" w:sz="4" w:space="0" w:color="000000"/>
              <w:bottom w:val="single" w:sz="4" w:space="0" w:color="auto"/>
              <w:right w:val="single" w:sz="4" w:space="0" w:color="auto"/>
            </w:tcBorders>
            <w:shd w:val="clear" w:color="auto" w:fill="auto"/>
          </w:tcPr>
          <w:p w14:paraId="71FA2657"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3,65%</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249DD44A"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708</w:t>
            </w:r>
          </w:p>
        </w:tc>
        <w:tc>
          <w:tcPr>
            <w:tcW w:w="1754" w:type="dxa"/>
            <w:tcBorders>
              <w:top w:val="none" w:sz="4" w:space="0" w:color="000000"/>
              <w:left w:val="none" w:sz="4" w:space="0" w:color="000000"/>
              <w:bottom w:val="single" w:sz="4" w:space="0" w:color="auto"/>
              <w:right w:val="single" w:sz="4" w:space="0" w:color="auto"/>
            </w:tcBorders>
            <w:shd w:val="clear" w:color="auto" w:fill="auto"/>
          </w:tcPr>
          <w:p w14:paraId="55E5D7F3"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47 722</w:t>
            </w:r>
          </w:p>
        </w:tc>
        <w:tc>
          <w:tcPr>
            <w:tcW w:w="1980" w:type="dxa"/>
            <w:tcBorders>
              <w:top w:val="none" w:sz="4" w:space="0" w:color="000000"/>
              <w:left w:val="none" w:sz="4" w:space="0" w:color="000000"/>
              <w:bottom w:val="single" w:sz="4" w:space="0" w:color="auto"/>
              <w:right w:val="single" w:sz="4" w:space="0" w:color="auto"/>
            </w:tcBorders>
            <w:shd w:val="clear" w:color="auto" w:fill="auto"/>
          </w:tcPr>
          <w:p w14:paraId="6D9A608A"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169 972 или 139% </w:t>
            </w:r>
          </w:p>
        </w:tc>
      </w:tr>
      <w:tr w:rsidR="00AE4368" w14:paraId="19C9B49B" w14:textId="77777777">
        <w:trPr>
          <w:trHeight w:val="930"/>
        </w:trPr>
        <w:tc>
          <w:tcPr>
            <w:tcW w:w="582" w:type="dxa"/>
            <w:tcBorders>
              <w:top w:val="none" w:sz="4" w:space="0" w:color="000000"/>
              <w:left w:val="single" w:sz="4" w:space="0" w:color="auto"/>
              <w:bottom w:val="single" w:sz="4" w:space="0" w:color="auto"/>
              <w:right w:val="single" w:sz="4" w:space="0" w:color="auto"/>
            </w:tcBorders>
            <w:shd w:val="clear" w:color="auto" w:fill="auto"/>
          </w:tcPr>
          <w:p w14:paraId="18DE3D6E"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9</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20E75AE9"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Великобритания</w:t>
            </w:r>
          </w:p>
        </w:tc>
        <w:tc>
          <w:tcPr>
            <w:tcW w:w="1276" w:type="dxa"/>
            <w:tcBorders>
              <w:top w:val="none" w:sz="4" w:space="0" w:color="000000"/>
              <w:left w:val="none" w:sz="4" w:space="0" w:color="000000"/>
              <w:bottom w:val="single" w:sz="4" w:space="0" w:color="auto"/>
              <w:right w:val="single" w:sz="4" w:space="0" w:color="auto"/>
            </w:tcBorders>
            <w:shd w:val="clear" w:color="auto" w:fill="auto"/>
          </w:tcPr>
          <w:p w14:paraId="66976E17"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3,77%</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5A675334"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702</w:t>
            </w:r>
          </w:p>
        </w:tc>
        <w:tc>
          <w:tcPr>
            <w:tcW w:w="1754" w:type="dxa"/>
            <w:tcBorders>
              <w:top w:val="none" w:sz="4" w:space="0" w:color="000000"/>
              <w:left w:val="none" w:sz="4" w:space="0" w:color="000000"/>
              <w:bottom w:val="single" w:sz="4" w:space="0" w:color="auto"/>
              <w:right w:val="single" w:sz="4" w:space="0" w:color="auto"/>
            </w:tcBorders>
            <w:shd w:val="clear" w:color="auto" w:fill="auto"/>
          </w:tcPr>
          <w:p w14:paraId="48EFCC7B"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46 250</w:t>
            </w:r>
          </w:p>
        </w:tc>
        <w:tc>
          <w:tcPr>
            <w:tcW w:w="1980" w:type="dxa"/>
            <w:tcBorders>
              <w:top w:val="none" w:sz="4" w:space="0" w:color="000000"/>
              <w:left w:val="none" w:sz="4" w:space="0" w:color="000000"/>
              <w:bottom w:val="single" w:sz="4" w:space="0" w:color="auto"/>
              <w:right w:val="single" w:sz="4" w:space="0" w:color="auto"/>
            </w:tcBorders>
            <w:shd w:val="clear" w:color="auto" w:fill="auto"/>
          </w:tcPr>
          <w:p w14:paraId="32845550"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168 500 или 138% </w:t>
            </w:r>
          </w:p>
        </w:tc>
      </w:tr>
      <w:tr w:rsidR="00AE4368" w14:paraId="430AD3BD" w14:textId="77777777">
        <w:trPr>
          <w:trHeight w:val="990"/>
        </w:trPr>
        <w:tc>
          <w:tcPr>
            <w:tcW w:w="582" w:type="dxa"/>
            <w:tcBorders>
              <w:top w:val="none" w:sz="4" w:space="0" w:color="000000"/>
              <w:left w:val="single" w:sz="4" w:space="0" w:color="auto"/>
              <w:bottom w:val="single" w:sz="4" w:space="0" w:color="auto"/>
              <w:right w:val="single" w:sz="4" w:space="0" w:color="auto"/>
            </w:tcBorders>
            <w:shd w:val="clear" w:color="auto" w:fill="auto"/>
          </w:tcPr>
          <w:p w14:paraId="6A227047"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10</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463A490E"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Голландия</w:t>
            </w:r>
          </w:p>
        </w:tc>
        <w:tc>
          <w:tcPr>
            <w:tcW w:w="1276" w:type="dxa"/>
            <w:tcBorders>
              <w:top w:val="none" w:sz="4" w:space="0" w:color="000000"/>
              <w:left w:val="none" w:sz="4" w:space="0" w:color="000000"/>
              <w:bottom w:val="single" w:sz="4" w:space="0" w:color="auto"/>
              <w:right w:val="single" w:sz="4" w:space="0" w:color="auto"/>
            </w:tcBorders>
            <w:shd w:val="clear" w:color="auto" w:fill="auto"/>
          </w:tcPr>
          <w:p w14:paraId="45118231"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4,36%</w:t>
            </w:r>
          </w:p>
        </w:tc>
        <w:tc>
          <w:tcPr>
            <w:tcW w:w="1701" w:type="dxa"/>
            <w:tcBorders>
              <w:top w:val="none" w:sz="4" w:space="0" w:color="000000"/>
              <w:left w:val="none" w:sz="4" w:space="0" w:color="000000"/>
              <w:bottom w:val="single" w:sz="4" w:space="0" w:color="auto"/>
              <w:right w:val="single" w:sz="4" w:space="0" w:color="auto"/>
            </w:tcBorders>
            <w:shd w:val="clear" w:color="auto" w:fill="auto"/>
          </w:tcPr>
          <w:p w14:paraId="4BBC5F0D"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696</w:t>
            </w:r>
          </w:p>
        </w:tc>
        <w:tc>
          <w:tcPr>
            <w:tcW w:w="1754" w:type="dxa"/>
            <w:tcBorders>
              <w:top w:val="none" w:sz="4" w:space="0" w:color="000000"/>
              <w:left w:val="none" w:sz="4" w:space="0" w:color="000000"/>
              <w:bottom w:val="single" w:sz="4" w:space="0" w:color="auto"/>
              <w:right w:val="single" w:sz="4" w:space="0" w:color="auto"/>
            </w:tcBorders>
            <w:shd w:val="clear" w:color="auto" w:fill="auto"/>
          </w:tcPr>
          <w:p w14:paraId="149759FB" w14:textId="77777777" w:rsidR="00AE4368" w:rsidRDefault="002023F4">
            <w:pPr>
              <w:spacing w:after="0" w:line="360" w:lineRule="auto"/>
              <w:contextualSpacing/>
              <w:jc w:val="right"/>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44 778</w:t>
            </w:r>
          </w:p>
        </w:tc>
        <w:tc>
          <w:tcPr>
            <w:tcW w:w="1980" w:type="dxa"/>
            <w:tcBorders>
              <w:top w:val="none" w:sz="4" w:space="0" w:color="000000"/>
              <w:left w:val="none" w:sz="4" w:space="0" w:color="000000"/>
              <w:bottom w:val="single" w:sz="4" w:space="0" w:color="auto"/>
              <w:right w:val="single" w:sz="4" w:space="0" w:color="auto"/>
            </w:tcBorders>
            <w:shd w:val="clear" w:color="auto" w:fill="auto"/>
          </w:tcPr>
          <w:p w14:paraId="0D63A703" w14:textId="77777777" w:rsidR="00AE4368" w:rsidRDefault="002023F4">
            <w:pPr>
              <w:spacing w:after="0" w:line="360" w:lineRule="auto"/>
              <w:contextualSpacing/>
              <w:rPr>
                <w:rFonts w:ascii="Times New Roman" w:eastAsia="Times New Roman" w:hAnsi="Times New Roman" w:cs="Times New Roman"/>
                <w:bCs/>
                <w:iCs/>
                <w:color w:val="333333"/>
                <w:sz w:val="24"/>
                <w:szCs w:val="24"/>
                <w:lang w:val="ru-RU" w:eastAsia="zh-CN" w:bidi="ar-SA"/>
              </w:rPr>
            </w:pPr>
            <w:r>
              <w:rPr>
                <w:rFonts w:ascii="Times New Roman" w:eastAsia="Times New Roman" w:hAnsi="Times New Roman" w:cs="Times New Roman"/>
                <w:bCs/>
                <w:iCs/>
                <w:color w:val="333333"/>
                <w:sz w:val="24"/>
                <w:szCs w:val="24"/>
                <w:lang w:val="ru-RU" w:eastAsia="zh-CN" w:bidi="ar-SA"/>
              </w:rPr>
              <w:t>167 028 или 137% </w:t>
            </w:r>
          </w:p>
        </w:tc>
      </w:tr>
    </w:tbl>
    <w:p w14:paraId="1169D59A" w14:textId="38352DD1" w:rsidR="00AE4368" w:rsidRDefault="002023F4">
      <w:pPr>
        <w:spacing w:after="0" w:line="360" w:lineRule="auto"/>
        <w:contextualSpacing/>
        <w:rPr>
          <w:rFonts w:ascii="Times New Roman" w:hAnsi="Times New Roman" w:cs="Times New Roman"/>
          <w:color w:val="000000"/>
          <w:sz w:val="24"/>
          <w:szCs w:val="24"/>
          <w:lang w:val="ru-RU"/>
        </w:rPr>
      </w:pPr>
      <w:r>
        <w:rPr>
          <w:rFonts w:ascii="Times New Roman" w:eastAsia="Times New Roman" w:hAnsi="Times New Roman" w:cs="Times New Roman"/>
          <w:color w:val="000000" w:themeColor="text1"/>
          <w:sz w:val="24"/>
          <w:szCs w:val="24"/>
          <w:lang w:val="ru-RU" w:eastAsia="zh-CN" w:bidi="ar-SA"/>
        </w:rPr>
        <w:t>Источник: [</w:t>
      </w:r>
      <w:r>
        <w:rPr>
          <w:rFonts w:ascii="Times New Roman" w:eastAsia="Times New Roman" w:hAnsi="Times New Roman" w:cs="Times New Roman"/>
          <w:color w:val="000000" w:themeColor="text1"/>
          <w:sz w:val="24"/>
          <w:szCs w:val="24"/>
          <w:lang w:val="ru-RU" w:eastAsia="zh-CN" w:bidi="ar-SA"/>
        </w:rPr>
        <w:fldChar w:fldCharType="begin"/>
      </w:r>
      <w:r>
        <w:rPr>
          <w:rFonts w:ascii="Times New Roman" w:eastAsia="Times New Roman" w:hAnsi="Times New Roman" w:cs="Times New Roman"/>
          <w:color w:val="000000" w:themeColor="text1"/>
          <w:sz w:val="24"/>
          <w:szCs w:val="24"/>
          <w:lang w:val="ru-RU" w:eastAsia="zh-CN" w:bidi="ar-SA"/>
        </w:rPr>
        <w:instrText xml:space="preserve"> REF _Ref459294142 \r \h  \* MERGEFORMAT </w:instrText>
      </w:r>
      <w:r>
        <w:rPr>
          <w:rFonts w:ascii="Times New Roman" w:eastAsia="Times New Roman" w:hAnsi="Times New Roman" w:cs="Times New Roman"/>
          <w:color w:val="000000" w:themeColor="text1"/>
          <w:sz w:val="24"/>
          <w:szCs w:val="24"/>
          <w:lang w:val="ru-RU" w:eastAsia="zh-CN" w:bidi="ar-SA"/>
        </w:rPr>
      </w:r>
      <w:r>
        <w:rPr>
          <w:rFonts w:ascii="Times New Roman" w:eastAsia="Times New Roman" w:hAnsi="Times New Roman" w:cs="Times New Roman"/>
          <w:color w:val="000000" w:themeColor="text1"/>
          <w:sz w:val="24"/>
          <w:szCs w:val="24"/>
          <w:lang w:val="ru-RU" w:eastAsia="zh-CN" w:bidi="ar-SA"/>
        </w:rPr>
        <w:fldChar w:fldCharType="separate"/>
      </w:r>
      <w:r w:rsidR="00801D78">
        <w:rPr>
          <w:rFonts w:ascii="Times New Roman" w:eastAsia="Times New Roman" w:hAnsi="Times New Roman" w:cs="Times New Roman"/>
          <w:color w:val="000000" w:themeColor="text1"/>
          <w:sz w:val="24"/>
          <w:szCs w:val="24"/>
          <w:lang w:val="ru-RU" w:eastAsia="zh-CN" w:bidi="ar-SA"/>
        </w:rPr>
        <w:t>274</w:t>
      </w:r>
      <w:r>
        <w:rPr>
          <w:rFonts w:ascii="Times New Roman" w:eastAsia="Times New Roman" w:hAnsi="Times New Roman" w:cs="Times New Roman"/>
          <w:color w:val="000000" w:themeColor="text1"/>
          <w:sz w:val="24"/>
          <w:szCs w:val="24"/>
          <w:lang w:val="ru-RU" w:eastAsia="zh-CN" w:bidi="ar-SA"/>
        </w:rPr>
        <w:fldChar w:fldCharType="end"/>
      </w:r>
      <w:r>
        <w:rPr>
          <w:rFonts w:ascii="Times New Roman" w:eastAsia="Times New Roman" w:hAnsi="Times New Roman" w:cs="Times New Roman"/>
          <w:color w:val="000000" w:themeColor="text1"/>
          <w:sz w:val="24"/>
          <w:szCs w:val="24"/>
          <w:lang w:val="ru-RU" w:eastAsia="zh-CN" w:bidi="ar-SA"/>
        </w:rPr>
        <w:t>]</w:t>
      </w:r>
    </w:p>
    <w:p w14:paraId="0774EF7B" w14:textId="11DF6B33" w:rsidR="00E01178" w:rsidRPr="0065782D" w:rsidRDefault="0065782D">
      <w:pPr>
        <w:spacing w:after="0" w:line="360" w:lineRule="auto"/>
        <w:contextualSpacing/>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br w:type="page"/>
      </w:r>
    </w:p>
    <w:p w14:paraId="5DB5EA43" w14:textId="77777777" w:rsidR="00AE4368" w:rsidRDefault="002023F4" w:rsidP="0065782D">
      <w:pPr>
        <w:pStyle w:val="2"/>
        <w:spacing w:before="0" w:line="360" w:lineRule="auto"/>
        <w:contextualSpacing/>
        <w:rPr>
          <w:rFonts w:cs="Times New Roman"/>
          <w:sz w:val="24"/>
          <w:szCs w:val="24"/>
        </w:rPr>
      </w:pPr>
      <w:bookmarkStart w:id="216" w:name="_Toc136448492"/>
      <w:r>
        <w:rPr>
          <w:rFonts w:cs="Times New Roman"/>
          <w:sz w:val="24"/>
          <w:szCs w:val="24"/>
        </w:rPr>
        <w:lastRenderedPageBreak/>
        <w:t>Приложение 6</w:t>
      </w:r>
      <w:bookmarkEnd w:id="216"/>
      <w:r>
        <w:rPr>
          <w:rFonts w:cs="Times New Roman"/>
          <w:sz w:val="24"/>
          <w:szCs w:val="24"/>
        </w:rPr>
        <w:t xml:space="preserve"> </w:t>
      </w:r>
    </w:p>
    <w:p w14:paraId="526B4682" w14:textId="0542E191" w:rsidR="00AE4368" w:rsidRDefault="002023F4" w:rsidP="0065782D">
      <w:pPr>
        <w:pStyle w:val="aff6"/>
        <w:spacing w:before="0" w:beforeAutospacing="0" w:after="0"/>
      </w:pPr>
      <w:r w:rsidRPr="00A20449">
        <w:t xml:space="preserve">Таблица </w:t>
      </w:r>
      <w:r w:rsidR="006978F8">
        <w:t>8</w:t>
      </w:r>
      <w:r w:rsidRPr="00A20449">
        <w:t>. Наиболее крупные фондовые биржи мира в 2010</w:t>
      </w:r>
    </w:p>
    <w:tbl>
      <w:tblPr>
        <w:tblStyle w:val="aff5"/>
        <w:tblW w:w="9502" w:type="dxa"/>
        <w:tblLayout w:type="fixed"/>
        <w:tblLook w:val="04A0" w:firstRow="1" w:lastRow="0" w:firstColumn="1" w:lastColumn="0" w:noHBand="0" w:noVBand="1"/>
      </w:tblPr>
      <w:tblGrid>
        <w:gridCol w:w="473"/>
        <w:gridCol w:w="1620"/>
        <w:gridCol w:w="1949"/>
        <w:gridCol w:w="1440"/>
        <w:gridCol w:w="1616"/>
        <w:gridCol w:w="1257"/>
        <w:gridCol w:w="1147"/>
      </w:tblGrid>
      <w:tr w:rsidR="00AE4368" w:rsidRPr="00B05AAE" w14:paraId="5EB7CDDD" w14:textId="77777777">
        <w:tc>
          <w:tcPr>
            <w:tcW w:w="473" w:type="dxa"/>
          </w:tcPr>
          <w:p w14:paraId="787CC9BB" w14:textId="77777777" w:rsidR="00AE4368" w:rsidRDefault="00AE4368" w:rsidP="0065782D">
            <w:pPr>
              <w:spacing w:line="360" w:lineRule="auto"/>
              <w:contextualSpacing/>
              <w:rPr>
                <w:rFonts w:ascii="Times New Roman" w:hAnsi="Times New Roman" w:cs="Times New Roman"/>
                <w:sz w:val="24"/>
                <w:szCs w:val="24"/>
                <w:lang w:val="ru-RU"/>
              </w:rPr>
            </w:pPr>
          </w:p>
        </w:tc>
        <w:tc>
          <w:tcPr>
            <w:tcW w:w="1620" w:type="dxa"/>
          </w:tcPr>
          <w:p w14:paraId="66540956" w14:textId="77777777" w:rsidR="00AE4368" w:rsidRDefault="002023F4" w:rsidP="0065782D">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Страна</w:t>
            </w:r>
          </w:p>
        </w:tc>
        <w:tc>
          <w:tcPr>
            <w:tcW w:w="1949" w:type="dxa"/>
          </w:tcPr>
          <w:p w14:paraId="40F71291" w14:textId="77777777" w:rsidR="00AE4368" w:rsidRDefault="002023F4" w:rsidP="0065782D">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Название биржи</w:t>
            </w:r>
          </w:p>
        </w:tc>
        <w:tc>
          <w:tcPr>
            <w:tcW w:w="1440" w:type="dxa"/>
          </w:tcPr>
          <w:p w14:paraId="619014D9" w14:textId="77777777" w:rsidR="00AE4368" w:rsidRDefault="002023F4" w:rsidP="0065782D">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Рыночная капитализация на 31.12.2010 (млрд. долл. США)</w:t>
            </w:r>
          </w:p>
        </w:tc>
        <w:tc>
          <w:tcPr>
            <w:tcW w:w="1616" w:type="dxa"/>
          </w:tcPr>
          <w:p w14:paraId="6F7CB04E" w14:textId="77777777" w:rsidR="00AE4368" w:rsidRDefault="002023F4" w:rsidP="0065782D">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Изменение капитализации за год, %</w:t>
            </w:r>
          </w:p>
        </w:tc>
        <w:tc>
          <w:tcPr>
            <w:tcW w:w="1257" w:type="dxa"/>
          </w:tcPr>
          <w:p w14:paraId="1D849A9F" w14:textId="77777777" w:rsidR="00AE4368" w:rsidRDefault="002023F4" w:rsidP="0065782D">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Общая рыночная стоимость проданных в 2010 году акций и паев (млрд. долл. США)</w:t>
            </w:r>
          </w:p>
        </w:tc>
        <w:tc>
          <w:tcPr>
            <w:tcW w:w="1147" w:type="dxa"/>
          </w:tcPr>
          <w:p w14:paraId="032C8A07" w14:textId="77777777" w:rsidR="00AE4368" w:rsidRDefault="002023F4" w:rsidP="0065782D">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Прирост торгового оборота акций и паёв к 2009 году, %</w:t>
            </w:r>
          </w:p>
        </w:tc>
      </w:tr>
      <w:tr w:rsidR="00AE4368" w14:paraId="5566195F" w14:textId="77777777">
        <w:tc>
          <w:tcPr>
            <w:tcW w:w="473" w:type="dxa"/>
          </w:tcPr>
          <w:p w14:paraId="4C616E47"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620" w:type="dxa"/>
          </w:tcPr>
          <w:p w14:paraId="50D08637"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США, Европа</w:t>
            </w:r>
          </w:p>
        </w:tc>
        <w:tc>
          <w:tcPr>
            <w:tcW w:w="1949" w:type="dxa"/>
          </w:tcPr>
          <w:p w14:paraId="6AB9BF73" w14:textId="77777777" w:rsidR="00AE4368" w:rsidRDefault="002023F4">
            <w:pPr>
              <w:spacing w:line="360" w:lineRule="auto"/>
              <w:contextualSpacing/>
              <w:rPr>
                <w:rFonts w:ascii="Times New Roman" w:hAnsi="Times New Roman" w:cs="Times New Roman"/>
                <w:sz w:val="24"/>
                <w:szCs w:val="24"/>
                <w:lang w:eastAsia="zh-CN"/>
              </w:rPr>
            </w:pPr>
            <w:r>
              <w:rPr>
                <w:rFonts w:ascii="Times New Roman" w:hAnsi="Times New Roman" w:cs="Times New Roman"/>
                <w:sz w:val="24"/>
                <w:szCs w:val="24"/>
                <w:lang w:eastAsia="zh-CN"/>
              </w:rPr>
              <w:t>NYSE Euronext</w:t>
            </w:r>
          </w:p>
        </w:tc>
        <w:tc>
          <w:tcPr>
            <w:tcW w:w="1440" w:type="dxa"/>
            <w:vAlign w:val="center"/>
          </w:tcPr>
          <w:p w14:paraId="72F285F3"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15970</w:t>
            </w:r>
          </w:p>
        </w:tc>
        <w:tc>
          <w:tcPr>
            <w:tcW w:w="1616" w:type="dxa"/>
            <w:vAlign w:val="center"/>
          </w:tcPr>
          <w:p w14:paraId="5D09C00C"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1257" w:type="dxa"/>
            <w:vAlign w:val="center"/>
          </w:tcPr>
          <w:p w14:paraId="5A198777"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19818</w:t>
            </w:r>
          </w:p>
        </w:tc>
        <w:tc>
          <w:tcPr>
            <w:tcW w:w="1147" w:type="dxa"/>
            <w:vAlign w:val="center"/>
          </w:tcPr>
          <w:p w14:paraId="206ECAC8"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r>
      <w:tr w:rsidR="00AE4368" w14:paraId="0D66FDA2" w14:textId="77777777">
        <w:tc>
          <w:tcPr>
            <w:tcW w:w="473" w:type="dxa"/>
          </w:tcPr>
          <w:p w14:paraId="48E82CA0"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620" w:type="dxa"/>
          </w:tcPr>
          <w:p w14:paraId="0E04CB2C"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США, Европа</w:t>
            </w:r>
          </w:p>
        </w:tc>
        <w:tc>
          <w:tcPr>
            <w:tcW w:w="1949" w:type="dxa"/>
          </w:tcPr>
          <w:p w14:paraId="68F310AD"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Национальная электронная фондовая биржа (</w:t>
            </w:r>
            <w:r>
              <w:rPr>
                <w:rFonts w:ascii="Times New Roman" w:hAnsi="Times New Roman" w:cs="Times New Roman"/>
                <w:sz w:val="24"/>
                <w:szCs w:val="24"/>
              </w:rPr>
              <w:t>NASDAQ</w:t>
            </w:r>
            <w:r>
              <w:rPr>
                <w:rFonts w:ascii="Times New Roman" w:hAnsi="Times New Roman" w:cs="Times New Roman"/>
                <w:sz w:val="24"/>
                <w:szCs w:val="24"/>
                <w:lang w:val="ru-RU"/>
              </w:rPr>
              <w:t xml:space="preserve"> </w:t>
            </w:r>
            <w:r>
              <w:rPr>
                <w:rFonts w:ascii="Times New Roman" w:hAnsi="Times New Roman" w:cs="Times New Roman"/>
                <w:sz w:val="24"/>
                <w:szCs w:val="24"/>
              </w:rPr>
              <w:t>OMQ</w:t>
            </w:r>
            <w:r>
              <w:rPr>
                <w:rFonts w:ascii="Times New Roman" w:hAnsi="Times New Roman" w:cs="Times New Roman"/>
                <w:sz w:val="24"/>
                <w:szCs w:val="24"/>
                <w:lang w:val="ru-RU"/>
              </w:rPr>
              <w:t>)</w:t>
            </w:r>
          </w:p>
        </w:tc>
        <w:tc>
          <w:tcPr>
            <w:tcW w:w="1440" w:type="dxa"/>
            <w:vAlign w:val="center"/>
          </w:tcPr>
          <w:p w14:paraId="4FD3B7CE"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4931</w:t>
            </w:r>
          </w:p>
        </w:tc>
        <w:tc>
          <w:tcPr>
            <w:tcW w:w="1616" w:type="dxa"/>
            <w:vAlign w:val="center"/>
          </w:tcPr>
          <w:p w14:paraId="083F3673"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+21,6</w:t>
            </w:r>
          </w:p>
        </w:tc>
        <w:tc>
          <w:tcPr>
            <w:tcW w:w="1257" w:type="dxa"/>
            <w:vAlign w:val="center"/>
          </w:tcPr>
          <w:p w14:paraId="7C18A0BB"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13409</w:t>
            </w:r>
          </w:p>
        </w:tc>
        <w:tc>
          <w:tcPr>
            <w:tcW w:w="1147" w:type="dxa"/>
            <w:vAlign w:val="center"/>
          </w:tcPr>
          <w:p w14:paraId="57DB26A9"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-6,0</w:t>
            </w:r>
          </w:p>
        </w:tc>
      </w:tr>
      <w:tr w:rsidR="00AE4368" w14:paraId="43D1D257" w14:textId="77777777">
        <w:tc>
          <w:tcPr>
            <w:tcW w:w="473" w:type="dxa"/>
          </w:tcPr>
          <w:p w14:paraId="431CFA55"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620" w:type="dxa"/>
          </w:tcPr>
          <w:p w14:paraId="49BC577C"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Япония</w:t>
            </w:r>
          </w:p>
        </w:tc>
        <w:tc>
          <w:tcPr>
            <w:tcW w:w="1949" w:type="dxa"/>
          </w:tcPr>
          <w:p w14:paraId="59750A42"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Токийская фондовая биржа</w:t>
            </w:r>
          </w:p>
        </w:tc>
        <w:tc>
          <w:tcPr>
            <w:tcW w:w="1440" w:type="dxa"/>
            <w:vAlign w:val="center"/>
          </w:tcPr>
          <w:p w14:paraId="7A177A7D"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3827</w:t>
            </w:r>
          </w:p>
        </w:tc>
        <w:tc>
          <w:tcPr>
            <w:tcW w:w="1616" w:type="dxa"/>
            <w:vAlign w:val="center"/>
          </w:tcPr>
          <w:p w14:paraId="71C2F88E"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+15,8</w:t>
            </w:r>
          </w:p>
        </w:tc>
        <w:tc>
          <w:tcPr>
            <w:tcW w:w="1257" w:type="dxa"/>
            <w:vAlign w:val="center"/>
          </w:tcPr>
          <w:p w14:paraId="5FC65632"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3793</w:t>
            </w:r>
          </w:p>
        </w:tc>
        <w:tc>
          <w:tcPr>
            <w:tcW w:w="1147" w:type="dxa"/>
            <w:vAlign w:val="center"/>
          </w:tcPr>
          <w:p w14:paraId="56E5AAAF"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r>
      <w:tr w:rsidR="00AE4368" w14:paraId="48A53EC8" w14:textId="77777777">
        <w:tc>
          <w:tcPr>
            <w:tcW w:w="473" w:type="dxa"/>
          </w:tcPr>
          <w:p w14:paraId="637F3A7B"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620" w:type="dxa"/>
          </w:tcPr>
          <w:p w14:paraId="22F36996"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Великобритания</w:t>
            </w:r>
          </w:p>
        </w:tc>
        <w:tc>
          <w:tcPr>
            <w:tcW w:w="1949" w:type="dxa"/>
          </w:tcPr>
          <w:p w14:paraId="6F265E5B"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Лондонская фондовая биржа</w:t>
            </w:r>
          </w:p>
        </w:tc>
        <w:tc>
          <w:tcPr>
            <w:tcW w:w="1440" w:type="dxa"/>
            <w:vAlign w:val="center"/>
          </w:tcPr>
          <w:p w14:paraId="2DFEB21C"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3613</w:t>
            </w:r>
          </w:p>
        </w:tc>
        <w:tc>
          <w:tcPr>
            <w:tcW w:w="1616" w:type="dxa"/>
            <w:vAlign w:val="center"/>
          </w:tcPr>
          <w:p w14:paraId="1F03A920"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1257" w:type="dxa"/>
            <w:vAlign w:val="center"/>
          </w:tcPr>
          <w:p w14:paraId="6A7BF901"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2750</w:t>
            </w:r>
          </w:p>
        </w:tc>
        <w:tc>
          <w:tcPr>
            <w:tcW w:w="1147" w:type="dxa"/>
            <w:vAlign w:val="center"/>
          </w:tcPr>
          <w:p w14:paraId="310C8709"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+7,7</w:t>
            </w:r>
          </w:p>
        </w:tc>
      </w:tr>
      <w:tr w:rsidR="00AE4368" w14:paraId="615E884A" w14:textId="77777777">
        <w:tc>
          <w:tcPr>
            <w:tcW w:w="473" w:type="dxa"/>
          </w:tcPr>
          <w:p w14:paraId="066668AF"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1620" w:type="dxa"/>
          </w:tcPr>
          <w:p w14:paraId="21CAB5E0"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Китай</w:t>
            </w:r>
          </w:p>
        </w:tc>
        <w:tc>
          <w:tcPr>
            <w:tcW w:w="1949" w:type="dxa"/>
          </w:tcPr>
          <w:p w14:paraId="78B023F8"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Шанхайская фондовая биржа</w:t>
            </w:r>
          </w:p>
        </w:tc>
        <w:tc>
          <w:tcPr>
            <w:tcW w:w="1440" w:type="dxa"/>
            <w:vAlign w:val="center"/>
          </w:tcPr>
          <w:p w14:paraId="1860D9E2"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2717</w:t>
            </w:r>
          </w:p>
        </w:tc>
        <w:tc>
          <w:tcPr>
            <w:tcW w:w="1616" w:type="dxa"/>
            <w:vAlign w:val="center"/>
          </w:tcPr>
          <w:p w14:paraId="56935F15"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+0,4</w:t>
            </w:r>
          </w:p>
        </w:tc>
        <w:tc>
          <w:tcPr>
            <w:tcW w:w="1257" w:type="dxa"/>
            <w:vAlign w:val="center"/>
          </w:tcPr>
          <w:p w14:paraId="6EB39A5E"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4486</w:t>
            </w:r>
          </w:p>
        </w:tc>
        <w:tc>
          <w:tcPr>
            <w:tcW w:w="1147" w:type="dxa"/>
            <w:vAlign w:val="center"/>
          </w:tcPr>
          <w:p w14:paraId="7B35FE02"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-11,3</w:t>
            </w:r>
          </w:p>
        </w:tc>
      </w:tr>
      <w:tr w:rsidR="00AE4368" w14:paraId="1AF2C839" w14:textId="77777777">
        <w:tc>
          <w:tcPr>
            <w:tcW w:w="473" w:type="dxa"/>
          </w:tcPr>
          <w:p w14:paraId="029F5893"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1620" w:type="dxa"/>
          </w:tcPr>
          <w:p w14:paraId="3615C323"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Гонконг</w:t>
            </w:r>
          </w:p>
        </w:tc>
        <w:tc>
          <w:tcPr>
            <w:tcW w:w="1949" w:type="dxa"/>
          </w:tcPr>
          <w:p w14:paraId="7BEBF758"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Гонконгская фондовая биржа</w:t>
            </w:r>
          </w:p>
        </w:tc>
        <w:tc>
          <w:tcPr>
            <w:tcW w:w="1440" w:type="dxa"/>
            <w:vAlign w:val="center"/>
          </w:tcPr>
          <w:p w14:paraId="267CF5D0"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2711</w:t>
            </w:r>
          </w:p>
        </w:tc>
        <w:tc>
          <w:tcPr>
            <w:tcW w:w="1616" w:type="dxa"/>
            <w:vAlign w:val="center"/>
          </w:tcPr>
          <w:p w14:paraId="22EEF65E"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+17,6</w:t>
            </w:r>
          </w:p>
        </w:tc>
        <w:tc>
          <w:tcPr>
            <w:tcW w:w="1257" w:type="dxa"/>
            <w:vAlign w:val="center"/>
          </w:tcPr>
          <w:p w14:paraId="446E4AC4"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1496</w:t>
            </w:r>
          </w:p>
        </w:tc>
        <w:tc>
          <w:tcPr>
            <w:tcW w:w="1147" w:type="dxa"/>
            <w:vAlign w:val="center"/>
          </w:tcPr>
          <w:p w14:paraId="56371A24"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+5,6</w:t>
            </w:r>
          </w:p>
        </w:tc>
      </w:tr>
      <w:tr w:rsidR="00AE4368" w14:paraId="23C6E53C" w14:textId="77777777">
        <w:tc>
          <w:tcPr>
            <w:tcW w:w="473" w:type="dxa"/>
          </w:tcPr>
          <w:p w14:paraId="6EF7F0D2"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1620" w:type="dxa"/>
          </w:tcPr>
          <w:p w14:paraId="38DE9862"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Канада</w:t>
            </w:r>
          </w:p>
        </w:tc>
        <w:tc>
          <w:tcPr>
            <w:tcW w:w="1949" w:type="dxa"/>
          </w:tcPr>
          <w:p w14:paraId="4E88B740" w14:textId="77777777" w:rsidR="00AE4368" w:rsidRDefault="002023F4">
            <w:pPr>
              <w:spacing w:line="360" w:lineRule="auto"/>
              <w:contextualSpacing/>
              <w:rPr>
                <w:rFonts w:ascii="Times New Roman" w:hAnsi="Times New Roman" w:cs="Times New Roman"/>
                <w:sz w:val="24"/>
                <w:szCs w:val="24"/>
                <w:lang w:val="ru-RU"/>
              </w:rPr>
            </w:pPr>
            <w:proofErr w:type="spellStart"/>
            <w:r>
              <w:rPr>
                <w:rFonts w:ascii="Times New Roman" w:hAnsi="Times New Roman" w:cs="Times New Roman"/>
                <w:sz w:val="24"/>
                <w:szCs w:val="24"/>
                <w:lang w:val="ru-RU"/>
              </w:rPr>
              <w:t>Фодовая</w:t>
            </w:r>
            <w:proofErr w:type="spellEnd"/>
            <w:r>
              <w:rPr>
                <w:rFonts w:ascii="Times New Roman" w:hAnsi="Times New Roman" w:cs="Times New Roman"/>
                <w:sz w:val="24"/>
                <w:szCs w:val="24"/>
                <w:lang w:val="ru-RU"/>
              </w:rPr>
              <w:t xml:space="preserve"> биржа Торонто (</w:t>
            </w:r>
            <w:r>
              <w:rPr>
                <w:rFonts w:ascii="Times New Roman" w:hAnsi="Times New Roman" w:cs="Times New Roman"/>
                <w:sz w:val="24"/>
                <w:szCs w:val="24"/>
              </w:rPr>
              <w:t>TSX</w:t>
            </w:r>
            <w:r>
              <w:rPr>
                <w:rFonts w:ascii="Times New Roman" w:hAnsi="Times New Roman" w:cs="Times New Roman"/>
                <w:sz w:val="24"/>
                <w:szCs w:val="24"/>
                <w:lang w:val="ru-RU"/>
              </w:rPr>
              <w:t xml:space="preserve"> </w:t>
            </w:r>
            <w:r>
              <w:rPr>
                <w:rFonts w:ascii="Times New Roman" w:hAnsi="Times New Roman" w:cs="Times New Roman"/>
                <w:sz w:val="24"/>
                <w:szCs w:val="24"/>
              </w:rPr>
              <w:t>group</w:t>
            </w:r>
            <w:r>
              <w:rPr>
                <w:rFonts w:ascii="Times New Roman" w:hAnsi="Times New Roman" w:cs="Times New Roman"/>
                <w:sz w:val="24"/>
                <w:szCs w:val="24"/>
                <w:lang w:val="ru-RU"/>
              </w:rPr>
              <w:t>)</w:t>
            </w:r>
          </w:p>
        </w:tc>
        <w:tc>
          <w:tcPr>
            <w:tcW w:w="1440" w:type="dxa"/>
            <w:vAlign w:val="center"/>
          </w:tcPr>
          <w:p w14:paraId="6DEAEF4F"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2170</w:t>
            </w:r>
          </w:p>
        </w:tc>
        <w:tc>
          <w:tcPr>
            <w:tcW w:w="1616" w:type="dxa"/>
            <w:vAlign w:val="center"/>
          </w:tcPr>
          <w:p w14:paraId="68EB9A77"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1257" w:type="dxa"/>
            <w:vAlign w:val="center"/>
          </w:tcPr>
          <w:p w14:paraId="3191AF4F"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1366</w:t>
            </w:r>
          </w:p>
        </w:tc>
        <w:tc>
          <w:tcPr>
            <w:tcW w:w="1147" w:type="dxa"/>
            <w:vAlign w:val="center"/>
          </w:tcPr>
          <w:p w14:paraId="3CFF28A4"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+10,2</w:t>
            </w:r>
          </w:p>
        </w:tc>
      </w:tr>
      <w:tr w:rsidR="00AE4368" w14:paraId="09609056" w14:textId="77777777">
        <w:tc>
          <w:tcPr>
            <w:tcW w:w="473" w:type="dxa"/>
          </w:tcPr>
          <w:p w14:paraId="2054F77B"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lastRenderedPageBreak/>
              <w:t>8</w:t>
            </w:r>
          </w:p>
        </w:tc>
        <w:tc>
          <w:tcPr>
            <w:tcW w:w="1620" w:type="dxa"/>
          </w:tcPr>
          <w:p w14:paraId="76A6E480"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Индия</w:t>
            </w:r>
          </w:p>
        </w:tc>
        <w:tc>
          <w:tcPr>
            <w:tcW w:w="1949" w:type="dxa"/>
          </w:tcPr>
          <w:p w14:paraId="7B98F2E4"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Бомбейская фондовая биржа</w:t>
            </w:r>
          </w:p>
        </w:tc>
        <w:tc>
          <w:tcPr>
            <w:tcW w:w="1440" w:type="dxa"/>
            <w:vAlign w:val="center"/>
          </w:tcPr>
          <w:p w14:paraId="35AB005A"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1631</w:t>
            </w:r>
          </w:p>
        </w:tc>
        <w:tc>
          <w:tcPr>
            <w:tcW w:w="1616" w:type="dxa"/>
            <w:vAlign w:val="center"/>
          </w:tcPr>
          <w:p w14:paraId="7C394958"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+30,4</w:t>
            </w:r>
          </w:p>
        </w:tc>
        <w:tc>
          <w:tcPr>
            <w:tcW w:w="1257" w:type="dxa"/>
            <w:vAlign w:val="center"/>
          </w:tcPr>
          <w:p w14:paraId="3CBFAE34"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258</w:t>
            </w:r>
          </w:p>
        </w:tc>
        <w:tc>
          <w:tcPr>
            <w:tcW w:w="1147" w:type="dxa"/>
            <w:vAlign w:val="center"/>
          </w:tcPr>
          <w:p w14:paraId="208AD6D6" w14:textId="77777777" w:rsidR="00AE4368" w:rsidRDefault="00AE4368">
            <w:pPr>
              <w:spacing w:line="360" w:lineRule="auto"/>
              <w:contextualSpacing/>
              <w:jc w:val="center"/>
              <w:rPr>
                <w:rFonts w:ascii="Times New Roman" w:hAnsi="Times New Roman" w:cs="Times New Roman"/>
                <w:sz w:val="24"/>
                <w:szCs w:val="24"/>
                <w:lang w:val="ru-RU"/>
              </w:rPr>
            </w:pPr>
          </w:p>
        </w:tc>
      </w:tr>
      <w:tr w:rsidR="00AE4368" w14:paraId="570641BE" w14:textId="77777777">
        <w:tc>
          <w:tcPr>
            <w:tcW w:w="473" w:type="dxa"/>
          </w:tcPr>
          <w:p w14:paraId="588DD662"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1620" w:type="dxa"/>
          </w:tcPr>
          <w:p w14:paraId="54664EB5"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Индия</w:t>
            </w:r>
          </w:p>
        </w:tc>
        <w:tc>
          <w:tcPr>
            <w:tcW w:w="1949" w:type="dxa"/>
          </w:tcPr>
          <w:p w14:paraId="73E65F2D"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Национальная фондовая биржа Индии</w:t>
            </w:r>
          </w:p>
        </w:tc>
        <w:tc>
          <w:tcPr>
            <w:tcW w:w="1440" w:type="dxa"/>
            <w:vAlign w:val="center"/>
          </w:tcPr>
          <w:p w14:paraId="67DE30FD"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1596</w:t>
            </w:r>
          </w:p>
        </w:tc>
        <w:tc>
          <w:tcPr>
            <w:tcW w:w="1616" w:type="dxa"/>
            <w:vAlign w:val="center"/>
          </w:tcPr>
          <w:p w14:paraId="520A4CA0"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+15,6</w:t>
            </w:r>
          </w:p>
        </w:tc>
        <w:tc>
          <w:tcPr>
            <w:tcW w:w="1257" w:type="dxa"/>
            <w:vAlign w:val="center"/>
          </w:tcPr>
          <w:p w14:paraId="702A737C"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799</w:t>
            </w:r>
          </w:p>
        </w:tc>
        <w:tc>
          <w:tcPr>
            <w:tcW w:w="1147" w:type="dxa"/>
            <w:vAlign w:val="center"/>
          </w:tcPr>
          <w:p w14:paraId="279D4253"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r>
      <w:tr w:rsidR="00AE4368" w14:paraId="00113970" w14:textId="77777777">
        <w:tc>
          <w:tcPr>
            <w:tcW w:w="473" w:type="dxa"/>
          </w:tcPr>
          <w:p w14:paraId="2614FCD4"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1620" w:type="dxa"/>
          </w:tcPr>
          <w:p w14:paraId="0E340C96"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Бразилия</w:t>
            </w:r>
          </w:p>
        </w:tc>
        <w:tc>
          <w:tcPr>
            <w:tcW w:w="1949" w:type="dxa"/>
          </w:tcPr>
          <w:p w14:paraId="7DD3997A"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Фондовая биржа Сан-Паулу (</w:t>
            </w:r>
            <w:proofErr w:type="spellStart"/>
            <w:r>
              <w:rPr>
                <w:rFonts w:ascii="Times New Roman" w:hAnsi="Times New Roman" w:cs="Times New Roman"/>
                <w:sz w:val="24"/>
                <w:szCs w:val="24"/>
                <w:lang w:val="ru-RU"/>
              </w:rPr>
              <w:t>Бовеспа</w:t>
            </w:r>
            <w:proofErr w:type="spellEnd"/>
            <w:r>
              <w:rPr>
                <w:rFonts w:ascii="Times New Roman" w:hAnsi="Times New Roman" w:cs="Times New Roman"/>
                <w:sz w:val="24"/>
                <w:szCs w:val="24"/>
                <w:lang w:val="ru-RU"/>
              </w:rPr>
              <w:t>)</w:t>
            </w:r>
          </w:p>
        </w:tc>
        <w:tc>
          <w:tcPr>
            <w:tcW w:w="1440" w:type="dxa"/>
            <w:vAlign w:val="center"/>
          </w:tcPr>
          <w:p w14:paraId="39B3C5FF"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1545</w:t>
            </w:r>
          </w:p>
        </w:tc>
        <w:tc>
          <w:tcPr>
            <w:tcW w:w="1616" w:type="dxa"/>
            <w:vAlign w:val="center"/>
          </w:tcPr>
          <w:p w14:paraId="40BF9809"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+15,3</w:t>
            </w:r>
          </w:p>
        </w:tc>
        <w:tc>
          <w:tcPr>
            <w:tcW w:w="1257" w:type="dxa"/>
            <w:vAlign w:val="center"/>
          </w:tcPr>
          <w:p w14:paraId="1138674A"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867</w:t>
            </w:r>
          </w:p>
        </w:tc>
        <w:tc>
          <w:tcPr>
            <w:tcW w:w="1147" w:type="dxa"/>
            <w:vAlign w:val="center"/>
          </w:tcPr>
          <w:p w14:paraId="3BDF4971"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+38,5</w:t>
            </w:r>
          </w:p>
        </w:tc>
      </w:tr>
      <w:tr w:rsidR="00AE4368" w14:paraId="408BA30E" w14:textId="77777777">
        <w:tc>
          <w:tcPr>
            <w:tcW w:w="473" w:type="dxa"/>
          </w:tcPr>
          <w:p w14:paraId="2FD538CF"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1620" w:type="dxa"/>
          </w:tcPr>
          <w:p w14:paraId="21F11CBE" w14:textId="77777777" w:rsidR="00AE4368" w:rsidRDefault="002023F4">
            <w:pPr>
              <w:spacing w:line="360" w:lineRule="auto"/>
              <w:contextualSpacing/>
              <w:rPr>
                <w:rFonts w:ascii="Times New Roman" w:hAnsi="Times New Roman" w:cs="Times New Roman"/>
                <w:sz w:val="24"/>
                <w:szCs w:val="24"/>
                <w:lang w:val="ru-RU"/>
              </w:rPr>
            </w:pPr>
            <w:proofErr w:type="spellStart"/>
            <w:r>
              <w:rPr>
                <w:rFonts w:ascii="Times New Roman" w:hAnsi="Times New Roman" w:cs="Times New Roman"/>
                <w:sz w:val="24"/>
                <w:szCs w:val="24"/>
                <w:lang w:val="ru-RU"/>
              </w:rPr>
              <w:t>Автралия</w:t>
            </w:r>
            <w:proofErr w:type="spellEnd"/>
          </w:p>
        </w:tc>
        <w:tc>
          <w:tcPr>
            <w:tcW w:w="1949" w:type="dxa"/>
          </w:tcPr>
          <w:p w14:paraId="39E86756"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Австралийская биржа ценных бумаг</w:t>
            </w:r>
          </w:p>
        </w:tc>
        <w:tc>
          <w:tcPr>
            <w:tcW w:w="1440" w:type="dxa"/>
            <w:vAlign w:val="center"/>
          </w:tcPr>
          <w:p w14:paraId="23D11E91"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1454</w:t>
            </w:r>
          </w:p>
        </w:tc>
        <w:tc>
          <w:tcPr>
            <w:tcW w:w="1616" w:type="dxa"/>
            <w:vAlign w:val="center"/>
          </w:tcPr>
          <w:p w14:paraId="288E6FBA"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+15,3</w:t>
            </w:r>
          </w:p>
        </w:tc>
        <w:tc>
          <w:tcPr>
            <w:tcW w:w="1257" w:type="dxa"/>
            <w:vAlign w:val="center"/>
          </w:tcPr>
          <w:p w14:paraId="7B60FE3F"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1062</w:t>
            </w:r>
          </w:p>
        </w:tc>
        <w:tc>
          <w:tcPr>
            <w:tcW w:w="1147" w:type="dxa"/>
            <w:vAlign w:val="center"/>
          </w:tcPr>
          <w:p w14:paraId="5306A242"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+37,8</w:t>
            </w:r>
          </w:p>
        </w:tc>
      </w:tr>
      <w:tr w:rsidR="00AE4368" w14:paraId="2B053CB1" w14:textId="77777777">
        <w:tc>
          <w:tcPr>
            <w:tcW w:w="473" w:type="dxa"/>
          </w:tcPr>
          <w:p w14:paraId="47FB2B33"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1620" w:type="dxa"/>
          </w:tcPr>
          <w:p w14:paraId="09B51893"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Германия</w:t>
            </w:r>
          </w:p>
        </w:tc>
        <w:tc>
          <w:tcPr>
            <w:tcW w:w="1949" w:type="dxa"/>
          </w:tcPr>
          <w:p w14:paraId="037C791A"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rPr>
              <w:t>Deutsche</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Boerse</w:t>
            </w:r>
            <w:proofErr w:type="spellEnd"/>
            <w:r>
              <w:rPr>
                <w:rFonts w:ascii="Times New Roman" w:hAnsi="Times New Roman" w:cs="Times New Roman"/>
                <w:sz w:val="24"/>
                <w:szCs w:val="24"/>
                <w:lang w:val="ru-RU"/>
              </w:rPr>
              <w:t xml:space="preserve"> (биржа во Франкфурте-на-Майне)</w:t>
            </w:r>
          </w:p>
        </w:tc>
        <w:tc>
          <w:tcPr>
            <w:tcW w:w="1440" w:type="dxa"/>
            <w:vAlign w:val="center"/>
          </w:tcPr>
          <w:p w14:paraId="593E88AD"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1429</w:t>
            </w:r>
          </w:p>
        </w:tc>
        <w:tc>
          <w:tcPr>
            <w:tcW w:w="1616" w:type="dxa"/>
            <w:vAlign w:val="center"/>
          </w:tcPr>
          <w:p w14:paraId="4F0E3175"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+10,6</w:t>
            </w:r>
          </w:p>
        </w:tc>
        <w:tc>
          <w:tcPr>
            <w:tcW w:w="1257" w:type="dxa"/>
            <w:vAlign w:val="center"/>
          </w:tcPr>
          <w:p w14:paraId="6E8C42D2"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1632</w:t>
            </w:r>
          </w:p>
        </w:tc>
        <w:tc>
          <w:tcPr>
            <w:tcW w:w="1147" w:type="dxa"/>
            <w:vAlign w:val="center"/>
          </w:tcPr>
          <w:p w14:paraId="15EC7305"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+14,4</w:t>
            </w:r>
          </w:p>
        </w:tc>
      </w:tr>
      <w:tr w:rsidR="00AE4368" w14:paraId="3D15B568" w14:textId="77777777">
        <w:tc>
          <w:tcPr>
            <w:tcW w:w="473" w:type="dxa"/>
          </w:tcPr>
          <w:p w14:paraId="02F61CC9"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1620" w:type="dxa"/>
          </w:tcPr>
          <w:p w14:paraId="36BAED43"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Китай</w:t>
            </w:r>
          </w:p>
        </w:tc>
        <w:tc>
          <w:tcPr>
            <w:tcW w:w="1949" w:type="dxa"/>
          </w:tcPr>
          <w:p w14:paraId="3C2CFD8E" w14:textId="77777777" w:rsidR="00AE4368" w:rsidRDefault="002023F4">
            <w:pPr>
              <w:spacing w:line="360" w:lineRule="auto"/>
              <w:contextualSpacing/>
              <w:rPr>
                <w:rFonts w:ascii="Times New Roman" w:hAnsi="Times New Roman" w:cs="Times New Roman"/>
                <w:sz w:val="24"/>
                <w:szCs w:val="24"/>
                <w:lang w:val="ru-RU"/>
              </w:rPr>
            </w:pPr>
            <w:proofErr w:type="spellStart"/>
            <w:r>
              <w:rPr>
                <w:rFonts w:ascii="Times New Roman" w:hAnsi="Times New Roman" w:cs="Times New Roman"/>
                <w:sz w:val="24"/>
                <w:szCs w:val="24"/>
                <w:lang w:val="ru-RU"/>
              </w:rPr>
              <w:t>Шэньчжэньская</w:t>
            </w:r>
            <w:proofErr w:type="spellEnd"/>
            <w:r>
              <w:rPr>
                <w:rFonts w:ascii="Times New Roman" w:hAnsi="Times New Roman" w:cs="Times New Roman"/>
                <w:sz w:val="24"/>
                <w:szCs w:val="24"/>
                <w:lang w:val="ru-RU"/>
              </w:rPr>
              <w:t xml:space="preserve"> фондовая биржа</w:t>
            </w:r>
          </w:p>
        </w:tc>
        <w:tc>
          <w:tcPr>
            <w:tcW w:w="1440" w:type="dxa"/>
            <w:vAlign w:val="center"/>
          </w:tcPr>
          <w:p w14:paraId="250815BE"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1311</w:t>
            </w:r>
          </w:p>
        </w:tc>
        <w:tc>
          <w:tcPr>
            <w:tcW w:w="1616" w:type="dxa"/>
            <w:vAlign w:val="center"/>
          </w:tcPr>
          <w:p w14:paraId="4236D5BE"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+51,0</w:t>
            </w:r>
          </w:p>
        </w:tc>
        <w:tc>
          <w:tcPr>
            <w:tcW w:w="1257" w:type="dxa"/>
            <w:vAlign w:val="center"/>
          </w:tcPr>
          <w:p w14:paraId="4CB2AAF2"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3564</w:t>
            </w:r>
          </w:p>
        </w:tc>
        <w:tc>
          <w:tcPr>
            <w:tcW w:w="1147" w:type="dxa"/>
            <w:vAlign w:val="center"/>
          </w:tcPr>
          <w:p w14:paraId="7D54E658"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+28,6</w:t>
            </w:r>
          </w:p>
        </w:tc>
      </w:tr>
      <w:tr w:rsidR="00AE4368" w14:paraId="1622D1AD" w14:textId="77777777">
        <w:tc>
          <w:tcPr>
            <w:tcW w:w="473" w:type="dxa"/>
          </w:tcPr>
          <w:p w14:paraId="04DD1EF1"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1620" w:type="dxa"/>
          </w:tcPr>
          <w:p w14:paraId="31F8B3F5"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Швейцария</w:t>
            </w:r>
          </w:p>
        </w:tc>
        <w:tc>
          <w:tcPr>
            <w:tcW w:w="1949" w:type="dxa"/>
          </w:tcPr>
          <w:p w14:paraId="2D1C7E85"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Швейцарская биржа (г. Цюрих)</w:t>
            </w:r>
          </w:p>
        </w:tc>
        <w:tc>
          <w:tcPr>
            <w:tcW w:w="1440" w:type="dxa"/>
            <w:vAlign w:val="center"/>
          </w:tcPr>
          <w:p w14:paraId="392E76DA"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1229</w:t>
            </w:r>
          </w:p>
        </w:tc>
        <w:tc>
          <w:tcPr>
            <w:tcW w:w="1616" w:type="dxa"/>
            <w:vAlign w:val="center"/>
          </w:tcPr>
          <w:p w14:paraId="46926E6C"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+15,5</w:t>
            </w:r>
          </w:p>
        </w:tc>
        <w:tc>
          <w:tcPr>
            <w:tcW w:w="1257" w:type="dxa"/>
            <w:vAlign w:val="center"/>
          </w:tcPr>
          <w:p w14:paraId="7AA30E48"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790</w:t>
            </w:r>
          </w:p>
        </w:tc>
        <w:tc>
          <w:tcPr>
            <w:tcW w:w="1147" w:type="dxa"/>
            <w:vAlign w:val="center"/>
          </w:tcPr>
          <w:p w14:paraId="5C67D352"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+11,3</w:t>
            </w:r>
          </w:p>
        </w:tc>
      </w:tr>
      <w:tr w:rsidR="00AE4368" w14:paraId="0631E8FE" w14:textId="77777777">
        <w:tc>
          <w:tcPr>
            <w:tcW w:w="473" w:type="dxa"/>
          </w:tcPr>
          <w:p w14:paraId="50D28801" w14:textId="77777777" w:rsidR="00AE4368" w:rsidRDefault="00AE4368">
            <w:pPr>
              <w:spacing w:line="360" w:lineRule="auto"/>
              <w:contextualSpacing/>
              <w:rPr>
                <w:rFonts w:ascii="Times New Roman" w:hAnsi="Times New Roman" w:cs="Times New Roman"/>
                <w:sz w:val="24"/>
                <w:szCs w:val="24"/>
                <w:lang w:val="ru-RU"/>
              </w:rPr>
            </w:pPr>
          </w:p>
          <w:p w14:paraId="37B86402"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1620" w:type="dxa"/>
          </w:tcPr>
          <w:p w14:paraId="37E16BCE" w14:textId="77777777" w:rsidR="00AE4368" w:rsidRDefault="00AE4368">
            <w:pPr>
              <w:spacing w:line="360" w:lineRule="auto"/>
              <w:contextualSpacing/>
              <w:rPr>
                <w:rFonts w:ascii="Times New Roman" w:hAnsi="Times New Roman" w:cs="Times New Roman"/>
                <w:sz w:val="24"/>
                <w:szCs w:val="24"/>
                <w:lang w:val="ru-RU"/>
              </w:rPr>
            </w:pPr>
          </w:p>
          <w:p w14:paraId="5DF197D3"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Испания</w:t>
            </w:r>
          </w:p>
        </w:tc>
        <w:tc>
          <w:tcPr>
            <w:tcW w:w="1949" w:type="dxa"/>
          </w:tcPr>
          <w:p w14:paraId="185A5943" w14:textId="77777777" w:rsidR="00AE4368" w:rsidRDefault="00AE4368">
            <w:pPr>
              <w:spacing w:line="360" w:lineRule="auto"/>
              <w:contextualSpacing/>
              <w:rPr>
                <w:rFonts w:ascii="Times New Roman" w:hAnsi="Times New Roman" w:cs="Times New Roman"/>
                <w:sz w:val="24"/>
                <w:szCs w:val="24"/>
                <w:lang w:val="ru-RU"/>
              </w:rPr>
            </w:pPr>
          </w:p>
          <w:p w14:paraId="5D1F307C"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Испанская фондовая биржа </w:t>
            </w:r>
            <w:r>
              <w:rPr>
                <w:rFonts w:ascii="Times New Roman" w:hAnsi="Times New Roman" w:cs="Times New Roman"/>
                <w:sz w:val="24"/>
                <w:szCs w:val="24"/>
              </w:rPr>
              <w:t>BME</w:t>
            </w:r>
            <w:r>
              <w:rPr>
                <w:rFonts w:ascii="Times New Roman" w:hAnsi="Times New Roman" w:cs="Times New Roman"/>
                <w:sz w:val="24"/>
                <w:szCs w:val="24"/>
                <w:lang w:val="ru-RU"/>
              </w:rPr>
              <w:t xml:space="preserve"> </w:t>
            </w:r>
            <w:r>
              <w:rPr>
                <w:rFonts w:ascii="Times New Roman" w:hAnsi="Times New Roman" w:cs="Times New Roman"/>
                <w:sz w:val="24"/>
                <w:szCs w:val="24"/>
              </w:rPr>
              <w:t>Spanish</w:t>
            </w:r>
          </w:p>
        </w:tc>
        <w:tc>
          <w:tcPr>
            <w:tcW w:w="1440" w:type="dxa"/>
            <w:vAlign w:val="center"/>
          </w:tcPr>
          <w:p w14:paraId="1093FA63" w14:textId="77777777" w:rsidR="00AE4368" w:rsidRDefault="00AE4368">
            <w:pPr>
              <w:spacing w:line="360" w:lineRule="auto"/>
              <w:contextualSpacing/>
              <w:jc w:val="center"/>
              <w:rPr>
                <w:rFonts w:ascii="Times New Roman" w:hAnsi="Times New Roman" w:cs="Times New Roman"/>
                <w:sz w:val="24"/>
                <w:szCs w:val="24"/>
                <w:lang w:val="ru-RU"/>
              </w:rPr>
            </w:pPr>
          </w:p>
          <w:p w14:paraId="17F96CAD"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1171</w:t>
            </w:r>
          </w:p>
        </w:tc>
        <w:tc>
          <w:tcPr>
            <w:tcW w:w="1616" w:type="dxa"/>
            <w:vAlign w:val="center"/>
          </w:tcPr>
          <w:p w14:paraId="56CAF1FA" w14:textId="77777777" w:rsidR="00AE4368" w:rsidRDefault="00AE4368">
            <w:pPr>
              <w:spacing w:line="360" w:lineRule="auto"/>
              <w:contextualSpacing/>
              <w:jc w:val="center"/>
              <w:rPr>
                <w:rFonts w:ascii="Times New Roman" w:hAnsi="Times New Roman" w:cs="Times New Roman"/>
                <w:sz w:val="24"/>
                <w:szCs w:val="24"/>
                <w:lang w:val="ru-RU"/>
              </w:rPr>
            </w:pPr>
          </w:p>
          <w:p w14:paraId="42B1E873"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-18,3</w:t>
            </w:r>
          </w:p>
        </w:tc>
        <w:tc>
          <w:tcPr>
            <w:tcW w:w="1257" w:type="dxa"/>
            <w:vAlign w:val="center"/>
          </w:tcPr>
          <w:p w14:paraId="3E2F5B72" w14:textId="77777777" w:rsidR="00AE4368" w:rsidRDefault="00AE4368">
            <w:pPr>
              <w:spacing w:line="360" w:lineRule="auto"/>
              <w:contextualSpacing/>
              <w:jc w:val="center"/>
              <w:rPr>
                <w:rFonts w:ascii="Times New Roman" w:hAnsi="Times New Roman" w:cs="Times New Roman"/>
                <w:sz w:val="24"/>
                <w:szCs w:val="24"/>
                <w:lang w:val="ru-RU"/>
              </w:rPr>
            </w:pPr>
          </w:p>
          <w:p w14:paraId="39D3EBD2"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1360</w:t>
            </w:r>
          </w:p>
        </w:tc>
        <w:tc>
          <w:tcPr>
            <w:tcW w:w="1147" w:type="dxa"/>
            <w:vAlign w:val="center"/>
          </w:tcPr>
          <w:p w14:paraId="120AB51A" w14:textId="77777777" w:rsidR="00AE4368" w:rsidRDefault="00AE4368">
            <w:pPr>
              <w:spacing w:line="360" w:lineRule="auto"/>
              <w:contextualSpacing/>
              <w:jc w:val="center"/>
              <w:rPr>
                <w:rFonts w:ascii="Times New Roman" w:hAnsi="Times New Roman" w:cs="Times New Roman"/>
                <w:sz w:val="24"/>
                <w:szCs w:val="24"/>
                <w:lang w:val="ru-RU"/>
              </w:rPr>
            </w:pPr>
          </w:p>
          <w:p w14:paraId="3FD269CE"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+15,2</w:t>
            </w:r>
          </w:p>
        </w:tc>
      </w:tr>
      <w:tr w:rsidR="00AE4368" w14:paraId="37A81B97" w14:textId="77777777">
        <w:tc>
          <w:tcPr>
            <w:tcW w:w="473" w:type="dxa"/>
          </w:tcPr>
          <w:p w14:paraId="43C413FE"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1620" w:type="dxa"/>
          </w:tcPr>
          <w:p w14:paraId="543FC832"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Южная Корея</w:t>
            </w:r>
          </w:p>
        </w:tc>
        <w:tc>
          <w:tcPr>
            <w:tcW w:w="1949" w:type="dxa"/>
          </w:tcPr>
          <w:p w14:paraId="2DF00699"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Корейская биржа (</w:t>
            </w:r>
            <w:r>
              <w:rPr>
                <w:rFonts w:ascii="Times New Roman" w:hAnsi="Times New Roman" w:cs="Times New Roman"/>
                <w:sz w:val="24"/>
                <w:szCs w:val="24"/>
              </w:rPr>
              <w:t>KRX</w:t>
            </w:r>
            <w:r>
              <w:rPr>
                <w:rFonts w:ascii="Times New Roman" w:hAnsi="Times New Roman" w:cs="Times New Roman"/>
                <w:sz w:val="24"/>
                <w:szCs w:val="24"/>
                <w:lang w:val="ru-RU"/>
              </w:rPr>
              <w:t>), г. Пусан</w:t>
            </w:r>
          </w:p>
        </w:tc>
        <w:tc>
          <w:tcPr>
            <w:tcW w:w="1440" w:type="dxa"/>
            <w:vAlign w:val="center"/>
          </w:tcPr>
          <w:p w14:paraId="6C39ECA7"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1091</w:t>
            </w:r>
          </w:p>
        </w:tc>
        <w:tc>
          <w:tcPr>
            <w:tcW w:w="1616" w:type="dxa"/>
            <w:vAlign w:val="center"/>
          </w:tcPr>
          <w:p w14:paraId="0538B10B"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-18,3</w:t>
            </w:r>
          </w:p>
        </w:tc>
        <w:tc>
          <w:tcPr>
            <w:tcW w:w="1257" w:type="dxa"/>
            <w:vAlign w:val="center"/>
          </w:tcPr>
          <w:p w14:paraId="6AEC9589"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1360</w:t>
            </w:r>
          </w:p>
        </w:tc>
        <w:tc>
          <w:tcPr>
            <w:tcW w:w="1147" w:type="dxa"/>
            <w:vAlign w:val="center"/>
          </w:tcPr>
          <w:p w14:paraId="11319EDC"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r>
      <w:tr w:rsidR="00AE4368" w14:paraId="153BE877" w14:textId="77777777">
        <w:tc>
          <w:tcPr>
            <w:tcW w:w="473" w:type="dxa"/>
          </w:tcPr>
          <w:p w14:paraId="47373623"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1620" w:type="dxa"/>
          </w:tcPr>
          <w:p w14:paraId="2C24C517"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Россия</w:t>
            </w:r>
          </w:p>
        </w:tc>
        <w:tc>
          <w:tcPr>
            <w:tcW w:w="1949" w:type="dxa"/>
          </w:tcPr>
          <w:p w14:paraId="19A9DE2C"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Московская межбанковская валютная биржа (ММВБ)</w:t>
            </w:r>
          </w:p>
        </w:tc>
        <w:tc>
          <w:tcPr>
            <w:tcW w:w="1440" w:type="dxa"/>
            <w:vAlign w:val="center"/>
          </w:tcPr>
          <w:p w14:paraId="24BCF728"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949</w:t>
            </w:r>
          </w:p>
        </w:tc>
        <w:tc>
          <w:tcPr>
            <w:tcW w:w="1616" w:type="dxa"/>
            <w:vAlign w:val="center"/>
          </w:tcPr>
          <w:p w14:paraId="006283B7"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+28,9</w:t>
            </w:r>
          </w:p>
        </w:tc>
        <w:tc>
          <w:tcPr>
            <w:tcW w:w="1257" w:type="dxa"/>
            <w:vAlign w:val="center"/>
          </w:tcPr>
          <w:p w14:paraId="5E63B036"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408</w:t>
            </w:r>
          </w:p>
        </w:tc>
        <w:tc>
          <w:tcPr>
            <w:tcW w:w="1147" w:type="dxa"/>
            <w:vAlign w:val="center"/>
          </w:tcPr>
          <w:p w14:paraId="316BF251"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-6,0</w:t>
            </w:r>
          </w:p>
        </w:tc>
      </w:tr>
      <w:tr w:rsidR="00AE4368" w14:paraId="7C4DD2E6" w14:textId="77777777">
        <w:tc>
          <w:tcPr>
            <w:tcW w:w="473" w:type="dxa"/>
          </w:tcPr>
          <w:p w14:paraId="3651EB4F"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lastRenderedPageBreak/>
              <w:t>18</w:t>
            </w:r>
          </w:p>
        </w:tc>
        <w:tc>
          <w:tcPr>
            <w:tcW w:w="1620" w:type="dxa"/>
          </w:tcPr>
          <w:p w14:paraId="7FBCF383"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ЮАР</w:t>
            </w:r>
          </w:p>
        </w:tc>
        <w:tc>
          <w:tcPr>
            <w:tcW w:w="1949" w:type="dxa"/>
          </w:tcPr>
          <w:p w14:paraId="0ED6E32D" w14:textId="77777777" w:rsidR="00AE4368" w:rsidRDefault="002023F4">
            <w:pPr>
              <w:spacing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Йоханнесбургская фондовая биржа </w:t>
            </w:r>
          </w:p>
        </w:tc>
        <w:tc>
          <w:tcPr>
            <w:tcW w:w="1440" w:type="dxa"/>
            <w:vAlign w:val="center"/>
          </w:tcPr>
          <w:p w14:paraId="64D5EF1E"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925</w:t>
            </w:r>
          </w:p>
        </w:tc>
        <w:tc>
          <w:tcPr>
            <w:tcW w:w="1616" w:type="dxa"/>
            <w:vAlign w:val="center"/>
          </w:tcPr>
          <w:p w14:paraId="7E432D75"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+15,8</w:t>
            </w:r>
          </w:p>
        </w:tc>
        <w:tc>
          <w:tcPr>
            <w:tcW w:w="1257" w:type="dxa"/>
            <w:vAlign w:val="center"/>
          </w:tcPr>
          <w:p w14:paraId="7233E05B"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340</w:t>
            </w:r>
          </w:p>
        </w:tc>
        <w:tc>
          <w:tcPr>
            <w:tcW w:w="1147" w:type="dxa"/>
            <w:vAlign w:val="center"/>
          </w:tcPr>
          <w:p w14:paraId="4B32F0D4" w14:textId="77777777" w:rsidR="00AE4368" w:rsidRDefault="002023F4">
            <w:pPr>
              <w:spacing w:line="36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+27,7</w:t>
            </w:r>
          </w:p>
        </w:tc>
      </w:tr>
    </w:tbl>
    <w:p w14:paraId="50A0B23F" w14:textId="77777777" w:rsidR="00AE4368" w:rsidRDefault="00AE4368">
      <w:pPr>
        <w:spacing w:after="0" w:line="360" w:lineRule="auto"/>
        <w:contextualSpacing/>
        <w:rPr>
          <w:rFonts w:ascii="Times New Roman" w:hAnsi="Times New Roman" w:cs="Times New Roman"/>
          <w:sz w:val="24"/>
          <w:szCs w:val="24"/>
          <w:lang w:val="ru-RU"/>
        </w:rPr>
      </w:pPr>
    </w:p>
    <w:p w14:paraId="3FE2FBEB" w14:textId="7DB11A78" w:rsidR="00AE4368" w:rsidRDefault="002023F4">
      <w:pPr>
        <w:tabs>
          <w:tab w:val="left" w:pos="993"/>
        </w:tabs>
        <w:spacing w:after="0" w:line="360" w:lineRule="auto"/>
        <w:contextualSpacing/>
        <w:jc w:val="both"/>
        <w:rPr>
          <w:rFonts w:ascii="Times New Roman" w:hAnsi="Times New Roman" w:cs="Times New Roman"/>
          <w:color w:val="000000"/>
          <w:sz w:val="24"/>
          <w:szCs w:val="24"/>
          <w:lang w:val="ru-RU"/>
        </w:rPr>
      </w:pPr>
      <w:r>
        <w:rPr>
          <w:rFonts w:ascii="Times New Roman" w:hAnsi="Times New Roman" w:cs="Times New Roman"/>
          <w:sz w:val="24"/>
          <w:szCs w:val="24"/>
          <w:lang w:val="ru-RU"/>
        </w:rPr>
        <w:t>Источник: [</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_Ref497916899 \r \h  \* MERGEFORMAT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102</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xml:space="preserve">, </w:t>
      </w:r>
      <w:r>
        <w:rPr>
          <w:rFonts w:ascii="Times New Roman" w:hAnsi="Times New Roman" w:cs="Times New Roman"/>
          <w:sz w:val="24"/>
          <w:szCs w:val="24"/>
        </w:rPr>
        <w:t>c</w:t>
      </w:r>
      <w:r>
        <w:rPr>
          <w:rFonts w:ascii="Times New Roman" w:hAnsi="Times New Roman" w:cs="Times New Roman"/>
          <w:sz w:val="24"/>
          <w:szCs w:val="24"/>
          <w:lang w:val="ru-RU"/>
        </w:rPr>
        <w:t>. 56]</w:t>
      </w:r>
      <w:r>
        <w:rPr>
          <w:rFonts w:ascii="Times New Roman" w:hAnsi="Times New Roman" w:cs="Times New Roman"/>
          <w:color w:val="000000" w:themeColor="text1"/>
          <w:sz w:val="24"/>
          <w:szCs w:val="24"/>
          <w:lang w:val="ru-RU"/>
        </w:rPr>
        <w:t xml:space="preserve"> </w:t>
      </w:r>
    </w:p>
    <w:p w14:paraId="01E748D5" w14:textId="77777777" w:rsidR="00AE4368" w:rsidRDefault="00AE4368">
      <w:pPr>
        <w:spacing w:after="0" w:line="360" w:lineRule="auto"/>
        <w:contextualSpacing/>
        <w:rPr>
          <w:rFonts w:ascii="Times New Roman" w:hAnsi="Times New Roman" w:cs="Times New Roman"/>
          <w:sz w:val="24"/>
          <w:szCs w:val="24"/>
          <w:lang w:val="ru-RU"/>
        </w:rPr>
      </w:pPr>
    </w:p>
    <w:p w14:paraId="20E1BA6B" w14:textId="77777777" w:rsidR="00AE4368" w:rsidRDefault="002023F4">
      <w:pPr>
        <w:pStyle w:val="2"/>
        <w:spacing w:before="0" w:line="360" w:lineRule="auto"/>
        <w:contextualSpacing/>
        <w:rPr>
          <w:rFonts w:cs="Times New Roman"/>
          <w:sz w:val="24"/>
          <w:szCs w:val="24"/>
        </w:rPr>
      </w:pPr>
      <w:bookmarkStart w:id="217" w:name="_Toc136448493"/>
      <w:r>
        <w:rPr>
          <w:rFonts w:cs="Times New Roman"/>
          <w:sz w:val="24"/>
          <w:szCs w:val="24"/>
        </w:rPr>
        <w:t>Приложение 7</w:t>
      </w:r>
      <w:bookmarkEnd w:id="217"/>
    </w:p>
    <w:p w14:paraId="0EB966B4" w14:textId="77777777" w:rsidR="00AE4368" w:rsidRDefault="00AE4368">
      <w:pPr>
        <w:spacing w:after="0" w:line="360" w:lineRule="auto"/>
        <w:contextualSpacing/>
        <w:rPr>
          <w:rFonts w:ascii="Times New Roman" w:hAnsi="Times New Roman" w:cs="Times New Roman"/>
          <w:sz w:val="24"/>
          <w:szCs w:val="24"/>
          <w:lang w:val="ru-RU"/>
        </w:rPr>
      </w:pPr>
    </w:p>
    <w:p w14:paraId="79A5CAF9" w14:textId="77777777" w:rsidR="00AE4368" w:rsidRDefault="002023F4">
      <w:pPr>
        <w:spacing w:after="0" w:line="360" w:lineRule="auto"/>
        <w:contextualSpacing/>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mc:AlternateContent>
          <mc:Choice Requires="wpg">
            <w:drawing>
              <wp:inline distT="0" distB="0" distL="0" distR="0" wp14:anchorId="3039837F" wp14:editId="297679BA">
                <wp:extent cx="6172200" cy="3981450"/>
                <wp:effectExtent l="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3"/>
                        <a:stretch/>
                      </pic:blipFill>
                      <pic:spPr bwMode="auto">
                        <a:xfrm>
                          <a:off x="0" y="0"/>
                          <a:ext cx="6191022" cy="3993591"/>
                        </a:xfrm>
                        <a:prstGeom prst="rect">
                          <a:avLst/>
                        </a:prstGeom>
                      </pic:spPr>
                    </pic:pic>
                  </a:graphicData>
                </a:graphic>
              </wp:inline>
            </w:drawing>
          </mc:Choice>
          <mc:Fallback xmlns:a="http://schemas.openxmlformats.org/drawingml/2006/main"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86.0pt;height:313.5pt;mso-wrap-distance-left:0.0pt;mso-wrap-distance-top:0.0pt;mso-wrap-distance-right:0.0pt;mso-wrap-distance-bottom:0.0pt;" stroked="false">
                <v:path textboxrect="0,0,0,0"/>
                <v:imagedata r:id="rId109" o:title=""/>
              </v:shape>
            </w:pict>
          </mc:Fallback>
        </mc:AlternateContent>
      </w:r>
    </w:p>
    <w:p w14:paraId="6868AC83" w14:textId="76488927" w:rsidR="00AE4368" w:rsidRDefault="002023F4">
      <w:pPr>
        <w:spacing w:after="0"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Рис. </w:t>
      </w:r>
      <w:r w:rsidR="00CE7B57">
        <w:rPr>
          <w:rFonts w:ascii="Times New Roman" w:hAnsi="Times New Roman" w:cs="Times New Roman"/>
          <w:sz w:val="24"/>
          <w:szCs w:val="24"/>
          <w:lang w:val="ru-RU"/>
        </w:rPr>
        <w:t>1</w:t>
      </w:r>
      <w:r w:rsidR="006978F8">
        <w:rPr>
          <w:rFonts w:ascii="Times New Roman" w:hAnsi="Times New Roman" w:cs="Times New Roman"/>
          <w:sz w:val="24"/>
          <w:szCs w:val="24"/>
          <w:lang w:val="ru-RU"/>
        </w:rPr>
        <w:t>4</w:t>
      </w:r>
      <w:r>
        <w:rPr>
          <w:rFonts w:ascii="Times New Roman" w:hAnsi="Times New Roman" w:cs="Times New Roman"/>
          <w:sz w:val="24"/>
          <w:szCs w:val="24"/>
          <w:lang w:val="ru-RU"/>
        </w:rPr>
        <w:t xml:space="preserve"> Зависимостью между глубиной финансового рынка и развитостью экономики. </w:t>
      </w:r>
    </w:p>
    <w:p w14:paraId="12AF19C0" w14:textId="64868183" w:rsidR="00AE4368" w:rsidRDefault="002023F4">
      <w:pPr>
        <w:spacing w:after="0"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Источник: [</w:t>
      </w: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REF _Ref497916899 \r \h  \* MERGEFORMAT </w:instrText>
      </w:r>
      <w:r>
        <w:rPr>
          <w:rFonts w:ascii="Times New Roman" w:hAnsi="Times New Roman" w:cs="Times New Roman"/>
          <w:sz w:val="24"/>
          <w:szCs w:val="24"/>
          <w:lang w:val="ru-RU"/>
        </w:rPr>
      </w:r>
      <w:r>
        <w:rPr>
          <w:rFonts w:ascii="Times New Roman" w:hAnsi="Times New Roman" w:cs="Times New Roman"/>
          <w:sz w:val="24"/>
          <w:szCs w:val="24"/>
          <w:lang w:val="ru-RU"/>
        </w:rPr>
        <w:fldChar w:fldCharType="separate"/>
      </w:r>
      <w:r w:rsidR="00801D78">
        <w:rPr>
          <w:rFonts w:ascii="Times New Roman" w:hAnsi="Times New Roman" w:cs="Times New Roman"/>
          <w:sz w:val="24"/>
          <w:szCs w:val="24"/>
          <w:lang w:val="ru-RU"/>
        </w:rPr>
        <w:t>102</w:t>
      </w:r>
      <w:r>
        <w:rPr>
          <w:rFonts w:ascii="Times New Roman" w:hAnsi="Times New Roman" w:cs="Times New Roman"/>
          <w:sz w:val="24"/>
          <w:szCs w:val="24"/>
          <w:lang w:val="ru-RU"/>
        </w:rPr>
        <w:fldChar w:fldCharType="end"/>
      </w:r>
      <w:r>
        <w:rPr>
          <w:rFonts w:ascii="Times New Roman" w:hAnsi="Times New Roman" w:cs="Times New Roman"/>
          <w:sz w:val="24"/>
          <w:szCs w:val="24"/>
          <w:lang w:val="ru-RU"/>
        </w:rPr>
        <w:t xml:space="preserve"> </w:t>
      </w:r>
      <w:r>
        <w:rPr>
          <w:rFonts w:ascii="Times New Roman" w:hAnsi="Times New Roman" w:cs="Times New Roman"/>
          <w:sz w:val="24"/>
          <w:szCs w:val="24"/>
        </w:rPr>
        <w:t>c</w:t>
      </w:r>
      <w:r>
        <w:rPr>
          <w:rFonts w:ascii="Times New Roman" w:hAnsi="Times New Roman" w:cs="Times New Roman"/>
          <w:sz w:val="24"/>
          <w:szCs w:val="24"/>
          <w:lang w:val="ru-RU"/>
        </w:rPr>
        <w:t>. 430]</w:t>
      </w:r>
    </w:p>
    <w:p w14:paraId="627B8D66" w14:textId="77777777" w:rsidR="00AE4368" w:rsidRDefault="00AE4368">
      <w:pPr>
        <w:spacing w:after="0" w:line="360" w:lineRule="auto"/>
        <w:contextualSpacing/>
        <w:rPr>
          <w:rFonts w:ascii="Times New Roman" w:hAnsi="Times New Roman" w:cs="Times New Roman"/>
          <w:sz w:val="24"/>
          <w:szCs w:val="24"/>
          <w:lang w:val="ru-RU"/>
        </w:rPr>
      </w:pPr>
    </w:p>
    <w:p w14:paraId="38EC7A2A" w14:textId="77777777" w:rsidR="00AE4368" w:rsidRDefault="00AE4368">
      <w:pPr>
        <w:spacing w:after="0" w:line="360" w:lineRule="auto"/>
        <w:contextualSpacing/>
        <w:rPr>
          <w:rFonts w:ascii="Times New Roman" w:hAnsi="Times New Roman" w:cs="Times New Roman"/>
          <w:sz w:val="24"/>
          <w:szCs w:val="24"/>
          <w:lang w:val="ru-RU"/>
        </w:rPr>
      </w:pPr>
    </w:p>
    <w:p w14:paraId="63177D9D" w14:textId="77777777" w:rsidR="00AE4368" w:rsidRDefault="002023F4">
      <w:pPr>
        <w:spacing w:after="0"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14:paraId="173AE081" w14:textId="77777777" w:rsidR="00AE4368" w:rsidRDefault="00AE4368">
      <w:pPr>
        <w:spacing w:after="0" w:line="360" w:lineRule="auto"/>
        <w:contextualSpacing/>
        <w:rPr>
          <w:rFonts w:ascii="Times New Roman" w:hAnsi="Times New Roman" w:cs="Times New Roman"/>
          <w:sz w:val="24"/>
          <w:szCs w:val="24"/>
          <w:lang w:val="ru-RU"/>
        </w:rPr>
      </w:pPr>
    </w:p>
    <w:p w14:paraId="48C380FD" w14:textId="77777777" w:rsidR="00AE4368" w:rsidRDefault="00AE4368">
      <w:pPr>
        <w:pStyle w:val="2"/>
        <w:spacing w:before="0" w:line="360" w:lineRule="auto"/>
        <w:contextualSpacing/>
        <w:rPr>
          <w:rFonts w:cs="Times New Roman"/>
          <w:sz w:val="24"/>
          <w:szCs w:val="24"/>
        </w:rPr>
      </w:pPr>
    </w:p>
    <w:p w14:paraId="0F3858BB" w14:textId="2A9289BB" w:rsidR="00AE4368" w:rsidRDefault="00AE4368">
      <w:pPr>
        <w:pStyle w:val="2"/>
        <w:spacing w:before="0" w:line="360" w:lineRule="auto"/>
        <w:contextualSpacing/>
        <w:rPr>
          <w:rFonts w:cs="Times New Roman"/>
          <w:sz w:val="24"/>
          <w:szCs w:val="24"/>
        </w:rPr>
      </w:pPr>
    </w:p>
    <w:p w14:paraId="52BA8EF8" w14:textId="0C0E20FB" w:rsidR="008203C3" w:rsidRDefault="008203C3" w:rsidP="008203C3">
      <w:pPr>
        <w:rPr>
          <w:lang w:val="ru-RU"/>
        </w:rPr>
      </w:pPr>
    </w:p>
    <w:p w14:paraId="1513F48F" w14:textId="77777777" w:rsidR="008203C3" w:rsidRPr="008203C3" w:rsidRDefault="008203C3" w:rsidP="008203C3">
      <w:pPr>
        <w:rPr>
          <w:lang w:val="ru-RU"/>
        </w:rPr>
      </w:pPr>
    </w:p>
    <w:p w14:paraId="7FB0CA35" w14:textId="77777777" w:rsidR="00AE4368" w:rsidRDefault="002023F4">
      <w:pPr>
        <w:pStyle w:val="2"/>
        <w:spacing w:before="0" w:line="360" w:lineRule="auto"/>
        <w:contextualSpacing/>
        <w:rPr>
          <w:rFonts w:cs="Times New Roman"/>
          <w:sz w:val="24"/>
          <w:szCs w:val="24"/>
        </w:rPr>
      </w:pPr>
      <w:bookmarkStart w:id="218" w:name="_Toc136448494"/>
      <w:r>
        <w:rPr>
          <w:rFonts w:cs="Times New Roman"/>
          <w:sz w:val="24"/>
          <w:szCs w:val="24"/>
        </w:rPr>
        <w:lastRenderedPageBreak/>
        <w:t>Приложение 8.</w:t>
      </w:r>
      <w:bookmarkEnd w:id="218"/>
    </w:p>
    <w:p w14:paraId="3C4A5003" w14:textId="77777777" w:rsidR="00AE4368" w:rsidRDefault="002023F4">
      <w:pPr>
        <w:spacing w:after="0"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Результаты анализа частотности употребления с помощью программы </w:t>
      </w:r>
      <w:proofErr w:type="spellStart"/>
      <w:r>
        <w:rPr>
          <w:rFonts w:ascii="Times New Roman" w:hAnsi="Times New Roman" w:cs="Times New Roman"/>
          <w:sz w:val="24"/>
          <w:szCs w:val="24"/>
        </w:rPr>
        <w:t>Goolge</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Ngram</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rPr>
        <w:t>Viewer</w:t>
      </w:r>
    </w:p>
    <w:p w14:paraId="09EC4734" w14:textId="1EF17EA4" w:rsidR="00AE4368" w:rsidRPr="0091598C" w:rsidRDefault="0091598C">
      <w:pPr>
        <w:spacing w:line="360" w:lineRule="auto"/>
        <w:rPr>
          <w:rFonts w:ascii="Times New Roman" w:hAnsi="Times New Roman" w:cs="Times New Roman"/>
          <w:sz w:val="24"/>
          <w:szCs w:val="24"/>
          <w:lang w:val="ru-RU"/>
        </w:rPr>
      </w:pPr>
      <w:r w:rsidRPr="0091598C">
        <w:rPr>
          <w:rFonts w:ascii="Times New Roman" w:hAnsi="Times New Roman" w:cs="Times New Roman"/>
          <w:noProof/>
          <w:sz w:val="24"/>
          <w:szCs w:val="24"/>
          <w:lang w:val="ru-RU" w:eastAsia="ru-RU" w:bidi="ar-SA"/>
        </w:rPr>
        <w:drawing>
          <wp:inline distT="0" distB="0" distL="0" distR="0" wp14:anchorId="31941872" wp14:editId="13B37938">
            <wp:extent cx="5940425" cy="2814955"/>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0425" cy="2814955"/>
                    </a:xfrm>
                    <a:prstGeom prst="rect">
                      <a:avLst/>
                    </a:prstGeom>
                  </pic:spPr>
                </pic:pic>
              </a:graphicData>
            </a:graphic>
          </wp:inline>
        </w:drawing>
      </w:r>
    </w:p>
    <w:p w14:paraId="48744DA3" w14:textId="5E392CFC" w:rsidR="00AE4368" w:rsidRDefault="002023F4">
      <w:pPr>
        <w:spacing w:after="0" w:line="360" w:lineRule="auto"/>
        <w:rPr>
          <w:rFonts w:ascii="Times New Roman" w:hAnsi="Times New Roman" w:cs="Times New Roman"/>
          <w:sz w:val="24"/>
          <w:szCs w:val="24"/>
        </w:rPr>
      </w:pPr>
      <w:r>
        <w:rPr>
          <w:rFonts w:ascii="Times New Roman" w:hAnsi="Times New Roman" w:cs="Times New Roman"/>
          <w:sz w:val="24"/>
          <w:szCs w:val="24"/>
          <w:lang w:val="ru-RU"/>
        </w:rPr>
        <w:t>Рис</w:t>
      </w:r>
      <w:r>
        <w:rPr>
          <w:rFonts w:ascii="Times New Roman" w:hAnsi="Times New Roman" w:cs="Times New Roman"/>
          <w:sz w:val="24"/>
          <w:szCs w:val="24"/>
        </w:rPr>
        <w:t>. 1</w:t>
      </w:r>
      <w:r w:rsidR="006978F8" w:rsidRPr="006978F8">
        <w:rPr>
          <w:rFonts w:ascii="Times New Roman" w:hAnsi="Times New Roman" w:cs="Times New Roman"/>
          <w:sz w:val="24"/>
          <w:szCs w:val="24"/>
        </w:rPr>
        <w:t>5</w:t>
      </w:r>
      <w:r>
        <w:rPr>
          <w:rFonts w:ascii="Times New Roman" w:hAnsi="Times New Roman" w:cs="Times New Roman"/>
          <w:sz w:val="24"/>
          <w:szCs w:val="24"/>
        </w:rPr>
        <w:t xml:space="preserve"> «financial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«international financial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«world financial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«global financial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w:t>
      </w:r>
    </w:p>
    <w:p w14:paraId="30D34573" w14:textId="365F7F9E" w:rsidR="00AE4368" w:rsidRDefault="00D743F3">
      <w:pPr>
        <w:spacing w:after="0" w:line="360" w:lineRule="auto"/>
        <w:contextualSpacing/>
        <w:rPr>
          <w:rFonts w:ascii="Times New Roman" w:hAnsi="Times New Roman" w:cs="Times New Roman"/>
          <w:sz w:val="24"/>
          <w:szCs w:val="24"/>
        </w:rPr>
      </w:pPr>
      <w:r w:rsidRPr="00D743F3">
        <w:rPr>
          <w:rFonts w:ascii="Times New Roman" w:hAnsi="Times New Roman" w:cs="Times New Roman"/>
          <w:noProof/>
          <w:sz w:val="24"/>
          <w:szCs w:val="24"/>
          <w:lang w:val="ru-RU" w:eastAsia="ru-RU" w:bidi="ar-SA"/>
        </w:rPr>
        <w:drawing>
          <wp:inline distT="0" distB="0" distL="0" distR="0" wp14:anchorId="08AF909E" wp14:editId="287D1D4E">
            <wp:extent cx="5940425" cy="286448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2864485"/>
                    </a:xfrm>
                    <a:prstGeom prst="rect">
                      <a:avLst/>
                    </a:prstGeom>
                  </pic:spPr>
                </pic:pic>
              </a:graphicData>
            </a:graphic>
          </wp:inline>
        </w:drawing>
      </w:r>
    </w:p>
    <w:p w14:paraId="5DBB423E" w14:textId="056B4E49" w:rsidR="00D743F3" w:rsidRDefault="00D743F3">
      <w:pPr>
        <w:spacing w:after="0" w:line="360" w:lineRule="auto"/>
        <w:rPr>
          <w:rFonts w:ascii="Times New Roman" w:hAnsi="Times New Roman" w:cs="Times New Roman"/>
          <w:sz w:val="24"/>
          <w:szCs w:val="24"/>
        </w:rPr>
      </w:pPr>
      <w:r>
        <w:rPr>
          <w:rFonts w:ascii="Times New Roman" w:hAnsi="Times New Roman" w:cs="Times New Roman"/>
          <w:sz w:val="24"/>
          <w:szCs w:val="24"/>
          <w:lang w:val="ru-RU"/>
        </w:rPr>
        <w:t>Рис</w:t>
      </w:r>
      <w:r w:rsidRPr="00D743F3">
        <w:rPr>
          <w:rFonts w:ascii="Times New Roman" w:hAnsi="Times New Roman" w:cs="Times New Roman"/>
          <w:sz w:val="24"/>
          <w:szCs w:val="24"/>
        </w:rPr>
        <w:t>. 1</w:t>
      </w:r>
      <w:r w:rsidR="006978F8" w:rsidRPr="006978F8">
        <w:rPr>
          <w:rFonts w:ascii="Times New Roman" w:hAnsi="Times New Roman" w:cs="Times New Roman"/>
          <w:sz w:val="24"/>
          <w:szCs w:val="24"/>
        </w:rPr>
        <w:t>6</w:t>
      </w:r>
      <w:r w:rsidRPr="00D743F3">
        <w:rPr>
          <w:rFonts w:ascii="Times New Roman" w:hAnsi="Times New Roman" w:cs="Times New Roman"/>
          <w:sz w:val="24"/>
          <w:szCs w:val="24"/>
        </w:rPr>
        <w:t xml:space="preserve"> «world financial </w:t>
      </w:r>
      <w:proofErr w:type="spellStart"/>
      <w:r w:rsidRPr="00D743F3">
        <w:rPr>
          <w:rFonts w:ascii="Times New Roman" w:hAnsi="Times New Roman" w:cs="Times New Roman"/>
          <w:sz w:val="24"/>
          <w:szCs w:val="24"/>
        </w:rPr>
        <w:t>centre</w:t>
      </w:r>
      <w:proofErr w:type="spellEnd"/>
      <w:r w:rsidRPr="00D743F3">
        <w:rPr>
          <w:rFonts w:ascii="Times New Roman" w:hAnsi="Times New Roman" w:cs="Times New Roman"/>
          <w:sz w:val="24"/>
          <w:szCs w:val="24"/>
        </w:rPr>
        <w:t>», «</w:t>
      </w:r>
      <w:r>
        <w:rPr>
          <w:rFonts w:ascii="Times New Roman" w:hAnsi="Times New Roman" w:cs="Times New Roman"/>
          <w:sz w:val="24"/>
          <w:szCs w:val="24"/>
        </w:rPr>
        <w:t xml:space="preserve">global financial </w:t>
      </w:r>
      <w:proofErr w:type="spellStart"/>
      <w:r>
        <w:rPr>
          <w:rFonts w:ascii="Times New Roman" w:hAnsi="Times New Roman" w:cs="Times New Roman"/>
          <w:sz w:val="24"/>
          <w:szCs w:val="24"/>
        </w:rPr>
        <w:t>centre</w:t>
      </w:r>
      <w:proofErr w:type="spellEnd"/>
      <w:r w:rsidRPr="00D743F3">
        <w:rPr>
          <w:rFonts w:ascii="Times New Roman" w:hAnsi="Times New Roman" w:cs="Times New Roman"/>
          <w:sz w:val="24"/>
          <w:szCs w:val="24"/>
        </w:rPr>
        <w:t>»</w:t>
      </w:r>
    </w:p>
    <w:p w14:paraId="341C2173" w14:textId="3DBAC08F" w:rsidR="00AE4368" w:rsidRDefault="0091598C">
      <w:pPr>
        <w:spacing w:after="0" w:line="360" w:lineRule="auto"/>
        <w:contextualSpacing/>
        <w:rPr>
          <w:rFonts w:ascii="Times New Roman" w:hAnsi="Times New Roman" w:cs="Times New Roman"/>
          <w:sz w:val="24"/>
          <w:szCs w:val="24"/>
        </w:rPr>
      </w:pPr>
      <w:r w:rsidRPr="0091598C">
        <w:rPr>
          <w:rFonts w:ascii="Times New Roman" w:hAnsi="Times New Roman" w:cs="Times New Roman"/>
          <w:noProof/>
          <w:sz w:val="24"/>
          <w:szCs w:val="24"/>
          <w:lang w:val="ru-RU" w:eastAsia="ru-RU" w:bidi="ar-SA"/>
        </w:rPr>
        <w:lastRenderedPageBreak/>
        <w:drawing>
          <wp:inline distT="0" distB="0" distL="0" distR="0" wp14:anchorId="4079F56E" wp14:editId="5368D335">
            <wp:extent cx="5940425" cy="302641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3026410"/>
                    </a:xfrm>
                    <a:prstGeom prst="rect">
                      <a:avLst/>
                    </a:prstGeom>
                  </pic:spPr>
                </pic:pic>
              </a:graphicData>
            </a:graphic>
          </wp:inline>
        </w:drawing>
      </w:r>
    </w:p>
    <w:p w14:paraId="363BF5FF" w14:textId="2130590B" w:rsidR="00AE4368" w:rsidRDefault="002023F4">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Рис. 1</w:t>
      </w:r>
      <w:r w:rsidR="006978F8">
        <w:rPr>
          <w:rFonts w:ascii="Times New Roman" w:hAnsi="Times New Roman" w:cs="Times New Roman"/>
          <w:sz w:val="24"/>
          <w:szCs w:val="24"/>
          <w:lang w:val="ru-RU"/>
        </w:rPr>
        <w:t>7</w:t>
      </w:r>
      <w:r>
        <w:rPr>
          <w:rFonts w:ascii="Times New Roman" w:hAnsi="Times New Roman" w:cs="Times New Roman"/>
          <w:sz w:val="24"/>
          <w:szCs w:val="24"/>
          <w:lang w:val="ru-RU"/>
        </w:rPr>
        <w:t xml:space="preserve"> «финансовый центр», «международный финансовый центр», «мировой финансовый центр», «глобальный финансовый центр»</w:t>
      </w:r>
    </w:p>
    <w:p w14:paraId="3558FA79" w14:textId="77777777" w:rsidR="00AE4368" w:rsidRPr="00326DCF" w:rsidRDefault="00AE4368">
      <w:pPr>
        <w:spacing w:after="0" w:line="360" w:lineRule="auto"/>
        <w:contextualSpacing/>
        <w:rPr>
          <w:rFonts w:ascii="Times New Roman" w:hAnsi="Times New Roman" w:cs="Times New Roman"/>
          <w:sz w:val="24"/>
          <w:szCs w:val="24"/>
          <w:lang w:val="ru-RU"/>
        </w:rPr>
      </w:pPr>
    </w:p>
    <w:p w14:paraId="283F5B3B" w14:textId="36433825" w:rsidR="00AE4368" w:rsidRDefault="0091598C">
      <w:pPr>
        <w:spacing w:after="0" w:line="360" w:lineRule="auto"/>
        <w:rPr>
          <w:rFonts w:ascii="Times New Roman" w:hAnsi="Times New Roman" w:cs="Times New Roman"/>
          <w:sz w:val="24"/>
          <w:szCs w:val="24"/>
          <w:lang w:val="ru-RU"/>
        </w:rPr>
      </w:pPr>
      <w:r w:rsidRPr="0091598C">
        <w:rPr>
          <w:rFonts w:ascii="Times New Roman" w:hAnsi="Times New Roman" w:cs="Times New Roman"/>
          <w:noProof/>
          <w:sz w:val="24"/>
          <w:szCs w:val="24"/>
          <w:lang w:val="ru-RU" w:eastAsia="ru-RU" w:bidi="ar-SA"/>
        </w:rPr>
        <w:drawing>
          <wp:inline distT="0" distB="0" distL="0" distR="0" wp14:anchorId="6B409D59" wp14:editId="18F9F940">
            <wp:extent cx="5940425" cy="295719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0425" cy="2957195"/>
                    </a:xfrm>
                    <a:prstGeom prst="rect">
                      <a:avLst/>
                    </a:prstGeom>
                  </pic:spPr>
                </pic:pic>
              </a:graphicData>
            </a:graphic>
          </wp:inline>
        </w:drawing>
      </w:r>
      <w:r w:rsidR="002023F4">
        <w:rPr>
          <w:rFonts w:ascii="Times New Roman" w:hAnsi="Times New Roman" w:cs="Times New Roman"/>
          <w:sz w:val="24"/>
          <w:szCs w:val="24"/>
          <w:lang w:val="ru-RU"/>
        </w:rPr>
        <w:t>Рис</w:t>
      </w:r>
      <w:r w:rsidR="002023F4">
        <w:rPr>
          <w:rFonts w:ascii="Times New Roman" w:hAnsi="Times New Roman" w:cs="Times New Roman"/>
          <w:sz w:val="24"/>
          <w:szCs w:val="24"/>
        </w:rPr>
        <w:t xml:space="preserve">. </w:t>
      </w:r>
      <w:r w:rsidR="006978F8">
        <w:rPr>
          <w:rFonts w:ascii="Times New Roman" w:hAnsi="Times New Roman" w:cs="Times New Roman"/>
          <w:sz w:val="24"/>
          <w:szCs w:val="24"/>
          <w:lang w:val="ru-RU"/>
        </w:rPr>
        <w:t>18</w:t>
      </w:r>
      <w:r w:rsidR="002023F4">
        <w:rPr>
          <w:rFonts w:ascii="Times New Roman" w:hAnsi="Times New Roman" w:cs="Times New Roman"/>
          <w:sz w:val="24"/>
          <w:szCs w:val="24"/>
        </w:rPr>
        <w:t xml:space="preserve"> «globalization</w:t>
      </w:r>
      <w:r w:rsidR="002023F4">
        <w:rPr>
          <w:rFonts w:ascii="Times New Roman" w:hAnsi="Times New Roman" w:cs="Times New Roman"/>
          <w:sz w:val="24"/>
          <w:szCs w:val="24"/>
          <w:lang w:val="ru-RU"/>
        </w:rPr>
        <w:t>», «</w:t>
      </w:r>
      <w:r w:rsidR="002023F4">
        <w:rPr>
          <w:rFonts w:ascii="Times New Roman" w:hAnsi="Times New Roman" w:cs="Times New Roman"/>
          <w:sz w:val="24"/>
          <w:szCs w:val="24"/>
        </w:rPr>
        <w:t xml:space="preserve">financial </w:t>
      </w:r>
      <w:proofErr w:type="spellStart"/>
      <w:r w:rsidR="002023F4">
        <w:rPr>
          <w:rFonts w:ascii="Times New Roman" w:hAnsi="Times New Roman" w:cs="Times New Roman"/>
          <w:sz w:val="24"/>
          <w:szCs w:val="24"/>
        </w:rPr>
        <w:t>centre</w:t>
      </w:r>
      <w:proofErr w:type="spellEnd"/>
      <w:r w:rsidR="002023F4">
        <w:rPr>
          <w:rFonts w:ascii="Times New Roman" w:hAnsi="Times New Roman" w:cs="Times New Roman"/>
          <w:sz w:val="24"/>
          <w:szCs w:val="24"/>
          <w:lang w:val="ru-RU"/>
        </w:rPr>
        <w:t>»</w:t>
      </w:r>
    </w:p>
    <w:p w14:paraId="219BB4BC" w14:textId="77777777" w:rsidR="00AE4368" w:rsidRDefault="00AE4368">
      <w:pPr>
        <w:pStyle w:val="af3"/>
        <w:spacing w:after="0" w:line="360" w:lineRule="auto"/>
        <w:rPr>
          <w:rFonts w:ascii="Times New Roman" w:hAnsi="Times New Roman" w:cs="Times New Roman"/>
          <w:sz w:val="24"/>
          <w:szCs w:val="24"/>
        </w:rPr>
      </w:pPr>
    </w:p>
    <w:p w14:paraId="6D716304" w14:textId="558F8C77" w:rsidR="00AE4368" w:rsidRDefault="00D743F3">
      <w:pPr>
        <w:spacing w:after="0" w:line="360" w:lineRule="auto"/>
        <w:contextualSpacing/>
        <w:rPr>
          <w:rFonts w:ascii="Times New Roman" w:hAnsi="Times New Roman" w:cs="Times New Roman"/>
          <w:sz w:val="24"/>
          <w:szCs w:val="24"/>
        </w:rPr>
      </w:pPr>
      <w:r w:rsidRPr="0091598C">
        <w:rPr>
          <w:rFonts w:ascii="Times New Roman" w:hAnsi="Times New Roman" w:cs="Times New Roman"/>
          <w:noProof/>
          <w:sz w:val="24"/>
          <w:szCs w:val="24"/>
          <w:lang w:val="ru-RU" w:eastAsia="ru-RU" w:bidi="ar-SA"/>
        </w:rPr>
        <w:lastRenderedPageBreak/>
        <w:drawing>
          <wp:inline distT="0" distB="0" distL="0" distR="0" wp14:anchorId="7F0C9961" wp14:editId="610D2FC3">
            <wp:extent cx="5940425" cy="282003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2820035"/>
                    </a:xfrm>
                    <a:prstGeom prst="rect">
                      <a:avLst/>
                    </a:prstGeom>
                  </pic:spPr>
                </pic:pic>
              </a:graphicData>
            </a:graphic>
          </wp:inline>
        </w:drawing>
      </w:r>
    </w:p>
    <w:p w14:paraId="7E3118B4" w14:textId="38C4830A" w:rsidR="00AE4368" w:rsidRPr="00D743F3" w:rsidRDefault="002023F4">
      <w:pPr>
        <w:spacing w:after="0" w:line="360" w:lineRule="auto"/>
        <w:rPr>
          <w:rFonts w:ascii="Times New Roman" w:hAnsi="Times New Roman" w:cs="Times New Roman"/>
          <w:sz w:val="24"/>
          <w:szCs w:val="24"/>
          <w:lang w:val="ru-RU"/>
        </w:rPr>
      </w:pPr>
      <w:r>
        <w:rPr>
          <w:rFonts w:ascii="Times New Roman" w:hAnsi="Times New Roman" w:cs="Times New Roman"/>
          <w:sz w:val="24"/>
          <w:szCs w:val="24"/>
          <w:lang w:val="ru-RU"/>
        </w:rPr>
        <w:t>Рис</w:t>
      </w:r>
      <w:r w:rsidRPr="006C4269">
        <w:rPr>
          <w:rFonts w:ascii="Times New Roman" w:hAnsi="Times New Roman" w:cs="Times New Roman"/>
          <w:sz w:val="24"/>
          <w:szCs w:val="24"/>
          <w:lang w:val="ru-RU"/>
        </w:rPr>
        <w:t xml:space="preserve">. </w:t>
      </w:r>
      <w:r w:rsidR="006978F8">
        <w:rPr>
          <w:rFonts w:ascii="Times New Roman" w:hAnsi="Times New Roman" w:cs="Times New Roman"/>
          <w:sz w:val="24"/>
          <w:szCs w:val="24"/>
          <w:lang w:val="ru-RU"/>
        </w:rPr>
        <w:t>19</w:t>
      </w:r>
      <w:r w:rsidRPr="006C4269">
        <w:rPr>
          <w:rFonts w:ascii="Times New Roman" w:hAnsi="Times New Roman" w:cs="Times New Roman"/>
          <w:sz w:val="24"/>
          <w:szCs w:val="24"/>
          <w:lang w:val="ru-RU"/>
        </w:rPr>
        <w:t xml:space="preserve"> «</w:t>
      </w:r>
      <w:r>
        <w:rPr>
          <w:rFonts w:ascii="Times New Roman" w:hAnsi="Times New Roman" w:cs="Times New Roman"/>
          <w:sz w:val="24"/>
          <w:szCs w:val="24"/>
          <w:lang w:val="ru-RU"/>
        </w:rPr>
        <w:t>глобализация», «финансовый центр»</w:t>
      </w:r>
    </w:p>
    <w:p w14:paraId="3C8DAD9F" w14:textId="0D96EB2C" w:rsidR="00AE4368" w:rsidRPr="006C4269" w:rsidRDefault="00AE4368">
      <w:pPr>
        <w:spacing w:after="0" w:line="360" w:lineRule="auto"/>
        <w:contextualSpacing/>
        <w:rPr>
          <w:rFonts w:ascii="Times New Roman" w:hAnsi="Times New Roman" w:cs="Times New Roman"/>
          <w:sz w:val="24"/>
          <w:szCs w:val="24"/>
          <w:lang w:val="ru-RU"/>
        </w:rPr>
      </w:pPr>
    </w:p>
    <w:p w14:paraId="6E8136DB" w14:textId="77777777" w:rsidR="00A916EF" w:rsidRPr="006C4269" w:rsidRDefault="00A916EF">
      <w:pPr>
        <w:spacing w:after="0" w:line="360" w:lineRule="auto"/>
        <w:contextualSpacing/>
        <w:rPr>
          <w:rFonts w:ascii="Times New Roman" w:hAnsi="Times New Roman" w:cs="Times New Roman"/>
          <w:sz w:val="24"/>
          <w:szCs w:val="24"/>
          <w:lang w:val="ru-RU"/>
        </w:rPr>
        <w:sectPr w:rsidR="00A916EF" w:rsidRPr="006C4269">
          <w:pgSz w:w="11906" w:h="16838"/>
          <w:pgMar w:top="1134" w:right="850" w:bottom="709" w:left="1701" w:header="708" w:footer="708" w:gutter="0"/>
          <w:cols w:space="708"/>
          <w:titlePg/>
          <w:docGrid w:linePitch="360"/>
        </w:sectPr>
      </w:pPr>
    </w:p>
    <w:p w14:paraId="679AA7F6" w14:textId="42984B20" w:rsidR="00A916EF" w:rsidRDefault="00A916EF" w:rsidP="00A916EF">
      <w:pPr>
        <w:pStyle w:val="2"/>
        <w:spacing w:before="0" w:line="360" w:lineRule="auto"/>
        <w:contextualSpacing/>
        <w:rPr>
          <w:rFonts w:cs="Times New Roman"/>
          <w:sz w:val="24"/>
          <w:szCs w:val="24"/>
        </w:rPr>
      </w:pPr>
      <w:bookmarkStart w:id="219" w:name="_Toc136448495"/>
      <w:r>
        <w:rPr>
          <w:rFonts w:cs="Times New Roman"/>
          <w:sz w:val="24"/>
          <w:szCs w:val="24"/>
        </w:rPr>
        <w:lastRenderedPageBreak/>
        <w:t>Приложение 9.</w:t>
      </w:r>
      <w:bookmarkEnd w:id="219"/>
    </w:p>
    <w:p w14:paraId="57F01C12" w14:textId="73A44E1A" w:rsidR="00A916EF" w:rsidRDefault="00A916EF" w:rsidP="00A916EF">
      <w:pPr>
        <w:spacing w:before="100" w:beforeAutospacing="1" w:after="100" w:line="360" w:lineRule="auto"/>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Таблица </w:t>
      </w:r>
      <w:r w:rsidR="006978F8">
        <w:rPr>
          <w:rFonts w:ascii="Times New Roman" w:hAnsi="Times New Roman" w:cs="Times New Roman"/>
          <w:sz w:val="24"/>
          <w:szCs w:val="24"/>
          <w:lang w:val="ru-RU"/>
        </w:rPr>
        <w:t>9</w:t>
      </w:r>
      <w:r>
        <w:rPr>
          <w:rFonts w:ascii="Times New Roman" w:hAnsi="Times New Roman" w:cs="Times New Roman"/>
          <w:sz w:val="24"/>
          <w:szCs w:val="24"/>
          <w:lang w:val="ru-RU"/>
        </w:rPr>
        <w:t xml:space="preserve">. </w:t>
      </w:r>
      <w:r w:rsidR="00CB7247">
        <w:rPr>
          <w:rFonts w:ascii="Times New Roman" w:hAnsi="Times New Roman" w:cs="Times New Roman"/>
          <w:sz w:val="24"/>
          <w:szCs w:val="24"/>
          <w:lang w:val="ru-RU"/>
        </w:rPr>
        <w:t xml:space="preserve">Некоторые расчётные характеристики </w:t>
      </w:r>
      <w:proofErr w:type="spellStart"/>
      <w:r w:rsidR="00CB7247">
        <w:rPr>
          <w:rFonts w:ascii="Times New Roman" w:hAnsi="Times New Roman" w:cs="Times New Roman"/>
          <w:sz w:val="24"/>
          <w:szCs w:val="24"/>
          <w:lang w:val="ru-RU"/>
        </w:rPr>
        <w:t>ипотечно</w:t>
      </w:r>
      <w:proofErr w:type="spellEnd"/>
      <w:r w:rsidR="00CB7247">
        <w:rPr>
          <w:rFonts w:ascii="Times New Roman" w:hAnsi="Times New Roman" w:cs="Times New Roman"/>
          <w:sz w:val="24"/>
          <w:szCs w:val="24"/>
          <w:lang w:val="ru-RU"/>
        </w:rPr>
        <w:t>-жилищного кредитования в Москве, Санкт-Петербурге, Севастополе, Магаданской области и России.</w:t>
      </w:r>
    </w:p>
    <w:p w14:paraId="3171BB60" w14:textId="77777777" w:rsidR="00A916EF" w:rsidRDefault="00A916EF" w:rsidP="00A916EF">
      <w:pPr>
        <w:spacing w:before="100" w:beforeAutospacing="1" w:after="100" w:line="360" w:lineRule="auto"/>
        <w:contextualSpacing/>
        <w:jc w:val="both"/>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drawing>
          <wp:inline distT="0" distB="0" distL="0" distR="0" wp14:anchorId="2D5125AF" wp14:editId="1D1F6386">
            <wp:extent cx="6294755" cy="20472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94755" cy="2047240"/>
                    </a:xfrm>
                    <a:prstGeom prst="rect">
                      <a:avLst/>
                    </a:prstGeom>
                    <a:noFill/>
                    <a:ln>
                      <a:noFill/>
                    </a:ln>
                  </pic:spPr>
                </pic:pic>
              </a:graphicData>
            </a:graphic>
          </wp:inline>
        </w:drawing>
      </w:r>
    </w:p>
    <w:p w14:paraId="732E2DBC" w14:textId="77777777" w:rsidR="00A916EF" w:rsidRDefault="00A916EF" w:rsidP="00A916EF">
      <w:pPr>
        <w:spacing w:before="100" w:beforeAutospacing="1" w:after="100" w:line="360" w:lineRule="auto"/>
        <w:contextualSpacing/>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drawing>
          <wp:inline distT="0" distB="0" distL="0" distR="0" wp14:anchorId="5839C0F4" wp14:editId="3AAC301A">
            <wp:extent cx="4488154" cy="1954696"/>
            <wp:effectExtent l="0" t="0" r="825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545972" cy="1979877"/>
                    </a:xfrm>
                    <a:prstGeom prst="rect">
                      <a:avLst/>
                    </a:prstGeom>
                    <a:noFill/>
                    <a:ln>
                      <a:noFill/>
                    </a:ln>
                  </pic:spPr>
                </pic:pic>
              </a:graphicData>
            </a:graphic>
          </wp:inline>
        </w:drawing>
      </w:r>
    </w:p>
    <w:p w14:paraId="7D9BAAB0" w14:textId="6E7675B8" w:rsidR="00A916EF" w:rsidRPr="00A916EF" w:rsidRDefault="00CB7247">
      <w:pPr>
        <w:spacing w:after="0" w:line="36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Составлено автором по данными Банка России и Росстата.</w:t>
      </w:r>
    </w:p>
    <w:sectPr w:rsidR="00A916EF" w:rsidRPr="00A916EF">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065C6" w14:textId="77777777" w:rsidR="003B0E4F" w:rsidRDefault="003B0E4F">
      <w:pPr>
        <w:spacing w:after="0" w:line="240" w:lineRule="auto"/>
      </w:pPr>
      <w:r>
        <w:separator/>
      </w:r>
    </w:p>
  </w:endnote>
  <w:endnote w:type="continuationSeparator" w:id="0">
    <w:p w14:paraId="51DB8C93" w14:textId="77777777" w:rsidR="003B0E4F" w:rsidRDefault="003B0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110788"/>
      <w:docPartObj>
        <w:docPartGallery w:val="Page Numbers (Bottom of Page)"/>
        <w:docPartUnique/>
      </w:docPartObj>
    </w:sdtPr>
    <w:sdtEndPr/>
    <w:sdtContent>
      <w:p w14:paraId="70738D1A" w14:textId="2B6D33C9" w:rsidR="00BC17A3" w:rsidRDefault="00BC17A3">
        <w:pPr>
          <w:pStyle w:val="a7"/>
          <w:jc w:val="center"/>
        </w:pPr>
        <w:r>
          <w:fldChar w:fldCharType="begin"/>
        </w:r>
        <w:r>
          <w:instrText>PAGE   \* MERGEFORMAT</w:instrText>
        </w:r>
        <w:r>
          <w:fldChar w:fldCharType="separate"/>
        </w:r>
        <w:r w:rsidR="001B4341" w:rsidRPr="001B4341">
          <w:rPr>
            <w:noProof/>
            <w:lang w:val="ru-RU"/>
          </w:rPr>
          <w:t>3</w:t>
        </w:r>
        <w:r>
          <w:fldChar w:fldCharType="end"/>
        </w:r>
      </w:p>
    </w:sdtContent>
  </w:sdt>
  <w:p w14:paraId="1BF91DAD" w14:textId="77777777" w:rsidR="00BC17A3" w:rsidRDefault="00BC17A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C6CA5" w14:textId="5DCB4A8B" w:rsidR="0065782D" w:rsidRDefault="0065782D">
    <w:pPr>
      <w:pStyle w:val="a7"/>
      <w:jc w:val="center"/>
    </w:pPr>
  </w:p>
  <w:p w14:paraId="3E7B45FD" w14:textId="77777777" w:rsidR="00BC17A3" w:rsidRDefault="00BC17A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60F9A" w14:textId="77777777" w:rsidR="003B0E4F" w:rsidRDefault="003B0E4F">
      <w:pPr>
        <w:spacing w:after="0" w:line="240" w:lineRule="auto"/>
      </w:pPr>
      <w:r>
        <w:separator/>
      </w:r>
    </w:p>
  </w:footnote>
  <w:footnote w:type="continuationSeparator" w:id="0">
    <w:p w14:paraId="6E3E393E" w14:textId="77777777" w:rsidR="003B0E4F" w:rsidRDefault="003B0E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293"/>
    <w:multiLevelType w:val="hybridMultilevel"/>
    <w:tmpl w:val="BBE277AE"/>
    <w:lvl w:ilvl="0" w:tplc="0419000F">
      <w:start w:val="1"/>
      <w:numFmt w:val="decimal"/>
      <w:lvlText w:val="%1."/>
      <w:lvlJc w:val="left"/>
      <w:pPr>
        <w:ind w:left="4897" w:hanging="360"/>
      </w:pPr>
      <w:rPr>
        <w:rFonts w:hint="default"/>
      </w:rPr>
    </w:lvl>
    <w:lvl w:ilvl="1" w:tplc="FFFFFFFF">
      <w:start w:val="1"/>
      <w:numFmt w:val="bullet"/>
      <w:lvlText w:val="o"/>
      <w:lvlJc w:val="left"/>
      <w:pPr>
        <w:ind w:left="4133" w:hanging="360"/>
      </w:pPr>
      <w:rPr>
        <w:rFonts w:ascii="Courier New" w:hAnsi="Courier New" w:cs="Courier New" w:hint="default"/>
      </w:rPr>
    </w:lvl>
    <w:lvl w:ilvl="2" w:tplc="FFFFFFFF">
      <w:start w:val="1"/>
      <w:numFmt w:val="bullet"/>
      <w:lvlText w:val=""/>
      <w:lvlJc w:val="left"/>
      <w:pPr>
        <w:ind w:left="4853" w:hanging="360"/>
      </w:pPr>
      <w:rPr>
        <w:rFonts w:ascii="Wingdings" w:hAnsi="Wingdings" w:hint="default"/>
      </w:rPr>
    </w:lvl>
    <w:lvl w:ilvl="3" w:tplc="FFFFFFFF">
      <w:start w:val="1"/>
      <w:numFmt w:val="bullet"/>
      <w:lvlText w:val=""/>
      <w:lvlJc w:val="left"/>
      <w:pPr>
        <w:ind w:left="5573" w:hanging="360"/>
      </w:pPr>
      <w:rPr>
        <w:rFonts w:ascii="Symbol" w:hAnsi="Symbol" w:hint="default"/>
      </w:rPr>
    </w:lvl>
    <w:lvl w:ilvl="4" w:tplc="FFFFFFFF">
      <w:start w:val="1"/>
      <w:numFmt w:val="bullet"/>
      <w:lvlText w:val="o"/>
      <w:lvlJc w:val="left"/>
      <w:pPr>
        <w:ind w:left="6293" w:hanging="360"/>
      </w:pPr>
      <w:rPr>
        <w:rFonts w:ascii="Courier New" w:hAnsi="Courier New" w:cs="Courier New" w:hint="default"/>
      </w:rPr>
    </w:lvl>
    <w:lvl w:ilvl="5" w:tplc="FFFFFFFF">
      <w:start w:val="1"/>
      <w:numFmt w:val="bullet"/>
      <w:lvlText w:val=""/>
      <w:lvlJc w:val="left"/>
      <w:pPr>
        <w:ind w:left="7013" w:hanging="360"/>
      </w:pPr>
      <w:rPr>
        <w:rFonts w:ascii="Wingdings" w:hAnsi="Wingdings" w:hint="default"/>
      </w:rPr>
    </w:lvl>
    <w:lvl w:ilvl="6" w:tplc="FFFFFFFF">
      <w:start w:val="1"/>
      <w:numFmt w:val="bullet"/>
      <w:lvlText w:val=""/>
      <w:lvlJc w:val="left"/>
      <w:pPr>
        <w:ind w:left="7733" w:hanging="360"/>
      </w:pPr>
      <w:rPr>
        <w:rFonts w:ascii="Symbol" w:hAnsi="Symbol" w:hint="default"/>
      </w:rPr>
    </w:lvl>
    <w:lvl w:ilvl="7" w:tplc="FFFFFFFF">
      <w:start w:val="1"/>
      <w:numFmt w:val="bullet"/>
      <w:lvlText w:val="o"/>
      <w:lvlJc w:val="left"/>
      <w:pPr>
        <w:ind w:left="8453" w:hanging="360"/>
      </w:pPr>
      <w:rPr>
        <w:rFonts w:ascii="Courier New" w:hAnsi="Courier New" w:cs="Courier New" w:hint="default"/>
      </w:rPr>
    </w:lvl>
    <w:lvl w:ilvl="8" w:tplc="FFFFFFFF">
      <w:start w:val="1"/>
      <w:numFmt w:val="bullet"/>
      <w:lvlText w:val=""/>
      <w:lvlJc w:val="left"/>
      <w:pPr>
        <w:ind w:left="9173" w:hanging="360"/>
      </w:pPr>
      <w:rPr>
        <w:rFonts w:ascii="Wingdings" w:hAnsi="Wingdings" w:hint="default"/>
      </w:rPr>
    </w:lvl>
  </w:abstractNum>
  <w:abstractNum w:abstractNumId="1" w15:restartNumberingAfterBreak="0">
    <w:nsid w:val="040F53E7"/>
    <w:multiLevelType w:val="hybridMultilevel"/>
    <w:tmpl w:val="2064206A"/>
    <w:lvl w:ilvl="0" w:tplc="DCB0E512">
      <w:start w:val="1"/>
      <w:numFmt w:val="bullet"/>
      <w:lvlText w:val=""/>
      <w:lvlJc w:val="left"/>
      <w:pPr>
        <w:ind w:left="720" w:hanging="360"/>
      </w:pPr>
      <w:rPr>
        <w:rFonts w:ascii="Symbol" w:hAnsi="Symbol" w:hint="default"/>
      </w:rPr>
    </w:lvl>
    <w:lvl w:ilvl="1" w:tplc="78AA8BB0">
      <w:start w:val="1"/>
      <w:numFmt w:val="bullet"/>
      <w:lvlText w:val="o"/>
      <w:lvlJc w:val="left"/>
      <w:pPr>
        <w:ind w:left="1440" w:hanging="360"/>
      </w:pPr>
      <w:rPr>
        <w:rFonts w:ascii="Courier New" w:hAnsi="Courier New" w:cs="Courier New" w:hint="default"/>
      </w:rPr>
    </w:lvl>
    <w:lvl w:ilvl="2" w:tplc="52E45B44">
      <w:start w:val="1"/>
      <w:numFmt w:val="bullet"/>
      <w:lvlText w:val=""/>
      <w:lvlJc w:val="left"/>
      <w:pPr>
        <w:ind w:left="2160" w:hanging="360"/>
      </w:pPr>
      <w:rPr>
        <w:rFonts w:ascii="Wingdings" w:hAnsi="Wingdings" w:hint="default"/>
      </w:rPr>
    </w:lvl>
    <w:lvl w:ilvl="3" w:tplc="BE569246">
      <w:start w:val="1"/>
      <w:numFmt w:val="bullet"/>
      <w:lvlText w:val=""/>
      <w:lvlJc w:val="left"/>
      <w:pPr>
        <w:ind w:left="2880" w:hanging="360"/>
      </w:pPr>
      <w:rPr>
        <w:rFonts w:ascii="Symbol" w:hAnsi="Symbol" w:hint="default"/>
      </w:rPr>
    </w:lvl>
    <w:lvl w:ilvl="4" w:tplc="F7FAC284">
      <w:start w:val="1"/>
      <w:numFmt w:val="bullet"/>
      <w:lvlText w:val="o"/>
      <w:lvlJc w:val="left"/>
      <w:pPr>
        <w:ind w:left="3600" w:hanging="360"/>
      </w:pPr>
      <w:rPr>
        <w:rFonts w:ascii="Courier New" w:hAnsi="Courier New" w:cs="Courier New" w:hint="default"/>
      </w:rPr>
    </w:lvl>
    <w:lvl w:ilvl="5" w:tplc="C6FC3036">
      <w:start w:val="1"/>
      <w:numFmt w:val="bullet"/>
      <w:lvlText w:val=""/>
      <w:lvlJc w:val="left"/>
      <w:pPr>
        <w:ind w:left="4320" w:hanging="360"/>
      </w:pPr>
      <w:rPr>
        <w:rFonts w:ascii="Wingdings" w:hAnsi="Wingdings" w:hint="default"/>
      </w:rPr>
    </w:lvl>
    <w:lvl w:ilvl="6" w:tplc="E40E9C76">
      <w:start w:val="1"/>
      <w:numFmt w:val="bullet"/>
      <w:lvlText w:val=""/>
      <w:lvlJc w:val="left"/>
      <w:pPr>
        <w:ind w:left="5040" w:hanging="360"/>
      </w:pPr>
      <w:rPr>
        <w:rFonts w:ascii="Symbol" w:hAnsi="Symbol" w:hint="default"/>
      </w:rPr>
    </w:lvl>
    <w:lvl w:ilvl="7" w:tplc="FE56B7C8">
      <w:start w:val="1"/>
      <w:numFmt w:val="bullet"/>
      <w:lvlText w:val="o"/>
      <w:lvlJc w:val="left"/>
      <w:pPr>
        <w:ind w:left="5760" w:hanging="360"/>
      </w:pPr>
      <w:rPr>
        <w:rFonts w:ascii="Courier New" w:hAnsi="Courier New" w:cs="Courier New" w:hint="default"/>
      </w:rPr>
    </w:lvl>
    <w:lvl w:ilvl="8" w:tplc="EFF0917C">
      <w:start w:val="1"/>
      <w:numFmt w:val="bullet"/>
      <w:lvlText w:val=""/>
      <w:lvlJc w:val="left"/>
      <w:pPr>
        <w:ind w:left="6480" w:hanging="360"/>
      </w:pPr>
      <w:rPr>
        <w:rFonts w:ascii="Wingdings" w:hAnsi="Wingdings" w:hint="default"/>
      </w:rPr>
    </w:lvl>
  </w:abstractNum>
  <w:abstractNum w:abstractNumId="2" w15:restartNumberingAfterBreak="0">
    <w:nsid w:val="060F2F0B"/>
    <w:multiLevelType w:val="hybridMultilevel"/>
    <w:tmpl w:val="07C2F554"/>
    <w:lvl w:ilvl="0" w:tplc="43D48DDC">
      <w:start w:val="1"/>
      <w:numFmt w:val="decimal"/>
      <w:lvlText w:val="%1."/>
      <w:lvlJc w:val="left"/>
      <w:pPr>
        <w:ind w:left="928" w:hanging="360"/>
      </w:pPr>
      <w:rPr>
        <w:rFonts w:hint="default"/>
      </w:rPr>
    </w:lvl>
    <w:lvl w:ilvl="1" w:tplc="D8DE4856">
      <w:start w:val="1"/>
      <w:numFmt w:val="lowerLetter"/>
      <w:lvlText w:val="%2."/>
      <w:lvlJc w:val="left"/>
      <w:pPr>
        <w:ind w:left="1648" w:hanging="360"/>
      </w:pPr>
    </w:lvl>
    <w:lvl w:ilvl="2" w:tplc="83389934">
      <w:start w:val="1"/>
      <w:numFmt w:val="lowerRoman"/>
      <w:lvlText w:val="%3."/>
      <w:lvlJc w:val="right"/>
      <w:pPr>
        <w:ind w:left="2368" w:hanging="180"/>
      </w:pPr>
    </w:lvl>
    <w:lvl w:ilvl="3" w:tplc="CAA23418">
      <w:start w:val="1"/>
      <w:numFmt w:val="decimal"/>
      <w:lvlText w:val="%4."/>
      <w:lvlJc w:val="left"/>
      <w:pPr>
        <w:ind w:left="3088" w:hanging="360"/>
      </w:pPr>
    </w:lvl>
    <w:lvl w:ilvl="4" w:tplc="E7D477C0">
      <w:start w:val="1"/>
      <w:numFmt w:val="lowerLetter"/>
      <w:lvlText w:val="%5."/>
      <w:lvlJc w:val="left"/>
      <w:pPr>
        <w:ind w:left="3808" w:hanging="360"/>
      </w:pPr>
    </w:lvl>
    <w:lvl w:ilvl="5" w:tplc="8062A380">
      <w:start w:val="1"/>
      <w:numFmt w:val="lowerRoman"/>
      <w:lvlText w:val="%6."/>
      <w:lvlJc w:val="right"/>
      <w:pPr>
        <w:ind w:left="4528" w:hanging="180"/>
      </w:pPr>
    </w:lvl>
    <w:lvl w:ilvl="6" w:tplc="F42E3B42">
      <w:start w:val="1"/>
      <w:numFmt w:val="decimal"/>
      <w:lvlText w:val="%7."/>
      <w:lvlJc w:val="left"/>
      <w:pPr>
        <w:ind w:left="5248" w:hanging="360"/>
      </w:pPr>
    </w:lvl>
    <w:lvl w:ilvl="7" w:tplc="E750905C">
      <w:start w:val="1"/>
      <w:numFmt w:val="lowerLetter"/>
      <w:lvlText w:val="%8."/>
      <w:lvlJc w:val="left"/>
      <w:pPr>
        <w:ind w:left="5968" w:hanging="360"/>
      </w:pPr>
    </w:lvl>
    <w:lvl w:ilvl="8" w:tplc="7CAAFD04">
      <w:start w:val="1"/>
      <w:numFmt w:val="lowerRoman"/>
      <w:lvlText w:val="%9."/>
      <w:lvlJc w:val="right"/>
      <w:pPr>
        <w:ind w:left="6688" w:hanging="180"/>
      </w:pPr>
    </w:lvl>
  </w:abstractNum>
  <w:abstractNum w:abstractNumId="3" w15:restartNumberingAfterBreak="0">
    <w:nsid w:val="0D76238E"/>
    <w:multiLevelType w:val="hybridMultilevel"/>
    <w:tmpl w:val="69BE1328"/>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4" w15:restartNumberingAfterBreak="0">
    <w:nsid w:val="0FE9236B"/>
    <w:multiLevelType w:val="hybridMultilevel"/>
    <w:tmpl w:val="1494CFD4"/>
    <w:lvl w:ilvl="0" w:tplc="87D8F620">
      <w:start w:val="1"/>
      <w:numFmt w:val="decimal"/>
      <w:lvlText w:val="%1."/>
      <w:lvlJc w:val="left"/>
      <w:pPr>
        <w:ind w:left="1920" w:hanging="360"/>
      </w:pPr>
      <w:rPr>
        <w:lang w:val="ru-RU"/>
      </w:rPr>
    </w:lvl>
    <w:lvl w:ilvl="1" w:tplc="BE6EFF6C">
      <w:start w:val="1"/>
      <w:numFmt w:val="lowerLetter"/>
      <w:lvlText w:val="%2."/>
      <w:lvlJc w:val="left"/>
      <w:pPr>
        <w:ind w:left="1440" w:hanging="360"/>
      </w:pPr>
    </w:lvl>
    <w:lvl w:ilvl="2" w:tplc="9796BD64">
      <w:start w:val="1"/>
      <w:numFmt w:val="lowerRoman"/>
      <w:lvlText w:val="%3."/>
      <w:lvlJc w:val="right"/>
      <w:pPr>
        <w:ind w:left="2160" w:hanging="180"/>
      </w:pPr>
    </w:lvl>
    <w:lvl w:ilvl="3" w:tplc="165AEDA4">
      <w:start w:val="1"/>
      <w:numFmt w:val="decimal"/>
      <w:lvlText w:val="%4."/>
      <w:lvlJc w:val="left"/>
      <w:pPr>
        <w:ind w:left="2880" w:hanging="360"/>
      </w:pPr>
    </w:lvl>
    <w:lvl w:ilvl="4" w:tplc="4F085F0C">
      <w:start w:val="1"/>
      <w:numFmt w:val="lowerLetter"/>
      <w:lvlText w:val="%5."/>
      <w:lvlJc w:val="left"/>
      <w:pPr>
        <w:ind w:left="3600" w:hanging="360"/>
      </w:pPr>
    </w:lvl>
    <w:lvl w:ilvl="5" w:tplc="B76071E2">
      <w:start w:val="1"/>
      <w:numFmt w:val="lowerRoman"/>
      <w:lvlText w:val="%6."/>
      <w:lvlJc w:val="right"/>
      <w:pPr>
        <w:ind w:left="4320" w:hanging="180"/>
      </w:pPr>
    </w:lvl>
    <w:lvl w:ilvl="6" w:tplc="806C45C6">
      <w:start w:val="1"/>
      <w:numFmt w:val="decimal"/>
      <w:lvlText w:val="%7."/>
      <w:lvlJc w:val="left"/>
      <w:pPr>
        <w:ind w:left="5040" w:hanging="360"/>
      </w:pPr>
    </w:lvl>
    <w:lvl w:ilvl="7" w:tplc="371ECE4C">
      <w:start w:val="1"/>
      <w:numFmt w:val="lowerLetter"/>
      <w:lvlText w:val="%8."/>
      <w:lvlJc w:val="left"/>
      <w:pPr>
        <w:ind w:left="5760" w:hanging="360"/>
      </w:pPr>
    </w:lvl>
    <w:lvl w:ilvl="8" w:tplc="E3525EA2">
      <w:start w:val="1"/>
      <w:numFmt w:val="lowerRoman"/>
      <w:lvlText w:val="%9."/>
      <w:lvlJc w:val="right"/>
      <w:pPr>
        <w:ind w:left="6480" w:hanging="180"/>
      </w:pPr>
    </w:lvl>
  </w:abstractNum>
  <w:abstractNum w:abstractNumId="5" w15:restartNumberingAfterBreak="0">
    <w:nsid w:val="17653641"/>
    <w:multiLevelType w:val="hybridMultilevel"/>
    <w:tmpl w:val="24A8B83A"/>
    <w:lvl w:ilvl="0" w:tplc="175EE19C">
      <w:start w:val="1"/>
      <w:numFmt w:val="bullet"/>
      <w:lvlText w:val=""/>
      <w:lvlJc w:val="left"/>
      <w:pPr>
        <w:ind w:left="720" w:hanging="360"/>
      </w:pPr>
      <w:rPr>
        <w:rFonts w:ascii="Symbol" w:hAnsi="Symbol" w:hint="default"/>
      </w:rPr>
    </w:lvl>
    <w:lvl w:ilvl="1" w:tplc="DD00DC5E">
      <w:start w:val="1"/>
      <w:numFmt w:val="bullet"/>
      <w:lvlText w:val="o"/>
      <w:lvlJc w:val="left"/>
      <w:pPr>
        <w:ind w:left="1440" w:hanging="360"/>
      </w:pPr>
      <w:rPr>
        <w:rFonts w:ascii="Courier New" w:hAnsi="Courier New" w:cs="Courier New" w:hint="default"/>
      </w:rPr>
    </w:lvl>
    <w:lvl w:ilvl="2" w:tplc="A4361B70">
      <w:start w:val="1"/>
      <w:numFmt w:val="bullet"/>
      <w:lvlText w:val=""/>
      <w:lvlJc w:val="left"/>
      <w:pPr>
        <w:ind w:left="2160" w:hanging="360"/>
      </w:pPr>
      <w:rPr>
        <w:rFonts w:ascii="Wingdings" w:hAnsi="Wingdings" w:hint="default"/>
      </w:rPr>
    </w:lvl>
    <w:lvl w:ilvl="3" w:tplc="0A0CAC6E">
      <w:start w:val="1"/>
      <w:numFmt w:val="bullet"/>
      <w:lvlText w:val=""/>
      <w:lvlJc w:val="left"/>
      <w:pPr>
        <w:ind w:left="2880" w:hanging="360"/>
      </w:pPr>
      <w:rPr>
        <w:rFonts w:ascii="Symbol" w:hAnsi="Symbol" w:hint="default"/>
      </w:rPr>
    </w:lvl>
    <w:lvl w:ilvl="4" w:tplc="777408B0">
      <w:start w:val="1"/>
      <w:numFmt w:val="bullet"/>
      <w:lvlText w:val="o"/>
      <w:lvlJc w:val="left"/>
      <w:pPr>
        <w:ind w:left="3600" w:hanging="360"/>
      </w:pPr>
      <w:rPr>
        <w:rFonts w:ascii="Courier New" w:hAnsi="Courier New" w:cs="Courier New" w:hint="default"/>
      </w:rPr>
    </w:lvl>
    <w:lvl w:ilvl="5" w:tplc="93F20DFA">
      <w:start w:val="1"/>
      <w:numFmt w:val="bullet"/>
      <w:lvlText w:val=""/>
      <w:lvlJc w:val="left"/>
      <w:pPr>
        <w:ind w:left="4320" w:hanging="360"/>
      </w:pPr>
      <w:rPr>
        <w:rFonts w:ascii="Wingdings" w:hAnsi="Wingdings" w:hint="default"/>
      </w:rPr>
    </w:lvl>
    <w:lvl w:ilvl="6" w:tplc="8F008F90">
      <w:start w:val="1"/>
      <w:numFmt w:val="bullet"/>
      <w:lvlText w:val=""/>
      <w:lvlJc w:val="left"/>
      <w:pPr>
        <w:ind w:left="5040" w:hanging="360"/>
      </w:pPr>
      <w:rPr>
        <w:rFonts w:ascii="Symbol" w:hAnsi="Symbol" w:hint="default"/>
      </w:rPr>
    </w:lvl>
    <w:lvl w:ilvl="7" w:tplc="28C8CB64">
      <w:start w:val="1"/>
      <w:numFmt w:val="bullet"/>
      <w:lvlText w:val="o"/>
      <w:lvlJc w:val="left"/>
      <w:pPr>
        <w:ind w:left="5760" w:hanging="360"/>
      </w:pPr>
      <w:rPr>
        <w:rFonts w:ascii="Courier New" w:hAnsi="Courier New" w:cs="Courier New" w:hint="default"/>
      </w:rPr>
    </w:lvl>
    <w:lvl w:ilvl="8" w:tplc="38022186">
      <w:start w:val="1"/>
      <w:numFmt w:val="bullet"/>
      <w:lvlText w:val=""/>
      <w:lvlJc w:val="left"/>
      <w:pPr>
        <w:ind w:left="6480" w:hanging="360"/>
      </w:pPr>
      <w:rPr>
        <w:rFonts w:ascii="Wingdings" w:hAnsi="Wingdings" w:hint="default"/>
      </w:rPr>
    </w:lvl>
  </w:abstractNum>
  <w:abstractNum w:abstractNumId="6" w15:restartNumberingAfterBreak="0">
    <w:nsid w:val="19DE2142"/>
    <w:multiLevelType w:val="hybridMultilevel"/>
    <w:tmpl w:val="25069A86"/>
    <w:lvl w:ilvl="0" w:tplc="920083E4">
      <w:start w:val="1"/>
      <w:numFmt w:val="bullet"/>
      <w:lvlText w:val=""/>
      <w:lvlJc w:val="left"/>
      <w:pPr>
        <w:ind w:left="720" w:hanging="360"/>
      </w:pPr>
      <w:rPr>
        <w:rFonts w:ascii="Symbol" w:hAnsi="Symbol" w:hint="default"/>
      </w:rPr>
    </w:lvl>
    <w:lvl w:ilvl="1" w:tplc="5C1E3F82">
      <w:start w:val="1"/>
      <w:numFmt w:val="bullet"/>
      <w:lvlText w:val="o"/>
      <w:lvlJc w:val="left"/>
      <w:pPr>
        <w:ind w:left="1440" w:hanging="360"/>
      </w:pPr>
      <w:rPr>
        <w:rFonts w:ascii="Courier New" w:hAnsi="Courier New" w:cs="Courier New" w:hint="default"/>
      </w:rPr>
    </w:lvl>
    <w:lvl w:ilvl="2" w:tplc="D86AF5D4">
      <w:start w:val="1"/>
      <w:numFmt w:val="bullet"/>
      <w:lvlText w:val=""/>
      <w:lvlJc w:val="left"/>
      <w:pPr>
        <w:ind w:left="2160" w:hanging="360"/>
      </w:pPr>
      <w:rPr>
        <w:rFonts w:ascii="Wingdings" w:hAnsi="Wingdings" w:hint="default"/>
      </w:rPr>
    </w:lvl>
    <w:lvl w:ilvl="3" w:tplc="553C43EE">
      <w:start w:val="1"/>
      <w:numFmt w:val="bullet"/>
      <w:lvlText w:val=""/>
      <w:lvlJc w:val="left"/>
      <w:pPr>
        <w:ind w:left="2880" w:hanging="360"/>
      </w:pPr>
      <w:rPr>
        <w:rFonts w:ascii="Symbol" w:hAnsi="Symbol" w:hint="default"/>
      </w:rPr>
    </w:lvl>
    <w:lvl w:ilvl="4" w:tplc="67A0EAFE">
      <w:start w:val="1"/>
      <w:numFmt w:val="bullet"/>
      <w:lvlText w:val="o"/>
      <w:lvlJc w:val="left"/>
      <w:pPr>
        <w:ind w:left="3600" w:hanging="360"/>
      </w:pPr>
      <w:rPr>
        <w:rFonts w:ascii="Courier New" w:hAnsi="Courier New" w:cs="Courier New" w:hint="default"/>
      </w:rPr>
    </w:lvl>
    <w:lvl w:ilvl="5" w:tplc="9E50E736">
      <w:start w:val="1"/>
      <w:numFmt w:val="bullet"/>
      <w:lvlText w:val=""/>
      <w:lvlJc w:val="left"/>
      <w:pPr>
        <w:ind w:left="4320" w:hanging="360"/>
      </w:pPr>
      <w:rPr>
        <w:rFonts w:ascii="Wingdings" w:hAnsi="Wingdings" w:hint="default"/>
      </w:rPr>
    </w:lvl>
    <w:lvl w:ilvl="6" w:tplc="9B3012F2">
      <w:start w:val="1"/>
      <w:numFmt w:val="bullet"/>
      <w:lvlText w:val=""/>
      <w:lvlJc w:val="left"/>
      <w:pPr>
        <w:ind w:left="5040" w:hanging="360"/>
      </w:pPr>
      <w:rPr>
        <w:rFonts w:ascii="Symbol" w:hAnsi="Symbol" w:hint="default"/>
      </w:rPr>
    </w:lvl>
    <w:lvl w:ilvl="7" w:tplc="147E68E2">
      <w:start w:val="1"/>
      <w:numFmt w:val="bullet"/>
      <w:lvlText w:val="o"/>
      <w:lvlJc w:val="left"/>
      <w:pPr>
        <w:ind w:left="5760" w:hanging="360"/>
      </w:pPr>
      <w:rPr>
        <w:rFonts w:ascii="Courier New" w:hAnsi="Courier New" w:cs="Courier New" w:hint="default"/>
      </w:rPr>
    </w:lvl>
    <w:lvl w:ilvl="8" w:tplc="1B328FD0">
      <w:start w:val="1"/>
      <w:numFmt w:val="bullet"/>
      <w:lvlText w:val=""/>
      <w:lvlJc w:val="left"/>
      <w:pPr>
        <w:ind w:left="6480" w:hanging="360"/>
      </w:pPr>
      <w:rPr>
        <w:rFonts w:ascii="Wingdings" w:hAnsi="Wingdings" w:hint="default"/>
      </w:rPr>
    </w:lvl>
  </w:abstractNum>
  <w:abstractNum w:abstractNumId="7" w15:restartNumberingAfterBreak="0">
    <w:nsid w:val="1BE728ED"/>
    <w:multiLevelType w:val="hybridMultilevel"/>
    <w:tmpl w:val="8A7669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3900A1"/>
    <w:multiLevelType w:val="hybridMultilevel"/>
    <w:tmpl w:val="960E0E78"/>
    <w:lvl w:ilvl="0" w:tplc="906870A8">
      <w:start w:val="21"/>
      <w:numFmt w:val="decimal"/>
      <w:lvlText w:val="%1."/>
      <w:lvlJc w:val="left"/>
      <w:pPr>
        <w:ind w:left="3196" w:hanging="360"/>
      </w:pPr>
      <w:rPr>
        <w:rFonts w:hint="default"/>
      </w:rPr>
    </w:lvl>
    <w:lvl w:ilvl="1" w:tplc="55AC27AE">
      <w:start w:val="1"/>
      <w:numFmt w:val="lowerLetter"/>
      <w:lvlText w:val="%2."/>
      <w:lvlJc w:val="left"/>
      <w:pPr>
        <w:ind w:left="1440" w:hanging="360"/>
      </w:pPr>
    </w:lvl>
    <w:lvl w:ilvl="2" w:tplc="9288EBCC">
      <w:start w:val="1"/>
      <w:numFmt w:val="lowerRoman"/>
      <w:lvlText w:val="%3."/>
      <w:lvlJc w:val="right"/>
      <w:pPr>
        <w:ind w:left="2160" w:hanging="180"/>
      </w:pPr>
    </w:lvl>
    <w:lvl w:ilvl="3" w:tplc="8A4E56A0">
      <w:start w:val="1"/>
      <w:numFmt w:val="decimal"/>
      <w:lvlText w:val="%4."/>
      <w:lvlJc w:val="left"/>
      <w:pPr>
        <w:ind w:left="2880" w:hanging="360"/>
      </w:pPr>
    </w:lvl>
    <w:lvl w:ilvl="4" w:tplc="9AB002E6">
      <w:start w:val="1"/>
      <w:numFmt w:val="lowerLetter"/>
      <w:lvlText w:val="%5."/>
      <w:lvlJc w:val="left"/>
      <w:pPr>
        <w:ind w:left="3600" w:hanging="360"/>
      </w:pPr>
    </w:lvl>
    <w:lvl w:ilvl="5" w:tplc="9482C9D4">
      <w:start w:val="1"/>
      <w:numFmt w:val="lowerRoman"/>
      <w:lvlText w:val="%6."/>
      <w:lvlJc w:val="right"/>
      <w:pPr>
        <w:ind w:left="4320" w:hanging="180"/>
      </w:pPr>
    </w:lvl>
    <w:lvl w:ilvl="6" w:tplc="44FE468A">
      <w:start w:val="1"/>
      <w:numFmt w:val="decimal"/>
      <w:lvlText w:val="%7."/>
      <w:lvlJc w:val="left"/>
      <w:pPr>
        <w:ind w:left="5040" w:hanging="360"/>
      </w:pPr>
    </w:lvl>
    <w:lvl w:ilvl="7" w:tplc="B406D192">
      <w:start w:val="1"/>
      <w:numFmt w:val="lowerLetter"/>
      <w:lvlText w:val="%8."/>
      <w:lvlJc w:val="left"/>
      <w:pPr>
        <w:ind w:left="5760" w:hanging="360"/>
      </w:pPr>
    </w:lvl>
    <w:lvl w:ilvl="8" w:tplc="50EAA616">
      <w:start w:val="1"/>
      <w:numFmt w:val="lowerRoman"/>
      <w:lvlText w:val="%9."/>
      <w:lvlJc w:val="right"/>
      <w:pPr>
        <w:ind w:left="6480" w:hanging="180"/>
      </w:pPr>
    </w:lvl>
  </w:abstractNum>
  <w:abstractNum w:abstractNumId="9" w15:restartNumberingAfterBreak="0">
    <w:nsid w:val="2DB405FB"/>
    <w:multiLevelType w:val="hybridMultilevel"/>
    <w:tmpl w:val="33BAE2A2"/>
    <w:lvl w:ilvl="0" w:tplc="2506BD84">
      <w:start w:val="1"/>
      <w:numFmt w:val="decimal"/>
      <w:lvlText w:val="%1."/>
      <w:lvlJc w:val="left"/>
      <w:pPr>
        <w:ind w:left="1920" w:hanging="360"/>
      </w:pPr>
      <w:rPr>
        <w:lang w:val="ru-RU"/>
      </w:rPr>
    </w:lvl>
    <w:lvl w:ilvl="1" w:tplc="14A44F14">
      <w:start w:val="1"/>
      <w:numFmt w:val="lowerLetter"/>
      <w:lvlText w:val="%2."/>
      <w:lvlJc w:val="left"/>
      <w:pPr>
        <w:ind w:left="1440" w:hanging="360"/>
      </w:pPr>
    </w:lvl>
    <w:lvl w:ilvl="2" w:tplc="46C0B168">
      <w:start w:val="1"/>
      <w:numFmt w:val="lowerRoman"/>
      <w:lvlText w:val="%3."/>
      <w:lvlJc w:val="right"/>
      <w:pPr>
        <w:ind w:left="2160" w:hanging="180"/>
      </w:pPr>
    </w:lvl>
    <w:lvl w:ilvl="3" w:tplc="95D46200">
      <w:start w:val="1"/>
      <w:numFmt w:val="decimal"/>
      <w:lvlText w:val="%4."/>
      <w:lvlJc w:val="left"/>
      <w:pPr>
        <w:ind w:left="2880" w:hanging="360"/>
      </w:pPr>
    </w:lvl>
    <w:lvl w:ilvl="4" w:tplc="3592827E">
      <w:start w:val="1"/>
      <w:numFmt w:val="lowerLetter"/>
      <w:lvlText w:val="%5."/>
      <w:lvlJc w:val="left"/>
      <w:pPr>
        <w:ind w:left="3600" w:hanging="360"/>
      </w:pPr>
    </w:lvl>
    <w:lvl w:ilvl="5" w:tplc="B636A41C">
      <w:start w:val="1"/>
      <w:numFmt w:val="lowerRoman"/>
      <w:lvlText w:val="%6."/>
      <w:lvlJc w:val="right"/>
      <w:pPr>
        <w:ind w:left="4320" w:hanging="180"/>
      </w:pPr>
    </w:lvl>
    <w:lvl w:ilvl="6" w:tplc="49DE1D24">
      <w:start w:val="1"/>
      <w:numFmt w:val="decimal"/>
      <w:lvlText w:val="%7."/>
      <w:lvlJc w:val="left"/>
      <w:pPr>
        <w:ind w:left="5040" w:hanging="360"/>
      </w:pPr>
    </w:lvl>
    <w:lvl w:ilvl="7" w:tplc="5D0AAFC8">
      <w:start w:val="1"/>
      <w:numFmt w:val="lowerLetter"/>
      <w:lvlText w:val="%8."/>
      <w:lvlJc w:val="left"/>
      <w:pPr>
        <w:ind w:left="5760" w:hanging="360"/>
      </w:pPr>
    </w:lvl>
    <w:lvl w:ilvl="8" w:tplc="023E69B2">
      <w:start w:val="1"/>
      <w:numFmt w:val="lowerRoman"/>
      <w:lvlText w:val="%9."/>
      <w:lvlJc w:val="right"/>
      <w:pPr>
        <w:ind w:left="6480" w:hanging="180"/>
      </w:pPr>
    </w:lvl>
  </w:abstractNum>
  <w:abstractNum w:abstractNumId="10" w15:restartNumberingAfterBreak="0">
    <w:nsid w:val="32052808"/>
    <w:multiLevelType w:val="multilevel"/>
    <w:tmpl w:val="06D222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45313C6E"/>
    <w:multiLevelType w:val="hybridMultilevel"/>
    <w:tmpl w:val="31D28E50"/>
    <w:lvl w:ilvl="0" w:tplc="34DA0E8A">
      <w:start w:val="1"/>
      <w:numFmt w:val="bullet"/>
      <w:lvlText w:val=""/>
      <w:lvlJc w:val="left"/>
      <w:pPr>
        <w:ind w:left="720" w:hanging="360"/>
      </w:pPr>
      <w:rPr>
        <w:rFonts w:ascii="Symbol" w:hAnsi="Symbol" w:hint="default"/>
      </w:rPr>
    </w:lvl>
    <w:lvl w:ilvl="1" w:tplc="01961686">
      <w:start w:val="1"/>
      <w:numFmt w:val="bullet"/>
      <w:lvlText w:val="o"/>
      <w:lvlJc w:val="left"/>
      <w:pPr>
        <w:ind w:left="1440" w:hanging="360"/>
      </w:pPr>
      <w:rPr>
        <w:rFonts w:ascii="Courier New" w:hAnsi="Courier New" w:cs="Courier New" w:hint="default"/>
      </w:rPr>
    </w:lvl>
    <w:lvl w:ilvl="2" w:tplc="5BFC54D6">
      <w:start w:val="1"/>
      <w:numFmt w:val="bullet"/>
      <w:lvlText w:val=""/>
      <w:lvlJc w:val="left"/>
      <w:pPr>
        <w:ind w:left="2160" w:hanging="360"/>
      </w:pPr>
      <w:rPr>
        <w:rFonts w:ascii="Wingdings" w:hAnsi="Wingdings" w:hint="default"/>
      </w:rPr>
    </w:lvl>
    <w:lvl w:ilvl="3" w:tplc="27B4739E">
      <w:start w:val="1"/>
      <w:numFmt w:val="bullet"/>
      <w:lvlText w:val=""/>
      <w:lvlJc w:val="left"/>
      <w:pPr>
        <w:ind w:left="2880" w:hanging="360"/>
      </w:pPr>
      <w:rPr>
        <w:rFonts w:ascii="Symbol" w:hAnsi="Symbol" w:hint="default"/>
      </w:rPr>
    </w:lvl>
    <w:lvl w:ilvl="4" w:tplc="129E8CBC">
      <w:start w:val="1"/>
      <w:numFmt w:val="bullet"/>
      <w:lvlText w:val="o"/>
      <w:lvlJc w:val="left"/>
      <w:pPr>
        <w:ind w:left="3600" w:hanging="360"/>
      </w:pPr>
      <w:rPr>
        <w:rFonts w:ascii="Courier New" w:hAnsi="Courier New" w:cs="Courier New" w:hint="default"/>
      </w:rPr>
    </w:lvl>
    <w:lvl w:ilvl="5" w:tplc="A8821EB6">
      <w:start w:val="1"/>
      <w:numFmt w:val="bullet"/>
      <w:lvlText w:val=""/>
      <w:lvlJc w:val="left"/>
      <w:pPr>
        <w:ind w:left="4320" w:hanging="360"/>
      </w:pPr>
      <w:rPr>
        <w:rFonts w:ascii="Wingdings" w:hAnsi="Wingdings" w:hint="default"/>
      </w:rPr>
    </w:lvl>
    <w:lvl w:ilvl="6" w:tplc="914EC82A">
      <w:start w:val="1"/>
      <w:numFmt w:val="bullet"/>
      <w:lvlText w:val=""/>
      <w:lvlJc w:val="left"/>
      <w:pPr>
        <w:ind w:left="5040" w:hanging="360"/>
      </w:pPr>
      <w:rPr>
        <w:rFonts w:ascii="Symbol" w:hAnsi="Symbol" w:hint="default"/>
      </w:rPr>
    </w:lvl>
    <w:lvl w:ilvl="7" w:tplc="9126C796">
      <w:start w:val="1"/>
      <w:numFmt w:val="bullet"/>
      <w:lvlText w:val="o"/>
      <w:lvlJc w:val="left"/>
      <w:pPr>
        <w:ind w:left="5760" w:hanging="360"/>
      </w:pPr>
      <w:rPr>
        <w:rFonts w:ascii="Courier New" w:hAnsi="Courier New" w:cs="Courier New" w:hint="default"/>
      </w:rPr>
    </w:lvl>
    <w:lvl w:ilvl="8" w:tplc="3EB8712C">
      <w:start w:val="1"/>
      <w:numFmt w:val="bullet"/>
      <w:lvlText w:val=""/>
      <w:lvlJc w:val="left"/>
      <w:pPr>
        <w:ind w:left="6480" w:hanging="360"/>
      </w:pPr>
      <w:rPr>
        <w:rFonts w:ascii="Wingdings" w:hAnsi="Wingdings" w:hint="default"/>
      </w:rPr>
    </w:lvl>
  </w:abstractNum>
  <w:abstractNum w:abstractNumId="12" w15:restartNumberingAfterBreak="0">
    <w:nsid w:val="45AB62DB"/>
    <w:multiLevelType w:val="hybridMultilevel"/>
    <w:tmpl w:val="6AD288CC"/>
    <w:lvl w:ilvl="0" w:tplc="5E2E648A">
      <w:start w:val="1"/>
      <w:numFmt w:val="decimal"/>
      <w:lvlText w:val="%1."/>
      <w:lvlJc w:val="left"/>
      <w:pPr>
        <w:ind w:left="1429" w:hanging="360"/>
      </w:pPr>
    </w:lvl>
    <w:lvl w:ilvl="1" w:tplc="7F66F194">
      <w:start w:val="1"/>
      <w:numFmt w:val="lowerLetter"/>
      <w:lvlText w:val="%2."/>
      <w:lvlJc w:val="left"/>
      <w:pPr>
        <w:ind w:left="2149" w:hanging="360"/>
      </w:pPr>
    </w:lvl>
    <w:lvl w:ilvl="2" w:tplc="5930E68C">
      <w:start w:val="1"/>
      <w:numFmt w:val="lowerRoman"/>
      <w:lvlText w:val="%3."/>
      <w:lvlJc w:val="right"/>
      <w:pPr>
        <w:ind w:left="2869" w:hanging="180"/>
      </w:pPr>
    </w:lvl>
    <w:lvl w:ilvl="3" w:tplc="4B243C92">
      <w:start w:val="1"/>
      <w:numFmt w:val="decimal"/>
      <w:lvlText w:val="%4."/>
      <w:lvlJc w:val="left"/>
      <w:pPr>
        <w:ind w:left="3589" w:hanging="360"/>
      </w:pPr>
    </w:lvl>
    <w:lvl w:ilvl="4" w:tplc="2F2C1820">
      <w:start w:val="1"/>
      <w:numFmt w:val="lowerLetter"/>
      <w:lvlText w:val="%5."/>
      <w:lvlJc w:val="left"/>
      <w:pPr>
        <w:ind w:left="4309" w:hanging="360"/>
      </w:pPr>
    </w:lvl>
    <w:lvl w:ilvl="5" w:tplc="E8C45D3C">
      <w:start w:val="1"/>
      <w:numFmt w:val="lowerRoman"/>
      <w:lvlText w:val="%6."/>
      <w:lvlJc w:val="right"/>
      <w:pPr>
        <w:ind w:left="5029" w:hanging="180"/>
      </w:pPr>
    </w:lvl>
    <w:lvl w:ilvl="6" w:tplc="415821C4">
      <w:start w:val="1"/>
      <w:numFmt w:val="decimal"/>
      <w:lvlText w:val="%7."/>
      <w:lvlJc w:val="left"/>
      <w:pPr>
        <w:ind w:left="5749" w:hanging="360"/>
      </w:pPr>
    </w:lvl>
    <w:lvl w:ilvl="7" w:tplc="B6ECFCE4">
      <w:start w:val="1"/>
      <w:numFmt w:val="lowerLetter"/>
      <w:lvlText w:val="%8."/>
      <w:lvlJc w:val="left"/>
      <w:pPr>
        <w:ind w:left="6469" w:hanging="360"/>
      </w:pPr>
    </w:lvl>
    <w:lvl w:ilvl="8" w:tplc="8152AA94">
      <w:start w:val="1"/>
      <w:numFmt w:val="lowerRoman"/>
      <w:lvlText w:val="%9."/>
      <w:lvlJc w:val="right"/>
      <w:pPr>
        <w:ind w:left="7189" w:hanging="180"/>
      </w:pPr>
    </w:lvl>
  </w:abstractNum>
  <w:abstractNum w:abstractNumId="13" w15:restartNumberingAfterBreak="0">
    <w:nsid w:val="4C534493"/>
    <w:multiLevelType w:val="hybridMultilevel"/>
    <w:tmpl w:val="0BA4E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0E40CB6"/>
    <w:multiLevelType w:val="hybridMultilevel"/>
    <w:tmpl w:val="C4D499D0"/>
    <w:lvl w:ilvl="0" w:tplc="2E140DC0">
      <w:start w:val="1"/>
      <w:numFmt w:val="bullet"/>
      <w:lvlText w:val=""/>
      <w:lvlJc w:val="left"/>
      <w:pPr>
        <w:ind w:left="720" w:hanging="360"/>
      </w:pPr>
      <w:rPr>
        <w:rFonts w:ascii="Symbol" w:hAnsi="Symbol" w:hint="default"/>
      </w:rPr>
    </w:lvl>
    <w:lvl w:ilvl="1" w:tplc="00006198">
      <w:start w:val="1"/>
      <w:numFmt w:val="bullet"/>
      <w:lvlText w:val="o"/>
      <w:lvlJc w:val="left"/>
      <w:pPr>
        <w:ind w:left="1440" w:hanging="360"/>
      </w:pPr>
      <w:rPr>
        <w:rFonts w:ascii="Courier New" w:hAnsi="Courier New" w:cs="Courier New" w:hint="default"/>
      </w:rPr>
    </w:lvl>
    <w:lvl w:ilvl="2" w:tplc="6CFC9DC2">
      <w:start w:val="1"/>
      <w:numFmt w:val="bullet"/>
      <w:lvlText w:val=""/>
      <w:lvlJc w:val="left"/>
      <w:pPr>
        <w:ind w:left="2160" w:hanging="360"/>
      </w:pPr>
      <w:rPr>
        <w:rFonts w:ascii="Wingdings" w:hAnsi="Wingdings" w:hint="default"/>
      </w:rPr>
    </w:lvl>
    <w:lvl w:ilvl="3" w:tplc="BAAE1F34">
      <w:start w:val="1"/>
      <w:numFmt w:val="bullet"/>
      <w:lvlText w:val=""/>
      <w:lvlJc w:val="left"/>
      <w:pPr>
        <w:ind w:left="2880" w:hanging="360"/>
      </w:pPr>
      <w:rPr>
        <w:rFonts w:ascii="Symbol" w:hAnsi="Symbol" w:hint="default"/>
      </w:rPr>
    </w:lvl>
    <w:lvl w:ilvl="4" w:tplc="4F2A57D0">
      <w:start w:val="1"/>
      <w:numFmt w:val="bullet"/>
      <w:lvlText w:val="o"/>
      <w:lvlJc w:val="left"/>
      <w:pPr>
        <w:ind w:left="3600" w:hanging="360"/>
      </w:pPr>
      <w:rPr>
        <w:rFonts w:ascii="Courier New" w:hAnsi="Courier New" w:cs="Courier New" w:hint="default"/>
      </w:rPr>
    </w:lvl>
    <w:lvl w:ilvl="5" w:tplc="5DDC25CA">
      <w:start w:val="1"/>
      <w:numFmt w:val="bullet"/>
      <w:lvlText w:val=""/>
      <w:lvlJc w:val="left"/>
      <w:pPr>
        <w:ind w:left="4320" w:hanging="360"/>
      </w:pPr>
      <w:rPr>
        <w:rFonts w:ascii="Wingdings" w:hAnsi="Wingdings" w:hint="default"/>
      </w:rPr>
    </w:lvl>
    <w:lvl w:ilvl="6" w:tplc="2C02C204">
      <w:start w:val="1"/>
      <w:numFmt w:val="bullet"/>
      <w:lvlText w:val=""/>
      <w:lvlJc w:val="left"/>
      <w:pPr>
        <w:ind w:left="5040" w:hanging="360"/>
      </w:pPr>
      <w:rPr>
        <w:rFonts w:ascii="Symbol" w:hAnsi="Symbol" w:hint="default"/>
      </w:rPr>
    </w:lvl>
    <w:lvl w:ilvl="7" w:tplc="A26CA35E">
      <w:start w:val="1"/>
      <w:numFmt w:val="bullet"/>
      <w:lvlText w:val="o"/>
      <w:lvlJc w:val="left"/>
      <w:pPr>
        <w:ind w:left="5760" w:hanging="360"/>
      </w:pPr>
      <w:rPr>
        <w:rFonts w:ascii="Courier New" w:hAnsi="Courier New" w:cs="Courier New" w:hint="default"/>
      </w:rPr>
    </w:lvl>
    <w:lvl w:ilvl="8" w:tplc="D318CFC6">
      <w:start w:val="1"/>
      <w:numFmt w:val="bullet"/>
      <w:lvlText w:val=""/>
      <w:lvlJc w:val="left"/>
      <w:pPr>
        <w:ind w:left="6480" w:hanging="360"/>
      </w:pPr>
      <w:rPr>
        <w:rFonts w:ascii="Wingdings" w:hAnsi="Wingdings" w:hint="default"/>
      </w:rPr>
    </w:lvl>
  </w:abstractNum>
  <w:abstractNum w:abstractNumId="15" w15:restartNumberingAfterBreak="0">
    <w:nsid w:val="58190618"/>
    <w:multiLevelType w:val="hybridMultilevel"/>
    <w:tmpl w:val="E8B6478C"/>
    <w:lvl w:ilvl="0" w:tplc="2BBE6F3E">
      <w:start w:val="1"/>
      <w:numFmt w:val="bullet"/>
      <w:lvlText w:val=""/>
      <w:lvlJc w:val="left"/>
      <w:pPr>
        <w:ind w:left="4897" w:hanging="360"/>
      </w:pPr>
      <w:rPr>
        <w:rFonts w:ascii="Symbol" w:hAnsi="Symbol" w:hint="default"/>
      </w:rPr>
    </w:lvl>
    <w:lvl w:ilvl="1" w:tplc="07D4B1CA">
      <w:start w:val="1"/>
      <w:numFmt w:val="bullet"/>
      <w:lvlText w:val="o"/>
      <w:lvlJc w:val="left"/>
      <w:pPr>
        <w:ind w:left="4133" w:hanging="360"/>
      </w:pPr>
      <w:rPr>
        <w:rFonts w:ascii="Courier New" w:hAnsi="Courier New" w:cs="Courier New" w:hint="default"/>
      </w:rPr>
    </w:lvl>
    <w:lvl w:ilvl="2" w:tplc="2AA8C8D8">
      <w:start w:val="1"/>
      <w:numFmt w:val="bullet"/>
      <w:lvlText w:val=""/>
      <w:lvlJc w:val="left"/>
      <w:pPr>
        <w:ind w:left="4853" w:hanging="360"/>
      </w:pPr>
      <w:rPr>
        <w:rFonts w:ascii="Wingdings" w:hAnsi="Wingdings" w:hint="default"/>
      </w:rPr>
    </w:lvl>
    <w:lvl w:ilvl="3" w:tplc="ABFC4EE0">
      <w:start w:val="1"/>
      <w:numFmt w:val="bullet"/>
      <w:lvlText w:val=""/>
      <w:lvlJc w:val="left"/>
      <w:pPr>
        <w:ind w:left="5573" w:hanging="360"/>
      </w:pPr>
      <w:rPr>
        <w:rFonts w:ascii="Symbol" w:hAnsi="Symbol" w:hint="default"/>
      </w:rPr>
    </w:lvl>
    <w:lvl w:ilvl="4" w:tplc="7B5AC11E">
      <w:start w:val="1"/>
      <w:numFmt w:val="bullet"/>
      <w:lvlText w:val="o"/>
      <w:lvlJc w:val="left"/>
      <w:pPr>
        <w:ind w:left="6293" w:hanging="360"/>
      </w:pPr>
      <w:rPr>
        <w:rFonts w:ascii="Courier New" w:hAnsi="Courier New" w:cs="Courier New" w:hint="default"/>
      </w:rPr>
    </w:lvl>
    <w:lvl w:ilvl="5" w:tplc="17B8615C">
      <w:start w:val="1"/>
      <w:numFmt w:val="bullet"/>
      <w:lvlText w:val=""/>
      <w:lvlJc w:val="left"/>
      <w:pPr>
        <w:ind w:left="7013" w:hanging="360"/>
      </w:pPr>
      <w:rPr>
        <w:rFonts w:ascii="Wingdings" w:hAnsi="Wingdings" w:hint="default"/>
      </w:rPr>
    </w:lvl>
    <w:lvl w:ilvl="6" w:tplc="98822C06">
      <w:start w:val="1"/>
      <w:numFmt w:val="bullet"/>
      <w:lvlText w:val=""/>
      <w:lvlJc w:val="left"/>
      <w:pPr>
        <w:ind w:left="7733" w:hanging="360"/>
      </w:pPr>
      <w:rPr>
        <w:rFonts w:ascii="Symbol" w:hAnsi="Symbol" w:hint="default"/>
      </w:rPr>
    </w:lvl>
    <w:lvl w:ilvl="7" w:tplc="51546A24">
      <w:start w:val="1"/>
      <w:numFmt w:val="bullet"/>
      <w:lvlText w:val="o"/>
      <w:lvlJc w:val="left"/>
      <w:pPr>
        <w:ind w:left="8453" w:hanging="360"/>
      </w:pPr>
      <w:rPr>
        <w:rFonts w:ascii="Courier New" w:hAnsi="Courier New" w:cs="Courier New" w:hint="default"/>
      </w:rPr>
    </w:lvl>
    <w:lvl w:ilvl="8" w:tplc="47A4B180">
      <w:start w:val="1"/>
      <w:numFmt w:val="bullet"/>
      <w:lvlText w:val=""/>
      <w:lvlJc w:val="left"/>
      <w:pPr>
        <w:ind w:left="9173" w:hanging="360"/>
      </w:pPr>
      <w:rPr>
        <w:rFonts w:ascii="Wingdings" w:hAnsi="Wingdings" w:hint="default"/>
      </w:rPr>
    </w:lvl>
  </w:abstractNum>
  <w:abstractNum w:abstractNumId="16" w15:restartNumberingAfterBreak="0">
    <w:nsid w:val="5CFD1B67"/>
    <w:multiLevelType w:val="multilevel"/>
    <w:tmpl w:val="C61A7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E054C4"/>
    <w:multiLevelType w:val="hybridMultilevel"/>
    <w:tmpl w:val="42A2B9C6"/>
    <w:lvl w:ilvl="0" w:tplc="7CBA8280">
      <w:start w:val="1"/>
      <w:numFmt w:val="decimal"/>
      <w:lvlText w:val="%1)"/>
      <w:lvlJc w:val="left"/>
      <w:pPr>
        <w:ind w:left="1834" w:hanging="1125"/>
      </w:pPr>
      <w:rPr>
        <w:rFonts w:hint="default"/>
      </w:rPr>
    </w:lvl>
    <w:lvl w:ilvl="1" w:tplc="D0BC6EFC">
      <w:start w:val="1"/>
      <w:numFmt w:val="lowerLetter"/>
      <w:lvlText w:val="%2."/>
      <w:lvlJc w:val="left"/>
      <w:pPr>
        <w:ind w:left="1789" w:hanging="360"/>
      </w:pPr>
    </w:lvl>
    <w:lvl w:ilvl="2" w:tplc="57140720">
      <w:start w:val="1"/>
      <w:numFmt w:val="lowerRoman"/>
      <w:lvlText w:val="%3."/>
      <w:lvlJc w:val="right"/>
      <w:pPr>
        <w:ind w:left="2509" w:hanging="180"/>
      </w:pPr>
    </w:lvl>
    <w:lvl w:ilvl="3" w:tplc="D3FE4454">
      <w:start w:val="1"/>
      <w:numFmt w:val="decimal"/>
      <w:lvlText w:val="%4."/>
      <w:lvlJc w:val="left"/>
      <w:pPr>
        <w:ind w:left="3229" w:hanging="360"/>
      </w:pPr>
    </w:lvl>
    <w:lvl w:ilvl="4" w:tplc="C3EE0F74">
      <w:start w:val="1"/>
      <w:numFmt w:val="lowerLetter"/>
      <w:lvlText w:val="%5."/>
      <w:lvlJc w:val="left"/>
      <w:pPr>
        <w:ind w:left="3949" w:hanging="360"/>
      </w:pPr>
    </w:lvl>
    <w:lvl w:ilvl="5" w:tplc="54E4158C">
      <w:start w:val="1"/>
      <w:numFmt w:val="lowerRoman"/>
      <w:lvlText w:val="%6."/>
      <w:lvlJc w:val="right"/>
      <w:pPr>
        <w:ind w:left="4669" w:hanging="180"/>
      </w:pPr>
    </w:lvl>
    <w:lvl w:ilvl="6" w:tplc="1034E1C6">
      <w:start w:val="1"/>
      <w:numFmt w:val="decimal"/>
      <w:lvlText w:val="%7."/>
      <w:lvlJc w:val="left"/>
      <w:pPr>
        <w:ind w:left="5389" w:hanging="360"/>
      </w:pPr>
    </w:lvl>
    <w:lvl w:ilvl="7" w:tplc="FD6E1BAA">
      <w:start w:val="1"/>
      <w:numFmt w:val="lowerLetter"/>
      <w:lvlText w:val="%8."/>
      <w:lvlJc w:val="left"/>
      <w:pPr>
        <w:ind w:left="6109" w:hanging="360"/>
      </w:pPr>
    </w:lvl>
    <w:lvl w:ilvl="8" w:tplc="937A220E">
      <w:start w:val="1"/>
      <w:numFmt w:val="lowerRoman"/>
      <w:lvlText w:val="%9."/>
      <w:lvlJc w:val="right"/>
      <w:pPr>
        <w:ind w:left="6829" w:hanging="180"/>
      </w:pPr>
    </w:lvl>
  </w:abstractNum>
  <w:abstractNum w:abstractNumId="18" w15:restartNumberingAfterBreak="0">
    <w:nsid w:val="653D2CEA"/>
    <w:multiLevelType w:val="hybridMultilevel"/>
    <w:tmpl w:val="7B1ED190"/>
    <w:lvl w:ilvl="0" w:tplc="0B504AC4">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7725302"/>
    <w:multiLevelType w:val="hybridMultilevel"/>
    <w:tmpl w:val="8206C39E"/>
    <w:lvl w:ilvl="0" w:tplc="2BEC59B8">
      <w:start w:val="1"/>
      <w:numFmt w:val="bullet"/>
      <w:lvlText w:val="•"/>
      <w:lvlJc w:val="left"/>
      <w:pPr>
        <w:tabs>
          <w:tab w:val="num" w:pos="720"/>
        </w:tabs>
        <w:ind w:left="720" w:hanging="360"/>
      </w:pPr>
      <w:rPr>
        <w:rFonts w:ascii="Arial" w:hAnsi="Arial" w:hint="default"/>
      </w:rPr>
    </w:lvl>
    <w:lvl w:ilvl="1" w:tplc="73562666" w:tentative="1">
      <w:start w:val="1"/>
      <w:numFmt w:val="bullet"/>
      <w:lvlText w:val="•"/>
      <w:lvlJc w:val="left"/>
      <w:pPr>
        <w:tabs>
          <w:tab w:val="num" w:pos="1440"/>
        </w:tabs>
        <w:ind w:left="1440" w:hanging="360"/>
      </w:pPr>
      <w:rPr>
        <w:rFonts w:ascii="Arial" w:hAnsi="Arial" w:hint="default"/>
      </w:rPr>
    </w:lvl>
    <w:lvl w:ilvl="2" w:tplc="9C68CABC" w:tentative="1">
      <w:start w:val="1"/>
      <w:numFmt w:val="bullet"/>
      <w:lvlText w:val="•"/>
      <w:lvlJc w:val="left"/>
      <w:pPr>
        <w:tabs>
          <w:tab w:val="num" w:pos="2160"/>
        </w:tabs>
        <w:ind w:left="2160" w:hanging="360"/>
      </w:pPr>
      <w:rPr>
        <w:rFonts w:ascii="Arial" w:hAnsi="Arial" w:hint="default"/>
      </w:rPr>
    </w:lvl>
    <w:lvl w:ilvl="3" w:tplc="1AE644FC" w:tentative="1">
      <w:start w:val="1"/>
      <w:numFmt w:val="bullet"/>
      <w:lvlText w:val="•"/>
      <w:lvlJc w:val="left"/>
      <w:pPr>
        <w:tabs>
          <w:tab w:val="num" w:pos="2880"/>
        </w:tabs>
        <w:ind w:left="2880" w:hanging="360"/>
      </w:pPr>
      <w:rPr>
        <w:rFonts w:ascii="Arial" w:hAnsi="Arial" w:hint="default"/>
      </w:rPr>
    </w:lvl>
    <w:lvl w:ilvl="4" w:tplc="0804DFC6" w:tentative="1">
      <w:start w:val="1"/>
      <w:numFmt w:val="bullet"/>
      <w:lvlText w:val="•"/>
      <w:lvlJc w:val="left"/>
      <w:pPr>
        <w:tabs>
          <w:tab w:val="num" w:pos="3600"/>
        </w:tabs>
        <w:ind w:left="3600" w:hanging="360"/>
      </w:pPr>
      <w:rPr>
        <w:rFonts w:ascii="Arial" w:hAnsi="Arial" w:hint="default"/>
      </w:rPr>
    </w:lvl>
    <w:lvl w:ilvl="5" w:tplc="57BC5272" w:tentative="1">
      <w:start w:val="1"/>
      <w:numFmt w:val="bullet"/>
      <w:lvlText w:val="•"/>
      <w:lvlJc w:val="left"/>
      <w:pPr>
        <w:tabs>
          <w:tab w:val="num" w:pos="4320"/>
        </w:tabs>
        <w:ind w:left="4320" w:hanging="360"/>
      </w:pPr>
      <w:rPr>
        <w:rFonts w:ascii="Arial" w:hAnsi="Arial" w:hint="default"/>
      </w:rPr>
    </w:lvl>
    <w:lvl w:ilvl="6" w:tplc="4FF86892" w:tentative="1">
      <w:start w:val="1"/>
      <w:numFmt w:val="bullet"/>
      <w:lvlText w:val="•"/>
      <w:lvlJc w:val="left"/>
      <w:pPr>
        <w:tabs>
          <w:tab w:val="num" w:pos="5040"/>
        </w:tabs>
        <w:ind w:left="5040" w:hanging="360"/>
      </w:pPr>
      <w:rPr>
        <w:rFonts w:ascii="Arial" w:hAnsi="Arial" w:hint="default"/>
      </w:rPr>
    </w:lvl>
    <w:lvl w:ilvl="7" w:tplc="FF60D266" w:tentative="1">
      <w:start w:val="1"/>
      <w:numFmt w:val="bullet"/>
      <w:lvlText w:val="•"/>
      <w:lvlJc w:val="left"/>
      <w:pPr>
        <w:tabs>
          <w:tab w:val="num" w:pos="5760"/>
        </w:tabs>
        <w:ind w:left="5760" w:hanging="360"/>
      </w:pPr>
      <w:rPr>
        <w:rFonts w:ascii="Arial" w:hAnsi="Arial" w:hint="default"/>
      </w:rPr>
    </w:lvl>
    <w:lvl w:ilvl="8" w:tplc="212C09F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EAD0CFE"/>
    <w:multiLevelType w:val="hybridMultilevel"/>
    <w:tmpl w:val="185E16EC"/>
    <w:lvl w:ilvl="0" w:tplc="E2BCDF4A">
      <w:start w:val="1"/>
      <w:numFmt w:val="bullet"/>
      <w:lvlText w:val=""/>
      <w:lvlJc w:val="left"/>
      <w:pPr>
        <w:ind w:left="1429" w:hanging="360"/>
      </w:pPr>
      <w:rPr>
        <w:rFonts w:ascii="Symbol" w:hAnsi="Symbol" w:hint="default"/>
      </w:rPr>
    </w:lvl>
    <w:lvl w:ilvl="1" w:tplc="BFBC04B6">
      <w:start w:val="1"/>
      <w:numFmt w:val="bullet"/>
      <w:lvlText w:val="o"/>
      <w:lvlJc w:val="left"/>
      <w:pPr>
        <w:ind w:left="2149" w:hanging="360"/>
      </w:pPr>
      <w:rPr>
        <w:rFonts w:ascii="Courier New" w:hAnsi="Courier New" w:cs="Courier New" w:hint="default"/>
      </w:rPr>
    </w:lvl>
    <w:lvl w:ilvl="2" w:tplc="F432A960">
      <w:start w:val="1"/>
      <w:numFmt w:val="bullet"/>
      <w:lvlText w:val=""/>
      <w:lvlJc w:val="left"/>
      <w:pPr>
        <w:ind w:left="2869" w:hanging="360"/>
      </w:pPr>
      <w:rPr>
        <w:rFonts w:ascii="Wingdings" w:hAnsi="Wingdings" w:hint="default"/>
      </w:rPr>
    </w:lvl>
    <w:lvl w:ilvl="3" w:tplc="419C657A">
      <w:start w:val="1"/>
      <w:numFmt w:val="bullet"/>
      <w:lvlText w:val=""/>
      <w:lvlJc w:val="left"/>
      <w:pPr>
        <w:ind w:left="3589" w:hanging="360"/>
      </w:pPr>
      <w:rPr>
        <w:rFonts w:ascii="Symbol" w:hAnsi="Symbol" w:hint="default"/>
      </w:rPr>
    </w:lvl>
    <w:lvl w:ilvl="4" w:tplc="59DEF62A">
      <w:start w:val="1"/>
      <w:numFmt w:val="bullet"/>
      <w:lvlText w:val="o"/>
      <w:lvlJc w:val="left"/>
      <w:pPr>
        <w:ind w:left="4309" w:hanging="360"/>
      </w:pPr>
      <w:rPr>
        <w:rFonts w:ascii="Courier New" w:hAnsi="Courier New" w:cs="Courier New" w:hint="default"/>
      </w:rPr>
    </w:lvl>
    <w:lvl w:ilvl="5" w:tplc="38D21A10">
      <w:start w:val="1"/>
      <w:numFmt w:val="bullet"/>
      <w:lvlText w:val=""/>
      <w:lvlJc w:val="left"/>
      <w:pPr>
        <w:ind w:left="5029" w:hanging="360"/>
      </w:pPr>
      <w:rPr>
        <w:rFonts w:ascii="Wingdings" w:hAnsi="Wingdings" w:hint="default"/>
      </w:rPr>
    </w:lvl>
    <w:lvl w:ilvl="6" w:tplc="24CADF6A">
      <w:start w:val="1"/>
      <w:numFmt w:val="bullet"/>
      <w:lvlText w:val=""/>
      <w:lvlJc w:val="left"/>
      <w:pPr>
        <w:ind w:left="5749" w:hanging="360"/>
      </w:pPr>
      <w:rPr>
        <w:rFonts w:ascii="Symbol" w:hAnsi="Symbol" w:hint="default"/>
      </w:rPr>
    </w:lvl>
    <w:lvl w:ilvl="7" w:tplc="9FFAA7B2">
      <w:start w:val="1"/>
      <w:numFmt w:val="bullet"/>
      <w:lvlText w:val="o"/>
      <w:lvlJc w:val="left"/>
      <w:pPr>
        <w:ind w:left="6469" w:hanging="360"/>
      </w:pPr>
      <w:rPr>
        <w:rFonts w:ascii="Courier New" w:hAnsi="Courier New" w:cs="Courier New" w:hint="default"/>
      </w:rPr>
    </w:lvl>
    <w:lvl w:ilvl="8" w:tplc="E9667DFC">
      <w:start w:val="1"/>
      <w:numFmt w:val="bullet"/>
      <w:lvlText w:val=""/>
      <w:lvlJc w:val="left"/>
      <w:pPr>
        <w:ind w:left="7189" w:hanging="360"/>
      </w:pPr>
      <w:rPr>
        <w:rFonts w:ascii="Wingdings" w:hAnsi="Wingdings" w:hint="default"/>
      </w:rPr>
    </w:lvl>
  </w:abstractNum>
  <w:abstractNum w:abstractNumId="21" w15:restartNumberingAfterBreak="0">
    <w:nsid w:val="7FC50C2A"/>
    <w:multiLevelType w:val="hybridMultilevel"/>
    <w:tmpl w:val="AF249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10"/>
  </w:num>
  <w:num w:numId="3">
    <w:abstractNumId w:val="5"/>
  </w:num>
  <w:num w:numId="4">
    <w:abstractNumId w:val="14"/>
  </w:num>
  <w:num w:numId="5">
    <w:abstractNumId w:val="2"/>
  </w:num>
  <w:num w:numId="6">
    <w:abstractNumId w:val="4"/>
  </w:num>
  <w:num w:numId="7">
    <w:abstractNumId w:val="15"/>
  </w:num>
  <w:num w:numId="8">
    <w:abstractNumId w:val="20"/>
  </w:num>
  <w:num w:numId="9">
    <w:abstractNumId w:val="1"/>
  </w:num>
  <w:num w:numId="10">
    <w:abstractNumId w:val="11"/>
  </w:num>
  <w:num w:numId="11">
    <w:abstractNumId w:val="12"/>
  </w:num>
  <w:num w:numId="12">
    <w:abstractNumId w:val="6"/>
  </w:num>
  <w:num w:numId="13">
    <w:abstractNumId w:val="8"/>
  </w:num>
  <w:num w:numId="14">
    <w:abstractNumId w:val="9"/>
  </w:num>
  <w:num w:numId="15">
    <w:abstractNumId w:val="13"/>
  </w:num>
  <w:num w:numId="16">
    <w:abstractNumId w:val="7"/>
  </w:num>
  <w:num w:numId="17">
    <w:abstractNumId w:val="21"/>
  </w:num>
  <w:num w:numId="18">
    <w:abstractNumId w:val="3"/>
  </w:num>
  <w:num w:numId="19">
    <w:abstractNumId w:val="18"/>
  </w:num>
  <w:num w:numId="20">
    <w:abstractNumId w:val="19"/>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68"/>
    <w:rsid w:val="00002835"/>
    <w:rsid w:val="00003969"/>
    <w:rsid w:val="00004413"/>
    <w:rsid w:val="00004964"/>
    <w:rsid w:val="00005802"/>
    <w:rsid w:val="0000638F"/>
    <w:rsid w:val="00007445"/>
    <w:rsid w:val="0001142E"/>
    <w:rsid w:val="00011515"/>
    <w:rsid w:val="00015167"/>
    <w:rsid w:val="00015A55"/>
    <w:rsid w:val="00016486"/>
    <w:rsid w:val="00025A1D"/>
    <w:rsid w:val="00025F6F"/>
    <w:rsid w:val="00030650"/>
    <w:rsid w:val="00034914"/>
    <w:rsid w:val="0003551C"/>
    <w:rsid w:val="0003571B"/>
    <w:rsid w:val="00036538"/>
    <w:rsid w:val="00044453"/>
    <w:rsid w:val="000451EC"/>
    <w:rsid w:val="0005059B"/>
    <w:rsid w:val="00052643"/>
    <w:rsid w:val="000537C1"/>
    <w:rsid w:val="0005381D"/>
    <w:rsid w:val="000568C1"/>
    <w:rsid w:val="00057196"/>
    <w:rsid w:val="00067AC7"/>
    <w:rsid w:val="00067B37"/>
    <w:rsid w:val="00067E46"/>
    <w:rsid w:val="00067E59"/>
    <w:rsid w:val="000719A0"/>
    <w:rsid w:val="00084361"/>
    <w:rsid w:val="00090C8C"/>
    <w:rsid w:val="00093AED"/>
    <w:rsid w:val="00093C77"/>
    <w:rsid w:val="00094154"/>
    <w:rsid w:val="0009454D"/>
    <w:rsid w:val="000A209B"/>
    <w:rsid w:val="000A326E"/>
    <w:rsid w:val="000B0CE0"/>
    <w:rsid w:val="000B2CCC"/>
    <w:rsid w:val="000B3030"/>
    <w:rsid w:val="000C378F"/>
    <w:rsid w:val="000C779A"/>
    <w:rsid w:val="000E7B8E"/>
    <w:rsid w:val="000F0408"/>
    <w:rsid w:val="001053E8"/>
    <w:rsid w:val="00106A24"/>
    <w:rsid w:val="00111DED"/>
    <w:rsid w:val="00117428"/>
    <w:rsid w:val="0012171F"/>
    <w:rsid w:val="001413CE"/>
    <w:rsid w:val="00142B78"/>
    <w:rsid w:val="00144075"/>
    <w:rsid w:val="00146C17"/>
    <w:rsid w:val="00147989"/>
    <w:rsid w:val="0016743A"/>
    <w:rsid w:val="001675AC"/>
    <w:rsid w:val="00172020"/>
    <w:rsid w:val="0017274C"/>
    <w:rsid w:val="001733CF"/>
    <w:rsid w:val="0018636D"/>
    <w:rsid w:val="00191F2D"/>
    <w:rsid w:val="00196CC5"/>
    <w:rsid w:val="001A071D"/>
    <w:rsid w:val="001A0D4A"/>
    <w:rsid w:val="001A1C4D"/>
    <w:rsid w:val="001A7D20"/>
    <w:rsid w:val="001B349D"/>
    <w:rsid w:val="001B4341"/>
    <w:rsid w:val="001B4DF8"/>
    <w:rsid w:val="001C516D"/>
    <w:rsid w:val="001C733D"/>
    <w:rsid w:val="001C74B4"/>
    <w:rsid w:val="001D2AF9"/>
    <w:rsid w:val="001E02A3"/>
    <w:rsid w:val="001E07DB"/>
    <w:rsid w:val="001E2EA3"/>
    <w:rsid w:val="001F2247"/>
    <w:rsid w:val="001F23D3"/>
    <w:rsid w:val="001F3008"/>
    <w:rsid w:val="001F57D6"/>
    <w:rsid w:val="00200465"/>
    <w:rsid w:val="00200DF4"/>
    <w:rsid w:val="002023F4"/>
    <w:rsid w:val="00210201"/>
    <w:rsid w:val="0022052B"/>
    <w:rsid w:val="00221EA5"/>
    <w:rsid w:val="0022282D"/>
    <w:rsid w:val="00225BFE"/>
    <w:rsid w:val="00232A8E"/>
    <w:rsid w:val="0024348C"/>
    <w:rsid w:val="0025326A"/>
    <w:rsid w:val="002605F6"/>
    <w:rsid w:val="00263D82"/>
    <w:rsid w:val="00266036"/>
    <w:rsid w:val="00267F2A"/>
    <w:rsid w:val="00270E48"/>
    <w:rsid w:val="0028318B"/>
    <w:rsid w:val="00284871"/>
    <w:rsid w:val="00286A79"/>
    <w:rsid w:val="002870B4"/>
    <w:rsid w:val="00287CA3"/>
    <w:rsid w:val="002A08F6"/>
    <w:rsid w:val="002A182C"/>
    <w:rsid w:val="002A398F"/>
    <w:rsid w:val="002A3A7A"/>
    <w:rsid w:val="002A5F27"/>
    <w:rsid w:val="002A79CB"/>
    <w:rsid w:val="002B0FD8"/>
    <w:rsid w:val="002B4151"/>
    <w:rsid w:val="002C7C55"/>
    <w:rsid w:val="002D0D2B"/>
    <w:rsid w:val="002D3BFC"/>
    <w:rsid w:val="002D4146"/>
    <w:rsid w:val="002E59C6"/>
    <w:rsid w:val="002E6AF2"/>
    <w:rsid w:val="002F2FD3"/>
    <w:rsid w:val="002F508F"/>
    <w:rsid w:val="002F50A0"/>
    <w:rsid w:val="002F63E6"/>
    <w:rsid w:val="002F7EA9"/>
    <w:rsid w:val="0031458E"/>
    <w:rsid w:val="00314721"/>
    <w:rsid w:val="003159DD"/>
    <w:rsid w:val="00315B73"/>
    <w:rsid w:val="00322A79"/>
    <w:rsid w:val="00324F54"/>
    <w:rsid w:val="00326DCF"/>
    <w:rsid w:val="0033172E"/>
    <w:rsid w:val="00331C72"/>
    <w:rsid w:val="00332673"/>
    <w:rsid w:val="00342733"/>
    <w:rsid w:val="00342E38"/>
    <w:rsid w:val="003506DD"/>
    <w:rsid w:val="00352250"/>
    <w:rsid w:val="00354D5C"/>
    <w:rsid w:val="00360CFD"/>
    <w:rsid w:val="00363A2A"/>
    <w:rsid w:val="003666C0"/>
    <w:rsid w:val="003716B9"/>
    <w:rsid w:val="00371B48"/>
    <w:rsid w:val="00373761"/>
    <w:rsid w:val="00377080"/>
    <w:rsid w:val="0037793B"/>
    <w:rsid w:val="00377D8F"/>
    <w:rsid w:val="003824BB"/>
    <w:rsid w:val="003842FA"/>
    <w:rsid w:val="0038677E"/>
    <w:rsid w:val="00386A72"/>
    <w:rsid w:val="003873A1"/>
    <w:rsid w:val="00390104"/>
    <w:rsid w:val="003B0E4F"/>
    <w:rsid w:val="003B5DE1"/>
    <w:rsid w:val="003C38A6"/>
    <w:rsid w:val="003C4C21"/>
    <w:rsid w:val="003C50E4"/>
    <w:rsid w:val="003C7B98"/>
    <w:rsid w:val="003D2423"/>
    <w:rsid w:val="003D3BC9"/>
    <w:rsid w:val="003D7B16"/>
    <w:rsid w:val="003E1E37"/>
    <w:rsid w:val="003E76BC"/>
    <w:rsid w:val="003F0E70"/>
    <w:rsid w:val="003F2060"/>
    <w:rsid w:val="003F2475"/>
    <w:rsid w:val="003F7B21"/>
    <w:rsid w:val="0040453A"/>
    <w:rsid w:val="00415EB2"/>
    <w:rsid w:val="0042218D"/>
    <w:rsid w:val="00424A5E"/>
    <w:rsid w:val="00430F81"/>
    <w:rsid w:val="004313C1"/>
    <w:rsid w:val="004356C4"/>
    <w:rsid w:val="004375FC"/>
    <w:rsid w:val="004423BB"/>
    <w:rsid w:val="0045179A"/>
    <w:rsid w:val="00457381"/>
    <w:rsid w:val="00457E80"/>
    <w:rsid w:val="00464E1C"/>
    <w:rsid w:val="00466C15"/>
    <w:rsid w:val="004707C3"/>
    <w:rsid w:val="00470967"/>
    <w:rsid w:val="00473315"/>
    <w:rsid w:val="00477FE6"/>
    <w:rsid w:val="00484298"/>
    <w:rsid w:val="0049035E"/>
    <w:rsid w:val="0049163C"/>
    <w:rsid w:val="00491799"/>
    <w:rsid w:val="00493995"/>
    <w:rsid w:val="00495328"/>
    <w:rsid w:val="004A0184"/>
    <w:rsid w:val="004A2F50"/>
    <w:rsid w:val="004B15E8"/>
    <w:rsid w:val="004B1A88"/>
    <w:rsid w:val="004B5CC5"/>
    <w:rsid w:val="004B61A3"/>
    <w:rsid w:val="004C031C"/>
    <w:rsid w:val="004C4067"/>
    <w:rsid w:val="004C4727"/>
    <w:rsid w:val="004D0166"/>
    <w:rsid w:val="004D04C5"/>
    <w:rsid w:val="004D11F3"/>
    <w:rsid w:val="004D53DA"/>
    <w:rsid w:val="004E2B4A"/>
    <w:rsid w:val="004E7E3E"/>
    <w:rsid w:val="004E7F0B"/>
    <w:rsid w:val="004F05A0"/>
    <w:rsid w:val="004F41FA"/>
    <w:rsid w:val="00505C0E"/>
    <w:rsid w:val="00510E88"/>
    <w:rsid w:val="005119DD"/>
    <w:rsid w:val="00516487"/>
    <w:rsid w:val="0052658B"/>
    <w:rsid w:val="00531909"/>
    <w:rsid w:val="005328DF"/>
    <w:rsid w:val="00537E7A"/>
    <w:rsid w:val="00540AC3"/>
    <w:rsid w:val="0054231D"/>
    <w:rsid w:val="00542567"/>
    <w:rsid w:val="00542B85"/>
    <w:rsid w:val="00554284"/>
    <w:rsid w:val="00554BA5"/>
    <w:rsid w:val="00554F1E"/>
    <w:rsid w:val="00573DAD"/>
    <w:rsid w:val="00574489"/>
    <w:rsid w:val="00580664"/>
    <w:rsid w:val="005879E0"/>
    <w:rsid w:val="00593939"/>
    <w:rsid w:val="0059458A"/>
    <w:rsid w:val="005A143F"/>
    <w:rsid w:val="005B2379"/>
    <w:rsid w:val="005B253E"/>
    <w:rsid w:val="005B58F0"/>
    <w:rsid w:val="005B5AF1"/>
    <w:rsid w:val="005B5C12"/>
    <w:rsid w:val="005C0232"/>
    <w:rsid w:val="005C2006"/>
    <w:rsid w:val="005C31B0"/>
    <w:rsid w:val="005C4D97"/>
    <w:rsid w:val="005C53DF"/>
    <w:rsid w:val="005C7945"/>
    <w:rsid w:val="005C7E9F"/>
    <w:rsid w:val="005D5FB6"/>
    <w:rsid w:val="005E0435"/>
    <w:rsid w:val="005E2523"/>
    <w:rsid w:val="005F22B7"/>
    <w:rsid w:val="005F3437"/>
    <w:rsid w:val="00601723"/>
    <w:rsid w:val="006035F8"/>
    <w:rsid w:val="00605F3C"/>
    <w:rsid w:val="00607DFD"/>
    <w:rsid w:val="00615955"/>
    <w:rsid w:val="006257AB"/>
    <w:rsid w:val="00625AE4"/>
    <w:rsid w:val="00636C0C"/>
    <w:rsid w:val="00651202"/>
    <w:rsid w:val="00651B9B"/>
    <w:rsid w:val="006527B3"/>
    <w:rsid w:val="0065782D"/>
    <w:rsid w:val="006617AC"/>
    <w:rsid w:val="00664140"/>
    <w:rsid w:val="00664644"/>
    <w:rsid w:val="00673212"/>
    <w:rsid w:val="00674560"/>
    <w:rsid w:val="00674D25"/>
    <w:rsid w:val="00675123"/>
    <w:rsid w:val="00675596"/>
    <w:rsid w:val="006877AA"/>
    <w:rsid w:val="0069085E"/>
    <w:rsid w:val="00691DB2"/>
    <w:rsid w:val="006978F8"/>
    <w:rsid w:val="006A4305"/>
    <w:rsid w:val="006A675B"/>
    <w:rsid w:val="006B2DA8"/>
    <w:rsid w:val="006B47C8"/>
    <w:rsid w:val="006B75FD"/>
    <w:rsid w:val="006C4269"/>
    <w:rsid w:val="006C7E88"/>
    <w:rsid w:val="006D7813"/>
    <w:rsid w:val="006E3674"/>
    <w:rsid w:val="006E6AD3"/>
    <w:rsid w:val="00702940"/>
    <w:rsid w:val="0070314A"/>
    <w:rsid w:val="00711283"/>
    <w:rsid w:val="007338CD"/>
    <w:rsid w:val="0073417E"/>
    <w:rsid w:val="00744A26"/>
    <w:rsid w:val="007450EC"/>
    <w:rsid w:val="00762F68"/>
    <w:rsid w:val="007637FB"/>
    <w:rsid w:val="00765276"/>
    <w:rsid w:val="00766BDA"/>
    <w:rsid w:val="007670E4"/>
    <w:rsid w:val="007727ED"/>
    <w:rsid w:val="0077317D"/>
    <w:rsid w:val="0077514D"/>
    <w:rsid w:val="00775CDD"/>
    <w:rsid w:val="00775D26"/>
    <w:rsid w:val="0077794A"/>
    <w:rsid w:val="00790CBA"/>
    <w:rsid w:val="00792F3C"/>
    <w:rsid w:val="007948B2"/>
    <w:rsid w:val="00796183"/>
    <w:rsid w:val="007A1485"/>
    <w:rsid w:val="007A1FE9"/>
    <w:rsid w:val="007C06A7"/>
    <w:rsid w:val="007C29CF"/>
    <w:rsid w:val="007C311A"/>
    <w:rsid w:val="007C45AF"/>
    <w:rsid w:val="007C4FA7"/>
    <w:rsid w:val="007C74C5"/>
    <w:rsid w:val="007C7A94"/>
    <w:rsid w:val="007D0F4E"/>
    <w:rsid w:val="007D6A34"/>
    <w:rsid w:val="007E4CB3"/>
    <w:rsid w:val="007E6AAD"/>
    <w:rsid w:val="007E7AAF"/>
    <w:rsid w:val="007F436A"/>
    <w:rsid w:val="007F5DF3"/>
    <w:rsid w:val="00801D78"/>
    <w:rsid w:val="008075B8"/>
    <w:rsid w:val="0081427B"/>
    <w:rsid w:val="00817091"/>
    <w:rsid w:val="008203C3"/>
    <w:rsid w:val="0082182E"/>
    <w:rsid w:val="008338D9"/>
    <w:rsid w:val="00836ACB"/>
    <w:rsid w:val="00841854"/>
    <w:rsid w:val="00843367"/>
    <w:rsid w:val="00846299"/>
    <w:rsid w:val="00851D02"/>
    <w:rsid w:val="00852A2A"/>
    <w:rsid w:val="00855B48"/>
    <w:rsid w:val="00861A7F"/>
    <w:rsid w:val="00862026"/>
    <w:rsid w:val="0087120F"/>
    <w:rsid w:val="00873533"/>
    <w:rsid w:val="00877DC9"/>
    <w:rsid w:val="00890B5A"/>
    <w:rsid w:val="00893C9B"/>
    <w:rsid w:val="00894966"/>
    <w:rsid w:val="008A07CA"/>
    <w:rsid w:val="008A2261"/>
    <w:rsid w:val="008B4A25"/>
    <w:rsid w:val="008B51DB"/>
    <w:rsid w:val="008B69B1"/>
    <w:rsid w:val="008B7969"/>
    <w:rsid w:val="008B7ACB"/>
    <w:rsid w:val="008C1D9F"/>
    <w:rsid w:val="008C1DE0"/>
    <w:rsid w:val="008C2099"/>
    <w:rsid w:val="008C24D3"/>
    <w:rsid w:val="008C67E9"/>
    <w:rsid w:val="008D265B"/>
    <w:rsid w:val="008D2BE8"/>
    <w:rsid w:val="008D35CA"/>
    <w:rsid w:val="008D70E9"/>
    <w:rsid w:val="008E4BDA"/>
    <w:rsid w:val="008E7946"/>
    <w:rsid w:val="008F5546"/>
    <w:rsid w:val="00905C89"/>
    <w:rsid w:val="0091598C"/>
    <w:rsid w:val="009244E1"/>
    <w:rsid w:val="00925A1F"/>
    <w:rsid w:val="00926698"/>
    <w:rsid w:val="009277CF"/>
    <w:rsid w:val="009307B5"/>
    <w:rsid w:val="0093589A"/>
    <w:rsid w:val="00936B0E"/>
    <w:rsid w:val="00937CBF"/>
    <w:rsid w:val="00942E39"/>
    <w:rsid w:val="00945BDC"/>
    <w:rsid w:val="00947767"/>
    <w:rsid w:val="009517D6"/>
    <w:rsid w:val="0095758A"/>
    <w:rsid w:val="0096003E"/>
    <w:rsid w:val="00963177"/>
    <w:rsid w:val="0096378C"/>
    <w:rsid w:val="00965113"/>
    <w:rsid w:val="009707F0"/>
    <w:rsid w:val="00973135"/>
    <w:rsid w:val="00975E36"/>
    <w:rsid w:val="00981CFE"/>
    <w:rsid w:val="0099040A"/>
    <w:rsid w:val="00991EDA"/>
    <w:rsid w:val="00997676"/>
    <w:rsid w:val="009A20E6"/>
    <w:rsid w:val="009A5C21"/>
    <w:rsid w:val="009A6D28"/>
    <w:rsid w:val="009B06FF"/>
    <w:rsid w:val="009B55B4"/>
    <w:rsid w:val="009C7C7B"/>
    <w:rsid w:val="009D1035"/>
    <w:rsid w:val="009D33AF"/>
    <w:rsid w:val="009E1F7A"/>
    <w:rsid w:val="009E4C7F"/>
    <w:rsid w:val="009F1B8C"/>
    <w:rsid w:val="009F46A9"/>
    <w:rsid w:val="009F7F24"/>
    <w:rsid w:val="00A0022A"/>
    <w:rsid w:val="00A05CF0"/>
    <w:rsid w:val="00A060E2"/>
    <w:rsid w:val="00A0665E"/>
    <w:rsid w:val="00A11C6E"/>
    <w:rsid w:val="00A134D2"/>
    <w:rsid w:val="00A14D95"/>
    <w:rsid w:val="00A14FF8"/>
    <w:rsid w:val="00A20449"/>
    <w:rsid w:val="00A3226B"/>
    <w:rsid w:val="00A32419"/>
    <w:rsid w:val="00A40294"/>
    <w:rsid w:val="00A44786"/>
    <w:rsid w:val="00A546AD"/>
    <w:rsid w:val="00A57156"/>
    <w:rsid w:val="00A66B47"/>
    <w:rsid w:val="00A676AB"/>
    <w:rsid w:val="00A727A7"/>
    <w:rsid w:val="00A72941"/>
    <w:rsid w:val="00A73420"/>
    <w:rsid w:val="00A77E13"/>
    <w:rsid w:val="00A8129C"/>
    <w:rsid w:val="00A859FA"/>
    <w:rsid w:val="00A85D70"/>
    <w:rsid w:val="00A87A48"/>
    <w:rsid w:val="00A87FE0"/>
    <w:rsid w:val="00A916EF"/>
    <w:rsid w:val="00A917F9"/>
    <w:rsid w:val="00A954FD"/>
    <w:rsid w:val="00AB608D"/>
    <w:rsid w:val="00AC61A5"/>
    <w:rsid w:val="00AD1E89"/>
    <w:rsid w:val="00AD2B41"/>
    <w:rsid w:val="00AD3309"/>
    <w:rsid w:val="00AE2D58"/>
    <w:rsid w:val="00AE4368"/>
    <w:rsid w:val="00AE513B"/>
    <w:rsid w:val="00AF7F91"/>
    <w:rsid w:val="00B04F19"/>
    <w:rsid w:val="00B05AAE"/>
    <w:rsid w:val="00B10CB1"/>
    <w:rsid w:val="00B128E9"/>
    <w:rsid w:val="00B15939"/>
    <w:rsid w:val="00B26B58"/>
    <w:rsid w:val="00B40F92"/>
    <w:rsid w:val="00B4271E"/>
    <w:rsid w:val="00B44E32"/>
    <w:rsid w:val="00B507D5"/>
    <w:rsid w:val="00B50F6B"/>
    <w:rsid w:val="00B51B5C"/>
    <w:rsid w:val="00B540A7"/>
    <w:rsid w:val="00B54F13"/>
    <w:rsid w:val="00B56024"/>
    <w:rsid w:val="00B64AB6"/>
    <w:rsid w:val="00B64C35"/>
    <w:rsid w:val="00B70159"/>
    <w:rsid w:val="00B75AEC"/>
    <w:rsid w:val="00B92467"/>
    <w:rsid w:val="00BA36FD"/>
    <w:rsid w:val="00BA615D"/>
    <w:rsid w:val="00BA7C8A"/>
    <w:rsid w:val="00BB196B"/>
    <w:rsid w:val="00BC01A6"/>
    <w:rsid w:val="00BC0596"/>
    <w:rsid w:val="00BC0FBC"/>
    <w:rsid w:val="00BC17A3"/>
    <w:rsid w:val="00BC2357"/>
    <w:rsid w:val="00BC36BA"/>
    <w:rsid w:val="00BC3AF7"/>
    <w:rsid w:val="00BC6064"/>
    <w:rsid w:val="00BD4A49"/>
    <w:rsid w:val="00BE1496"/>
    <w:rsid w:val="00BF2E94"/>
    <w:rsid w:val="00BF38A7"/>
    <w:rsid w:val="00BF3C2E"/>
    <w:rsid w:val="00C1015D"/>
    <w:rsid w:val="00C11A60"/>
    <w:rsid w:val="00C2452B"/>
    <w:rsid w:val="00C372DB"/>
    <w:rsid w:val="00C42532"/>
    <w:rsid w:val="00C54075"/>
    <w:rsid w:val="00C60BAB"/>
    <w:rsid w:val="00C63E31"/>
    <w:rsid w:val="00C77314"/>
    <w:rsid w:val="00C81137"/>
    <w:rsid w:val="00C84F6C"/>
    <w:rsid w:val="00C85596"/>
    <w:rsid w:val="00C913C4"/>
    <w:rsid w:val="00C92F95"/>
    <w:rsid w:val="00C94241"/>
    <w:rsid w:val="00C953EF"/>
    <w:rsid w:val="00CA01C4"/>
    <w:rsid w:val="00CA04EC"/>
    <w:rsid w:val="00CA3C95"/>
    <w:rsid w:val="00CA759A"/>
    <w:rsid w:val="00CB1048"/>
    <w:rsid w:val="00CB3310"/>
    <w:rsid w:val="00CB33FE"/>
    <w:rsid w:val="00CB7247"/>
    <w:rsid w:val="00CB7F9C"/>
    <w:rsid w:val="00CC34F3"/>
    <w:rsid w:val="00CD21A1"/>
    <w:rsid w:val="00CD2F83"/>
    <w:rsid w:val="00CD67D4"/>
    <w:rsid w:val="00CE1D01"/>
    <w:rsid w:val="00CE421A"/>
    <w:rsid w:val="00CE466D"/>
    <w:rsid w:val="00CE634C"/>
    <w:rsid w:val="00CE7B57"/>
    <w:rsid w:val="00CF4430"/>
    <w:rsid w:val="00D01972"/>
    <w:rsid w:val="00D01D6B"/>
    <w:rsid w:val="00D0491C"/>
    <w:rsid w:val="00D13A5B"/>
    <w:rsid w:val="00D20B6B"/>
    <w:rsid w:val="00D241D2"/>
    <w:rsid w:val="00D30223"/>
    <w:rsid w:val="00D30531"/>
    <w:rsid w:val="00D33683"/>
    <w:rsid w:val="00D40F35"/>
    <w:rsid w:val="00D45E96"/>
    <w:rsid w:val="00D50F7C"/>
    <w:rsid w:val="00D51184"/>
    <w:rsid w:val="00D60B4C"/>
    <w:rsid w:val="00D60F2A"/>
    <w:rsid w:val="00D66104"/>
    <w:rsid w:val="00D73FEA"/>
    <w:rsid w:val="00D74346"/>
    <w:rsid w:val="00D743F3"/>
    <w:rsid w:val="00D77AFA"/>
    <w:rsid w:val="00D91C12"/>
    <w:rsid w:val="00D9304E"/>
    <w:rsid w:val="00D94174"/>
    <w:rsid w:val="00D97141"/>
    <w:rsid w:val="00DA0C88"/>
    <w:rsid w:val="00DA3B0C"/>
    <w:rsid w:val="00DA50B5"/>
    <w:rsid w:val="00DA7491"/>
    <w:rsid w:val="00DC5025"/>
    <w:rsid w:val="00DC5E45"/>
    <w:rsid w:val="00DC66F8"/>
    <w:rsid w:val="00DC69CE"/>
    <w:rsid w:val="00DC6E2B"/>
    <w:rsid w:val="00DD4046"/>
    <w:rsid w:val="00DD4FFC"/>
    <w:rsid w:val="00DE7EA7"/>
    <w:rsid w:val="00DF67D2"/>
    <w:rsid w:val="00E01178"/>
    <w:rsid w:val="00E0203D"/>
    <w:rsid w:val="00E143B1"/>
    <w:rsid w:val="00E160C3"/>
    <w:rsid w:val="00E20DEF"/>
    <w:rsid w:val="00E216BF"/>
    <w:rsid w:val="00E21A36"/>
    <w:rsid w:val="00E31139"/>
    <w:rsid w:val="00E31664"/>
    <w:rsid w:val="00E425B4"/>
    <w:rsid w:val="00E428EB"/>
    <w:rsid w:val="00E43036"/>
    <w:rsid w:val="00E43576"/>
    <w:rsid w:val="00E4783E"/>
    <w:rsid w:val="00E533B5"/>
    <w:rsid w:val="00E54A81"/>
    <w:rsid w:val="00E54CDA"/>
    <w:rsid w:val="00E56685"/>
    <w:rsid w:val="00E5799C"/>
    <w:rsid w:val="00E6130D"/>
    <w:rsid w:val="00E6181C"/>
    <w:rsid w:val="00E647FB"/>
    <w:rsid w:val="00E670F5"/>
    <w:rsid w:val="00E72AF8"/>
    <w:rsid w:val="00E739C0"/>
    <w:rsid w:val="00E74BAA"/>
    <w:rsid w:val="00E80848"/>
    <w:rsid w:val="00E87459"/>
    <w:rsid w:val="00E90D2C"/>
    <w:rsid w:val="00E97736"/>
    <w:rsid w:val="00E97C13"/>
    <w:rsid w:val="00EC4E2A"/>
    <w:rsid w:val="00EC6C1D"/>
    <w:rsid w:val="00ED32D0"/>
    <w:rsid w:val="00EE55A8"/>
    <w:rsid w:val="00EF43AA"/>
    <w:rsid w:val="00EF56F5"/>
    <w:rsid w:val="00F01C41"/>
    <w:rsid w:val="00F02126"/>
    <w:rsid w:val="00F02516"/>
    <w:rsid w:val="00F03270"/>
    <w:rsid w:val="00F05549"/>
    <w:rsid w:val="00F167CD"/>
    <w:rsid w:val="00F2683D"/>
    <w:rsid w:val="00F26B2E"/>
    <w:rsid w:val="00F319BB"/>
    <w:rsid w:val="00F33460"/>
    <w:rsid w:val="00F462C7"/>
    <w:rsid w:val="00F47F68"/>
    <w:rsid w:val="00F52E9A"/>
    <w:rsid w:val="00F5756A"/>
    <w:rsid w:val="00F63A24"/>
    <w:rsid w:val="00F65DAF"/>
    <w:rsid w:val="00F668E2"/>
    <w:rsid w:val="00F672B2"/>
    <w:rsid w:val="00F71E36"/>
    <w:rsid w:val="00F768B5"/>
    <w:rsid w:val="00F809C8"/>
    <w:rsid w:val="00F87DCB"/>
    <w:rsid w:val="00F901CF"/>
    <w:rsid w:val="00FA07DF"/>
    <w:rsid w:val="00FA13FE"/>
    <w:rsid w:val="00FA6F20"/>
    <w:rsid w:val="00FB031C"/>
    <w:rsid w:val="00FB126A"/>
    <w:rsid w:val="00FB2805"/>
    <w:rsid w:val="00FB64A4"/>
    <w:rsid w:val="00FB714F"/>
    <w:rsid w:val="00FC1AEF"/>
    <w:rsid w:val="00FC5768"/>
    <w:rsid w:val="00FC5B6F"/>
    <w:rsid w:val="00FD025E"/>
    <w:rsid w:val="00FD7050"/>
    <w:rsid w:val="00FE0291"/>
    <w:rsid w:val="00FE08C4"/>
    <w:rsid w:val="00FE54C9"/>
    <w:rsid w:val="00FF46B6"/>
    <w:rsid w:val="00FF592D"/>
    <w:rsid w:val="00FF5E88"/>
    <w:rsid w:val="00FF6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55483CF"/>
  <w15:docId w15:val="{47E3D101-C083-46C6-B51C-541E8E990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after="0"/>
      <w:contextualSpacing/>
      <w:outlineLvl w:val="0"/>
    </w:pPr>
    <w:rPr>
      <w:rFonts w:ascii="Times New Roman" w:hAnsi="Times New Roman" w:cs="Arial"/>
      <w:b/>
      <w:color w:val="000000" w:themeColor="text1"/>
      <w:sz w:val="28"/>
      <w:szCs w:val="28"/>
      <w:shd w:val="clear" w:color="auto" w:fill="FFFFFF"/>
      <w:lang w:val="ru-RU" w:bidi="ar-SA"/>
    </w:rPr>
  </w:style>
  <w:style w:type="paragraph" w:styleId="2">
    <w:name w:val="heading 2"/>
    <w:basedOn w:val="a"/>
    <w:next w:val="a"/>
    <w:link w:val="20"/>
    <w:uiPriority w:val="9"/>
    <w:unhideWhenUsed/>
    <w:qFormat/>
    <w:pPr>
      <w:spacing w:before="200" w:after="0"/>
      <w:outlineLvl w:val="1"/>
    </w:pPr>
    <w:rPr>
      <w:rFonts w:ascii="Times New Roman" w:eastAsiaTheme="majorEastAsia" w:hAnsi="Times New Roman" w:cstheme="majorBidi"/>
      <w:b/>
      <w:bCs/>
      <w:sz w:val="28"/>
      <w:szCs w:val="26"/>
      <w:shd w:val="clear" w:color="auto" w:fill="FFFFFF"/>
      <w:lang w:val="ru-RU"/>
    </w:rPr>
  </w:style>
  <w:style w:type="paragraph" w:styleId="3">
    <w:name w:val="heading 3"/>
    <w:basedOn w:val="a"/>
    <w:next w:val="a"/>
    <w:link w:val="30"/>
    <w:uiPriority w:val="9"/>
    <w:unhideWhenUsed/>
    <w:qFormat/>
    <w:pPr>
      <w:numPr>
        <w:ilvl w:val="2"/>
        <w:numId w:val="2"/>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pPr>
      <w:numPr>
        <w:ilvl w:val="3"/>
        <w:numId w:val="2"/>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pPr>
      <w:numPr>
        <w:ilvl w:val="4"/>
        <w:numId w:val="2"/>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pPr>
      <w:numPr>
        <w:ilvl w:val="5"/>
        <w:numId w:val="2"/>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pPr>
      <w:numPr>
        <w:ilvl w:val="6"/>
        <w:numId w:val="2"/>
      </w:num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pPr>
      <w:numPr>
        <w:ilvl w:val="7"/>
        <w:numId w:val="2"/>
      </w:num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imes New Roman" w:hAnsi="Times New Roman" w:cs="Arial"/>
      <w:b/>
      <w:color w:val="000000" w:themeColor="text1"/>
      <w:sz w:val="28"/>
      <w:szCs w:val="28"/>
      <w:lang w:val="ru-RU" w:bidi="ar-SA"/>
    </w:rPr>
  </w:style>
  <w:style w:type="character" w:customStyle="1" w:styleId="20">
    <w:name w:val="Заголовок 2 Знак"/>
    <w:basedOn w:val="a0"/>
    <w:link w:val="2"/>
    <w:uiPriority w:val="9"/>
    <w:rPr>
      <w:rFonts w:ascii="Times New Roman" w:eastAsiaTheme="majorEastAsia" w:hAnsi="Times New Roman" w:cstheme="majorBidi"/>
      <w:b/>
      <w:bCs/>
      <w:sz w:val="28"/>
      <w:szCs w:val="26"/>
      <w:lang w:val="ru-RU"/>
    </w:rPr>
  </w:style>
  <w:style w:type="character" w:customStyle="1" w:styleId="30">
    <w:name w:val="Заголовок 3 Знак"/>
    <w:basedOn w:val="a0"/>
    <w:link w:val="3"/>
    <w:uiPriority w:val="9"/>
    <w:rPr>
      <w:rFonts w:asciiTheme="majorHAnsi" w:eastAsiaTheme="majorEastAsia" w:hAnsiTheme="majorHAnsi" w:cstheme="majorBidi"/>
      <w:b/>
      <w:bCs/>
    </w:rPr>
  </w:style>
  <w:style w:type="character" w:customStyle="1" w:styleId="40">
    <w:name w:val="Заголовок 4 Знак"/>
    <w:basedOn w:val="a0"/>
    <w:link w:val="4"/>
    <w:uiPriority w:val="9"/>
    <w:semiHidden/>
    <w:rPr>
      <w:rFonts w:asciiTheme="majorHAnsi" w:eastAsiaTheme="majorEastAsia" w:hAnsiTheme="majorHAnsi" w:cstheme="majorBidi"/>
      <w:b/>
      <w:bCs/>
      <w:i/>
      <w:iCs/>
    </w:rPr>
  </w:style>
  <w:style w:type="character" w:customStyle="1" w:styleId="50">
    <w:name w:val="Заголовок 5 Знак"/>
    <w:basedOn w:val="a0"/>
    <w:link w:val="5"/>
    <w:uiPriority w:val="9"/>
    <w:semiHidden/>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Pr>
      <w:rFonts w:asciiTheme="majorHAnsi" w:eastAsiaTheme="majorEastAsia" w:hAnsiTheme="majorHAnsi" w:cstheme="majorBidi"/>
      <w:i/>
      <w:iCs/>
    </w:rPr>
  </w:style>
  <w:style w:type="character" w:customStyle="1" w:styleId="80">
    <w:name w:val="Заголовок 8 Знак"/>
    <w:basedOn w:val="a0"/>
    <w:link w:val="8"/>
    <w:uiPriority w:val="9"/>
    <w:semiHidden/>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Pr>
      <w:rFonts w:asciiTheme="majorHAnsi" w:eastAsiaTheme="majorEastAsia" w:hAnsiTheme="majorHAnsi" w:cstheme="majorBidi"/>
      <w:i/>
      <w:iCs/>
      <w:spacing w:val="5"/>
      <w:sz w:val="20"/>
      <w:szCs w:val="20"/>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3">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ru-RU" w:eastAsia="ru-RU" w:bidi="ar-S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ru-RU" w:eastAsia="ru-RU" w:bidi="ar-SA"/>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ru-RU" w:eastAsia="ru-RU" w:bidi="ar-SA"/>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ru-RU" w:eastAsia="ru-RU" w:bidi="ar-SA"/>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ru-RU" w:eastAsia="ru-RU" w:bidi="ar-SA"/>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ru-RU" w:eastAsia="ru-RU" w:bidi="ar-SA"/>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ru-RU" w:eastAsia="ru-RU" w:bidi="ar-SA"/>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ru-RU" w:eastAsia="ru-RU" w:bidi="ar-S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ru-RU" w:eastAsia="ru-RU" w:bidi="ar-S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ru-RU" w:eastAsia="ru-RU" w:bidi="ar-S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ru-RU" w:eastAsia="ru-RU" w:bidi="ar-S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ru-RU" w:eastAsia="ru-RU" w:bidi="ar-S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ru-RU" w:eastAsia="ru-RU" w:bidi="ar-S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ru-RU" w:eastAsia="ru-RU" w:bidi="ar-S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4">
    <w:name w:val="table of figures"/>
    <w:basedOn w:val="a"/>
    <w:next w:val="a"/>
    <w:uiPriority w:val="99"/>
    <w:unhideWhenUsed/>
    <w:pPr>
      <w:spacing w:after="0"/>
    </w:pPr>
  </w:style>
  <w:style w:type="paragraph" w:styleId="a5">
    <w:name w:val="header"/>
    <w:basedOn w:val="a"/>
    <w:link w:val="a6"/>
    <w:uiPriority w:val="99"/>
    <w:unhideWhenUsed/>
    <w:pPr>
      <w:tabs>
        <w:tab w:val="center" w:pos="4677"/>
        <w:tab w:val="right" w:pos="9355"/>
      </w:tabs>
    </w:pPr>
  </w:style>
  <w:style w:type="character" w:customStyle="1" w:styleId="a6">
    <w:name w:val="Верхний колонтитул Знак"/>
    <w:basedOn w:val="a0"/>
    <w:link w:val="a5"/>
    <w:uiPriority w:val="99"/>
    <w:rPr>
      <w:sz w:val="22"/>
      <w:szCs w:val="22"/>
    </w:rPr>
  </w:style>
  <w:style w:type="paragraph" w:styleId="a7">
    <w:name w:val="footer"/>
    <w:basedOn w:val="a"/>
    <w:link w:val="a8"/>
    <w:uiPriority w:val="99"/>
    <w:unhideWhenUsed/>
    <w:pPr>
      <w:tabs>
        <w:tab w:val="center" w:pos="4677"/>
        <w:tab w:val="right" w:pos="9355"/>
      </w:tabs>
    </w:pPr>
  </w:style>
  <w:style w:type="character" w:customStyle="1" w:styleId="a8">
    <w:name w:val="Нижний колонтитул Знак"/>
    <w:basedOn w:val="a0"/>
    <w:link w:val="a7"/>
    <w:uiPriority w:val="99"/>
    <w:rPr>
      <w:sz w:val="22"/>
      <w:szCs w:val="22"/>
    </w:rPr>
  </w:style>
  <w:style w:type="character" w:styleId="a9">
    <w:name w:val="Hyperlink"/>
    <w:uiPriority w:val="99"/>
    <w:rPr>
      <w:color w:val="000080"/>
      <w:u w:val="single"/>
    </w:rPr>
  </w:style>
  <w:style w:type="paragraph" w:styleId="12">
    <w:name w:val="toc 1"/>
    <w:basedOn w:val="a"/>
    <w:next w:val="a"/>
    <w:uiPriority w:val="39"/>
    <w:qFormat/>
    <w:pPr>
      <w:spacing w:before="120" w:after="120"/>
    </w:pPr>
    <w:rPr>
      <w:rFonts w:cs="Calibri"/>
      <w:b/>
      <w:bCs/>
      <w:caps/>
      <w:sz w:val="20"/>
      <w:szCs w:val="20"/>
    </w:rPr>
  </w:style>
  <w:style w:type="paragraph" w:styleId="22">
    <w:name w:val="toc 2"/>
    <w:basedOn w:val="a"/>
    <w:next w:val="a"/>
    <w:uiPriority w:val="39"/>
    <w:qFormat/>
    <w:pPr>
      <w:spacing w:after="0"/>
      <w:ind w:left="220"/>
    </w:pPr>
    <w:rPr>
      <w:rFonts w:cs="Calibri"/>
      <w:smallCaps/>
      <w:sz w:val="20"/>
      <w:szCs w:val="20"/>
    </w:rPr>
  </w:style>
  <w:style w:type="paragraph" w:styleId="aa">
    <w:name w:val="footnote text"/>
    <w:basedOn w:val="a"/>
    <w:link w:val="ab"/>
    <w:uiPriority w:val="99"/>
    <w:unhideWhenUsed/>
    <w:rPr>
      <w:sz w:val="20"/>
      <w:szCs w:val="20"/>
    </w:rPr>
  </w:style>
  <w:style w:type="character" w:customStyle="1" w:styleId="ab">
    <w:name w:val="Текст сноски Знак"/>
    <w:basedOn w:val="a0"/>
    <w:link w:val="aa"/>
    <w:uiPriority w:val="99"/>
  </w:style>
  <w:style w:type="character" w:styleId="ac">
    <w:name w:val="footnote reference"/>
    <w:basedOn w:val="a0"/>
    <w:unhideWhenUsed/>
    <w:rPr>
      <w:vertAlign w:val="superscript"/>
    </w:rPr>
  </w:style>
  <w:style w:type="paragraph" w:styleId="ad">
    <w:name w:val="TOC Heading"/>
    <w:basedOn w:val="1"/>
    <w:next w:val="a"/>
    <w:uiPriority w:val="39"/>
    <w:semiHidden/>
    <w:unhideWhenUsed/>
    <w:qFormat/>
    <w:pPr>
      <w:outlineLvl w:val="9"/>
    </w:pPr>
  </w:style>
  <w:style w:type="paragraph" w:styleId="32">
    <w:name w:val="toc 3"/>
    <w:basedOn w:val="a"/>
    <w:next w:val="a"/>
    <w:uiPriority w:val="39"/>
    <w:unhideWhenUsed/>
    <w:pPr>
      <w:spacing w:after="0"/>
      <w:ind w:left="440"/>
    </w:pPr>
    <w:rPr>
      <w:rFonts w:cs="Calibri"/>
      <w:i/>
      <w:iCs/>
      <w:sz w:val="20"/>
      <w:szCs w:val="20"/>
    </w:rPr>
  </w:style>
  <w:style w:type="paragraph" w:styleId="42">
    <w:name w:val="toc 4"/>
    <w:basedOn w:val="a"/>
    <w:next w:val="a"/>
    <w:uiPriority w:val="39"/>
    <w:unhideWhenUsed/>
    <w:pPr>
      <w:spacing w:after="0"/>
      <w:ind w:left="660"/>
    </w:pPr>
    <w:rPr>
      <w:rFonts w:cs="Calibri"/>
      <w:sz w:val="18"/>
      <w:szCs w:val="18"/>
    </w:rPr>
  </w:style>
  <w:style w:type="paragraph" w:styleId="52">
    <w:name w:val="toc 5"/>
    <w:basedOn w:val="a"/>
    <w:next w:val="a"/>
    <w:uiPriority w:val="39"/>
    <w:unhideWhenUsed/>
    <w:pPr>
      <w:spacing w:after="0"/>
      <w:ind w:left="880"/>
    </w:pPr>
    <w:rPr>
      <w:rFonts w:cs="Calibri"/>
      <w:sz w:val="18"/>
      <w:szCs w:val="18"/>
    </w:rPr>
  </w:style>
  <w:style w:type="paragraph" w:styleId="61">
    <w:name w:val="toc 6"/>
    <w:basedOn w:val="a"/>
    <w:next w:val="a"/>
    <w:uiPriority w:val="39"/>
    <w:unhideWhenUsed/>
    <w:pPr>
      <w:spacing w:after="0"/>
      <w:ind w:left="1100"/>
    </w:pPr>
    <w:rPr>
      <w:rFonts w:cs="Calibri"/>
      <w:sz w:val="18"/>
      <w:szCs w:val="18"/>
    </w:rPr>
  </w:style>
  <w:style w:type="paragraph" w:styleId="71">
    <w:name w:val="toc 7"/>
    <w:basedOn w:val="a"/>
    <w:next w:val="a"/>
    <w:uiPriority w:val="39"/>
    <w:unhideWhenUsed/>
    <w:pPr>
      <w:spacing w:after="0"/>
      <w:ind w:left="1320"/>
    </w:pPr>
    <w:rPr>
      <w:rFonts w:cs="Calibri"/>
      <w:sz w:val="18"/>
      <w:szCs w:val="18"/>
    </w:rPr>
  </w:style>
  <w:style w:type="paragraph" w:styleId="81">
    <w:name w:val="toc 8"/>
    <w:basedOn w:val="a"/>
    <w:next w:val="a"/>
    <w:uiPriority w:val="39"/>
    <w:unhideWhenUsed/>
    <w:pPr>
      <w:spacing w:after="0"/>
      <w:ind w:left="1540"/>
    </w:pPr>
    <w:rPr>
      <w:rFonts w:cs="Calibri"/>
      <w:sz w:val="18"/>
      <w:szCs w:val="18"/>
    </w:rPr>
  </w:style>
  <w:style w:type="paragraph" w:styleId="91">
    <w:name w:val="toc 9"/>
    <w:basedOn w:val="a"/>
    <w:next w:val="a"/>
    <w:uiPriority w:val="39"/>
    <w:unhideWhenUsed/>
    <w:pPr>
      <w:spacing w:after="0"/>
      <w:ind w:left="1760"/>
    </w:pPr>
    <w:rPr>
      <w:rFonts w:cs="Calibri"/>
      <w:sz w:val="18"/>
      <w:szCs w:val="18"/>
    </w:rPr>
  </w:style>
  <w:style w:type="paragraph" w:styleId="ae">
    <w:name w:val="Balloon Text"/>
    <w:basedOn w:val="a"/>
    <w:link w:val="af"/>
    <w:uiPriority w:val="99"/>
    <w:semiHidden/>
    <w:unhideWhenUse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Pr>
      <w:rFonts w:ascii="Tahoma" w:hAnsi="Tahoma" w:cs="Tahoma"/>
      <w:sz w:val="16"/>
      <w:szCs w:val="16"/>
    </w:rPr>
  </w:style>
  <w:style w:type="character" w:customStyle="1" w:styleId="apple-converted-space">
    <w:name w:val="apple-converted-space"/>
    <w:basedOn w:val="a0"/>
  </w:style>
  <w:style w:type="paragraph" w:customStyle="1" w:styleId="CharChar">
    <w:name w:val="Char Char"/>
    <w:basedOn w:val="a"/>
    <w:pPr>
      <w:spacing w:after="0" w:line="240" w:lineRule="auto"/>
    </w:pPr>
    <w:rPr>
      <w:rFonts w:ascii="Verdana" w:eastAsia="Times New Roman" w:hAnsi="Verdana" w:cs="Verdana"/>
      <w:sz w:val="20"/>
      <w:szCs w:val="20"/>
    </w:rPr>
  </w:style>
  <w:style w:type="character" w:customStyle="1" w:styleId="menu3br">
    <w:name w:val="menu3br"/>
    <w:basedOn w:val="a0"/>
  </w:style>
  <w:style w:type="paragraph" w:styleId="af0">
    <w:name w:val="Normal (Web)"/>
    <w:basedOn w:val="a"/>
    <w:uiPriority w:val="99"/>
    <w:unhideWhenUsed/>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basedOn w:val="a0"/>
  </w:style>
  <w:style w:type="character" w:styleId="af1">
    <w:name w:val="FollowedHyperlink"/>
    <w:basedOn w:val="a0"/>
    <w:uiPriority w:val="99"/>
    <w:semiHidden/>
    <w:unhideWhenUsed/>
    <w:rPr>
      <w:color w:val="800080"/>
      <w:u w:val="single"/>
    </w:rPr>
  </w:style>
  <w:style w:type="paragraph" w:styleId="af2">
    <w:name w:val="Bibliography"/>
    <w:basedOn w:val="a"/>
    <w:next w:val="a"/>
    <w:uiPriority w:val="37"/>
    <w:unhideWhenUsed/>
  </w:style>
  <w:style w:type="paragraph" w:styleId="af3">
    <w:name w:val="List Paragraph"/>
    <w:basedOn w:val="a"/>
    <w:uiPriority w:val="34"/>
    <w:qFormat/>
    <w:pPr>
      <w:ind w:left="720"/>
      <w:contextualSpacing/>
    </w:pPr>
  </w:style>
  <w:style w:type="character" w:customStyle="1" w:styleId="hl">
    <w:name w:val="hl"/>
    <w:basedOn w:val="a0"/>
  </w:style>
  <w:style w:type="paragraph" w:styleId="af4">
    <w:name w:val="Title"/>
    <w:basedOn w:val="a"/>
    <w:next w:val="a"/>
    <w:link w:val="af5"/>
    <w:uiPriority w:val="10"/>
    <w:qFormat/>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f5">
    <w:name w:val="Заголовок Знак"/>
    <w:basedOn w:val="a0"/>
    <w:link w:val="af4"/>
    <w:uiPriority w:val="10"/>
    <w:rPr>
      <w:rFonts w:asciiTheme="majorHAnsi" w:eastAsiaTheme="majorEastAsia" w:hAnsiTheme="majorHAnsi" w:cstheme="majorBidi"/>
      <w:spacing w:val="5"/>
      <w:sz w:val="52"/>
      <w:szCs w:val="52"/>
    </w:rPr>
  </w:style>
  <w:style w:type="paragraph" w:styleId="af6">
    <w:name w:val="Subtitle"/>
    <w:basedOn w:val="a"/>
    <w:next w:val="a"/>
    <w:link w:val="af7"/>
    <w:uiPriority w:val="11"/>
    <w:qFormat/>
    <w:pPr>
      <w:spacing w:after="600"/>
    </w:pPr>
    <w:rPr>
      <w:rFonts w:asciiTheme="majorHAnsi" w:eastAsiaTheme="majorEastAsia" w:hAnsiTheme="majorHAnsi" w:cstheme="majorBidi"/>
      <w:i/>
      <w:iCs/>
      <w:spacing w:val="13"/>
      <w:sz w:val="24"/>
      <w:szCs w:val="24"/>
    </w:rPr>
  </w:style>
  <w:style w:type="character" w:customStyle="1" w:styleId="af7">
    <w:name w:val="Подзаголовок Знак"/>
    <w:basedOn w:val="a0"/>
    <w:link w:val="af6"/>
    <w:uiPriority w:val="11"/>
    <w:rPr>
      <w:rFonts w:asciiTheme="majorHAnsi" w:eastAsiaTheme="majorEastAsia" w:hAnsiTheme="majorHAnsi" w:cstheme="majorBidi"/>
      <w:i/>
      <w:iCs/>
      <w:spacing w:val="13"/>
      <w:sz w:val="24"/>
      <w:szCs w:val="24"/>
    </w:rPr>
  </w:style>
  <w:style w:type="character" w:styleId="af8">
    <w:name w:val="Strong"/>
    <w:uiPriority w:val="22"/>
    <w:qFormat/>
    <w:rPr>
      <w:b/>
      <w:bCs/>
    </w:rPr>
  </w:style>
  <w:style w:type="character" w:styleId="af9">
    <w:name w:val="Emphasis"/>
    <w:uiPriority w:val="20"/>
    <w:qFormat/>
    <w:rPr>
      <w:b/>
      <w:bCs/>
      <w:i/>
      <w:iCs/>
      <w:spacing w:val="10"/>
      <w:shd w:val="clear" w:color="auto" w:fill="auto"/>
    </w:rPr>
  </w:style>
  <w:style w:type="paragraph" w:styleId="afa">
    <w:name w:val="No Spacing"/>
    <w:basedOn w:val="a"/>
    <w:uiPriority w:val="1"/>
    <w:qFormat/>
    <w:pPr>
      <w:spacing w:after="0" w:line="240" w:lineRule="auto"/>
    </w:pPr>
  </w:style>
  <w:style w:type="paragraph" w:styleId="23">
    <w:name w:val="Quote"/>
    <w:basedOn w:val="a"/>
    <w:next w:val="a"/>
    <w:link w:val="24"/>
    <w:uiPriority w:val="29"/>
    <w:qFormat/>
    <w:pPr>
      <w:spacing w:before="200" w:after="0"/>
      <w:ind w:left="360" w:right="360"/>
    </w:pPr>
    <w:rPr>
      <w:i/>
      <w:iCs/>
    </w:rPr>
  </w:style>
  <w:style w:type="character" w:customStyle="1" w:styleId="24">
    <w:name w:val="Цитата 2 Знак"/>
    <w:basedOn w:val="a0"/>
    <w:link w:val="23"/>
    <w:uiPriority w:val="29"/>
    <w:rPr>
      <w:i/>
      <w:iCs/>
    </w:rPr>
  </w:style>
  <w:style w:type="paragraph" w:styleId="afb">
    <w:name w:val="Intense Quote"/>
    <w:basedOn w:val="a"/>
    <w:next w:val="a"/>
    <w:link w:val="afc"/>
    <w:uiPriority w:val="30"/>
    <w:qFormat/>
    <w:pPr>
      <w:pBdr>
        <w:bottom w:val="single" w:sz="4" w:space="1" w:color="auto"/>
      </w:pBdr>
      <w:spacing w:before="200" w:after="280"/>
      <w:ind w:left="1008" w:right="1152"/>
      <w:jc w:val="both"/>
    </w:pPr>
    <w:rPr>
      <w:b/>
      <w:bCs/>
      <w:i/>
      <w:iCs/>
    </w:rPr>
  </w:style>
  <w:style w:type="character" w:customStyle="1" w:styleId="afc">
    <w:name w:val="Выделенная цитата Знак"/>
    <w:basedOn w:val="a0"/>
    <w:link w:val="afb"/>
    <w:uiPriority w:val="30"/>
    <w:rPr>
      <w:b/>
      <w:bCs/>
      <w:i/>
      <w:iCs/>
    </w:rPr>
  </w:style>
  <w:style w:type="character" w:styleId="afd">
    <w:name w:val="Subtle Emphasis"/>
    <w:uiPriority w:val="19"/>
    <w:qFormat/>
    <w:rPr>
      <w:i/>
      <w:iCs/>
    </w:rPr>
  </w:style>
  <w:style w:type="character" w:styleId="afe">
    <w:name w:val="Intense Emphasis"/>
    <w:uiPriority w:val="21"/>
    <w:qFormat/>
    <w:rPr>
      <w:b/>
      <w:bCs/>
    </w:rPr>
  </w:style>
  <w:style w:type="character" w:styleId="aff">
    <w:name w:val="Subtle Reference"/>
    <w:uiPriority w:val="31"/>
    <w:qFormat/>
    <w:rPr>
      <w:smallCaps/>
    </w:rPr>
  </w:style>
  <w:style w:type="character" w:styleId="aff0">
    <w:name w:val="Intense Reference"/>
    <w:uiPriority w:val="32"/>
    <w:qFormat/>
    <w:rPr>
      <w:smallCaps/>
      <w:spacing w:val="5"/>
      <w:u w:val="single"/>
    </w:rPr>
  </w:style>
  <w:style w:type="character" w:styleId="aff1">
    <w:name w:val="Book Title"/>
    <w:uiPriority w:val="33"/>
    <w:qFormat/>
    <w:rPr>
      <w:i/>
      <w:iCs/>
      <w:smallCaps/>
      <w:spacing w:val="5"/>
    </w:rPr>
  </w:style>
  <w:style w:type="character" w:styleId="HTML">
    <w:name w:val="HTML Cite"/>
    <w:basedOn w:val="a0"/>
    <w:uiPriority w:val="99"/>
    <w:semiHidden/>
    <w:unhideWhenUsed/>
    <w:rPr>
      <w:i/>
      <w:iCs/>
    </w:rPr>
  </w:style>
  <w:style w:type="character" w:customStyle="1" w:styleId="reference-accessdate">
    <w:name w:val="reference-accessdate"/>
    <w:basedOn w:val="a0"/>
  </w:style>
  <w:style w:type="character" w:customStyle="1" w:styleId="nowrap">
    <w:name w:val="nowrap"/>
    <w:basedOn w:val="a0"/>
  </w:style>
  <w:style w:type="paragraph" w:styleId="aff2">
    <w:name w:val="endnote text"/>
    <w:basedOn w:val="a"/>
    <w:link w:val="aff3"/>
    <w:uiPriority w:val="99"/>
    <w:semiHidden/>
    <w:unhideWhenUsed/>
    <w:pPr>
      <w:spacing w:after="0" w:line="240" w:lineRule="auto"/>
    </w:pPr>
    <w:rPr>
      <w:sz w:val="20"/>
      <w:szCs w:val="20"/>
    </w:rPr>
  </w:style>
  <w:style w:type="character" w:customStyle="1" w:styleId="aff3">
    <w:name w:val="Текст концевой сноски Знак"/>
    <w:basedOn w:val="a0"/>
    <w:link w:val="aff2"/>
    <w:uiPriority w:val="99"/>
    <w:semiHidden/>
    <w:rPr>
      <w:sz w:val="20"/>
      <w:szCs w:val="20"/>
    </w:rPr>
  </w:style>
  <w:style w:type="character" w:styleId="aff4">
    <w:name w:val="endnote reference"/>
    <w:basedOn w:val="a0"/>
    <w:uiPriority w:val="99"/>
    <w:semiHidden/>
    <w:unhideWhenUsed/>
    <w:rPr>
      <w:vertAlign w:val="superscript"/>
    </w:rPr>
  </w:style>
  <w:style w:type="table" w:styleId="aff5">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
    <w:name w:val="Char Char1"/>
    <w:basedOn w:val="a"/>
    <w:pPr>
      <w:spacing w:after="0" w:line="240" w:lineRule="auto"/>
    </w:pPr>
    <w:rPr>
      <w:rFonts w:ascii="Verdana" w:eastAsia="Times New Roman" w:hAnsi="Verdana" w:cs="Verdana"/>
      <w:sz w:val="20"/>
      <w:szCs w:val="20"/>
      <w:lang w:bidi="ar-SA"/>
    </w:rPr>
  </w:style>
  <w:style w:type="paragraph" w:customStyle="1" w:styleId="13">
    <w:name w:val="Дата1"/>
    <w:basedOn w:val="a"/>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Default">
    <w:name w:val="Default"/>
    <w:pPr>
      <w:spacing w:after="0" w:line="240" w:lineRule="auto"/>
    </w:pPr>
    <w:rPr>
      <w:rFonts w:ascii="Times New Roman" w:hAnsi="Times New Roman" w:cs="Times New Roman"/>
      <w:color w:val="000000"/>
      <w:sz w:val="24"/>
      <w:szCs w:val="24"/>
      <w:lang w:val="ru-RU" w:bidi="ar-SA"/>
    </w:rPr>
  </w:style>
  <w:style w:type="character" w:customStyle="1" w:styleId="hl1">
    <w:name w:val="hl1"/>
    <w:basedOn w:val="a0"/>
    <w:rPr>
      <w:color w:val="4682B4"/>
    </w:rPr>
  </w:style>
  <w:style w:type="character" w:customStyle="1" w:styleId="14">
    <w:name w:val="Неразрешенное упоминание1"/>
    <w:basedOn w:val="a0"/>
    <w:uiPriority w:val="99"/>
    <w:semiHidden/>
    <w:unhideWhenUsed/>
    <w:rPr>
      <w:color w:val="605E5C"/>
      <w:shd w:val="clear" w:color="auto" w:fill="E1DFDD"/>
    </w:rPr>
  </w:style>
  <w:style w:type="character" w:customStyle="1" w:styleId="25">
    <w:name w:val="Неразрешенное упоминание2"/>
    <w:basedOn w:val="a0"/>
    <w:uiPriority w:val="99"/>
    <w:semiHidden/>
    <w:unhideWhenUsed/>
    <w:rPr>
      <w:color w:val="605E5C"/>
      <w:shd w:val="clear" w:color="auto" w:fill="E1DFDD"/>
    </w:rPr>
  </w:style>
  <w:style w:type="character" w:customStyle="1" w:styleId="src">
    <w:name w:val="src"/>
    <w:basedOn w:val="a0"/>
  </w:style>
  <w:style w:type="character" w:customStyle="1" w:styleId="title-text">
    <w:name w:val="title-text"/>
    <w:basedOn w:val="a0"/>
  </w:style>
  <w:style w:type="character" w:customStyle="1" w:styleId="react-xocs-alternative-link">
    <w:name w:val="react-xocs-alternative-link"/>
    <w:basedOn w:val="a0"/>
  </w:style>
  <w:style w:type="character" w:customStyle="1" w:styleId="given-name">
    <w:name w:val="given-name"/>
    <w:basedOn w:val="a0"/>
  </w:style>
  <w:style w:type="character" w:customStyle="1" w:styleId="text">
    <w:name w:val="text"/>
    <w:basedOn w:val="a0"/>
  </w:style>
  <w:style w:type="character" w:customStyle="1" w:styleId="author-ref">
    <w:name w:val="author-ref"/>
    <w:basedOn w:val="a0"/>
  </w:style>
  <w:style w:type="character" w:customStyle="1" w:styleId="anchor-text">
    <w:name w:val="anchor-text"/>
    <w:basedOn w:val="a0"/>
  </w:style>
  <w:style w:type="paragraph" w:customStyle="1" w:styleId="msonormal0">
    <w:name w:val="msonormal"/>
    <w:basedOn w:val="a"/>
    <w:rsid w:val="00430F81"/>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xl63">
    <w:name w:val="xl63"/>
    <w:basedOn w:val="a"/>
    <w:rsid w:val="00430F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xl64">
    <w:name w:val="xl64"/>
    <w:basedOn w:val="a"/>
    <w:rsid w:val="00430F8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xl65">
    <w:name w:val="xl65"/>
    <w:basedOn w:val="a"/>
    <w:rsid w:val="00430F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xl66">
    <w:name w:val="xl66"/>
    <w:basedOn w:val="a"/>
    <w:rsid w:val="00430F81"/>
    <w:pPr>
      <w:spacing w:before="100" w:beforeAutospacing="1" w:after="100" w:afterAutospacing="1" w:line="240" w:lineRule="auto"/>
    </w:pPr>
    <w:rPr>
      <w:rFonts w:ascii="Arial" w:eastAsia="Times New Roman" w:hAnsi="Arial" w:cs="Arial"/>
      <w:sz w:val="16"/>
      <w:szCs w:val="16"/>
      <w:lang w:val="ru-RU" w:eastAsia="ru-RU" w:bidi="ar-SA"/>
    </w:rPr>
  </w:style>
  <w:style w:type="paragraph" w:customStyle="1" w:styleId="xl67">
    <w:name w:val="xl67"/>
    <w:basedOn w:val="a"/>
    <w:rsid w:val="00430F81"/>
    <w:pPr>
      <w:shd w:val="clear" w:color="000000" w:fill="DDD9C4"/>
      <w:spacing w:before="100" w:beforeAutospacing="1" w:after="100" w:afterAutospacing="1" w:line="240" w:lineRule="auto"/>
    </w:pPr>
    <w:rPr>
      <w:rFonts w:ascii="Arial" w:eastAsia="Times New Roman" w:hAnsi="Arial" w:cs="Arial"/>
      <w:sz w:val="16"/>
      <w:szCs w:val="16"/>
      <w:lang w:val="ru-RU" w:eastAsia="ru-RU" w:bidi="ar-SA"/>
    </w:rPr>
  </w:style>
  <w:style w:type="paragraph" w:customStyle="1" w:styleId="xl68">
    <w:name w:val="xl68"/>
    <w:basedOn w:val="a"/>
    <w:rsid w:val="00430F81"/>
    <w:pPr>
      <w:pBdr>
        <w:left w:val="single" w:sz="8" w:space="0" w:color="auto"/>
      </w:pBdr>
      <w:spacing w:before="100" w:beforeAutospacing="1" w:after="100" w:afterAutospacing="1" w:line="240" w:lineRule="auto"/>
      <w:textAlignment w:val="center"/>
    </w:pPr>
    <w:rPr>
      <w:rFonts w:ascii="Arial" w:eastAsia="Times New Roman" w:hAnsi="Arial" w:cs="Arial"/>
      <w:sz w:val="16"/>
      <w:szCs w:val="16"/>
      <w:lang w:val="ru-RU" w:eastAsia="ru-RU" w:bidi="ar-SA"/>
    </w:rPr>
  </w:style>
  <w:style w:type="paragraph" w:customStyle="1" w:styleId="xl69">
    <w:name w:val="xl69"/>
    <w:basedOn w:val="a"/>
    <w:rsid w:val="00430F81"/>
    <w:pPr>
      <w:pBdr>
        <w:left w:val="single" w:sz="8" w:space="0" w:color="auto"/>
      </w:pBdr>
      <w:shd w:val="clear" w:color="000000" w:fill="DDD9C4"/>
      <w:spacing w:before="100" w:beforeAutospacing="1" w:after="100" w:afterAutospacing="1" w:line="240" w:lineRule="auto"/>
      <w:textAlignment w:val="center"/>
    </w:pPr>
    <w:rPr>
      <w:rFonts w:ascii="Arial" w:eastAsia="Times New Roman" w:hAnsi="Arial" w:cs="Arial"/>
      <w:sz w:val="16"/>
      <w:szCs w:val="16"/>
      <w:lang w:val="ru-RU" w:eastAsia="ru-RU" w:bidi="ar-SA"/>
    </w:rPr>
  </w:style>
  <w:style w:type="paragraph" w:customStyle="1" w:styleId="xl70">
    <w:name w:val="xl70"/>
    <w:basedOn w:val="a"/>
    <w:rsid w:val="00430F81"/>
    <w:pPr>
      <w:pBdr>
        <w:left w:val="single" w:sz="8" w:space="0" w:color="auto"/>
      </w:pBdr>
      <w:shd w:val="clear" w:color="000000" w:fill="E4DFEC"/>
      <w:spacing w:before="100" w:beforeAutospacing="1" w:after="100" w:afterAutospacing="1" w:line="240" w:lineRule="auto"/>
      <w:textAlignment w:val="center"/>
    </w:pPr>
    <w:rPr>
      <w:rFonts w:ascii="Arial" w:eastAsia="Times New Roman" w:hAnsi="Arial" w:cs="Arial"/>
      <w:sz w:val="16"/>
      <w:szCs w:val="16"/>
      <w:lang w:val="ru-RU" w:eastAsia="ru-RU" w:bidi="ar-SA"/>
    </w:rPr>
  </w:style>
  <w:style w:type="character" w:customStyle="1" w:styleId="mw-page-title-main">
    <w:name w:val="mw-page-title-main"/>
    <w:basedOn w:val="a0"/>
    <w:rsid w:val="0082182E"/>
  </w:style>
  <w:style w:type="paragraph" w:customStyle="1" w:styleId="xl71">
    <w:name w:val="xl71"/>
    <w:basedOn w:val="a"/>
    <w:rsid w:val="000365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ru-RU" w:eastAsia="ru-RU" w:bidi="ar-SA"/>
    </w:rPr>
  </w:style>
  <w:style w:type="paragraph" w:customStyle="1" w:styleId="xl72">
    <w:name w:val="xl72"/>
    <w:basedOn w:val="a"/>
    <w:rsid w:val="000365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ru-RU" w:eastAsia="ru-RU" w:bidi="ar-SA"/>
    </w:rPr>
  </w:style>
  <w:style w:type="paragraph" w:customStyle="1" w:styleId="xl73">
    <w:name w:val="xl73"/>
    <w:basedOn w:val="a"/>
    <w:rsid w:val="000365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ru-RU" w:eastAsia="ru-RU" w:bidi="ar-SA"/>
    </w:rPr>
  </w:style>
  <w:style w:type="paragraph" w:customStyle="1" w:styleId="xl74">
    <w:name w:val="xl74"/>
    <w:basedOn w:val="a"/>
    <w:rsid w:val="00A546AD"/>
    <w:pPr>
      <w:pBdr>
        <w:top w:val="single" w:sz="4" w:space="0" w:color="auto"/>
        <w:left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xl75">
    <w:name w:val="xl75"/>
    <w:basedOn w:val="a"/>
    <w:rsid w:val="00A546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customStyle="1" w:styleId="xl76">
    <w:name w:val="xl76"/>
    <w:basedOn w:val="a"/>
    <w:rsid w:val="00A54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ru-RU" w:eastAsia="ru-RU" w:bidi="ar-SA"/>
    </w:rPr>
  </w:style>
  <w:style w:type="paragraph" w:customStyle="1" w:styleId="xl77">
    <w:name w:val="xl77"/>
    <w:basedOn w:val="a"/>
    <w:rsid w:val="00A54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ru-RU" w:eastAsia="ru-RU" w:bidi="ar-SA"/>
    </w:rPr>
  </w:style>
  <w:style w:type="paragraph" w:customStyle="1" w:styleId="xl78">
    <w:name w:val="xl78"/>
    <w:basedOn w:val="a"/>
    <w:rsid w:val="00A546A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val="ru-RU" w:eastAsia="ru-RU" w:bidi="ar-SA"/>
    </w:rPr>
  </w:style>
  <w:style w:type="paragraph" w:customStyle="1" w:styleId="xl79">
    <w:name w:val="xl79"/>
    <w:basedOn w:val="a"/>
    <w:rsid w:val="00A546A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ru-RU" w:eastAsia="ru-RU" w:bidi="ar-SA"/>
    </w:rPr>
  </w:style>
  <w:style w:type="paragraph" w:customStyle="1" w:styleId="xl80">
    <w:name w:val="xl80"/>
    <w:basedOn w:val="a"/>
    <w:rsid w:val="00A54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ru-RU" w:eastAsia="ru-RU" w:bidi="ar-SA"/>
    </w:rPr>
  </w:style>
  <w:style w:type="paragraph" w:customStyle="1" w:styleId="xl81">
    <w:name w:val="xl81"/>
    <w:basedOn w:val="a"/>
    <w:rsid w:val="00A546A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val="ru-RU" w:eastAsia="ru-RU" w:bidi="ar-SA"/>
    </w:rPr>
  </w:style>
  <w:style w:type="paragraph" w:customStyle="1" w:styleId="aff6">
    <w:name w:val="Таблица"/>
    <w:basedOn w:val="a"/>
    <w:autoRedefine/>
    <w:qFormat/>
    <w:rsid w:val="00711283"/>
    <w:pPr>
      <w:spacing w:before="100" w:beforeAutospacing="1" w:after="100" w:line="360" w:lineRule="auto"/>
      <w:ind w:firstLine="709"/>
      <w:contextualSpacing/>
      <w:jc w:val="both"/>
    </w:pPr>
    <w:rPr>
      <w:rFonts w:ascii="Times New Roman" w:hAnsi="Times New Roman" w:cs="Times New Roman"/>
      <w:color w:val="000000"/>
      <w:sz w:val="24"/>
      <w:szCs w:val="24"/>
      <w:shd w:val="clear" w:color="auto" w:fill="FFFFFF"/>
      <w:lang w:val="ru-RU"/>
    </w:rPr>
  </w:style>
  <w:style w:type="paragraph" w:customStyle="1" w:styleId="15">
    <w:name w:val="Рис. 1"/>
    <w:basedOn w:val="a"/>
    <w:link w:val="16"/>
    <w:autoRedefine/>
    <w:qFormat/>
    <w:rsid w:val="00BB196B"/>
    <w:pPr>
      <w:spacing w:before="100" w:beforeAutospacing="1" w:after="100" w:line="360" w:lineRule="auto"/>
      <w:ind w:firstLine="709"/>
      <w:contextualSpacing/>
      <w:jc w:val="both"/>
    </w:pPr>
    <w:rPr>
      <w:rFonts w:ascii="Times New Roman" w:hAnsi="Times New Roman" w:cs="Times New Roman"/>
      <w:color w:val="000000"/>
      <w:sz w:val="24"/>
      <w:szCs w:val="24"/>
      <w:shd w:val="clear" w:color="auto" w:fill="FFFFFF"/>
      <w:lang w:val="ru-RU"/>
    </w:rPr>
  </w:style>
  <w:style w:type="character" w:customStyle="1" w:styleId="16">
    <w:name w:val="Рис. 1 Знак"/>
    <w:basedOn w:val="a0"/>
    <w:link w:val="15"/>
    <w:rsid w:val="00BB196B"/>
    <w:rPr>
      <w:rFonts w:ascii="Times New Roman" w:hAnsi="Times New Roman" w:cs="Times New Roman"/>
      <w:color w:val="000000"/>
      <w:sz w:val="24"/>
      <w:szCs w:val="24"/>
      <w:lang w:val="ru-RU"/>
    </w:rPr>
  </w:style>
  <w:style w:type="character" w:styleId="aff7">
    <w:name w:val="Unresolved Mention"/>
    <w:basedOn w:val="a0"/>
    <w:uiPriority w:val="99"/>
    <w:semiHidden/>
    <w:unhideWhenUsed/>
    <w:rsid w:val="0049163C"/>
    <w:rPr>
      <w:color w:val="605E5C"/>
      <w:shd w:val="clear" w:color="auto" w:fill="E1DFDD"/>
    </w:rPr>
  </w:style>
  <w:style w:type="character" w:styleId="aff8">
    <w:name w:val="annotation reference"/>
    <w:basedOn w:val="a0"/>
    <w:uiPriority w:val="99"/>
    <w:semiHidden/>
    <w:unhideWhenUsed/>
    <w:rsid w:val="00937CBF"/>
    <w:rPr>
      <w:sz w:val="16"/>
      <w:szCs w:val="16"/>
    </w:rPr>
  </w:style>
  <w:style w:type="paragraph" w:styleId="aff9">
    <w:name w:val="annotation text"/>
    <w:basedOn w:val="a"/>
    <w:link w:val="affa"/>
    <w:uiPriority w:val="99"/>
    <w:semiHidden/>
    <w:unhideWhenUsed/>
    <w:rsid w:val="00937CBF"/>
    <w:pPr>
      <w:spacing w:line="240" w:lineRule="auto"/>
    </w:pPr>
    <w:rPr>
      <w:sz w:val="20"/>
      <w:szCs w:val="20"/>
    </w:rPr>
  </w:style>
  <w:style w:type="character" w:customStyle="1" w:styleId="affa">
    <w:name w:val="Текст примечания Знак"/>
    <w:basedOn w:val="a0"/>
    <w:link w:val="aff9"/>
    <w:uiPriority w:val="99"/>
    <w:semiHidden/>
    <w:rsid w:val="00937CBF"/>
    <w:rPr>
      <w:sz w:val="20"/>
      <w:szCs w:val="20"/>
    </w:rPr>
  </w:style>
  <w:style w:type="paragraph" w:styleId="affb">
    <w:name w:val="annotation subject"/>
    <w:basedOn w:val="aff9"/>
    <w:next w:val="aff9"/>
    <w:link w:val="affc"/>
    <w:uiPriority w:val="99"/>
    <w:semiHidden/>
    <w:unhideWhenUsed/>
    <w:rsid w:val="00937CBF"/>
    <w:rPr>
      <w:b/>
      <w:bCs/>
    </w:rPr>
  </w:style>
  <w:style w:type="character" w:customStyle="1" w:styleId="affc">
    <w:name w:val="Тема примечания Знак"/>
    <w:basedOn w:val="affa"/>
    <w:link w:val="affb"/>
    <w:uiPriority w:val="99"/>
    <w:semiHidden/>
    <w:rsid w:val="00937CBF"/>
    <w:rPr>
      <w:b/>
      <w:bCs/>
      <w:sz w:val="20"/>
      <w:szCs w:val="20"/>
    </w:rPr>
  </w:style>
  <w:style w:type="character" w:customStyle="1" w:styleId="33">
    <w:name w:val="Неразрешенное упоминание3"/>
    <w:basedOn w:val="a0"/>
    <w:uiPriority w:val="99"/>
    <w:semiHidden/>
    <w:unhideWhenUsed/>
    <w:rsid w:val="008338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668">
      <w:bodyDiv w:val="1"/>
      <w:marLeft w:val="0"/>
      <w:marRight w:val="0"/>
      <w:marTop w:val="0"/>
      <w:marBottom w:val="0"/>
      <w:divBdr>
        <w:top w:val="none" w:sz="0" w:space="0" w:color="auto"/>
        <w:left w:val="none" w:sz="0" w:space="0" w:color="auto"/>
        <w:bottom w:val="none" w:sz="0" w:space="0" w:color="auto"/>
        <w:right w:val="none" w:sz="0" w:space="0" w:color="auto"/>
      </w:divBdr>
    </w:div>
    <w:div w:id="37820700">
      <w:bodyDiv w:val="1"/>
      <w:marLeft w:val="0"/>
      <w:marRight w:val="0"/>
      <w:marTop w:val="0"/>
      <w:marBottom w:val="0"/>
      <w:divBdr>
        <w:top w:val="none" w:sz="0" w:space="0" w:color="auto"/>
        <w:left w:val="none" w:sz="0" w:space="0" w:color="auto"/>
        <w:bottom w:val="none" w:sz="0" w:space="0" w:color="auto"/>
        <w:right w:val="none" w:sz="0" w:space="0" w:color="auto"/>
      </w:divBdr>
    </w:div>
    <w:div w:id="263927747">
      <w:bodyDiv w:val="1"/>
      <w:marLeft w:val="0"/>
      <w:marRight w:val="0"/>
      <w:marTop w:val="0"/>
      <w:marBottom w:val="0"/>
      <w:divBdr>
        <w:top w:val="none" w:sz="0" w:space="0" w:color="auto"/>
        <w:left w:val="none" w:sz="0" w:space="0" w:color="auto"/>
        <w:bottom w:val="none" w:sz="0" w:space="0" w:color="auto"/>
        <w:right w:val="none" w:sz="0" w:space="0" w:color="auto"/>
      </w:divBdr>
    </w:div>
    <w:div w:id="403988975">
      <w:bodyDiv w:val="1"/>
      <w:marLeft w:val="0"/>
      <w:marRight w:val="0"/>
      <w:marTop w:val="0"/>
      <w:marBottom w:val="0"/>
      <w:divBdr>
        <w:top w:val="none" w:sz="0" w:space="0" w:color="auto"/>
        <w:left w:val="none" w:sz="0" w:space="0" w:color="auto"/>
        <w:bottom w:val="none" w:sz="0" w:space="0" w:color="auto"/>
        <w:right w:val="none" w:sz="0" w:space="0" w:color="auto"/>
      </w:divBdr>
    </w:div>
    <w:div w:id="423654633">
      <w:bodyDiv w:val="1"/>
      <w:marLeft w:val="0"/>
      <w:marRight w:val="0"/>
      <w:marTop w:val="0"/>
      <w:marBottom w:val="0"/>
      <w:divBdr>
        <w:top w:val="none" w:sz="0" w:space="0" w:color="auto"/>
        <w:left w:val="none" w:sz="0" w:space="0" w:color="auto"/>
        <w:bottom w:val="none" w:sz="0" w:space="0" w:color="auto"/>
        <w:right w:val="none" w:sz="0" w:space="0" w:color="auto"/>
      </w:divBdr>
    </w:div>
    <w:div w:id="484248934">
      <w:bodyDiv w:val="1"/>
      <w:marLeft w:val="0"/>
      <w:marRight w:val="0"/>
      <w:marTop w:val="0"/>
      <w:marBottom w:val="0"/>
      <w:divBdr>
        <w:top w:val="none" w:sz="0" w:space="0" w:color="auto"/>
        <w:left w:val="none" w:sz="0" w:space="0" w:color="auto"/>
        <w:bottom w:val="none" w:sz="0" w:space="0" w:color="auto"/>
        <w:right w:val="none" w:sz="0" w:space="0" w:color="auto"/>
      </w:divBdr>
    </w:div>
    <w:div w:id="528878535">
      <w:bodyDiv w:val="1"/>
      <w:marLeft w:val="0"/>
      <w:marRight w:val="0"/>
      <w:marTop w:val="0"/>
      <w:marBottom w:val="0"/>
      <w:divBdr>
        <w:top w:val="none" w:sz="0" w:space="0" w:color="auto"/>
        <w:left w:val="none" w:sz="0" w:space="0" w:color="auto"/>
        <w:bottom w:val="none" w:sz="0" w:space="0" w:color="auto"/>
        <w:right w:val="none" w:sz="0" w:space="0" w:color="auto"/>
      </w:divBdr>
    </w:div>
    <w:div w:id="709959934">
      <w:bodyDiv w:val="1"/>
      <w:marLeft w:val="0"/>
      <w:marRight w:val="0"/>
      <w:marTop w:val="0"/>
      <w:marBottom w:val="0"/>
      <w:divBdr>
        <w:top w:val="none" w:sz="0" w:space="0" w:color="auto"/>
        <w:left w:val="none" w:sz="0" w:space="0" w:color="auto"/>
        <w:bottom w:val="none" w:sz="0" w:space="0" w:color="auto"/>
        <w:right w:val="none" w:sz="0" w:space="0" w:color="auto"/>
      </w:divBdr>
    </w:div>
    <w:div w:id="774250452">
      <w:bodyDiv w:val="1"/>
      <w:marLeft w:val="0"/>
      <w:marRight w:val="0"/>
      <w:marTop w:val="0"/>
      <w:marBottom w:val="0"/>
      <w:divBdr>
        <w:top w:val="none" w:sz="0" w:space="0" w:color="auto"/>
        <w:left w:val="none" w:sz="0" w:space="0" w:color="auto"/>
        <w:bottom w:val="none" w:sz="0" w:space="0" w:color="auto"/>
        <w:right w:val="none" w:sz="0" w:space="0" w:color="auto"/>
      </w:divBdr>
    </w:div>
    <w:div w:id="794175775">
      <w:bodyDiv w:val="1"/>
      <w:marLeft w:val="0"/>
      <w:marRight w:val="0"/>
      <w:marTop w:val="0"/>
      <w:marBottom w:val="0"/>
      <w:divBdr>
        <w:top w:val="none" w:sz="0" w:space="0" w:color="auto"/>
        <w:left w:val="none" w:sz="0" w:space="0" w:color="auto"/>
        <w:bottom w:val="none" w:sz="0" w:space="0" w:color="auto"/>
        <w:right w:val="none" w:sz="0" w:space="0" w:color="auto"/>
      </w:divBdr>
    </w:div>
    <w:div w:id="1058287980">
      <w:bodyDiv w:val="1"/>
      <w:marLeft w:val="0"/>
      <w:marRight w:val="0"/>
      <w:marTop w:val="0"/>
      <w:marBottom w:val="0"/>
      <w:divBdr>
        <w:top w:val="none" w:sz="0" w:space="0" w:color="auto"/>
        <w:left w:val="none" w:sz="0" w:space="0" w:color="auto"/>
        <w:bottom w:val="none" w:sz="0" w:space="0" w:color="auto"/>
        <w:right w:val="none" w:sz="0" w:space="0" w:color="auto"/>
      </w:divBdr>
    </w:div>
    <w:div w:id="1104417655">
      <w:bodyDiv w:val="1"/>
      <w:marLeft w:val="0"/>
      <w:marRight w:val="0"/>
      <w:marTop w:val="0"/>
      <w:marBottom w:val="0"/>
      <w:divBdr>
        <w:top w:val="none" w:sz="0" w:space="0" w:color="auto"/>
        <w:left w:val="none" w:sz="0" w:space="0" w:color="auto"/>
        <w:bottom w:val="none" w:sz="0" w:space="0" w:color="auto"/>
        <w:right w:val="none" w:sz="0" w:space="0" w:color="auto"/>
      </w:divBdr>
    </w:div>
    <w:div w:id="1139761459">
      <w:bodyDiv w:val="1"/>
      <w:marLeft w:val="0"/>
      <w:marRight w:val="0"/>
      <w:marTop w:val="0"/>
      <w:marBottom w:val="0"/>
      <w:divBdr>
        <w:top w:val="none" w:sz="0" w:space="0" w:color="auto"/>
        <w:left w:val="none" w:sz="0" w:space="0" w:color="auto"/>
        <w:bottom w:val="none" w:sz="0" w:space="0" w:color="auto"/>
        <w:right w:val="none" w:sz="0" w:space="0" w:color="auto"/>
      </w:divBdr>
    </w:div>
    <w:div w:id="1288512004">
      <w:bodyDiv w:val="1"/>
      <w:marLeft w:val="0"/>
      <w:marRight w:val="0"/>
      <w:marTop w:val="0"/>
      <w:marBottom w:val="0"/>
      <w:divBdr>
        <w:top w:val="none" w:sz="0" w:space="0" w:color="auto"/>
        <w:left w:val="none" w:sz="0" w:space="0" w:color="auto"/>
        <w:bottom w:val="none" w:sz="0" w:space="0" w:color="auto"/>
        <w:right w:val="none" w:sz="0" w:space="0" w:color="auto"/>
      </w:divBdr>
    </w:div>
    <w:div w:id="1555696031">
      <w:bodyDiv w:val="1"/>
      <w:marLeft w:val="0"/>
      <w:marRight w:val="0"/>
      <w:marTop w:val="0"/>
      <w:marBottom w:val="0"/>
      <w:divBdr>
        <w:top w:val="none" w:sz="0" w:space="0" w:color="auto"/>
        <w:left w:val="none" w:sz="0" w:space="0" w:color="auto"/>
        <w:bottom w:val="none" w:sz="0" w:space="0" w:color="auto"/>
        <w:right w:val="none" w:sz="0" w:space="0" w:color="auto"/>
      </w:divBdr>
    </w:div>
    <w:div w:id="182724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kelcd" TargetMode="External"/><Relationship Id="rId117" Type="http://schemas.openxmlformats.org/officeDocument/2006/relationships/fontTable" Target="fontTable.xml"/><Relationship Id="rId21" Type="http://schemas.openxmlformats.org/officeDocument/2006/relationships/image" Target="media/image11.png"/><Relationship Id="rId42" Type="http://schemas.openxmlformats.org/officeDocument/2006/relationships/hyperlink" Target="http://www.cbr.ru/about_br/publ/onfinmarket" TargetMode="External"/><Relationship Id="rId47" Type="http://schemas.openxmlformats.org/officeDocument/2006/relationships/hyperlink" Target="http://vid1.rian.ru/ig/ratings/life_2013.pdf" TargetMode="External"/><Relationship Id="rId63" Type="http://schemas.openxmlformats.org/officeDocument/2006/relationships/hyperlink" Target="https://www.longfinance.net/media/documents/The_Great_Game_Clustering_In_Wholesale_Financial_Services.pdf" TargetMode="External"/><Relationship Id="rId68" Type="http://schemas.openxmlformats.org/officeDocument/2006/relationships/hyperlink" Target="https://www.theatlantic.com/technology/archive/2016/01/global-startup-cities-venture-capital/429255" TargetMode="External"/><Relationship Id="rId84" Type="http://schemas.openxmlformats.org/officeDocument/2006/relationships/hyperlink" Target="http://www.sh.xinhuanet.com/shstatics/images2013/IFCD2013_En.pdf" TargetMode="External"/><Relationship Id="rId89" Type="http://schemas.openxmlformats.org/officeDocument/2006/relationships/hyperlink" Target="https://news.rambler.ru/politics/36426529-voloshin-nazval-biznes-klimat-osnovnym-usloviem-dlya-razvitiya-mfts-v-moskve" TargetMode="External"/><Relationship Id="rId112" Type="http://schemas.openxmlformats.org/officeDocument/2006/relationships/image" Target="media/image19.png"/><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hyperlink" Target="https://internet.garant.ru" TargetMode="External"/><Relationship Id="rId37" Type="http://schemas.openxmlformats.org/officeDocument/2006/relationships/hyperlink" Target="https://ovmf2.consultant.ru" TargetMode="External"/><Relationship Id="rId53" Type="http://schemas.openxmlformats.org/officeDocument/2006/relationships/hyperlink" Target="https://www.weforum.org/reports/the-global-competitiveness-report-2020" TargetMode="External"/><Relationship Id="rId58" Type="http://schemas.openxmlformats.org/officeDocument/2006/relationships/hyperlink" Target="https://www.longfinance.net/media/documents/All_Eyes_On_Astana_December_2018.pdf" TargetMode="External"/><Relationship Id="rId74" Type="http://schemas.openxmlformats.org/officeDocument/2006/relationships/hyperlink" Target="https://taxjustice.net/cms/upload/pdf/The_Price_of_Offshore_Revisited_Presser_120722.pdf" TargetMode="External"/><Relationship Id="rId79" Type="http://schemas.openxmlformats.org/officeDocument/2006/relationships/hyperlink" Target="https://www.thecityuk.com/about-us" TargetMode="External"/><Relationship Id="rId102" Type="http://schemas.openxmlformats.org/officeDocument/2006/relationships/hyperlink" Target="https://www.forbes.ru/finansy/regulirovanie/235754-kiprskaya-desyatina-kak-rossiyane-za-odin-den-lishilis-35-mlrd" TargetMode="External"/><Relationship Id="rId5" Type="http://schemas.openxmlformats.org/officeDocument/2006/relationships/webSettings" Target="webSettings.xml"/><Relationship Id="rId90" Type="http://schemas.openxmlformats.org/officeDocument/2006/relationships/hyperlink" Target="http://lenta.ru/news/2014/05/21/yuan" TargetMode="External"/><Relationship Id="rId95" Type="http://schemas.openxmlformats.org/officeDocument/2006/relationships/hyperlink" Target="http://tass.ru/ekonomika/2656021" TargetMode="External"/><Relationship Id="rId22" Type="http://schemas.openxmlformats.org/officeDocument/2006/relationships/oleObject" Target="embeddings/oleObject1.bin"/><Relationship Id="rId27" Type="http://schemas.openxmlformats.org/officeDocument/2006/relationships/hyperlink" Target="http://www" TargetMode="External"/><Relationship Id="rId43" Type="http://schemas.openxmlformats.org/officeDocument/2006/relationships/hyperlink" Target="https://ovmf2.consultant.ru" TargetMode="External"/><Relationship Id="rId48" Type="http://schemas.openxmlformats.org/officeDocument/2006/relationships/hyperlink" Target="http://riarating.ru/regions_rankings/20140806/610625360.html" TargetMode="External"/><Relationship Id="rId64" Type="http://schemas.openxmlformats.org/officeDocument/2006/relationships/hyperlink" Target="http://skyscraperpage.com/cities/?buildingID=39970" TargetMode="External"/><Relationship Id="rId69" Type="http://schemas.openxmlformats.org/officeDocument/2006/relationships/hyperlink" Target="http://www.cnet.com/news/riots-suicides-and-other-issues-in-foxconns-iphone-factories" TargetMode="External"/><Relationship Id="rId113" Type="http://schemas.openxmlformats.org/officeDocument/2006/relationships/image" Target="media/image20.png"/><Relationship Id="rId118" Type="http://schemas.openxmlformats.org/officeDocument/2006/relationships/theme" Target="theme/theme1.xml"/><Relationship Id="rId80" Type="http://schemas.openxmlformats.org/officeDocument/2006/relationships/hyperlink" Target="https://journals.sagepub.com/doi/10.1177/0042098012474513" TargetMode="External"/><Relationship Id="rId85" Type="http://schemas.openxmlformats.org/officeDocument/2006/relationships/hyperlink" Target="http://www.sh.xinhuanet.com/shstatics/zhuanti2014/zsbg/en.pdf"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yperlink" Target="https://mfc-moscow.com/assets/files/documents/mfc.doc" TargetMode="External"/><Relationship Id="rId38" Type="http://schemas.openxmlformats.org/officeDocument/2006/relationships/hyperlink" Target="http://www.mfc-moscow.com/assets/files/analytics/roadmap/roadmap_presentation_rus.pdf" TargetMode="External"/><Relationship Id="rId59" Type="http://schemas.openxmlformats.org/officeDocument/2006/relationships/hyperlink" Target="https://read.oecd.org/10.1787/733c4178-en" TargetMode="External"/><Relationship Id="rId103" Type="http://schemas.openxmlformats.org/officeDocument/2006/relationships/image" Target="media/image16.png"/><Relationship Id="rId54" Type="http://schemas.openxmlformats.org/officeDocument/2006/relationships/hyperlink" Target="http://wdi.worldbank.org/table/4.2" TargetMode="External"/><Relationship Id="rId70" Type="http://schemas.openxmlformats.org/officeDocument/2006/relationships/hyperlink" Target="https://www.longfinance.net/publications/long-finance-reports/international-financial-centres-facilitating-financial-inclusion-digitalisation" TargetMode="External"/><Relationship Id="rId75" Type="http://schemas.openxmlformats.org/officeDocument/2006/relationships/hyperlink" Target="https://www.jstor.org/stable/41289688" TargetMode="External"/><Relationship Id="rId91" Type="http://schemas.openxmlformats.org/officeDocument/2006/relationships/hyperlink" Target="https://cbr.ru/StaticHtml/File/41186/info_2021-10-06.pdf" TargetMode="External"/><Relationship Id="rId96" Type="http://schemas.openxmlformats.org/officeDocument/2006/relationships/hyperlink" Target="http://ria.ru/society/20061012/54757915.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https://mfc-moscow.com/assets/files/documents/1592.pdf" TargetMode="External"/><Relationship Id="rId49" Type="http://schemas.openxmlformats.org/officeDocument/2006/relationships/hyperlink" Target="https://www.fedstat.ru/indicator/31448" TargetMode="External"/><Relationship Id="rId57" Type="http://schemas.openxmlformats.org/officeDocument/2006/relationships/hyperlink" Target="https://www.jstor.org/stable/i332285" TargetMode="External"/><Relationship Id="rId114" Type="http://schemas.openxmlformats.org/officeDocument/2006/relationships/image" Target="media/image21.png"/><Relationship Id="rId10" Type="http://schemas.openxmlformats.org/officeDocument/2006/relationships/hyperlink" Target="http://www.mfc-moscow.com" TargetMode="External"/><Relationship Id="rId31" Type="http://schemas.openxmlformats.org/officeDocument/2006/relationships/hyperlink" Target="https://ovmf2.consultant.ru" TargetMode="External"/><Relationship Id="rId44" Type="http://schemas.openxmlformats.org/officeDocument/2006/relationships/hyperlink" Target="https://ehd.moscow/index.php?show=inds&amp;source=-385" TargetMode="External"/><Relationship Id="rId52" Type="http://schemas.openxmlformats.org/officeDocument/2006/relationships/hyperlink" Target="https://www.bis.org/statistics/consstats.htm?m=2070" TargetMode="External"/><Relationship Id="rId60" Type="http://schemas.openxmlformats.org/officeDocument/2006/relationships/hyperlink" Target="http://www.lboro.ac.uk/gawc/index.html" TargetMode="External"/><Relationship Id="rId65" Type="http://schemas.openxmlformats.org/officeDocument/2006/relationships/hyperlink" Target="http://www.envplan.com/B.html" TargetMode="External"/><Relationship Id="rId73" Type="http://schemas.openxmlformats.org/officeDocument/2006/relationships/hyperlink" Target="https://www.bis.org/publ/qtrpdf/r_qt1912h.htm" TargetMode="External"/><Relationship Id="rId78" Type="http://schemas.openxmlformats.org/officeDocument/2006/relationships/hyperlink" Target="http://www.ftz-shanghai.com/Policies/FTZ_HK.html" TargetMode="External"/><Relationship Id="rId81" Type="http://schemas.openxmlformats.org/officeDocument/2006/relationships/hyperlink" Target="http://www.allianceau.com/pics/advant/2007_MCW.pdf-Report_2008.pdf" TargetMode="External"/><Relationship Id="rId86" Type="http://schemas.openxmlformats.org/officeDocument/2006/relationships/hyperlink" Target="http://inosmi.ru/russia/20140522/220500241.html" TargetMode="External"/><Relationship Id="rId94" Type="http://schemas.openxmlformats.org/officeDocument/2006/relationships/hyperlink" Target="http://expert.ru/2014/05/14/vetnamskie-pogromyi" TargetMode="External"/><Relationship Id="rId99" Type="http://schemas.openxmlformats.org/officeDocument/2006/relationships/hyperlink" Target="https://ria.ru/20220527/fantiki-1791233298.html" TargetMode="External"/><Relationship Id="rId101" Type="http://schemas.openxmlformats.org/officeDocument/2006/relationships/hyperlink" Target="https://iz.ru/news/581728"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ovmf2.consultant.ru" TargetMode="External"/><Relationship Id="rId109" Type="http://schemas.openxmlformats.org/officeDocument/2006/relationships/image" Target="media/image30.png"/><Relationship Id="rId34" Type="http://schemas.openxmlformats.org/officeDocument/2006/relationships/hyperlink" Target="https://internet.garant.ru" TargetMode="External"/><Relationship Id="rId50" Type="http://schemas.openxmlformats.org/officeDocument/2006/relationships/hyperlink" Target="https://www.brics2018.org.za/statistics" TargetMode="External"/><Relationship Id="rId55" Type="http://schemas.openxmlformats.org/officeDocument/2006/relationships/hyperlink" Target="http://wdi.worldbank.org/table/WV.1" TargetMode="External"/><Relationship Id="rId76" Type="http://schemas.openxmlformats.org/officeDocument/2006/relationships/hyperlink" Target="http://www.chinadaily.com.cn/china/2012-01/30/content_14507175.htm" TargetMode="External"/><Relationship Id="rId97" Type="http://schemas.openxmlformats.org/officeDocument/2006/relationships/hyperlink" Target="http://www.rb.ru/article/v-reytinge-dostupnosti-ipoteki-rossiya-zanimaet-47-mesto-iz-60/6703417.html" TargetMode="External"/><Relationship Id="rId7" Type="http://schemas.openxmlformats.org/officeDocument/2006/relationships/endnotes" Target="endnotes.xml"/><Relationship Id="rId71" Type="http://schemas.openxmlformats.org/officeDocument/2006/relationships/hyperlink" Target="https://www.bis.org/publ/work828.pdf" TargetMode="External"/><Relationship Id="rId92" Type="http://schemas.openxmlformats.org/officeDocument/2006/relationships/hyperlink" Target="http://www.vesti.ru/doc.html?id=267171"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oleObject" Target="embeddings/oleObject2.bin"/><Relationship Id="rId40" Type="http://schemas.openxmlformats.org/officeDocument/2006/relationships/hyperlink" Target="https://ovmf2.consultant.ru" TargetMode="External"/><Relationship Id="rId45" Type="http://schemas.openxmlformats.org/officeDocument/2006/relationships/hyperlink" Target="https://petrostat.gks.ru/folder/32168" TargetMode="External"/><Relationship Id="rId66" Type="http://schemas.openxmlformats.org/officeDocument/2006/relationships/hyperlink" Target="https://www.investopedia.com/how-london-became-the-world-s-financial-hub-4589324" TargetMode="External"/><Relationship Id="rId87" Type="http://schemas.openxmlformats.org/officeDocument/2006/relationships/hyperlink" Target="https://lenta.ru/news/2015/08/10/ratingagency" TargetMode="External"/><Relationship Id="rId110" Type="http://schemas.openxmlformats.org/officeDocument/2006/relationships/image" Target="media/image17.png"/><Relationship Id="rId115" Type="http://schemas.openxmlformats.org/officeDocument/2006/relationships/image" Target="media/image22.png"/><Relationship Id="rId61" Type="http://schemas.openxmlformats.org/officeDocument/2006/relationships/hyperlink" Target="http://www.lboro.ac.uk/gawc/index.html" TargetMode="External"/><Relationship Id="rId82" Type="http://schemas.openxmlformats.org/officeDocument/2006/relationships/hyperlink" Target="http://www.sh.xinhuanet.com/zhuanti2010/IFCDI/IFCDI2001e.pd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www.kremlin.ru/events/president/transcripts/speeches/345" TargetMode="External"/><Relationship Id="rId35" Type="http://schemas.openxmlformats.org/officeDocument/2006/relationships/hyperlink" Target="https://base.garant.ru/6739521" TargetMode="External"/><Relationship Id="rId56" Type="http://schemas.openxmlformats.org/officeDocument/2006/relationships/hyperlink" Target="https://www.worldbank.org/en/topic/urbandevelopment/overview" TargetMode="External"/><Relationship Id="rId77" Type="http://schemas.openxmlformats.org/officeDocument/2006/relationships/hyperlink" Target="https://indices.cnfin.com/5057/index.html?idx=3" TargetMode="External"/><Relationship Id="rId100" Type="http://schemas.openxmlformats.org/officeDocument/2006/relationships/hyperlink" Target="https://www.vedomosti.ru/politics/news/2023/05/25/976854-strani-evrosoyuza-otchitalis" TargetMode="External"/><Relationship Id="rId8" Type="http://schemas.openxmlformats.org/officeDocument/2006/relationships/footer" Target="footer1.xml"/><Relationship Id="rId51" Type="http://schemas.openxmlformats.org/officeDocument/2006/relationships/hyperlink" Target="https://www.worldbank.org/en/businessready/doing-business-legacy" TargetMode="External"/><Relationship Id="rId72" Type="http://schemas.openxmlformats.org/officeDocument/2006/relationships/hyperlink" Target="http://www.hypo.org/Content/default.asp?PageID=414" TargetMode="External"/><Relationship Id="rId93" Type="http://schemas.openxmlformats.org/officeDocument/2006/relationships/hyperlink" Target="http://itar-tass.com/ekonomika/1430158" TargetMode="External"/><Relationship Id="rId98" Type="http://schemas.openxmlformats.org/officeDocument/2006/relationships/hyperlink" Target="https://www.vedomosti.ru/politics/news/2023/02/17/963345-siluanov-vklyuchenie-rossii-v-chernii-spisok-politicheskim"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https://&#1085;&#1072;&#1096;.&#1076;&#1086;&#1084;.&#1088;&#1092;/&#1072;&#1085;&#1072;&#1083;&#1080;&#1090;&#1080;&#1082;&#1072;/&#1087;&#1086;&#1082;&#1072;&#1079;&#1072;&#1090;&#1077;&#1083;&#1080;_&#1078;&#1080;&#1083;&#1080;&#1097;&#1085;&#1086;&#1075;&#1086;_&#1089;&#1090;&#1088;&#1086;&#1080;&#1090;&#1077;&#1083;&#1100;&#1089;&#1090;&#1074;&#1072;" TargetMode="External"/><Relationship Id="rId67" Type="http://schemas.openxmlformats.org/officeDocument/2006/relationships/hyperlink" Target="http://www.fatf-gafi.org/publications/mutualevaluations/documents/mer-russian-federation-2019.html" TargetMode="External"/><Relationship Id="rId116" Type="http://schemas.openxmlformats.org/officeDocument/2006/relationships/image" Target="media/image23.png"/><Relationship Id="rId20" Type="http://schemas.openxmlformats.org/officeDocument/2006/relationships/image" Target="media/image10.png"/><Relationship Id="rId41" Type="http://schemas.openxmlformats.org/officeDocument/2006/relationships/hyperlink" Target="https://ovmf2.consultant.ru" TargetMode="External"/><Relationship Id="rId62" Type="http://schemas.openxmlformats.org/officeDocument/2006/relationships/hyperlink" Target="https://www.longfinance.net/media/documents/The-Rise-of-China-Fresh-Insights-and-observations-Online-PDF.pdf" TargetMode="External"/><Relationship Id="rId83" Type="http://schemas.openxmlformats.org/officeDocument/2006/relationships/hyperlink" Target="http://www.sh.xinhuanet.com/zhuanti2011/ifcd2011/IFCD2011e.pdf" TargetMode="External"/><Relationship Id="rId88" Type="http://schemas.openxmlformats.org/officeDocument/2006/relationships/hyperlink" Target="https://cbr.ru/analytics/rcb/cl_broker" TargetMode="External"/><Relationship Id="rId111"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123E2-2D84-4056-90B2-D57335197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179</Pages>
  <Words>60050</Words>
  <Characters>342288</Characters>
  <Application>Microsoft Office Word</Application>
  <DocSecurity>0</DocSecurity>
  <Lines>2852</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401535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Maxvvell</dc:creator>
  <cp:keywords/>
  <dc:description/>
  <cp:lastModifiedBy>Власов Максим Сергеевич</cp:lastModifiedBy>
  <cp:revision>3</cp:revision>
  <cp:lastPrinted>2023-05-19T08:34:00Z</cp:lastPrinted>
  <dcterms:created xsi:type="dcterms:W3CDTF">2023-05-31T15:27:00Z</dcterms:created>
  <dcterms:modified xsi:type="dcterms:W3CDTF">2023-05-31T15:28:00Z</dcterms:modified>
</cp:coreProperties>
</file>