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4F41E" w14:textId="77777777" w:rsidR="00F7476B" w:rsidRDefault="00F7476B" w:rsidP="00F7476B">
      <w:pPr>
        <w:rPr>
          <w:sz w:val="28"/>
          <w:szCs w:val="28"/>
        </w:rPr>
      </w:pPr>
      <w:r>
        <w:rPr>
          <w:sz w:val="28"/>
          <w:szCs w:val="28"/>
        </w:rPr>
        <w:t>Санкт-Петербургский государственный университет</w:t>
      </w:r>
    </w:p>
    <w:p w14:paraId="21561F48" w14:textId="77777777" w:rsidR="00F7476B" w:rsidRDefault="00F7476B" w:rsidP="00F7476B">
      <w:pPr>
        <w:rPr>
          <w:sz w:val="28"/>
          <w:szCs w:val="28"/>
        </w:rPr>
      </w:pPr>
    </w:p>
    <w:p w14:paraId="7FFAD4B6" w14:textId="77777777" w:rsidR="00F7476B" w:rsidRDefault="00F7476B" w:rsidP="00F7476B">
      <w:pPr>
        <w:rPr>
          <w:sz w:val="28"/>
          <w:szCs w:val="28"/>
        </w:rPr>
      </w:pPr>
    </w:p>
    <w:p w14:paraId="0E0144DA" w14:textId="6CC77DB1" w:rsidR="00F7476B" w:rsidRDefault="00F7476B" w:rsidP="00A17BD7">
      <w:pPr>
        <w:rPr>
          <w:b/>
          <w:iCs/>
          <w:sz w:val="28"/>
          <w:szCs w:val="28"/>
        </w:rPr>
      </w:pPr>
      <w:r w:rsidRPr="00A17BD7">
        <w:rPr>
          <w:b/>
          <w:iCs/>
          <w:sz w:val="28"/>
          <w:szCs w:val="28"/>
        </w:rPr>
        <w:t>ИСТОМИНА Валентина Игоревна</w:t>
      </w:r>
    </w:p>
    <w:p w14:paraId="3C2DF1E7" w14:textId="77777777" w:rsidR="00A17BD7" w:rsidRPr="00A16968" w:rsidRDefault="00A17BD7" w:rsidP="00A17BD7">
      <w:pPr>
        <w:rPr>
          <w:iCs/>
          <w:sz w:val="28"/>
          <w:szCs w:val="28"/>
        </w:rPr>
      </w:pPr>
    </w:p>
    <w:p w14:paraId="5FB9EE50" w14:textId="221AA5B4" w:rsidR="00F7476B" w:rsidRDefault="00F7476B" w:rsidP="00A17BD7">
      <w:pPr>
        <w:rPr>
          <w:b/>
          <w:sz w:val="28"/>
          <w:szCs w:val="28"/>
        </w:rPr>
      </w:pPr>
      <w:r>
        <w:rPr>
          <w:b/>
          <w:sz w:val="28"/>
          <w:szCs w:val="28"/>
        </w:rPr>
        <w:t>Выпускная квалификационная работа</w:t>
      </w:r>
    </w:p>
    <w:p w14:paraId="7353B158" w14:textId="77777777" w:rsidR="00A17BD7" w:rsidRDefault="00A17BD7" w:rsidP="00A17BD7">
      <w:pPr>
        <w:rPr>
          <w:b/>
          <w:sz w:val="28"/>
          <w:szCs w:val="28"/>
        </w:rPr>
      </w:pPr>
    </w:p>
    <w:p w14:paraId="232985E7" w14:textId="7B459E83" w:rsidR="00F7476B" w:rsidRPr="00A17BD7" w:rsidRDefault="00A17BD7" w:rsidP="00F7476B">
      <w:pPr>
        <w:rPr>
          <w:b/>
          <w:iCs/>
          <w:sz w:val="28"/>
          <w:szCs w:val="28"/>
        </w:rPr>
      </w:pPr>
      <w:r w:rsidRPr="00A17BD7">
        <w:rPr>
          <w:b/>
          <w:iCs/>
          <w:sz w:val="28"/>
          <w:szCs w:val="28"/>
        </w:rPr>
        <w:t>Особенности размещения объектов общественного питания и специализированной алкогольной розницы на территории Санкт-Петербурга</w:t>
      </w:r>
    </w:p>
    <w:p w14:paraId="38DF0911" w14:textId="433E2A6C" w:rsidR="00A17BD7" w:rsidRDefault="00A17BD7" w:rsidP="00F7476B">
      <w:pPr>
        <w:rPr>
          <w:sz w:val="28"/>
          <w:szCs w:val="28"/>
        </w:rPr>
      </w:pPr>
    </w:p>
    <w:p w14:paraId="42EE4873" w14:textId="77777777" w:rsidR="00A17BD7" w:rsidRDefault="00A17BD7" w:rsidP="00F7476B">
      <w:pPr>
        <w:rPr>
          <w:sz w:val="28"/>
          <w:szCs w:val="28"/>
        </w:rPr>
      </w:pPr>
    </w:p>
    <w:p w14:paraId="00A3BCC7" w14:textId="7EC6F287" w:rsidR="00F7476B" w:rsidRDefault="00F7476B" w:rsidP="00F7476B">
      <w:pPr>
        <w:rPr>
          <w:sz w:val="28"/>
          <w:szCs w:val="28"/>
        </w:rPr>
      </w:pPr>
      <w:r>
        <w:rPr>
          <w:sz w:val="28"/>
          <w:szCs w:val="28"/>
        </w:rPr>
        <w:t>Направление</w:t>
      </w:r>
      <w:r w:rsidRPr="00A17BD7">
        <w:rPr>
          <w:iCs/>
          <w:sz w:val="28"/>
          <w:szCs w:val="28"/>
        </w:rPr>
        <w:t xml:space="preserve"> 05.0</w:t>
      </w:r>
      <w:r w:rsidR="00A17BD7" w:rsidRPr="00A17BD7">
        <w:rPr>
          <w:iCs/>
          <w:sz w:val="28"/>
          <w:szCs w:val="28"/>
        </w:rPr>
        <w:t>3</w:t>
      </w:r>
      <w:r w:rsidRPr="00A17BD7">
        <w:rPr>
          <w:iCs/>
          <w:sz w:val="28"/>
          <w:szCs w:val="28"/>
        </w:rPr>
        <w:t>.02 «География»</w:t>
      </w:r>
    </w:p>
    <w:p w14:paraId="458F0079" w14:textId="77777777" w:rsidR="00A17BD7" w:rsidRDefault="00A17BD7" w:rsidP="00F7476B">
      <w:pPr>
        <w:rPr>
          <w:sz w:val="28"/>
          <w:szCs w:val="28"/>
        </w:rPr>
      </w:pPr>
      <w:r w:rsidRPr="006002F4">
        <w:rPr>
          <w:sz w:val="28"/>
          <w:szCs w:val="28"/>
        </w:rPr>
        <w:t>Основная образовательная программа СВ.5019.201</w:t>
      </w:r>
      <w:r>
        <w:rPr>
          <w:sz w:val="28"/>
          <w:szCs w:val="28"/>
        </w:rPr>
        <w:t>8</w:t>
      </w:r>
      <w:r w:rsidRPr="006002F4">
        <w:rPr>
          <w:sz w:val="28"/>
          <w:szCs w:val="28"/>
        </w:rPr>
        <w:t xml:space="preserve"> «География»</w:t>
      </w:r>
    </w:p>
    <w:p w14:paraId="71E2EB26" w14:textId="55D764AD" w:rsidR="00F7476B" w:rsidRDefault="00A17BD7" w:rsidP="00F7476B">
      <w:pPr>
        <w:rPr>
          <w:sz w:val="28"/>
          <w:szCs w:val="28"/>
        </w:rPr>
      </w:pPr>
      <w:r>
        <w:rPr>
          <w:sz w:val="28"/>
          <w:szCs w:val="28"/>
        </w:rPr>
        <w:t>Профиль: «Экономическая и социальная география»</w:t>
      </w:r>
      <w:r w:rsidRPr="006002F4">
        <w:rPr>
          <w:sz w:val="28"/>
          <w:szCs w:val="28"/>
        </w:rPr>
        <w:br/>
      </w:r>
    </w:p>
    <w:p w14:paraId="2963FBD7" w14:textId="35CDA77E" w:rsidR="00F7476B" w:rsidRDefault="00F7476B" w:rsidP="00814CD8">
      <w:pPr>
        <w:ind w:left="5613"/>
        <w:jc w:val="left"/>
        <w:rPr>
          <w:sz w:val="28"/>
          <w:szCs w:val="28"/>
        </w:rPr>
      </w:pPr>
      <w:r>
        <w:rPr>
          <w:sz w:val="28"/>
          <w:szCs w:val="28"/>
        </w:rPr>
        <w:t>Научный руководитель: доцент кафедры экономической и социальной географии</w:t>
      </w:r>
      <w:r w:rsidR="00814CD8">
        <w:rPr>
          <w:sz w:val="28"/>
          <w:szCs w:val="28"/>
        </w:rPr>
        <w:t>, канд. географических наук</w:t>
      </w:r>
      <w:r>
        <w:rPr>
          <w:sz w:val="28"/>
          <w:szCs w:val="28"/>
        </w:rPr>
        <w:t xml:space="preserve"> Житин Д.В. </w:t>
      </w:r>
    </w:p>
    <w:p w14:paraId="7BC1400B" w14:textId="77777777" w:rsidR="00F7476B" w:rsidRDefault="00F7476B" w:rsidP="00F7476B">
      <w:pPr>
        <w:ind w:left="5954"/>
        <w:jc w:val="left"/>
        <w:rPr>
          <w:sz w:val="28"/>
          <w:szCs w:val="28"/>
        </w:rPr>
      </w:pPr>
    </w:p>
    <w:p w14:paraId="30C43E58" w14:textId="14D453B9" w:rsidR="00F7476B" w:rsidRDefault="00F7476B" w:rsidP="00814CD8">
      <w:pPr>
        <w:ind w:left="5613"/>
        <w:jc w:val="left"/>
        <w:rPr>
          <w:sz w:val="28"/>
          <w:szCs w:val="28"/>
        </w:rPr>
      </w:pPr>
      <w:r>
        <w:rPr>
          <w:sz w:val="28"/>
          <w:szCs w:val="28"/>
        </w:rPr>
        <w:t>Рецензент:</w:t>
      </w:r>
      <w:r w:rsidRPr="0063587C">
        <w:rPr>
          <w:sz w:val="28"/>
          <w:szCs w:val="28"/>
        </w:rPr>
        <w:t xml:space="preserve"> научный сотрудник МГИМО</w:t>
      </w:r>
      <w:r>
        <w:rPr>
          <w:sz w:val="28"/>
          <w:szCs w:val="28"/>
        </w:rPr>
        <w:t>,</w:t>
      </w:r>
      <w:r w:rsidR="00814CD8">
        <w:rPr>
          <w:sz w:val="28"/>
          <w:szCs w:val="28"/>
        </w:rPr>
        <w:t xml:space="preserve"> канд. географических наук</w:t>
      </w:r>
      <w:r>
        <w:rPr>
          <w:sz w:val="28"/>
          <w:szCs w:val="28"/>
        </w:rPr>
        <w:t xml:space="preserve"> Баринов </w:t>
      </w:r>
      <w:proofErr w:type="gramStart"/>
      <w:r>
        <w:rPr>
          <w:sz w:val="28"/>
          <w:szCs w:val="28"/>
        </w:rPr>
        <w:t>С.Л.</w:t>
      </w:r>
      <w:proofErr w:type="gramEnd"/>
    </w:p>
    <w:p w14:paraId="73988DA2" w14:textId="77777777" w:rsidR="00F7476B" w:rsidRDefault="00F7476B" w:rsidP="00F7476B">
      <w:pPr>
        <w:rPr>
          <w:sz w:val="28"/>
          <w:szCs w:val="28"/>
        </w:rPr>
      </w:pPr>
    </w:p>
    <w:p w14:paraId="3E7E6D9F" w14:textId="77777777" w:rsidR="00F7476B" w:rsidRDefault="00F7476B" w:rsidP="00F7476B">
      <w:pPr>
        <w:rPr>
          <w:sz w:val="28"/>
          <w:szCs w:val="28"/>
        </w:rPr>
      </w:pPr>
    </w:p>
    <w:p w14:paraId="13404AA6" w14:textId="77777777" w:rsidR="00F7476B" w:rsidRDefault="00F7476B" w:rsidP="00F7476B">
      <w:pPr>
        <w:rPr>
          <w:sz w:val="28"/>
          <w:szCs w:val="28"/>
        </w:rPr>
      </w:pPr>
    </w:p>
    <w:p w14:paraId="247C8CA3" w14:textId="77777777" w:rsidR="00F7476B" w:rsidRPr="00D71491" w:rsidRDefault="00F7476B" w:rsidP="00F7476B">
      <w:pPr>
        <w:rPr>
          <w:sz w:val="28"/>
          <w:szCs w:val="28"/>
          <w:lang w:val="en-US"/>
        </w:rPr>
      </w:pPr>
      <w:r>
        <w:rPr>
          <w:sz w:val="28"/>
          <w:szCs w:val="28"/>
        </w:rPr>
        <w:t>Санкт</w:t>
      </w:r>
      <w:r w:rsidRPr="00D71491">
        <w:rPr>
          <w:sz w:val="28"/>
          <w:szCs w:val="28"/>
          <w:lang w:val="en-US"/>
        </w:rPr>
        <w:t>-</w:t>
      </w:r>
      <w:r>
        <w:rPr>
          <w:sz w:val="28"/>
          <w:szCs w:val="28"/>
        </w:rPr>
        <w:t>Петербург</w:t>
      </w:r>
    </w:p>
    <w:p w14:paraId="11207123" w14:textId="77777777" w:rsidR="00860DD8" w:rsidRPr="00D71491" w:rsidRDefault="00F7476B" w:rsidP="00F7476B">
      <w:pPr>
        <w:rPr>
          <w:sz w:val="28"/>
          <w:szCs w:val="28"/>
          <w:lang w:val="en-US"/>
        </w:rPr>
      </w:pPr>
      <w:bookmarkStart w:id="0" w:name="_gjdgxs" w:colFirst="0" w:colLast="0"/>
      <w:bookmarkEnd w:id="0"/>
      <w:r w:rsidRPr="00D71491">
        <w:rPr>
          <w:sz w:val="28"/>
          <w:szCs w:val="28"/>
          <w:lang w:val="en-US"/>
        </w:rPr>
        <w:t>2022</w:t>
      </w:r>
      <w:r w:rsidR="00860DD8" w:rsidRPr="00D71491">
        <w:rPr>
          <w:sz w:val="28"/>
          <w:szCs w:val="28"/>
          <w:lang w:val="en-US"/>
        </w:rPr>
        <w:br w:type="page"/>
      </w:r>
    </w:p>
    <w:sdt>
      <w:sdtPr>
        <w:rPr>
          <w:rFonts w:ascii="Times New Roman" w:eastAsia="Times New Roman" w:hAnsi="Times New Roman" w:cs="Times New Roman"/>
          <w:color w:val="auto"/>
          <w:sz w:val="24"/>
          <w:szCs w:val="24"/>
          <w:lang w:val="ru-RU" w:eastAsia="ru-RU"/>
        </w:rPr>
        <w:id w:val="-1483531075"/>
        <w:docPartObj>
          <w:docPartGallery w:val="Table of Contents"/>
          <w:docPartUnique/>
        </w:docPartObj>
      </w:sdtPr>
      <w:sdtEndPr>
        <w:rPr>
          <w:noProof/>
        </w:rPr>
      </w:sdtEndPr>
      <w:sdtContent>
        <w:p w14:paraId="5067A85E" w14:textId="0A7D0AEF" w:rsidR="00A4105E" w:rsidRPr="00A4105E" w:rsidRDefault="00A4105E" w:rsidP="00FA0EEC">
          <w:pPr>
            <w:pStyle w:val="TOCHeading"/>
            <w:spacing w:before="0" w:after="60"/>
            <w:jc w:val="center"/>
            <w:rPr>
              <w:rFonts w:ascii="Times New Roman" w:hAnsi="Times New Roman" w:cs="Times New Roman"/>
              <w:b/>
              <w:bCs/>
              <w:color w:val="auto"/>
              <w:sz w:val="28"/>
              <w:szCs w:val="28"/>
              <w:lang w:val="ru-RU"/>
            </w:rPr>
          </w:pPr>
          <w:r w:rsidRPr="00A4105E">
            <w:rPr>
              <w:rFonts w:ascii="Times New Roman" w:hAnsi="Times New Roman" w:cs="Times New Roman"/>
              <w:b/>
              <w:bCs/>
              <w:color w:val="auto"/>
              <w:sz w:val="28"/>
              <w:szCs w:val="28"/>
              <w:lang w:val="ru-RU"/>
            </w:rPr>
            <w:t>Содержание</w:t>
          </w:r>
        </w:p>
        <w:p w14:paraId="1DCBC9A5" w14:textId="11EEE0E7" w:rsidR="00B04B6A" w:rsidRPr="00B04B6A" w:rsidRDefault="00A4105E" w:rsidP="00FA0EEC">
          <w:pPr>
            <w:pStyle w:val="TOC1"/>
            <w:rPr>
              <w:rFonts w:asciiTheme="minorHAnsi" w:eastAsiaTheme="minorEastAsia" w:hAnsiTheme="minorHAnsi" w:cstheme="minorBidi"/>
              <w:sz w:val="22"/>
              <w:szCs w:val="22"/>
              <w:lang w:eastAsia="ru-RU"/>
            </w:rPr>
          </w:pPr>
          <w:r w:rsidRPr="00D54080">
            <w:rPr>
              <w:rFonts w:eastAsiaTheme="minorHAnsi"/>
            </w:rPr>
            <w:fldChar w:fldCharType="begin"/>
          </w:r>
          <w:r w:rsidRPr="00D54080">
            <w:instrText xml:space="preserve"> TOC \o "1-3" \h \z \u </w:instrText>
          </w:r>
          <w:r w:rsidRPr="00D54080">
            <w:rPr>
              <w:rFonts w:eastAsiaTheme="minorHAnsi"/>
            </w:rPr>
            <w:fldChar w:fldCharType="separate"/>
          </w:r>
          <w:hyperlink w:anchor="_Toc103641016" w:history="1">
            <w:r w:rsidR="00B04B6A" w:rsidRPr="00B04B6A">
              <w:rPr>
                <w:rStyle w:val="Hyperlink"/>
              </w:rPr>
              <w:t>Введение</w:t>
            </w:r>
            <w:r w:rsidR="00B04B6A" w:rsidRPr="00B04B6A">
              <w:rPr>
                <w:webHidden/>
              </w:rPr>
              <w:tab/>
            </w:r>
            <w:r w:rsidR="00B04B6A" w:rsidRPr="00B04B6A">
              <w:rPr>
                <w:webHidden/>
              </w:rPr>
              <w:fldChar w:fldCharType="begin"/>
            </w:r>
            <w:r w:rsidR="00B04B6A" w:rsidRPr="00B04B6A">
              <w:rPr>
                <w:webHidden/>
              </w:rPr>
              <w:instrText xml:space="preserve"> PAGEREF _Toc103641016 \h </w:instrText>
            </w:r>
            <w:r w:rsidR="00B04B6A" w:rsidRPr="00B04B6A">
              <w:rPr>
                <w:webHidden/>
              </w:rPr>
            </w:r>
            <w:r w:rsidR="00B04B6A" w:rsidRPr="00B04B6A">
              <w:rPr>
                <w:webHidden/>
              </w:rPr>
              <w:fldChar w:fldCharType="separate"/>
            </w:r>
            <w:r w:rsidR="00D16307">
              <w:rPr>
                <w:webHidden/>
              </w:rPr>
              <w:t>3</w:t>
            </w:r>
            <w:r w:rsidR="00B04B6A" w:rsidRPr="00B04B6A">
              <w:rPr>
                <w:webHidden/>
              </w:rPr>
              <w:fldChar w:fldCharType="end"/>
            </w:r>
          </w:hyperlink>
        </w:p>
        <w:p w14:paraId="2E038659" w14:textId="411CC330" w:rsidR="00B04B6A" w:rsidRPr="00B04B6A" w:rsidRDefault="00AB59C5" w:rsidP="00FA0EEC">
          <w:pPr>
            <w:pStyle w:val="TOC1"/>
            <w:rPr>
              <w:rFonts w:asciiTheme="minorHAnsi" w:eastAsiaTheme="minorEastAsia" w:hAnsiTheme="minorHAnsi" w:cstheme="minorBidi"/>
              <w:sz w:val="22"/>
              <w:szCs w:val="22"/>
              <w:lang w:eastAsia="ru-RU"/>
            </w:rPr>
          </w:pPr>
          <w:hyperlink w:anchor="_Toc103641017" w:history="1">
            <w:r w:rsidR="00B04B6A" w:rsidRPr="00B04B6A">
              <w:rPr>
                <w:rStyle w:val="Hyperlink"/>
              </w:rPr>
              <w:t>Глава 1. Геомаркетинговые исследования розничной торговли и общественного питания</w:t>
            </w:r>
            <w:r w:rsidR="00B04B6A" w:rsidRPr="00B04B6A">
              <w:rPr>
                <w:webHidden/>
              </w:rPr>
              <w:tab/>
            </w:r>
            <w:r w:rsidR="00B04B6A" w:rsidRPr="00B04B6A">
              <w:rPr>
                <w:webHidden/>
              </w:rPr>
              <w:fldChar w:fldCharType="begin"/>
            </w:r>
            <w:r w:rsidR="00B04B6A" w:rsidRPr="00B04B6A">
              <w:rPr>
                <w:webHidden/>
              </w:rPr>
              <w:instrText xml:space="preserve"> PAGEREF _Toc103641017 \h </w:instrText>
            </w:r>
            <w:r w:rsidR="00B04B6A" w:rsidRPr="00B04B6A">
              <w:rPr>
                <w:webHidden/>
              </w:rPr>
            </w:r>
            <w:r w:rsidR="00B04B6A" w:rsidRPr="00B04B6A">
              <w:rPr>
                <w:webHidden/>
              </w:rPr>
              <w:fldChar w:fldCharType="separate"/>
            </w:r>
            <w:r w:rsidR="00D16307">
              <w:rPr>
                <w:webHidden/>
              </w:rPr>
              <w:t>5</w:t>
            </w:r>
            <w:r w:rsidR="00B04B6A" w:rsidRPr="00B04B6A">
              <w:rPr>
                <w:webHidden/>
              </w:rPr>
              <w:fldChar w:fldCharType="end"/>
            </w:r>
          </w:hyperlink>
        </w:p>
        <w:p w14:paraId="5845E224" w14:textId="75BDFD91" w:rsidR="00B04B6A" w:rsidRPr="00B04B6A" w:rsidRDefault="00AB59C5" w:rsidP="00515E1F">
          <w:pPr>
            <w:pStyle w:val="TOC2"/>
            <w:numPr>
              <w:ilvl w:val="1"/>
              <w:numId w:val="34"/>
            </w:numPr>
            <w:ind w:left="360"/>
            <w:rPr>
              <w:rFonts w:asciiTheme="minorHAnsi" w:eastAsiaTheme="minorEastAsia" w:hAnsiTheme="minorHAnsi" w:cstheme="minorBidi"/>
              <w:noProof/>
              <w:sz w:val="22"/>
              <w:szCs w:val="22"/>
            </w:rPr>
          </w:pPr>
          <w:hyperlink w:anchor="_Toc103641018" w:history="1">
            <w:r w:rsidR="00B04B6A" w:rsidRPr="00B04B6A">
              <w:rPr>
                <w:rStyle w:val="Hyperlink"/>
                <w:rFonts w:eastAsiaTheme="majorEastAsia"/>
                <w:noProof/>
                <w:lang w:eastAsia="en-US"/>
              </w:rPr>
              <w:t>Задачи современных геомаркетинговых исследований</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_Toc103641018 \h </w:instrText>
            </w:r>
            <w:r w:rsidR="00B04B6A" w:rsidRPr="00B04B6A">
              <w:rPr>
                <w:noProof/>
                <w:webHidden/>
              </w:rPr>
            </w:r>
            <w:r w:rsidR="00B04B6A" w:rsidRPr="00B04B6A">
              <w:rPr>
                <w:noProof/>
                <w:webHidden/>
              </w:rPr>
              <w:fldChar w:fldCharType="separate"/>
            </w:r>
            <w:r w:rsidR="00D16307">
              <w:rPr>
                <w:noProof/>
                <w:webHidden/>
              </w:rPr>
              <w:t>5</w:t>
            </w:r>
            <w:r w:rsidR="00B04B6A" w:rsidRPr="00B04B6A">
              <w:rPr>
                <w:noProof/>
                <w:webHidden/>
              </w:rPr>
              <w:fldChar w:fldCharType="end"/>
            </w:r>
          </w:hyperlink>
        </w:p>
        <w:p w14:paraId="0C0168CE" w14:textId="255CAC1F" w:rsidR="00B04B6A" w:rsidRPr="00B04B6A" w:rsidRDefault="00AB59C5" w:rsidP="00515E1F">
          <w:pPr>
            <w:pStyle w:val="TOC2"/>
            <w:numPr>
              <w:ilvl w:val="1"/>
              <w:numId w:val="34"/>
            </w:numPr>
            <w:ind w:left="360"/>
            <w:rPr>
              <w:rFonts w:asciiTheme="minorHAnsi" w:eastAsiaTheme="minorEastAsia" w:hAnsiTheme="minorHAnsi" w:cstheme="minorBidi"/>
              <w:noProof/>
              <w:sz w:val="22"/>
              <w:szCs w:val="22"/>
            </w:rPr>
          </w:pPr>
          <w:hyperlink w:anchor="_Toc103641019" w:history="1">
            <w:r w:rsidR="00B04B6A" w:rsidRPr="00B04B6A">
              <w:rPr>
                <w:rStyle w:val="Hyperlink"/>
                <w:rFonts w:eastAsiaTheme="majorEastAsia"/>
                <w:noProof/>
                <w:lang w:eastAsia="en-US"/>
              </w:rPr>
              <w:t>Модели пространственного взаимодействия</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_Toc103641019 \h </w:instrText>
            </w:r>
            <w:r w:rsidR="00B04B6A" w:rsidRPr="00B04B6A">
              <w:rPr>
                <w:noProof/>
                <w:webHidden/>
              </w:rPr>
            </w:r>
            <w:r w:rsidR="00B04B6A" w:rsidRPr="00B04B6A">
              <w:rPr>
                <w:noProof/>
                <w:webHidden/>
              </w:rPr>
              <w:fldChar w:fldCharType="separate"/>
            </w:r>
            <w:r w:rsidR="00D16307">
              <w:rPr>
                <w:noProof/>
                <w:webHidden/>
              </w:rPr>
              <w:t>9</w:t>
            </w:r>
            <w:r w:rsidR="00B04B6A" w:rsidRPr="00B04B6A">
              <w:rPr>
                <w:noProof/>
                <w:webHidden/>
              </w:rPr>
              <w:fldChar w:fldCharType="end"/>
            </w:r>
          </w:hyperlink>
        </w:p>
        <w:p w14:paraId="2D1E65A1" w14:textId="414722FE" w:rsidR="00B04B6A" w:rsidRPr="00B04B6A" w:rsidRDefault="00AB59C5" w:rsidP="00515E1F">
          <w:pPr>
            <w:pStyle w:val="TOC2"/>
            <w:numPr>
              <w:ilvl w:val="1"/>
              <w:numId w:val="34"/>
            </w:numPr>
            <w:ind w:left="360"/>
            <w:rPr>
              <w:rFonts w:asciiTheme="minorHAnsi" w:eastAsiaTheme="minorEastAsia" w:hAnsiTheme="minorHAnsi" w:cstheme="minorBidi"/>
              <w:noProof/>
              <w:sz w:val="22"/>
              <w:szCs w:val="22"/>
            </w:rPr>
          </w:pPr>
          <w:hyperlink w:anchor="_Toc103641020" w:history="1">
            <w:r w:rsidR="00B04B6A" w:rsidRPr="00B04B6A">
              <w:rPr>
                <w:rStyle w:val="Hyperlink"/>
                <w:rFonts w:eastAsiaTheme="majorEastAsia"/>
                <w:noProof/>
                <w:lang w:eastAsia="en-US"/>
              </w:rPr>
              <w:t>Факторы размещения объектов розничной торговли и общественного питания</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_Toc103641020 \h </w:instrText>
            </w:r>
            <w:r w:rsidR="00B04B6A" w:rsidRPr="00B04B6A">
              <w:rPr>
                <w:noProof/>
                <w:webHidden/>
              </w:rPr>
            </w:r>
            <w:r w:rsidR="00B04B6A" w:rsidRPr="00B04B6A">
              <w:rPr>
                <w:noProof/>
                <w:webHidden/>
              </w:rPr>
              <w:fldChar w:fldCharType="separate"/>
            </w:r>
            <w:r w:rsidR="00D16307">
              <w:rPr>
                <w:noProof/>
                <w:webHidden/>
              </w:rPr>
              <w:t>13</w:t>
            </w:r>
            <w:r w:rsidR="00B04B6A" w:rsidRPr="00B04B6A">
              <w:rPr>
                <w:noProof/>
                <w:webHidden/>
              </w:rPr>
              <w:fldChar w:fldCharType="end"/>
            </w:r>
          </w:hyperlink>
        </w:p>
        <w:p w14:paraId="022D8D36" w14:textId="6CDE0211" w:rsidR="00B04B6A" w:rsidRPr="00B04B6A" w:rsidRDefault="00AB59C5" w:rsidP="00515E1F">
          <w:pPr>
            <w:pStyle w:val="TOC2"/>
            <w:numPr>
              <w:ilvl w:val="1"/>
              <w:numId w:val="34"/>
            </w:numPr>
            <w:ind w:left="360"/>
            <w:rPr>
              <w:rFonts w:asciiTheme="minorHAnsi" w:eastAsiaTheme="minorEastAsia" w:hAnsiTheme="minorHAnsi" w:cstheme="minorBidi"/>
              <w:noProof/>
              <w:sz w:val="22"/>
              <w:szCs w:val="22"/>
            </w:rPr>
          </w:pPr>
          <w:hyperlink w:anchor="_Toc103641021" w:history="1">
            <w:r w:rsidR="00B04B6A" w:rsidRPr="00B04B6A">
              <w:rPr>
                <w:rStyle w:val="Hyperlink"/>
                <w:rFonts w:eastAsiaTheme="majorEastAsia"/>
                <w:noProof/>
                <w:lang w:eastAsia="en-US"/>
              </w:rPr>
              <w:t>Методика сбора и обработки данных</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_Toc103641021 \h </w:instrText>
            </w:r>
            <w:r w:rsidR="00B04B6A" w:rsidRPr="00B04B6A">
              <w:rPr>
                <w:noProof/>
                <w:webHidden/>
              </w:rPr>
            </w:r>
            <w:r w:rsidR="00B04B6A" w:rsidRPr="00B04B6A">
              <w:rPr>
                <w:noProof/>
                <w:webHidden/>
              </w:rPr>
              <w:fldChar w:fldCharType="separate"/>
            </w:r>
            <w:r w:rsidR="00D16307">
              <w:rPr>
                <w:noProof/>
                <w:webHidden/>
              </w:rPr>
              <w:t>19</w:t>
            </w:r>
            <w:r w:rsidR="00B04B6A" w:rsidRPr="00B04B6A">
              <w:rPr>
                <w:noProof/>
                <w:webHidden/>
              </w:rPr>
              <w:fldChar w:fldCharType="end"/>
            </w:r>
          </w:hyperlink>
        </w:p>
        <w:p w14:paraId="288EFB2E" w14:textId="47A73DF7" w:rsidR="00B04B6A" w:rsidRPr="00B04B6A" w:rsidRDefault="00AB59C5" w:rsidP="00FA0EEC">
          <w:pPr>
            <w:pStyle w:val="TOC1"/>
            <w:rPr>
              <w:rFonts w:asciiTheme="minorHAnsi" w:eastAsiaTheme="minorEastAsia" w:hAnsiTheme="minorHAnsi" w:cstheme="minorBidi"/>
              <w:sz w:val="22"/>
              <w:szCs w:val="22"/>
              <w:lang w:eastAsia="ru-RU"/>
            </w:rPr>
          </w:pPr>
          <w:hyperlink w:anchor="_Toc103641022" w:history="1">
            <w:r w:rsidR="00B04B6A" w:rsidRPr="00B04B6A">
              <w:rPr>
                <w:rStyle w:val="Hyperlink"/>
              </w:rPr>
              <w:t>Глава 2. Особенности развития розничной торговли и общественного питания Санкт-Петербурга в постсоветский период</w:t>
            </w:r>
            <w:r w:rsidR="00B04B6A" w:rsidRPr="00B04B6A">
              <w:rPr>
                <w:webHidden/>
              </w:rPr>
              <w:tab/>
            </w:r>
            <w:r w:rsidR="00B04B6A" w:rsidRPr="00B04B6A">
              <w:rPr>
                <w:webHidden/>
              </w:rPr>
              <w:fldChar w:fldCharType="begin"/>
            </w:r>
            <w:r w:rsidR="00B04B6A" w:rsidRPr="00B04B6A">
              <w:rPr>
                <w:webHidden/>
              </w:rPr>
              <w:instrText xml:space="preserve"> PAGEREF _Toc103641022 \h </w:instrText>
            </w:r>
            <w:r w:rsidR="00B04B6A" w:rsidRPr="00B04B6A">
              <w:rPr>
                <w:webHidden/>
              </w:rPr>
            </w:r>
            <w:r w:rsidR="00B04B6A" w:rsidRPr="00B04B6A">
              <w:rPr>
                <w:webHidden/>
              </w:rPr>
              <w:fldChar w:fldCharType="separate"/>
            </w:r>
            <w:r w:rsidR="00D16307">
              <w:rPr>
                <w:webHidden/>
              </w:rPr>
              <w:t>21</w:t>
            </w:r>
            <w:r w:rsidR="00B04B6A" w:rsidRPr="00B04B6A">
              <w:rPr>
                <w:webHidden/>
              </w:rPr>
              <w:fldChar w:fldCharType="end"/>
            </w:r>
          </w:hyperlink>
        </w:p>
        <w:p w14:paraId="1046CDC9" w14:textId="6FF524C7" w:rsidR="00B04B6A" w:rsidRPr="00B04B6A" w:rsidRDefault="00AB59C5" w:rsidP="00515E1F">
          <w:pPr>
            <w:pStyle w:val="TOC2"/>
            <w:ind w:left="0"/>
            <w:rPr>
              <w:rFonts w:asciiTheme="minorHAnsi" w:eastAsiaTheme="minorEastAsia" w:hAnsiTheme="minorHAnsi" w:cstheme="minorBidi"/>
              <w:noProof/>
              <w:sz w:val="22"/>
              <w:szCs w:val="22"/>
            </w:rPr>
          </w:pPr>
          <w:hyperlink w:anchor="_Toc103641023" w:history="1">
            <w:r w:rsidR="00B04B6A" w:rsidRPr="00B04B6A">
              <w:rPr>
                <w:rStyle w:val="Hyperlink"/>
                <w:rFonts w:eastAsiaTheme="majorEastAsia"/>
                <w:noProof/>
                <w:lang w:eastAsia="en-US"/>
              </w:rPr>
              <w:t>2.1. Трансформация городской среды Санкт-Петербурга в постсоветский период</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_Toc103641023 \h </w:instrText>
            </w:r>
            <w:r w:rsidR="00B04B6A" w:rsidRPr="00B04B6A">
              <w:rPr>
                <w:noProof/>
                <w:webHidden/>
              </w:rPr>
            </w:r>
            <w:r w:rsidR="00B04B6A" w:rsidRPr="00B04B6A">
              <w:rPr>
                <w:noProof/>
                <w:webHidden/>
              </w:rPr>
              <w:fldChar w:fldCharType="separate"/>
            </w:r>
            <w:r w:rsidR="00D16307">
              <w:rPr>
                <w:noProof/>
                <w:webHidden/>
              </w:rPr>
              <w:t>21</w:t>
            </w:r>
            <w:r w:rsidR="00B04B6A" w:rsidRPr="00B04B6A">
              <w:rPr>
                <w:noProof/>
                <w:webHidden/>
              </w:rPr>
              <w:fldChar w:fldCharType="end"/>
            </w:r>
          </w:hyperlink>
        </w:p>
        <w:p w14:paraId="075159BC" w14:textId="3746B6B1" w:rsidR="00B04B6A" w:rsidRPr="00B04B6A" w:rsidRDefault="00AB59C5" w:rsidP="00515E1F">
          <w:pPr>
            <w:pStyle w:val="TOC2"/>
            <w:ind w:left="0"/>
            <w:rPr>
              <w:rFonts w:asciiTheme="minorHAnsi" w:eastAsiaTheme="minorEastAsia" w:hAnsiTheme="minorHAnsi" w:cstheme="minorBidi"/>
              <w:noProof/>
              <w:sz w:val="22"/>
              <w:szCs w:val="22"/>
            </w:rPr>
          </w:pPr>
          <w:hyperlink w:anchor="_Toc103641024" w:history="1">
            <w:r w:rsidR="00B04B6A" w:rsidRPr="00B04B6A">
              <w:rPr>
                <w:rStyle w:val="Hyperlink"/>
                <w:rFonts w:eastAsiaTheme="majorEastAsia"/>
                <w:noProof/>
                <w:lang w:eastAsia="en-US"/>
              </w:rPr>
              <w:t>2.2. Изменения в территориальной организации розничной торговли и общественного питания Санкт-Петербурга в постсоветский период</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_Toc103641024 \h </w:instrText>
            </w:r>
            <w:r w:rsidR="00B04B6A" w:rsidRPr="00B04B6A">
              <w:rPr>
                <w:noProof/>
                <w:webHidden/>
              </w:rPr>
            </w:r>
            <w:r w:rsidR="00B04B6A" w:rsidRPr="00B04B6A">
              <w:rPr>
                <w:noProof/>
                <w:webHidden/>
              </w:rPr>
              <w:fldChar w:fldCharType="separate"/>
            </w:r>
            <w:r w:rsidR="00D16307">
              <w:rPr>
                <w:noProof/>
                <w:webHidden/>
              </w:rPr>
              <w:t>27</w:t>
            </w:r>
            <w:r w:rsidR="00B04B6A" w:rsidRPr="00B04B6A">
              <w:rPr>
                <w:noProof/>
                <w:webHidden/>
              </w:rPr>
              <w:fldChar w:fldCharType="end"/>
            </w:r>
          </w:hyperlink>
        </w:p>
        <w:p w14:paraId="56EC403C" w14:textId="7CE8F0EC" w:rsidR="00B04B6A" w:rsidRPr="00B04B6A" w:rsidRDefault="00AB59C5" w:rsidP="00515E1F">
          <w:pPr>
            <w:pStyle w:val="TOC2"/>
            <w:ind w:left="0"/>
            <w:rPr>
              <w:rFonts w:asciiTheme="minorHAnsi" w:eastAsiaTheme="minorEastAsia" w:hAnsiTheme="minorHAnsi" w:cstheme="minorBidi"/>
              <w:noProof/>
              <w:sz w:val="22"/>
              <w:szCs w:val="22"/>
            </w:rPr>
          </w:pPr>
          <w:hyperlink w:anchor="_Toc103641025" w:history="1">
            <w:r w:rsidR="00B04B6A" w:rsidRPr="00B04B6A">
              <w:rPr>
                <w:rStyle w:val="Hyperlink"/>
                <w:rFonts w:eastAsiaTheme="majorEastAsia"/>
                <w:noProof/>
                <w:lang w:eastAsia="en-US"/>
              </w:rPr>
              <w:t>2.3.</w:t>
            </w:r>
            <w:r w:rsidR="00B04B6A">
              <w:rPr>
                <w:rStyle w:val="Hyperlink"/>
                <w:rFonts w:eastAsiaTheme="majorEastAsia"/>
                <w:noProof/>
                <w:lang w:val="en-US" w:eastAsia="en-US"/>
              </w:rPr>
              <w:t xml:space="preserve"> </w:t>
            </w:r>
            <w:r w:rsidR="00B04B6A" w:rsidRPr="00B04B6A">
              <w:rPr>
                <w:rStyle w:val="Hyperlink"/>
                <w:rFonts w:eastAsiaTheme="majorEastAsia"/>
                <w:noProof/>
                <w:lang w:eastAsia="en-US"/>
              </w:rPr>
              <w:t>Дифференциация городского пространства Санкт-Петербурга для целей геомаркетинга</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_Toc103641025 \h </w:instrText>
            </w:r>
            <w:r w:rsidR="00B04B6A" w:rsidRPr="00B04B6A">
              <w:rPr>
                <w:noProof/>
                <w:webHidden/>
              </w:rPr>
            </w:r>
            <w:r w:rsidR="00B04B6A" w:rsidRPr="00B04B6A">
              <w:rPr>
                <w:noProof/>
                <w:webHidden/>
              </w:rPr>
              <w:fldChar w:fldCharType="separate"/>
            </w:r>
            <w:r w:rsidR="00D16307">
              <w:rPr>
                <w:noProof/>
                <w:webHidden/>
              </w:rPr>
              <w:t>32</w:t>
            </w:r>
            <w:r w:rsidR="00B04B6A" w:rsidRPr="00B04B6A">
              <w:rPr>
                <w:noProof/>
                <w:webHidden/>
              </w:rPr>
              <w:fldChar w:fldCharType="end"/>
            </w:r>
          </w:hyperlink>
        </w:p>
        <w:p w14:paraId="40692DD1" w14:textId="139DE5EA" w:rsidR="00B04B6A" w:rsidRPr="00B04B6A" w:rsidRDefault="00AB59C5" w:rsidP="00515E1F">
          <w:pPr>
            <w:pStyle w:val="TOC2"/>
            <w:ind w:left="0"/>
            <w:rPr>
              <w:rFonts w:asciiTheme="minorHAnsi" w:eastAsiaTheme="minorEastAsia" w:hAnsiTheme="minorHAnsi" w:cstheme="minorBidi"/>
              <w:noProof/>
              <w:sz w:val="22"/>
              <w:szCs w:val="22"/>
            </w:rPr>
          </w:pPr>
          <w:hyperlink w:anchor="_Toc103641026" w:history="1">
            <w:r w:rsidR="00B04B6A" w:rsidRPr="00B04B6A">
              <w:rPr>
                <w:rStyle w:val="Hyperlink"/>
                <w:rFonts w:eastAsiaTheme="majorEastAsia"/>
                <w:noProof/>
                <w:lang w:eastAsia="en-US"/>
              </w:rPr>
              <w:t>2.4. Современное состояние рынков розничной торговли и общественного питания Санкт-Петербурга</w:t>
            </w:r>
            <w:r w:rsidR="00515E1F">
              <w:rPr>
                <w:rStyle w:val="Hyperlink"/>
                <w:rFonts w:eastAsiaTheme="majorEastAsia"/>
                <w:noProof/>
                <w:lang w:val="en-US" w:eastAsia="en-US"/>
              </w:rPr>
              <w:t>…</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_Toc103641026 \h </w:instrText>
            </w:r>
            <w:r w:rsidR="00B04B6A" w:rsidRPr="00B04B6A">
              <w:rPr>
                <w:noProof/>
                <w:webHidden/>
              </w:rPr>
            </w:r>
            <w:r w:rsidR="00B04B6A" w:rsidRPr="00B04B6A">
              <w:rPr>
                <w:noProof/>
                <w:webHidden/>
              </w:rPr>
              <w:fldChar w:fldCharType="separate"/>
            </w:r>
            <w:r w:rsidR="00D16307">
              <w:rPr>
                <w:noProof/>
                <w:webHidden/>
              </w:rPr>
              <w:t>35</w:t>
            </w:r>
            <w:r w:rsidR="00B04B6A" w:rsidRPr="00B04B6A">
              <w:rPr>
                <w:noProof/>
                <w:webHidden/>
              </w:rPr>
              <w:fldChar w:fldCharType="end"/>
            </w:r>
          </w:hyperlink>
        </w:p>
        <w:p w14:paraId="1E0F739C" w14:textId="3B75D985" w:rsidR="00B04B6A" w:rsidRPr="00B04B6A" w:rsidRDefault="00AB59C5" w:rsidP="00515E1F">
          <w:pPr>
            <w:pStyle w:val="TOC3"/>
            <w:ind w:left="397"/>
            <w:rPr>
              <w:rFonts w:asciiTheme="minorHAnsi" w:eastAsiaTheme="minorEastAsia" w:hAnsiTheme="minorHAnsi" w:cstheme="minorBidi"/>
              <w:noProof/>
              <w:sz w:val="22"/>
              <w:szCs w:val="22"/>
            </w:rPr>
          </w:pPr>
          <w:hyperlink w:anchor="_Toc103641027" w:history="1">
            <w:r w:rsidR="00B04B6A" w:rsidRPr="00B04B6A">
              <w:rPr>
                <w:rStyle w:val="Hyperlink"/>
                <w:rFonts w:eastAsiaTheme="majorEastAsia"/>
                <w:noProof/>
                <w:lang w:eastAsia="en-US"/>
              </w:rPr>
              <w:t>2.4.1. Состояние рынка алкогольной розницы</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_Toc103641027 \h </w:instrText>
            </w:r>
            <w:r w:rsidR="00B04B6A" w:rsidRPr="00B04B6A">
              <w:rPr>
                <w:noProof/>
                <w:webHidden/>
              </w:rPr>
            </w:r>
            <w:r w:rsidR="00B04B6A" w:rsidRPr="00B04B6A">
              <w:rPr>
                <w:noProof/>
                <w:webHidden/>
              </w:rPr>
              <w:fldChar w:fldCharType="separate"/>
            </w:r>
            <w:r w:rsidR="00D16307">
              <w:rPr>
                <w:noProof/>
                <w:webHidden/>
              </w:rPr>
              <w:t>36</w:t>
            </w:r>
            <w:r w:rsidR="00B04B6A" w:rsidRPr="00B04B6A">
              <w:rPr>
                <w:noProof/>
                <w:webHidden/>
              </w:rPr>
              <w:fldChar w:fldCharType="end"/>
            </w:r>
          </w:hyperlink>
        </w:p>
        <w:p w14:paraId="51D2E27D" w14:textId="23599FA6" w:rsidR="00B04B6A" w:rsidRPr="00B04B6A" w:rsidRDefault="00AB59C5" w:rsidP="00515E1F">
          <w:pPr>
            <w:pStyle w:val="TOC3"/>
            <w:ind w:left="397"/>
            <w:rPr>
              <w:rFonts w:asciiTheme="minorHAnsi" w:eastAsiaTheme="minorEastAsia" w:hAnsiTheme="minorHAnsi" w:cstheme="minorBidi"/>
              <w:noProof/>
              <w:sz w:val="22"/>
              <w:szCs w:val="22"/>
            </w:rPr>
          </w:pPr>
          <w:hyperlink w:anchor="_Toc103641028" w:history="1">
            <w:r w:rsidR="00B04B6A" w:rsidRPr="00B04B6A">
              <w:rPr>
                <w:rStyle w:val="Hyperlink"/>
                <w:rFonts w:eastAsiaTheme="majorEastAsia"/>
                <w:noProof/>
                <w:lang w:eastAsia="en-US"/>
              </w:rPr>
              <w:t>2.4.2. Состояние рынка питейных заведений</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_Toc103641028 \h </w:instrText>
            </w:r>
            <w:r w:rsidR="00B04B6A" w:rsidRPr="00B04B6A">
              <w:rPr>
                <w:noProof/>
                <w:webHidden/>
              </w:rPr>
            </w:r>
            <w:r w:rsidR="00B04B6A" w:rsidRPr="00B04B6A">
              <w:rPr>
                <w:noProof/>
                <w:webHidden/>
              </w:rPr>
              <w:fldChar w:fldCharType="separate"/>
            </w:r>
            <w:r w:rsidR="00D16307">
              <w:rPr>
                <w:noProof/>
                <w:webHidden/>
              </w:rPr>
              <w:t>38</w:t>
            </w:r>
            <w:r w:rsidR="00B04B6A" w:rsidRPr="00B04B6A">
              <w:rPr>
                <w:noProof/>
                <w:webHidden/>
              </w:rPr>
              <w:fldChar w:fldCharType="end"/>
            </w:r>
          </w:hyperlink>
        </w:p>
        <w:p w14:paraId="2247C5CE" w14:textId="7DD432A7" w:rsidR="00B04B6A" w:rsidRPr="00B04B6A" w:rsidRDefault="00AB59C5" w:rsidP="00515E1F">
          <w:pPr>
            <w:pStyle w:val="TOC3"/>
            <w:ind w:left="397"/>
            <w:rPr>
              <w:rFonts w:asciiTheme="minorHAnsi" w:eastAsiaTheme="minorEastAsia" w:hAnsiTheme="minorHAnsi" w:cstheme="minorBidi"/>
              <w:noProof/>
              <w:sz w:val="22"/>
              <w:szCs w:val="22"/>
            </w:rPr>
          </w:pPr>
          <w:hyperlink w:anchor="_Toc103641029" w:history="1">
            <w:r w:rsidR="00B04B6A" w:rsidRPr="00B04B6A">
              <w:rPr>
                <w:rStyle w:val="Hyperlink"/>
                <w:rFonts w:eastAsiaTheme="majorEastAsia"/>
                <w:noProof/>
                <w:lang w:eastAsia="en-US"/>
              </w:rPr>
              <w:t>2.4.3. Состояние рынка пекарен</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_Toc103641029 \h </w:instrText>
            </w:r>
            <w:r w:rsidR="00B04B6A" w:rsidRPr="00B04B6A">
              <w:rPr>
                <w:noProof/>
                <w:webHidden/>
              </w:rPr>
            </w:r>
            <w:r w:rsidR="00B04B6A" w:rsidRPr="00B04B6A">
              <w:rPr>
                <w:noProof/>
                <w:webHidden/>
              </w:rPr>
              <w:fldChar w:fldCharType="separate"/>
            </w:r>
            <w:r w:rsidR="00D16307">
              <w:rPr>
                <w:noProof/>
                <w:webHidden/>
              </w:rPr>
              <w:t>41</w:t>
            </w:r>
            <w:r w:rsidR="00B04B6A" w:rsidRPr="00B04B6A">
              <w:rPr>
                <w:noProof/>
                <w:webHidden/>
              </w:rPr>
              <w:fldChar w:fldCharType="end"/>
            </w:r>
          </w:hyperlink>
        </w:p>
        <w:p w14:paraId="367C34FF" w14:textId="44B9B7AC" w:rsidR="00B04B6A" w:rsidRPr="00B04B6A" w:rsidRDefault="00AB59C5" w:rsidP="00515E1F">
          <w:pPr>
            <w:pStyle w:val="TOC3"/>
            <w:ind w:left="397"/>
            <w:rPr>
              <w:rFonts w:asciiTheme="minorHAnsi" w:eastAsiaTheme="minorEastAsia" w:hAnsiTheme="minorHAnsi" w:cstheme="minorBidi"/>
              <w:noProof/>
              <w:sz w:val="22"/>
              <w:szCs w:val="22"/>
            </w:rPr>
          </w:pPr>
          <w:hyperlink w:anchor="_Toc103641030" w:history="1">
            <w:r w:rsidR="00B04B6A" w:rsidRPr="00B04B6A">
              <w:rPr>
                <w:rStyle w:val="Hyperlink"/>
                <w:rFonts w:eastAsiaTheme="majorEastAsia"/>
                <w:noProof/>
                <w:lang w:eastAsia="en-US"/>
              </w:rPr>
              <w:t>2.4.4. Состояние рынка кофеен</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_Toc103641030 \h </w:instrText>
            </w:r>
            <w:r w:rsidR="00B04B6A" w:rsidRPr="00B04B6A">
              <w:rPr>
                <w:noProof/>
                <w:webHidden/>
              </w:rPr>
            </w:r>
            <w:r w:rsidR="00B04B6A" w:rsidRPr="00B04B6A">
              <w:rPr>
                <w:noProof/>
                <w:webHidden/>
              </w:rPr>
              <w:fldChar w:fldCharType="separate"/>
            </w:r>
            <w:r w:rsidR="00D16307">
              <w:rPr>
                <w:noProof/>
                <w:webHidden/>
              </w:rPr>
              <w:t>45</w:t>
            </w:r>
            <w:r w:rsidR="00B04B6A" w:rsidRPr="00B04B6A">
              <w:rPr>
                <w:noProof/>
                <w:webHidden/>
              </w:rPr>
              <w:fldChar w:fldCharType="end"/>
            </w:r>
          </w:hyperlink>
        </w:p>
        <w:p w14:paraId="5609E736" w14:textId="6D7B2E80" w:rsidR="00B04B6A" w:rsidRPr="00B04B6A" w:rsidRDefault="00AB59C5" w:rsidP="00FA0EEC">
          <w:pPr>
            <w:pStyle w:val="TOC1"/>
            <w:rPr>
              <w:rFonts w:asciiTheme="minorHAnsi" w:eastAsiaTheme="minorEastAsia" w:hAnsiTheme="minorHAnsi" w:cstheme="minorBidi"/>
              <w:sz w:val="22"/>
              <w:szCs w:val="22"/>
              <w:lang w:eastAsia="ru-RU"/>
            </w:rPr>
          </w:pPr>
          <w:hyperlink w:anchor="_Toc103641031" w:history="1">
            <w:r w:rsidR="00B04B6A" w:rsidRPr="00B04B6A">
              <w:rPr>
                <w:rStyle w:val="Hyperlink"/>
              </w:rPr>
              <w:t>Глава 3. География розничной торговли и общественного питания Санкт-Петербурга</w:t>
            </w:r>
            <w:r w:rsidR="00B04B6A" w:rsidRPr="00B04B6A">
              <w:rPr>
                <w:webHidden/>
              </w:rPr>
              <w:tab/>
            </w:r>
            <w:r w:rsidR="00E43F96">
              <w:rPr>
                <w:webHidden/>
                <w:lang w:val="en-US"/>
              </w:rPr>
              <w:t>.</w:t>
            </w:r>
            <w:r w:rsidR="00B04B6A" w:rsidRPr="00B04B6A">
              <w:rPr>
                <w:webHidden/>
              </w:rPr>
              <w:fldChar w:fldCharType="begin"/>
            </w:r>
            <w:r w:rsidR="00B04B6A" w:rsidRPr="00B04B6A">
              <w:rPr>
                <w:webHidden/>
              </w:rPr>
              <w:instrText xml:space="preserve"> PAGEREF _Toc103641031 \h </w:instrText>
            </w:r>
            <w:r w:rsidR="00B04B6A" w:rsidRPr="00B04B6A">
              <w:rPr>
                <w:webHidden/>
              </w:rPr>
            </w:r>
            <w:r w:rsidR="00B04B6A" w:rsidRPr="00B04B6A">
              <w:rPr>
                <w:webHidden/>
              </w:rPr>
              <w:fldChar w:fldCharType="separate"/>
            </w:r>
            <w:r w:rsidR="00D16307">
              <w:rPr>
                <w:webHidden/>
              </w:rPr>
              <w:t>50</w:t>
            </w:r>
            <w:r w:rsidR="00B04B6A" w:rsidRPr="00B04B6A">
              <w:rPr>
                <w:webHidden/>
              </w:rPr>
              <w:fldChar w:fldCharType="end"/>
            </w:r>
          </w:hyperlink>
        </w:p>
        <w:p w14:paraId="54F7F4E2" w14:textId="2672B53B"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2" w:history="1">
            <w:r w:rsidR="00B04B6A" w:rsidRPr="00B04B6A">
              <w:rPr>
                <w:rStyle w:val="Hyperlink"/>
                <w:noProof/>
              </w:rPr>
              <w:t>3.1. Основные особенности размещения алкогольных магазинов</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_Toc103641032 \h </w:instrText>
            </w:r>
            <w:r w:rsidR="00B04B6A" w:rsidRPr="00B04B6A">
              <w:rPr>
                <w:noProof/>
                <w:webHidden/>
              </w:rPr>
            </w:r>
            <w:r w:rsidR="00B04B6A" w:rsidRPr="00B04B6A">
              <w:rPr>
                <w:noProof/>
                <w:webHidden/>
              </w:rPr>
              <w:fldChar w:fldCharType="separate"/>
            </w:r>
            <w:r w:rsidR="00D16307">
              <w:rPr>
                <w:noProof/>
                <w:webHidden/>
              </w:rPr>
              <w:t>50</w:t>
            </w:r>
            <w:r w:rsidR="00B04B6A" w:rsidRPr="00B04B6A">
              <w:rPr>
                <w:noProof/>
                <w:webHidden/>
              </w:rPr>
              <w:fldChar w:fldCharType="end"/>
            </w:r>
          </w:hyperlink>
        </w:p>
        <w:p w14:paraId="477A5C04" w14:textId="34CA4312"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3" w:history="1">
            <w:r w:rsidR="00B04B6A" w:rsidRPr="00B04B6A">
              <w:rPr>
                <w:rStyle w:val="Hyperlink"/>
                <w:rFonts w:eastAsiaTheme="majorEastAsia"/>
                <w:noProof/>
                <w:lang w:eastAsia="en-US"/>
              </w:rPr>
              <w:t>3.2. Основные особенности размещения питейных заведений</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_Toc103641033 \h </w:instrText>
            </w:r>
            <w:r w:rsidR="00B04B6A" w:rsidRPr="00B04B6A">
              <w:rPr>
                <w:noProof/>
                <w:webHidden/>
              </w:rPr>
            </w:r>
            <w:r w:rsidR="00B04B6A" w:rsidRPr="00B04B6A">
              <w:rPr>
                <w:noProof/>
                <w:webHidden/>
              </w:rPr>
              <w:fldChar w:fldCharType="separate"/>
            </w:r>
            <w:r w:rsidR="00D16307">
              <w:rPr>
                <w:noProof/>
                <w:webHidden/>
              </w:rPr>
              <w:t>56</w:t>
            </w:r>
            <w:r w:rsidR="00B04B6A" w:rsidRPr="00B04B6A">
              <w:rPr>
                <w:noProof/>
                <w:webHidden/>
              </w:rPr>
              <w:fldChar w:fldCharType="end"/>
            </w:r>
          </w:hyperlink>
        </w:p>
        <w:p w14:paraId="3C28DE18" w14:textId="72E74039"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4" w:history="1">
            <w:r w:rsidR="00B04B6A" w:rsidRPr="00B04B6A">
              <w:rPr>
                <w:rStyle w:val="Hyperlink"/>
                <w:rFonts w:eastAsiaTheme="majorEastAsia"/>
                <w:noProof/>
                <w:lang w:eastAsia="en-US"/>
              </w:rPr>
              <w:t>3.3. Основные особенности размещения пекарен</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_Toc103641034 \h </w:instrText>
            </w:r>
            <w:r w:rsidR="00B04B6A" w:rsidRPr="00B04B6A">
              <w:rPr>
                <w:noProof/>
                <w:webHidden/>
              </w:rPr>
            </w:r>
            <w:r w:rsidR="00B04B6A" w:rsidRPr="00B04B6A">
              <w:rPr>
                <w:noProof/>
                <w:webHidden/>
              </w:rPr>
              <w:fldChar w:fldCharType="separate"/>
            </w:r>
            <w:r w:rsidR="00D16307">
              <w:rPr>
                <w:noProof/>
                <w:webHidden/>
              </w:rPr>
              <w:t>61</w:t>
            </w:r>
            <w:r w:rsidR="00B04B6A" w:rsidRPr="00B04B6A">
              <w:rPr>
                <w:noProof/>
                <w:webHidden/>
              </w:rPr>
              <w:fldChar w:fldCharType="end"/>
            </w:r>
          </w:hyperlink>
        </w:p>
        <w:p w14:paraId="06DD13FE" w14:textId="07DE9D71"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5" w:history="1">
            <w:r w:rsidR="00B04B6A" w:rsidRPr="00B04B6A">
              <w:rPr>
                <w:rStyle w:val="Hyperlink"/>
                <w:rFonts w:eastAsiaTheme="majorEastAsia"/>
                <w:noProof/>
                <w:lang w:eastAsia="en-US"/>
              </w:rPr>
              <w:t>3.4. Основные особенности размещения кофеен</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_Toc103641035 \h </w:instrText>
            </w:r>
            <w:r w:rsidR="00B04B6A" w:rsidRPr="00B04B6A">
              <w:rPr>
                <w:noProof/>
                <w:webHidden/>
              </w:rPr>
            </w:r>
            <w:r w:rsidR="00B04B6A" w:rsidRPr="00B04B6A">
              <w:rPr>
                <w:noProof/>
                <w:webHidden/>
              </w:rPr>
              <w:fldChar w:fldCharType="separate"/>
            </w:r>
            <w:r w:rsidR="00D16307">
              <w:rPr>
                <w:noProof/>
                <w:webHidden/>
              </w:rPr>
              <w:t>66</w:t>
            </w:r>
            <w:r w:rsidR="00B04B6A" w:rsidRPr="00B04B6A">
              <w:rPr>
                <w:noProof/>
                <w:webHidden/>
              </w:rPr>
              <w:fldChar w:fldCharType="end"/>
            </w:r>
          </w:hyperlink>
        </w:p>
        <w:p w14:paraId="6A549F82" w14:textId="4C114D97"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6" w:history="1">
            <w:r w:rsidR="00B04B6A" w:rsidRPr="00B04B6A">
              <w:rPr>
                <w:rStyle w:val="Hyperlink"/>
                <w:rFonts w:eastAsiaTheme="majorEastAsia"/>
                <w:noProof/>
                <w:lang w:eastAsia="en-US"/>
              </w:rPr>
              <w:t>3.5. Основные сходства и различия в размещении объектов розничной торговли и общественного питания</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_Toc103641036 \h </w:instrText>
            </w:r>
            <w:r w:rsidR="00B04B6A" w:rsidRPr="00B04B6A">
              <w:rPr>
                <w:noProof/>
                <w:webHidden/>
              </w:rPr>
            </w:r>
            <w:r w:rsidR="00B04B6A" w:rsidRPr="00B04B6A">
              <w:rPr>
                <w:noProof/>
                <w:webHidden/>
              </w:rPr>
              <w:fldChar w:fldCharType="separate"/>
            </w:r>
            <w:r w:rsidR="00D16307">
              <w:rPr>
                <w:noProof/>
                <w:webHidden/>
              </w:rPr>
              <w:t>71</w:t>
            </w:r>
            <w:r w:rsidR="00B04B6A" w:rsidRPr="00B04B6A">
              <w:rPr>
                <w:noProof/>
                <w:webHidden/>
              </w:rPr>
              <w:fldChar w:fldCharType="end"/>
            </w:r>
          </w:hyperlink>
        </w:p>
        <w:p w14:paraId="4B782CD2" w14:textId="5BD8D76C" w:rsidR="00B04B6A" w:rsidRPr="00B04B6A" w:rsidRDefault="00AB59C5" w:rsidP="00515E1F">
          <w:pPr>
            <w:pStyle w:val="TOC2"/>
            <w:ind w:left="0"/>
            <w:rPr>
              <w:rFonts w:asciiTheme="minorHAnsi" w:eastAsiaTheme="minorEastAsia" w:hAnsiTheme="minorHAnsi" w:cstheme="minorBidi"/>
              <w:noProof/>
              <w:sz w:val="22"/>
              <w:szCs w:val="22"/>
            </w:rPr>
          </w:pPr>
          <w:hyperlink w:anchor="_Toc103641037" w:history="1">
            <w:r w:rsidR="00B04B6A" w:rsidRPr="00B04B6A">
              <w:rPr>
                <w:rStyle w:val="Hyperlink"/>
                <w:rFonts w:eastAsiaTheme="majorEastAsia"/>
                <w:noProof/>
                <w:lang w:eastAsia="en-US"/>
              </w:rPr>
              <w:t>3.6. Факторы соседства в размещении объектов розничной торговли и общественного питания</w:t>
            </w:r>
            <w:r w:rsidR="00B04B6A">
              <w:rPr>
                <w:rStyle w:val="Hyperlink"/>
                <w:rFonts w:eastAsiaTheme="majorEastAsia"/>
                <w:noProof/>
                <w:lang w:val="en-US" w:eastAsia="en-US"/>
              </w:rPr>
              <w:t>…</w:t>
            </w:r>
            <w:r w:rsidR="00515E1F">
              <w:rPr>
                <w:rStyle w:val="Hyperlink"/>
                <w:rFonts w:eastAsiaTheme="majorEastAsia"/>
                <w:noProof/>
                <w:lang w:val="en-US" w:eastAsia="en-US"/>
              </w:rPr>
              <w:t>….</w:t>
            </w:r>
            <w:r w:rsidR="00B04B6A" w:rsidRPr="00B04B6A">
              <w:rPr>
                <w:noProof/>
                <w:webHidden/>
              </w:rPr>
              <w:tab/>
            </w:r>
            <w:r w:rsidR="00B04B6A" w:rsidRPr="00B04B6A">
              <w:rPr>
                <w:noProof/>
                <w:webHidden/>
              </w:rPr>
              <w:fldChar w:fldCharType="begin"/>
            </w:r>
            <w:r w:rsidR="00B04B6A" w:rsidRPr="00B04B6A">
              <w:rPr>
                <w:noProof/>
                <w:webHidden/>
              </w:rPr>
              <w:instrText xml:space="preserve"> PAGEREF _Toc103641037 \h </w:instrText>
            </w:r>
            <w:r w:rsidR="00B04B6A" w:rsidRPr="00B04B6A">
              <w:rPr>
                <w:noProof/>
                <w:webHidden/>
              </w:rPr>
            </w:r>
            <w:r w:rsidR="00B04B6A" w:rsidRPr="00B04B6A">
              <w:rPr>
                <w:noProof/>
                <w:webHidden/>
              </w:rPr>
              <w:fldChar w:fldCharType="separate"/>
            </w:r>
            <w:r w:rsidR="00D16307">
              <w:rPr>
                <w:noProof/>
                <w:webHidden/>
              </w:rPr>
              <w:t>77</w:t>
            </w:r>
            <w:r w:rsidR="00B04B6A" w:rsidRPr="00B04B6A">
              <w:rPr>
                <w:noProof/>
                <w:webHidden/>
              </w:rPr>
              <w:fldChar w:fldCharType="end"/>
            </w:r>
          </w:hyperlink>
        </w:p>
        <w:p w14:paraId="5C5C5206" w14:textId="3CA59D6A" w:rsidR="00B04B6A" w:rsidRPr="00B04B6A" w:rsidRDefault="00AB59C5" w:rsidP="00FA0EEC">
          <w:pPr>
            <w:pStyle w:val="TOC1"/>
            <w:rPr>
              <w:rFonts w:asciiTheme="minorHAnsi" w:eastAsiaTheme="minorEastAsia" w:hAnsiTheme="minorHAnsi" w:cstheme="minorBidi"/>
              <w:sz w:val="22"/>
              <w:szCs w:val="22"/>
              <w:lang w:eastAsia="ru-RU"/>
            </w:rPr>
          </w:pPr>
          <w:hyperlink w:anchor="_Toc103641038" w:history="1">
            <w:r w:rsidR="00B04B6A" w:rsidRPr="00B04B6A">
              <w:rPr>
                <w:rStyle w:val="Hyperlink"/>
                <w:rFonts w:eastAsiaTheme="minorHAnsi"/>
              </w:rPr>
              <w:t>Заключение</w:t>
            </w:r>
            <w:r w:rsidR="00B04B6A" w:rsidRPr="00B04B6A">
              <w:rPr>
                <w:webHidden/>
              </w:rPr>
              <w:tab/>
            </w:r>
            <w:r w:rsidR="00B04B6A" w:rsidRPr="00B04B6A">
              <w:rPr>
                <w:webHidden/>
              </w:rPr>
              <w:fldChar w:fldCharType="begin"/>
            </w:r>
            <w:r w:rsidR="00B04B6A" w:rsidRPr="00B04B6A">
              <w:rPr>
                <w:webHidden/>
              </w:rPr>
              <w:instrText xml:space="preserve"> PAGEREF _Toc103641038 \h </w:instrText>
            </w:r>
            <w:r w:rsidR="00B04B6A" w:rsidRPr="00B04B6A">
              <w:rPr>
                <w:webHidden/>
              </w:rPr>
            </w:r>
            <w:r w:rsidR="00B04B6A" w:rsidRPr="00B04B6A">
              <w:rPr>
                <w:webHidden/>
              </w:rPr>
              <w:fldChar w:fldCharType="separate"/>
            </w:r>
            <w:r w:rsidR="00D16307">
              <w:rPr>
                <w:webHidden/>
              </w:rPr>
              <w:t>82</w:t>
            </w:r>
            <w:r w:rsidR="00B04B6A" w:rsidRPr="00B04B6A">
              <w:rPr>
                <w:webHidden/>
              </w:rPr>
              <w:fldChar w:fldCharType="end"/>
            </w:r>
          </w:hyperlink>
        </w:p>
        <w:p w14:paraId="5CC392EF" w14:textId="4C5350BE" w:rsidR="00B04B6A" w:rsidRPr="00B04B6A" w:rsidRDefault="00AB59C5" w:rsidP="00FA0EEC">
          <w:pPr>
            <w:pStyle w:val="TOC1"/>
            <w:rPr>
              <w:rFonts w:asciiTheme="minorHAnsi" w:eastAsiaTheme="minorEastAsia" w:hAnsiTheme="minorHAnsi" w:cstheme="minorBidi"/>
              <w:sz w:val="22"/>
              <w:szCs w:val="22"/>
              <w:lang w:eastAsia="ru-RU"/>
            </w:rPr>
          </w:pPr>
          <w:hyperlink w:anchor="_Toc103641039" w:history="1">
            <w:r w:rsidR="00B04B6A" w:rsidRPr="00B04B6A">
              <w:rPr>
                <w:rStyle w:val="Hyperlink"/>
                <w:rFonts w:eastAsiaTheme="minorHAnsi"/>
              </w:rPr>
              <w:t>Приложение</w:t>
            </w:r>
            <w:r w:rsidR="00B04B6A" w:rsidRPr="00B04B6A">
              <w:rPr>
                <w:webHidden/>
              </w:rPr>
              <w:tab/>
            </w:r>
            <w:r w:rsidR="00B04B6A" w:rsidRPr="00B04B6A">
              <w:rPr>
                <w:webHidden/>
              </w:rPr>
              <w:fldChar w:fldCharType="begin"/>
            </w:r>
            <w:r w:rsidR="00B04B6A" w:rsidRPr="00B04B6A">
              <w:rPr>
                <w:webHidden/>
              </w:rPr>
              <w:instrText xml:space="preserve"> PAGEREF _Toc103641039 \h </w:instrText>
            </w:r>
            <w:r w:rsidR="00B04B6A" w:rsidRPr="00B04B6A">
              <w:rPr>
                <w:webHidden/>
              </w:rPr>
            </w:r>
            <w:r w:rsidR="00B04B6A" w:rsidRPr="00B04B6A">
              <w:rPr>
                <w:webHidden/>
              </w:rPr>
              <w:fldChar w:fldCharType="separate"/>
            </w:r>
            <w:r w:rsidR="00D16307">
              <w:rPr>
                <w:webHidden/>
              </w:rPr>
              <w:t>86</w:t>
            </w:r>
            <w:r w:rsidR="00B04B6A" w:rsidRPr="00B04B6A">
              <w:rPr>
                <w:webHidden/>
              </w:rPr>
              <w:fldChar w:fldCharType="end"/>
            </w:r>
          </w:hyperlink>
        </w:p>
        <w:p w14:paraId="55E8C419" w14:textId="553F1C59" w:rsidR="00B04B6A" w:rsidRDefault="00AB59C5" w:rsidP="00FA0EEC">
          <w:pPr>
            <w:pStyle w:val="TOC1"/>
            <w:rPr>
              <w:rFonts w:asciiTheme="minorHAnsi" w:eastAsiaTheme="minorEastAsia" w:hAnsiTheme="minorHAnsi" w:cstheme="minorBidi"/>
              <w:sz w:val="22"/>
              <w:szCs w:val="22"/>
              <w:lang w:eastAsia="ru-RU"/>
            </w:rPr>
          </w:pPr>
          <w:hyperlink w:anchor="_Toc103641040" w:history="1">
            <w:r w:rsidR="00B04B6A" w:rsidRPr="00B04B6A">
              <w:rPr>
                <w:rStyle w:val="Hyperlink"/>
                <w:rFonts w:eastAsiaTheme="minorHAnsi"/>
              </w:rPr>
              <w:t>Список литературы</w:t>
            </w:r>
            <w:r w:rsidR="00B04B6A" w:rsidRPr="00B04B6A">
              <w:rPr>
                <w:webHidden/>
              </w:rPr>
              <w:tab/>
            </w:r>
            <w:r w:rsidR="00B04B6A" w:rsidRPr="00B04B6A">
              <w:rPr>
                <w:webHidden/>
              </w:rPr>
              <w:fldChar w:fldCharType="begin"/>
            </w:r>
            <w:r w:rsidR="00B04B6A" w:rsidRPr="00B04B6A">
              <w:rPr>
                <w:webHidden/>
              </w:rPr>
              <w:instrText xml:space="preserve"> PAGEREF _Toc103641040 \h </w:instrText>
            </w:r>
            <w:r w:rsidR="00B04B6A" w:rsidRPr="00B04B6A">
              <w:rPr>
                <w:webHidden/>
              </w:rPr>
            </w:r>
            <w:r w:rsidR="00B04B6A" w:rsidRPr="00B04B6A">
              <w:rPr>
                <w:webHidden/>
              </w:rPr>
              <w:fldChar w:fldCharType="separate"/>
            </w:r>
            <w:r w:rsidR="00D16307">
              <w:rPr>
                <w:webHidden/>
              </w:rPr>
              <w:t>92</w:t>
            </w:r>
            <w:r w:rsidR="00B04B6A" w:rsidRPr="00B04B6A">
              <w:rPr>
                <w:webHidden/>
              </w:rPr>
              <w:fldChar w:fldCharType="end"/>
            </w:r>
          </w:hyperlink>
        </w:p>
        <w:p w14:paraId="234BE6CA" w14:textId="06770836" w:rsidR="00DD103B" w:rsidRPr="0074719F" w:rsidRDefault="00A4105E" w:rsidP="0074719F">
          <w:pPr>
            <w:jc w:val="both"/>
            <w:rPr>
              <w:noProof/>
            </w:rPr>
          </w:pPr>
          <w:r w:rsidRPr="00D54080">
            <w:rPr>
              <w:noProof/>
            </w:rPr>
            <w:fldChar w:fldCharType="end"/>
          </w:r>
        </w:p>
      </w:sdtContent>
    </w:sdt>
    <w:p w14:paraId="1886A197" w14:textId="4A5889D9" w:rsidR="00D54080" w:rsidRDefault="00D54080" w:rsidP="00D54080">
      <w:pPr>
        <w:keepNext/>
        <w:keepLines/>
        <w:spacing w:after="160"/>
        <w:outlineLvl w:val="0"/>
        <w:rPr>
          <w:rFonts w:eastAsiaTheme="majorEastAsia"/>
          <w:b/>
          <w:bCs/>
          <w:sz w:val="28"/>
          <w:szCs w:val="28"/>
          <w:lang w:eastAsia="en-US"/>
        </w:rPr>
      </w:pPr>
      <w:bookmarkStart w:id="1" w:name="_Toc103641016"/>
      <w:r>
        <w:rPr>
          <w:rFonts w:eastAsiaTheme="majorEastAsia"/>
          <w:b/>
          <w:bCs/>
          <w:sz w:val="28"/>
          <w:szCs w:val="28"/>
          <w:lang w:eastAsia="en-US"/>
        </w:rPr>
        <w:lastRenderedPageBreak/>
        <w:t>Введение</w:t>
      </w:r>
      <w:bookmarkEnd w:id="1"/>
    </w:p>
    <w:p w14:paraId="7976A813" w14:textId="2B8A13F2" w:rsidR="00B209A2" w:rsidRPr="00FA0EEC" w:rsidRDefault="00B209A2" w:rsidP="00B209A2">
      <w:pPr>
        <w:ind w:firstLine="851"/>
        <w:jc w:val="both"/>
        <w:rPr>
          <w:rFonts w:eastAsiaTheme="majorEastAsia"/>
          <w:lang w:eastAsia="en-US"/>
        </w:rPr>
      </w:pPr>
      <w:r w:rsidRPr="00DB0734">
        <w:rPr>
          <w:rFonts w:eastAsiaTheme="majorEastAsia"/>
          <w:lang w:eastAsia="en-US"/>
        </w:rPr>
        <w:t>С развитием современного общества и переходом к рыночной экономике значительно меняется географическое пространство. Начинаются преобразования в различных сферах общественной жизни, в том числе в отраслях розничной торговли и общественного питания. Территориальная организация городской структуры упомянутых отраслей модифицируется и начинает подчиняться основным требованиям современной рыночной экономики. В эпоху интенсивного развития геоинформационных технологий географические факторы оказывают значительное влияние на принципы территориального распределения объектов торговли.</w:t>
      </w:r>
    </w:p>
    <w:p w14:paraId="581AE719" w14:textId="77777777" w:rsidR="00B209A2" w:rsidRPr="00DB0734" w:rsidRDefault="00B209A2" w:rsidP="00B209A2">
      <w:pPr>
        <w:ind w:firstLine="851"/>
        <w:jc w:val="both"/>
        <w:rPr>
          <w:rFonts w:eastAsiaTheme="majorEastAsia"/>
          <w:lang w:eastAsia="en-US"/>
        </w:rPr>
      </w:pPr>
      <w:r w:rsidRPr="00DB0734">
        <w:rPr>
          <w:rFonts w:eastAsiaTheme="majorEastAsia"/>
          <w:lang w:eastAsia="en-US"/>
        </w:rPr>
        <w:t xml:space="preserve">В работе был проведен обзор рынков общественного питания и розничной торговли Санкт-Петербурга на примере наиболее интенсивно развивающихся отраслей: пекарен, кофеен, питейных заведений и магазинов специализированной алкогольной розницы. Была рассмотрена география и особенности режимов работы крупнейших сетей каждой отрасли, а также факторы соседства и кластеризация объектов исследуемых отраслей торговли и общественного питания между собой. </w:t>
      </w:r>
    </w:p>
    <w:p w14:paraId="1B209036" w14:textId="77777777" w:rsidR="00B209A2" w:rsidRPr="00DB0734" w:rsidRDefault="00B209A2" w:rsidP="00B209A2">
      <w:pPr>
        <w:ind w:firstLine="851"/>
        <w:jc w:val="both"/>
        <w:rPr>
          <w:rFonts w:eastAsiaTheme="majorEastAsia"/>
          <w:lang w:eastAsia="en-US"/>
        </w:rPr>
      </w:pPr>
      <w:r w:rsidRPr="00DB0734">
        <w:rPr>
          <w:rFonts w:eastAsiaTheme="majorEastAsia"/>
          <w:lang w:eastAsia="en-US"/>
        </w:rPr>
        <w:t>В рамках исследования также был проведен анализ факторов размещения объектов розничной торговли и общественного питания по территории Санкт-Петербурга, этапы трансформации функциональной структуры городского пространства на основе работ отечественных ученых в области экономических наук и маркетинговых исследований.</w:t>
      </w:r>
    </w:p>
    <w:p w14:paraId="4B493132" w14:textId="77777777" w:rsidR="00B209A2" w:rsidRDefault="00B209A2" w:rsidP="00B209A2">
      <w:pPr>
        <w:ind w:firstLine="851"/>
        <w:jc w:val="both"/>
        <w:rPr>
          <w:rFonts w:eastAsiaTheme="majorEastAsia"/>
          <w:lang w:eastAsia="en-US"/>
        </w:rPr>
      </w:pPr>
      <w:r w:rsidRPr="00DB0734">
        <w:rPr>
          <w:rFonts w:eastAsiaTheme="majorEastAsia"/>
          <w:lang w:eastAsia="en-US"/>
        </w:rPr>
        <w:t>Данная исследовательская работа может послужить фундаментом для обоснования наилучшего местоположения торговых точек и прогноза развития рассмотренных рынков.</w:t>
      </w:r>
    </w:p>
    <w:p w14:paraId="51F1333D" w14:textId="77777777" w:rsidR="00B209A2" w:rsidRPr="00B25B32" w:rsidRDefault="00B209A2" w:rsidP="00B209A2">
      <w:pPr>
        <w:ind w:firstLine="851"/>
        <w:jc w:val="both"/>
      </w:pPr>
      <w:r w:rsidRPr="00B25B32">
        <w:t>Объект исследования – рынок общественного питания и специализированной алкогольной розницы Санкт-Петербурга.</w:t>
      </w:r>
    </w:p>
    <w:p w14:paraId="2D479077" w14:textId="77777777" w:rsidR="00B209A2" w:rsidRPr="00B25B32" w:rsidRDefault="00B209A2" w:rsidP="00B209A2">
      <w:pPr>
        <w:ind w:firstLine="851"/>
        <w:jc w:val="both"/>
      </w:pPr>
      <w:r w:rsidRPr="00B25B32">
        <w:t>Предмет исследования</w:t>
      </w:r>
      <w:r>
        <w:t xml:space="preserve"> – территориальная организация объектов общественного </w:t>
      </w:r>
      <w:r w:rsidRPr="00B25B32">
        <w:t>питания и специализированной алкогольной розницы Санкт-Петербурга.</w:t>
      </w:r>
    </w:p>
    <w:p w14:paraId="2D7DEEE3" w14:textId="31E17B26" w:rsidR="00B209A2" w:rsidRPr="002943FF" w:rsidRDefault="00B209A2" w:rsidP="00B209A2">
      <w:pPr>
        <w:ind w:firstLine="851"/>
        <w:jc w:val="both"/>
      </w:pPr>
      <w:r w:rsidRPr="00B25B32">
        <w:t>Целью данной работы является выявление особенностей размещения объектов общественного питания</w:t>
      </w:r>
      <w:r>
        <w:t xml:space="preserve"> на примере пекарен, кофеен</w:t>
      </w:r>
      <w:r w:rsidR="00A47818">
        <w:t>,</w:t>
      </w:r>
      <w:r>
        <w:t xml:space="preserve"> питейных заведений и специализированной алкогольной розницы на территории Санкт-Петербурга.</w:t>
      </w:r>
    </w:p>
    <w:p w14:paraId="53424325" w14:textId="77777777" w:rsidR="00B209A2" w:rsidRDefault="00B209A2" w:rsidP="00B209A2">
      <w:pPr>
        <w:ind w:firstLine="851"/>
        <w:jc w:val="both"/>
      </w:pPr>
      <w:r>
        <w:t xml:space="preserve">Для достижения поставленной цели были выдвинуты следующие </w:t>
      </w:r>
      <w:r w:rsidRPr="00B25B32">
        <w:t>задачи</w:t>
      </w:r>
      <w:r>
        <w:t>:</w:t>
      </w:r>
    </w:p>
    <w:p w14:paraId="3016C3A0" w14:textId="77777777" w:rsidR="00B209A2" w:rsidRDefault="00B209A2" w:rsidP="006A36FC">
      <w:pPr>
        <w:pStyle w:val="ListParagraph"/>
        <w:numPr>
          <w:ilvl w:val="0"/>
          <w:numId w:val="28"/>
        </w:numPr>
        <w:ind w:left="357" w:hanging="357"/>
      </w:pPr>
      <w:r>
        <w:t>знакомство с основными теориями пространственного размещения объектов розничной торговли и их эволюцией;</w:t>
      </w:r>
    </w:p>
    <w:p w14:paraId="745B9B27" w14:textId="77777777" w:rsidR="00B209A2" w:rsidRDefault="00B209A2" w:rsidP="006A36FC">
      <w:pPr>
        <w:pStyle w:val="ListParagraph"/>
        <w:numPr>
          <w:ilvl w:val="0"/>
          <w:numId w:val="28"/>
        </w:numPr>
        <w:ind w:left="357" w:hanging="357"/>
      </w:pPr>
      <w:r>
        <w:t>рассмотрение факторов, влияющих на местоположение объектом общественного питания и розничной торговли;</w:t>
      </w:r>
    </w:p>
    <w:p w14:paraId="795C12B0" w14:textId="77777777" w:rsidR="00B209A2" w:rsidRDefault="00B209A2" w:rsidP="006A36FC">
      <w:pPr>
        <w:pStyle w:val="ListParagraph"/>
        <w:numPr>
          <w:ilvl w:val="0"/>
          <w:numId w:val="28"/>
        </w:numPr>
        <w:ind w:left="357" w:hanging="357"/>
      </w:pPr>
      <w:r>
        <w:lastRenderedPageBreak/>
        <w:t>составление базы данных пекарен, кофеен, питейных заведений и объектов алкогольной розницы Санкт-Петербурга;</w:t>
      </w:r>
    </w:p>
    <w:p w14:paraId="5C45DCF3" w14:textId="77777777" w:rsidR="00B209A2" w:rsidRDefault="00B209A2" w:rsidP="006A36FC">
      <w:pPr>
        <w:pStyle w:val="ListParagraph"/>
        <w:numPr>
          <w:ilvl w:val="0"/>
          <w:numId w:val="28"/>
        </w:numPr>
        <w:ind w:left="357" w:hanging="357"/>
      </w:pPr>
      <w:r>
        <w:t>анализ рассматриваемых рынков по ряду показателей;</w:t>
      </w:r>
    </w:p>
    <w:p w14:paraId="7F3A4F95" w14:textId="77777777" w:rsidR="00B209A2" w:rsidRDefault="00B209A2" w:rsidP="006A36FC">
      <w:pPr>
        <w:numPr>
          <w:ilvl w:val="0"/>
          <w:numId w:val="28"/>
        </w:numPr>
        <w:spacing w:after="160"/>
        <w:ind w:left="357" w:hanging="357"/>
        <w:contextualSpacing/>
        <w:jc w:val="both"/>
      </w:pPr>
      <w:r w:rsidRPr="00E25939">
        <w:t>анализ дифференциация городской территории по социально-экономическим показателям для целей геомаркетинга;</w:t>
      </w:r>
    </w:p>
    <w:p w14:paraId="7B0C0A40" w14:textId="77777777" w:rsidR="00B209A2" w:rsidRDefault="00B209A2" w:rsidP="006A36FC">
      <w:pPr>
        <w:numPr>
          <w:ilvl w:val="0"/>
          <w:numId w:val="29"/>
        </w:numPr>
        <w:spacing w:after="160"/>
        <w:ind w:left="357" w:hanging="357"/>
        <w:contextualSpacing/>
        <w:jc w:val="both"/>
      </w:pPr>
      <w:r w:rsidRPr="00ED096D">
        <w:t xml:space="preserve">выявление закономерностей пространственной организации торговых точек </w:t>
      </w:r>
      <w:r>
        <w:t xml:space="preserve">и объектов общественного питания </w:t>
      </w:r>
      <w:r w:rsidRPr="00ED096D">
        <w:t>в разрезе муниципальных округов</w:t>
      </w:r>
      <w:r>
        <w:t xml:space="preserve">; </w:t>
      </w:r>
    </w:p>
    <w:p w14:paraId="17F234A9" w14:textId="77777777" w:rsidR="00B209A2" w:rsidRPr="00A00BC4" w:rsidRDefault="00B209A2" w:rsidP="006A36FC">
      <w:pPr>
        <w:numPr>
          <w:ilvl w:val="0"/>
          <w:numId w:val="29"/>
        </w:numPr>
        <w:spacing w:after="160"/>
        <w:ind w:left="357" w:hanging="357"/>
        <w:contextualSpacing/>
        <w:jc w:val="both"/>
      </w:pPr>
      <w:r w:rsidRPr="00E25939">
        <w:t xml:space="preserve">рассмотрение </w:t>
      </w:r>
      <w:r>
        <w:t>степени взаимной кластеризации</w:t>
      </w:r>
      <w:r w:rsidRPr="00E25939">
        <w:t xml:space="preserve"> </w:t>
      </w:r>
      <w:r>
        <w:t>объектов общественного питания и алкогольной розницы</w:t>
      </w:r>
      <w:r w:rsidRPr="00E25939">
        <w:t>;</w:t>
      </w:r>
    </w:p>
    <w:p w14:paraId="41DAF12A" w14:textId="77777777" w:rsidR="00B209A2" w:rsidRDefault="00B209A2" w:rsidP="006A36FC">
      <w:pPr>
        <w:numPr>
          <w:ilvl w:val="0"/>
          <w:numId w:val="29"/>
        </w:numPr>
        <w:spacing w:after="160"/>
        <w:ind w:left="357" w:hanging="357"/>
        <w:contextualSpacing/>
        <w:jc w:val="both"/>
      </w:pPr>
      <w:r w:rsidRPr="00E25939">
        <w:t xml:space="preserve">рассмотрение факторов соседства </w:t>
      </w:r>
      <w:r>
        <w:t>объектов общественного питания и алкогольной розницы</w:t>
      </w:r>
      <w:r w:rsidRPr="00E25939">
        <w:t xml:space="preserve"> с центрами притяжения населени</w:t>
      </w:r>
      <w:r>
        <w:t>я.</w:t>
      </w:r>
    </w:p>
    <w:p w14:paraId="0762B3D3" w14:textId="77777777" w:rsidR="00B209A2" w:rsidRPr="00DB0734" w:rsidRDefault="00B209A2" w:rsidP="00B209A2">
      <w:pPr>
        <w:ind w:firstLine="851"/>
        <w:jc w:val="both"/>
        <w:rPr>
          <w:rFonts w:eastAsiaTheme="minorHAnsi"/>
          <w:lang w:eastAsia="en-US"/>
        </w:rPr>
      </w:pPr>
      <w:r w:rsidRPr="00DB0734">
        <w:t xml:space="preserve">В качестве методологической основы были использованы следующие методы научного познания: </w:t>
      </w:r>
    </w:p>
    <w:p w14:paraId="709957C7" w14:textId="77777777" w:rsidR="00B209A2" w:rsidRDefault="00B209A2" w:rsidP="006A36FC">
      <w:pPr>
        <w:pStyle w:val="ListParagraph"/>
        <w:numPr>
          <w:ilvl w:val="0"/>
          <w:numId w:val="29"/>
        </w:numPr>
        <w:ind w:left="357" w:hanging="357"/>
        <w:rPr>
          <w:szCs w:val="24"/>
        </w:rPr>
      </w:pPr>
      <w:r>
        <w:rPr>
          <w:szCs w:val="24"/>
        </w:rPr>
        <w:t>сравнительно-географический анализ был применен при характеристике рассматриваемых рынков с точки зрения дифференции их торговых объектов на территории Санкт-Петербурга;</w:t>
      </w:r>
    </w:p>
    <w:p w14:paraId="45C95AFD" w14:textId="77777777" w:rsidR="00B209A2" w:rsidRDefault="00B209A2" w:rsidP="006A36FC">
      <w:pPr>
        <w:pStyle w:val="ListParagraph"/>
        <w:numPr>
          <w:ilvl w:val="0"/>
          <w:numId w:val="29"/>
        </w:numPr>
        <w:ind w:left="357" w:hanging="357"/>
        <w:rPr>
          <w:szCs w:val="24"/>
        </w:rPr>
      </w:pPr>
      <w:r>
        <w:rPr>
          <w:szCs w:val="24"/>
        </w:rPr>
        <w:t>исторический метод был применен в ходе исследования процесса эволюции сферы общественного питания и розничной торговли Санкт-Петербурга;</w:t>
      </w:r>
    </w:p>
    <w:p w14:paraId="58B472C0" w14:textId="77777777" w:rsidR="00B209A2" w:rsidRDefault="00B209A2" w:rsidP="006A36FC">
      <w:pPr>
        <w:pStyle w:val="ListParagraph"/>
        <w:numPr>
          <w:ilvl w:val="0"/>
          <w:numId w:val="29"/>
        </w:numPr>
        <w:ind w:left="357" w:hanging="357"/>
        <w:rPr>
          <w:szCs w:val="24"/>
        </w:rPr>
      </w:pPr>
      <w:r>
        <w:rPr>
          <w:szCs w:val="24"/>
        </w:rPr>
        <w:t>картографический метод использовался в процессе создания карт для визуализации полученных результатов исследования;</w:t>
      </w:r>
    </w:p>
    <w:p w14:paraId="1DA31D99" w14:textId="77777777" w:rsidR="00B209A2" w:rsidRDefault="00B209A2" w:rsidP="006A36FC">
      <w:pPr>
        <w:pStyle w:val="ListParagraph"/>
        <w:numPr>
          <w:ilvl w:val="0"/>
          <w:numId w:val="29"/>
        </w:numPr>
        <w:ind w:left="357" w:hanging="357"/>
        <w:rPr>
          <w:szCs w:val="24"/>
        </w:rPr>
      </w:pPr>
      <w:r>
        <w:rPr>
          <w:szCs w:val="24"/>
        </w:rPr>
        <w:t>пространственный анализ средствами ГИС был применен в процессе составления базы данных объектов исследуемых рынков;</w:t>
      </w:r>
    </w:p>
    <w:p w14:paraId="15B33500" w14:textId="5A71A109" w:rsidR="00B209A2" w:rsidRDefault="0057736F" w:rsidP="006A36FC">
      <w:pPr>
        <w:pStyle w:val="ListParagraph"/>
        <w:numPr>
          <w:ilvl w:val="0"/>
          <w:numId w:val="29"/>
        </w:numPr>
        <w:ind w:left="357" w:hanging="357"/>
        <w:rPr>
          <w:szCs w:val="24"/>
        </w:rPr>
      </w:pPr>
      <w:r>
        <w:rPr>
          <w:szCs w:val="24"/>
        </w:rPr>
        <w:t>регрессионный</w:t>
      </w:r>
      <w:r w:rsidR="00B209A2">
        <w:rPr>
          <w:szCs w:val="24"/>
        </w:rPr>
        <w:t xml:space="preserve"> анализ применялся с целью поисков взаимосвязей между показателями рассматриваемых рынков и социально-экономическими показателями территории Санкт-Петербурга</w:t>
      </w:r>
      <w:r w:rsidR="006A36FC">
        <w:rPr>
          <w:szCs w:val="24"/>
        </w:rPr>
        <w:t>.</w:t>
      </w:r>
    </w:p>
    <w:p w14:paraId="1705003E" w14:textId="77777777" w:rsidR="00B209A2" w:rsidRDefault="00B209A2" w:rsidP="00B209A2">
      <w:pPr>
        <w:pStyle w:val="ListParagraph"/>
        <w:ind w:left="0" w:firstLine="851"/>
        <w:rPr>
          <w:szCs w:val="24"/>
        </w:rPr>
      </w:pPr>
      <w:r w:rsidRPr="00DB0734">
        <w:rPr>
          <w:szCs w:val="24"/>
        </w:rPr>
        <w:t>Теоретическую основу исследования</w:t>
      </w:r>
      <w:r>
        <w:rPr>
          <w:szCs w:val="24"/>
        </w:rPr>
        <w:t xml:space="preserve"> составили работы зарубежных и отечественных ученых</w:t>
      </w:r>
      <w:r w:rsidRPr="004F2BF0">
        <w:rPr>
          <w:szCs w:val="24"/>
        </w:rPr>
        <w:t xml:space="preserve"> </w:t>
      </w:r>
      <w:r>
        <w:rPr>
          <w:szCs w:val="24"/>
        </w:rPr>
        <w:t>в области маркетинговых исследований и экономических наук:</w:t>
      </w:r>
      <w:r w:rsidRPr="00B25B32">
        <w:rPr>
          <w:szCs w:val="24"/>
        </w:rPr>
        <w:t xml:space="preserve"> </w:t>
      </w:r>
      <w:r>
        <w:rPr>
          <w:szCs w:val="24"/>
          <w:lang w:val="en-US"/>
        </w:rPr>
        <w:t>A</w:t>
      </w:r>
      <w:r w:rsidRPr="00B25B32">
        <w:rPr>
          <w:szCs w:val="24"/>
        </w:rPr>
        <w:t xml:space="preserve">. </w:t>
      </w:r>
      <w:r>
        <w:rPr>
          <w:szCs w:val="24"/>
          <w:lang w:val="en-US"/>
        </w:rPr>
        <w:t>Pred</w:t>
      </w:r>
      <w:r w:rsidRPr="00B25B32">
        <w:rPr>
          <w:szCs w:val="24"/>
        </w:rPr>
        <w:t xml:space="preserve">, </w:t>
      </w:r>
      <w:r>
        <w:rPr>
          <w:szCs w:val="24"/>
          <w:lang w:val="en-US"/>
        </w:rPr>
        <w:t>E</w:t>
      </w:r>
      <w:r w:rsidRPr="00B25B32">
        <w:rPr>
          <w:szCs w:val="24"/>
        </w:rPr>
        <w:t>.</w:t>
      </w:r>
      <w:r>
        <w:rPr>
          <w:szCs w:val="24"/>
          <w:lang w:val="en-US"/>
        </w:rPr>
        <w:t>A</w:t>
      </w:r>
      <w:r w:rsidRPr="00B25B32">
        <w:rPr>
          <w:szCs w:val="24"/>
        </w:rPr>
        <w:t>.</w:t>
      </w:r>
      <w:r>
        <w:rPr>
          <w:szCs w:val="24"/>
          <w:lang w:val="en-US"/>
        </w:rPr>
        <w:t>Van</w:t>
      </w:r>
      <w:r w:rsidRPr="00B25B32">
        <w:rPr>
          <w:szCs w:val="24"/>
        </w:rPr>
        <w:t xml:space="preserve"> </w:t>
      </w:r>
      <w:r>
        <w:rPr>
          <w:szCs w:val="24"/>
          <w:lang w:val="en-US"/>
        </w:rPr>
        <w:t>Noort</w:t>
      </w:r>
      <w:r w:rsidRPr="00B25B32">
        <w:rPr>
          <w:szCs w:val="24"/>
        </w:rPr>
        <w:t xml:space="preserve"> </w:t>
      </w:r>
      <w:r>
        <w:rPr>
          <w:szCs w:val="24"/>
        </w:rPr>
        <w:t xml:space="preserve">и </w:t>
      </w:r>
      <w:r>
        <w:rPr>
          <w:szCs w:val="24"/>
          <w:lang w:val="en-US"/>
        </w:rPr>
        <w:t>I</w:t>
      </w:r>
      <w:r w:rsidRPr="00B25B32">
        <w:rPr>
          <w:szCs w:val="24"/>
        </w:rPr>
        <w:t>.</w:t>
      </w:r>
      <w:r>
        <w:rPr>
          <w:szCs w:val="24"/>
          <w:lang w:val="en-US"/>
        </w:rPr>
        <w:t>A</w:t>
      </w:r>
      <w:r w:rsidRPr="00A06FB5">
        <w:rPr>
          <w:szCs w:val="24"/>
        </w:rPr>
        <w:t xml:space="preserve">. </w:t>
      </w:r>
      <w:r>
        <w:rPr>
          <w:szCs w:val="24"/>
          <w:lang w:val="en-US"/>
        </w:rPr>
        <w:t>Reijmer</w:t>
      </w:r>
      <w:r w:rsidRPr="00A06FB5">
        <w:rPr>
          <w:szCs w:val="24"/>
        </w:rPr>
        <w:t xml:space="preserve">, </w:t>
      </w:r>
      <w:r>
        <w:rPr>
          <w:szCs w:val="24"/>
          <w:lang w:val="en-US"/>
        </w:rPr>
        <w:t>L</w:t>
      </w:r>
      <w:r w:rsidRPr="00A06FB5">
        <w:rPr>
          <w:szCs w:val="24"/>
        </w:rPr>
        <w:t>.</w:t>
      </w:r>
      <w:r>
        <w:rPr>
          <w:szCs w:val="24"/>
          <w:lang w:val="en-US"/>
        </w:rPr>
        <w:t>L</w:t>
      </w:r>
      <w:r w:rsidRPr="00A06FB5">
        <w:rPr>
          <w:szCs w:val="24"/>
        </w:rPr>
        <w:t xml:space="preserve">. </w:t>
      </w:r>
      <w:r>
        <w:rPr>
          <w:szCs w:val="24"/>
          <w:lang w:val="en-US"/>
        </w:rPr>
        <w:t>Jones</w:t>
      </w:r>
      <w:r w:rsidRPr="00A06FB5">
        <w:rPr>
          <w:szCs w:val="24"/>
        </w:rPr>
        <w:t xml:space="preserve">, </w:t>
      </w:r>
      <w:r>
        <w:rPr>
          <w:szCs w:val="24"/>
          <w:lang w:val="en-US"/>
        </w:rPr>
        <w:t>M</w:t>
      </w:r>
      <w:r w:rsidRPr="00A06FB5">
        <w:rPr>
          <w:szCs w:val="24"/>
        </w:rPr>
        <w:t>.</w:t>
      </w:r>
      <w:r>
        <w:rPr>
          <w:szCs w:val="24"/>
          <w:lang w:val="en-US"/>
        </w:rPr>
        <w:t>D</w:t>
      </w:r>
      <w:r w:rsidRPr="00A06FB5">
        <w:rPr>
          <w:szCs w:val="24"/>
        </w:rPr>
        <w:t xml:space="preserve">. </w:t>
      </w:r>
      <w:r>
        <w:rPr>
          <w:szCs w:val="24"/>
          <w:lang w:val="en-US"/>
        </w:rPr>
        <w:t>Woods</w:t>
      </w:r>
      <w:r w:rsidRPr="00A06FB5">
        <w:rPr>
          <w:szCs w:val="24"/>
        </w:rPr>
        <w:t>,</w:t>
      </w:r>
      <w:r w:rsidRPr="00B25B32">
        <w:rPr>
          <w:szCs w:val="24"/>
        </w:rPr>
        <w:t xml:space="preserve"> </w:t>
      </w:r>
      <w:proofErr w:type="gramStart"/>
      <w:r>
        <w:rPr>
          <w:szCs w:val="24"/>
        </w:rPr>
        <w:t>К.Э.</w:t>
      </w:r>
      <w:proofErr w:type="gramEnd"/>
      <w:r>
        <w:rPr>
          <w:szCs w:val="24"/>
        </w:rPr>
        <w:t xml:space="preserve"> Аксенова, </w:t>
      </w:r>
      <w:r w:rsidRPr="00B25B32">
        <w:rPr>
          <w:szCs w:val="24"/>
        </w:rPr>
        <w:t xml:space="preserve">А. Ф. Имангалина, </w:t>
      </w:r>
      <w:r>
        <w:rPr>
          <w:szCs w:val="24"/>
        </w:rPr>
        <w:t xml:space="preserve">В.Я. </w:t>
      </w:r>
      <w:r w:rsidRPr="00B25B32">
        <w:rPr>
          <w:szCs w:val="24"/>
        </w:rPr>
        <w:t xml:space="preserve">Цветкова, </w:t>
      </w:r>
      <w:r>
        <w:rPr>
          <w:szCs w:val="24"/>
        </w:rPr>
        <w:t xml:space="preserve">Л.А. Козерода, К.Н. </w:t>
      </w:r>
      <w:r w:rsidRPr="00B25B32">
        <w:rPr>
          <w:szCs w:val="24"/>
        </w:rPr>
        <w:t>Бредюка</w:t>
      </w:r>
      <w:r>
        <w:rPr>
          <w:szCs w:val="24"/>
        </w:rPr>
        <w:t xml:space="preserve"> и др.</w:t>
      </w:r>
    </w:p>
    <w:p w14:paraId="35E709B0" w14:textId="77777777" w:rsidR="00B209A2" w:rsidRPr="00E25939" w:rsidRDefault="00B209A2" w:rsidP="00B209A2">
      <w:pPr>
        <w:pStyle w:val="ListParagraph"/>
        <w:ind w:left="0" w:firstLine="851"/>
        <w:rPr>
          <w:szCs w:val="24"/>
        </w:rPr>
      </w:pPr>
      <w:r w:rsidRPr="00DB0734">
        <w:rPr>
          <w:szCs w:val="24"/>
        </w:rPr>
        <w:t xml:space="preserve">Информационная база </w:t>
      </w:r>
      <w:r w:rsidRPr="00E25939">
        <w:rPr>
          <w:szCs w:val="24"/>
        </w:rPr>
        <w:t>исследования основана на данных открытых источников:</w:t>
      </w:r>
    </w:p>
    <w:p w14:paraId="7B6B837E" w14:textId="77777777" w:rsidR="00B209A2" w:rsidRPr="00E25939" w:rsidRDefault="00B209A2" w:rsidP="006A36FC">
      <w:pPr>
        <w:numPr>
          <w:ilvl w:val="0"/>
          <w:numId w:val="30"/>
        </w:numPr>
        <w:spacing w:after="160"/>
        <w:ind w:left="357" w:hanging="357"/>
        <w:contextualSpacing/>
        <w:jc w:val="both"/>
      </w:pPr>
      <w:r w:rsidRPr="00E25939">
        <w:t>база данных Федеральной службы государственной статистики по Санкт-Петербургу «Петростат»;</w:t>
      </w:r>
    </w:p>
    <w:p w14:paraId="66A081D1" w14:textId="77777777" w:rsidR="00B209A2" w:rsidRPr="00E25939" w:rsidRDefault="00B209A2" w:rsidP="006A36FC">
      <w:pPr>
        <w:numPr>
          <w:ilvl w:val="0"/>
          <w:numId w:val="30"/>
        </w:numPr>
        <w:spacing w:after="160"/>
        <w:ind w:left="357" w:hanging="357"/>
        <w:contextualSpacing/>
        <w:jc w:val="both"/>
      </w:pPr>
      <w:r w:rsidRPr="00E25939">
        <w:t>база данных 2ГИС;</w:t>
      </w:r>
    </w:p>
    <w:p w14:paraId="36A1114F" w14:textId="77777777" w:rsidR="00B209A2" w:rsidRPr="00E25939" w:rsidRDefault="00B209A2" w:rsidP="006A36FC">
      <w:pPr>
        <w:numPr>
          <w:ilvl w:val="0"/>
          <w:numId w:val="30"/>
        </w:numPr>
        <w:spacing w:after="160"/>
        <w:ind w:left="357" w:hanging="357"/>
        <w:contextualSpacing/>
        <w:jc w:val="both"/>
      </w:pPr>
      <w:r w:rsidRPr="00E25939">
        <w:t>данные Федеральной налоговой службы.</w:t>
      </w:r>
    </w:p>
    <w:p w14:paraId="5C21CA21" w14:textId="77777777" w:rsidR="00B209A2" w:rsidRPr="004F2BF0" w:rsidRDefault="00B209A2" w:rsidP="00B209A2">
      <w:pPr>
        <w:ind w:firstLine="851"/>
        <w:jc w:val="both"/>
      </w:pPr>
      <w:r w:rsidRPr="00E25939">
        <w:lastRenderedPageBreak/>
        <w:t>При обработке статистических данных были использованы программные продукты: QGIS,</w:t>
      </w:r>
      <w:r>
        <w:t xml:space="preserve"> </w:t>
      </w:r>
      <w:r>
        <w:rPr>
          <w:lang w:val="en-US"/>
        </w:rPr>
        <w:t>GeoDa</w:t>
      </w:r>
      <w:r>
        <w:t>,</w:t>
      </w:r>
      <w:r w:rsidRPr="00E25939">
        <w:t xml:space="preserve"> Microsoft Excel, </w:t>
      </w:r>
      <w:r>
        <w:rPr>
          <w:lang w:val="en-US"/>
        </w:rPr>
        <w:t>Inkscape</w:t>
      </w:r>
      <w:r>
        <w:t>.</w:t>
      </w:r>
    </w:p>
    <w:p w14:paraId="12CAAE3E" w14:textId="2286A11E" w:rsidR="00D54080" w:rsidRDefault="00D54080" w:rsidP="00F4416A">
      <w:pPr>
        <w:jc w:val="both"/>
        <w:rPr>
          <w:rFonts w:eastAsiaTheme="majorEastAsia"/>
          <w:lang w:eastAsia="en-US"/>
        </w:rPr>
      </w:pPr>
    </w:p>
    <w:p w14:paraId="2AA9A3DB" w14:textId="43FBC444" w:rsidR="00814CD8" w:rsidRPr="00814CD8" w:rsidRDefault="00814CD8" w:rsidP="000B50F4">
      <w:pPr>
        <w:keepNext/>
        <w:keepLines/>
        <w:spacing w:after="160"/>
        <w:outlineLvl w:val="0"/>
        <w:rPr>
          <w:rFonts w:eastAsiaTheme="majorEastAsia"/>
          <w:sz w:val="28"/>
          <w:szCs w:val="28"/>
          <w:lang w:eastAsia="en-US"/>
        </w:rPr>
      </w:pPr>
      <w:bookmarkStart w:id="2" w:name="_Toc103641017"/>
      <w:r w:rsidRPr="00814CD8">
        <w:rPr>
          <w:rFonts w:eastAsiaTheme="majorEastAsia"/>
          <w:b/>
          <w:bCs/>
          <w:sz w:val="28"/>
          <w:szCs w:val="28"/>
          <w:lang w:eastAsia="en-US"/>
        </w:rPr>
        <w:t>Глава 1.</w:t>
      </w:r>
      <w:r w:rsidRPr="00814CD8">
        <w:rPr>
          <w:rFonts w:eastAsiaTheme="majorEastAsia"/>
          <w:sz w:val="28"/>
          <w:szCs w:val="28"/>
          <w:lang w:eastAsia="en-US"/>
        </w:rPr>
        <w:t xml:space="preserve"> </w:t>
      </w:r>
      <w:r w:rsidR="004133FE">
        <w:rPr>
          <w:rFonts w:eastAsiaTheme="majorEastAsia"/>
          <w:b/>
          <w:bCs/>
          <w:sz w:val="28"/>
          <w:szCs w:val="28"/>
          <w:lang w:eastAsia="en-US"/>
        </w:rPr>
        <w:t>Геомаркетинговые исследования</w:t>
      </w:r>
      <w:r w:rsidRPr="00814CD8">
        <w:rPr>
          <w:rFonts w:eastAsiaTheme="majorEastAsia"/>
          <w:b/>
          <w:bCs/>
          <w:sz w:val="28"/>
          <w:szCs w:val="28"/>
          <w:lang w:eastAsia="en-US"/>
        </w:rPr>
        <w:t xml:space="preserve"> розничной торговли и общественного питания</w:t>
      </w:r>
      <w:bookmarkEnd w:id="2"/>
    </w:p>
    <w:p w14:paraId="48FFD5BC" w14:textId="4DE27C0E" w:rsidR="00814CD8" w:rsidRPr="00814CD8" w:rsidRDefault="00543341" w:rsidP="00432C4A">
      <w:pPr>
        <w:keepNext/>
        <w:keepLines/>
        <w:numPr>
          <w:ilvl w:val="1"/>
          <w:numId w:val="2"/>
        </w:numPr>
        <w:spacing w:before="160" w:after="160"/>
        <w:ind w:left="0" w:firstLine="0"/>
        <w:outlineLvl w:val="1"/>
        <w:rPr>
          <w:rFonts w:eastAsiaTheme="majorEastAsia"/>
          <w:b/>
          <w:bCs/>
          <w:lang w:eastAsia="en-US"/>
        </w:rPr>
      </w:pPr>
      <w:bookmarkStart w:id="3" w:name="_Toc103641018"/>
      <w:r w:rsidRPr="00543341">
        <w:rPr>
          <w:rFonts w:eastAsiaTheme="majorEastAsia"/>
          <w:b/>
          <w:bCs/>
          <w:lang w:eastAsia="en-US"/>
        </w:rPr>
        <w:t>Задачи современных геомаркетинговых исследований</w:t>
      </w:r>
      <w:bookmarkEnd w:id="3"/>
    </w:p>
    <w:p w14:paraId="19B76A96" w14:textId="7F03CE2E"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Процесс развития общества сопровождался значительным укреплением связей между экономическими и географическими дисциплинами, способствуя тем самым появлению новых направлений на стыке двух наук. На сегодняшний день они имеют особое значение в период рыночной экономики, когда активно поднимается вопрос о подробном анализе социальных, экономических, географических и других факторов с целью нахождения идеальной ниши для предприятий.</w:t>
      </w:r>
    </w:p>
    <w:p w14:paraId="2C80B570" w14:textId="3EA4328D"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 xml:space="preserve">Исследования географии розничной торговли и общественного питания, в особенности на локальном уровне, начиная с </w:t>
      </w:r>
      <w:r w:rsidRPr="00814CD8">
        <w:rPr>
          <w:sz w:val="26"/>
          <w:szCs w:val="26"/>
          <w:lang w:val="en-US" w:eastAsia="en-US"/>
        </w:rPr>
        <w:t>XX</w:t>
      </w:r>
      <w:r w:rsidRPr="00814CD8">
        <w:rPr>
          <w:rFonts w:eastAsiaTheme="minorHAnsi"/>
          <w:szCs w:val="22"/>
          <w:lang w:eastAsia="en-US"/>
        </w:rPr>
        <w:t xml:space="preserve"> века, представляют одну и</w:t>
      </w:r>
      <w:r w:rsidR="00202773">
        <w:rPr>
          <w:rFonts w:eastAsiaTheme="minorHAnsi"/>
          <w:szCs w:val="22"/>
          <w:lang w:eastAsia="en-US"/>
        </w:rPr>
        <w:t>з</w:t>
      </w:r>
      <w:r w:rsidRPr="00814CD8">
        <w:rPr>
          <w:rFonts w:eastAsiaTheme="minorHAnsi"/>
          <w:szCs w:val="22"/>
          <w:lang w:eastAsia="en-US"/>
        </w:rPr>
        <w:t xml:space="preserve"> наиболее актуальных сфер исследования в социальной географии. Классическими фундаментальными исследованиями в данной области стали работы зарубежных авторов: </w:t>
      </w:r>
      <w:r w:rsidRPr="00814CD8">
        <w:rPr>
          <w:rFonts w:eastAsiaTheme="minorHAnsi"/>
          <w:szCs w:val="22"/>
          <w:lang w:val="en-US" w:eastAsia="en-US"/>
        </w:rPr>
        <w:t>P</w:t>
      </w:r>
      <w:r w:rsidRPr="00814CD8">
        <w:rPr>
          <w:rFonts w:eastAsiaTheme="minorHAnsi"/>
          <w:szCs w:val="22"/>
          <w:lang w:eastAsia="en-US"/>
        </w:rPr>
        <w:t>.</w:t>
      </w:r>
      <w:r w:rsidRPr="00814CD8">
        <w:rPr>
          <w:rFonts w:eastAsiaTheme="minorHAnsi"/>
          <w:szCs w:val="22"/>
          <w:lang w:val="en-US" w:eastAsia="en-US"/>
        </w:rPr>
        <w:t>Scott</w:t>
      </w:r>
      <w:r w:rsidRPr="00814CD8">
        <w:rPr>
          <w:rFonts w:eastAsiaTheme="minorHAnsi"/>
          <w:szCs w:val="22"/>
          <w:lang w:eastAsia="en-US"/>
        </w:rPr>
        <w:t xml:space="preserve">, </w:t>
      </w:r>
      <w:r w:rsidRPr="00814CD8">
        <w:rPr>
          <w:rFonts w:eastAsiaTheme="minorHAnsi"/>
          <w:szCs w:val="22"/>
          <w:lang w:val="en-US" w:eastAsia="en-US"/>
        </w:rPr>
        <w:t>W</w:t>
      </w:r>
      <w:r w:rsidRPr="00814CD8">
        <w:rPr>
          <w:rFonts w:eastAsiaTheme="minorHAnsi"/>
          <w:szCs w:val="22"/>
          <w:lang w:eastAsia="en-US"/>
        </w:rPr>
        <w:t>.</w:t>
      </w:r>
      <w:r w:rsidRPr="00814CD8">
        <w:rPr>
          <w:rFonts w:eastAsiaTheme="minorHAnsi"/>
          <w:szCs w:val="22"/>
          <w:lang w:val="en-US" w:eastAsia="en-US"/>
        </w:rPr>
        <w:t>Reily</w:t>
      </w:r>
      <w:r w:rsidRPr="00814CD8">
        <w:rPr>
          <w:rFonts w:eastAsiaTheme="minorHAnsi"/>
          <w:szCs w:val="22"/>
          <w:lang w:eastAsia="en-US"/>
        </w:rPr>
        <w:t xml:space="preserve">, </w:t>
      </w:r>
      <w:r w:rsidRPr="00814CD8">
        <w:rPr>
          <w:rFonts w:eastAsiaTheme="minorHAnsi"/>
          <w:szCs w:val="22"/>
          <w:lang w:val="en-US" w:eastAsia="en-US"/>
        </w:rPr>
        <w:t>W</w:t>
      </w:r>
      <w:r w:rsidRPr="00814CD8">
        <w:rPr>
          <w:rFonts w:eastAsiaTheme="minorHAnsi"/>
          <w:szCs w:val="22"/>
          <w:lang w:eastAsia="en-US"/>
        </w:rPr>
        <w:t xml:space="preserve">. Kristaller, </w:t>
      </w:r>
      <w:r w:rsidRPr="00814CD8">
        <w:rPr>
          <w:rFonts w:eastAsiaTheme="minorHAnsi"/>
          <w:szCs w:val="22"/>
          <w:lang w:val="en-US" w:eastAsia="en-US"/>
        </w:rPr>
        <w:t>D</w:t>
      </w:r>
      <w:r w:rsidRPr="00814CD8">
        <w:rPr>
          <w:rFonts w:eastAsiaTheme="minorHAnsi"/>
          <w:szCs w:val="22"/>
          <w:lang w:eastAsia="en-US"/>
        </w:rPr>
        <w:t xml:space="preserve">. </w:t>
      </w:r>
      <w:r w:rsidRPr="00814CD8">
        <w:rPr>
          <w:rFonts w:eastAsiaTheme="minorHAnsi"/>
          <w:szCs w:val="22"/>
          <w:lang w:val="en-US" w:eastAsia="en-US"/>
        </w:rPr>
        <w:t>Huff</w:t>
      </w:r>
      <w:r w:rsidRPr="00814CD8">
        <w:rPr>
          <w:rFonts w:eastAsiaTheme="minorHAnsi"/>
          <w:szCs w:val="22"/>
          <w:lang w:eastAsia="en-US"/>
        </w:rPr>
        <w:t xml:space="preserve">, </w:t>
      </w:r>
      <w:r w:rsidRPr="00814CD8">
        <w:rPr>
          <w:rFonts w:eastAsiaTheme="minorHAnsi"/>
          <w:szCs w:val="22"/>
          <w:lang w:val="en-US" w:eastAsia="en-US"/>
        </w:rPr>
        <w:t>D</w:t>
      </w:r>
      <w:r w:rsidRPr="00814CD8">
        <w:rPr>
          <w:rFonts w:eastAsiaTheme="minorHAnsi"/>
          <w:szCs w:val="22"/>
          <w:lang w:eastAsia="en-US"/>
        </w:rPr>
        <w:t>.</w:t>
      </w:r>
      <w:r w:rsidRPr="00814CD8">
        <w:rPr>
          <w:rFonts w:eastAsiaTheme="minorHAnsi"/>
          <w:szCs w:val="22"/>
          <w:lang w:val="en-US" w:eastAsia="en-US"/>
        </w:rPr>
        <w:t>Revzan</w:t>
      </w:r>
      <w:r w:rsidRPr="00814CD8">
        <w:rPr>
          <w:rFonts w:eastAsiaTheme="minorHAnsi"/>
          <w:szCs w:val="22"/>
          <w:lang w:eastAsia="en-US"/>
        </w:rPr>
        <w:t xml:space="preserve"> и други</w:t>
      </w:r>
      <w:r w:rsidR="00202773">
        <w:rPr>
          <w:rFonts w:eastAsiaTheme="minorHAnsi"/>
          <w:szCs w:val="22"/>
          <w:lang w:eastAsia="en-US"/>
        </w:rPr>
        <w:t>х</w:t>
      </w:r>
      <w:r w:rsidRPr="00814CD8">
        <w:rPr>
          <w:rFonts w:eastAsiaTheme="minorHAnsi"/>
          <w:szCs w:val="22"/>
          <w:lang w:eastAsia="en-US"/>
        </w:rPr>
        <w:t>.</w:t>
      </w:r>
    </w:p>
    <w:p w14:paraId="60BD6553" w14:textId="609E5602" w:rsidR="00814CD8" w:rsidRPr="00814CD8" w:rsidRDefault="00814CD8" w:rsidP="00814CD8">
      <w:pPr>
        <w:ind w:firstLine="851"/>
        <w:jc w:val="both"/>
        <w:rPr>
          <w:lang w:eastAsia="en-US"/>
        </w:rPr>
      </w:pPr>
      <w:r w:rsidRPr="00814CD8">
        <w:rPr>
          <w:rFonts w:eastAsiaTheme="minorHAnsi"/>
          <w:lang w:eastAsia="en-US"/>
        </w:rPr>
        <w:t xml:space="preserve">Развитие информационных технологий в </w:t>
      </w:r>
      <w:r w:rsidRPr="00814CD8">
        <w:rPr>
          <w:lang w:val="en-US" w:eastAsia="en-US"/>
        </w:rPr>
        <w:t>XX</w:t>
      </w:r>
      <w:r w:rsidRPr="00814CD8">
        <w:rPr>
          <w:lang w:eastAsia="en-US"/>
        </w:rPr>
        <w:t xml:space="preserve"> веке способствовал</w:t>
      </w:r>
      <w:r w:rsidR="00202773">
        <w:rPr>
          <w:lang w:eastAsia="en-US"/>
        </w:rPr>
        <w:t>о</w:t>
      </w:r>
      <w:r w:rsidRPr="00814CD8">
        <w:rPr>
          <w:lang w:eastAsia="en-US"/>
        </w:rPr>
        <w:t xml:space="preserve"> появлению новых возможностей для исследований на всех иерархических уровнях. Появление новых инструментов изучения структур городского пространств</w:t>
      </w:r>
      <w:r w:rsidR="00202773">
        <w:rPr>
          <w:lang w:eastAsia="en-US"/>
        </w:rPr>
        <w:t>а</w:t>
      </w:r>
      <w:r w:rsidRPr="00814CD8">
        <w:rPr>
          <w:lang w:eastAsia="en-US"/>
        </w:rPr>
        <w:t xml:space="preserve"> позволил</w:t>
      </w:r>
      <w:r w:rsidR="00202773">
        <w:rPr>
          <w:lang w:eastAsia="en-US"/>
        </w:rPr>
        <w:t>о</w:t>
      </w:r>
      <w:r w:rsidRPr="00814CD8">
        <w:rPr>
          <w:lang w:eastAsia="en-US"/>
        </w:rPr>
        <w:t xml:space="preserve"> углубить его анализ и сформировал</w:t>
      </w:r>
      <w:r w:rsidR="00202773">
        <w:rPr>
          <w:lang w:eastAsia="en-US"/>
        </w:rPr>
        <w:t>о</w:t>
      </w:r>
      <w:r w:rsidRPr="00814CD8">
        <w:rPr>
          <w:lang w:eastAsia="en-US"/>
        </w:rPr>
        <w:t xml:space="preserve"> новое направление исследовани</w:t>
      </w:r>
      <w:r w:rsidR="00202773">
        <w:rPr>
          <w:lang w:eastAsia="en-US"/>
        </w:rPr>
        <w:t>й</w:t>
      </w:r>
      <w:r w:rsidRPr="00814CD8">
        <w:rPr>
          <w:lang w:eastAsia="en-US"/>
        </w:rPr>
        <w:t xml:space="preserve"> – геомаркетинг, появление которого связано с французским экономистом </w:t>
      </w:r>
      <w:r w:rsidRPr="00814CD8">
        <w:rPr>
          <w:lang w:val="en-US" w:eastAsia="en-US"/>
        </w:rPr>
        <w:t>G</w:t>
      </w:r>
      <w:r w:rsidRPr="00814CD8">
        <w:rPr>
          <w:lang w:eastAsia="en-US"/>
        </w:rPr>
        <w:t xml:space="preserve">.Cliquet. </w:t>
      </w:r>
    </w:p>
    <w:p w14:paraId="5CE5009C" w14:textId="77777777" w:rsidR="00814CD8" w:rsidRPr="00814CD8" w:rsidRDefault="00814CD8" w:rsidP="00814CD8">
      <w:pPr>
        <w:ind w:firstLine="851"/>
        <w:jc w:val="both"/>
        <w:rPr>
          <w:rFonts w:eastAsiaTheme="minorHAnsi"/>
          <w:lang w:eastAsia="en-US"/>
        </w:rPr>
      </w:pPr>
      <w:r w:rsidRPr="00814CD8">
        <w:rPr>
          <w:lang w:eastAsia="en-US"/>
        </w:rPr>
        <w:t xml:space="preserve">Геомаркетинг – </w:t>
      </w:r>
      <w:r w:rsidRPr="00814CD8">
        <w:rPr>
          <w:rFonts w:eastAsiaTheme="minorHAnsi"/>
          <w:lang w:eastAsia="en-US"/>
        </w:rPr>
        <w:t xml:space="preserve">научное направление, появившееся сравнительно недавно и находящееся на стыке маркетинговых исследований и географии с применением ГИС. Можно сказать, что геомаркетинг занимается обработкой и анализом информации, получаемой путем маркетинговых исследований и имеющей географическую привязку. </w:t>
      </w:r>
    </w:p>
    <w:p w14:paraId="58554A3F" w14:textId="355687C8" w:rsidR="00814CD8" w:rsidRPr="00814CD8" w:rsidRDefault="000E468A" w:rsidP="00814CD8">
      <w:pPr>
        <w:ind w:firstLine="851"/>
        <w:jc w:val="both"/>
        <w:rPr>
          <w:rFonts w:eastAsiaTheme="minorHAnsi"/>
          <w:lang w:eastAsia="en-US"/>
        </w:rPr>
      </w:pPr>
      <w:r>
        <w:rPr>
          <w:rFonts w:eastAsiaTheme="minorHAnsi"/>
          <w:lang w:eastAsia="en-US"/>
        </w:rPr>
        <w:t>Понятие</w:t>
      </w:r>
      <w:r w:rsidRPr="00814CD8">
        <w:rPr>
          <w:rFonts w:eastAsiaTheme="minorHAnsi"/>
          <w:lang w:eastAsia="en-US"/>
        </w:rPr>
        <w:t xml:space="preserve"> </w:t>
      </w:r>
      <w:r w:rsidR="00814CD8" w:rsidRPr="00814CD8">
        <w:rPr>
          <w:rFonts w:eastAsiaTheme="minorHAnsi"/>
          <w:lang w:eastAsia="en-US"/>
        </w:rPr>
        <w:t>геомаркетинга строго не определено. Н.Лазаревой и В.Фурсовым оно было сформулировано с 2 точек зрения:</w:t>
      </w:r>
    </w:p>
    <w:p w14:paraId="5B0E2A1A" w14:textId="53A3E390" w:rsidR="00814CD8" w:rsidRPr="00814CD8" w:rsidRDefault="00814CD8" w:rsidP="00814CD8">
      <w:pPr>
        <w:ind w:firstLine="851"/>
        <w:jc w:val="both"/>
        <w:rPr>
          <w:rFonts w:eastAsiaTheme="minorHAnsi"/>
          <w:lang w:eastAsia="en-US"/>
        </w:rPr>
      </w:pPr>
      <w:r w:rsidRPr="00814CD8">
        <w:rPr>
          <w:rFonts w:eastAsiaTheme="minorHAnsi"/>
          <w:lang w:eastAsia="en-US"/>
        </w:rPr>
        <w:t>Геомаркетинг как концепция – рыночная концепция управления современным производством на основе геоинформационных технологий, которая предполагает использования пространственно</w:t>
      </w:r>
      <w:r w:rsidR="000E468A">
        <w:rPr>
          <w:rFonts w:eastAsiaTheme="minorHAnsi"/>
          <w:lang w:eastAsia="en-US"/>
        </w:rPr>
        <w:t>-</w:t>
      </w:r>
      <w:r w:rsidRPr="00814CD8">
        <w:rPr>
          <w:rFonts w:eastAsiaTheme="minorHAnsi"/>
          <w:lang w:eastAsia="en-US"/>
        </w:rPr>
        <w:t>локализованной информации для поддержки принятия маркетинговых решений.</w:t>
      </w:r>
    </w:p>
    <w:p w14:paraId="497211C5" w14:textId="77777777" w:rsidR="00814CD8" w:rsidRPr="00814CD8" w:rsidRDefault="00814CD8" w:rsidP="00814CD8">
      <w:pPr>
        <w:ind w:firstLine="851"/>
        <w:jc w:val="both"/>
        <w:rPr>
          <w:rFonts w:eastAsiaTheme="minorHAnsi"/>
          <w:lang w:eastAsia="en-US"/>
        </w:rPr>
      </w:pPr>
      <w:r w:rsidRPr="00814CD8">
        <w:rPr>
          <w:rFonts w:eastAsiaTheme="minorHAnsi"/>
          <w:lang w:eastAsia="en-US"/>
        </w:rPr>
        <w:lastRenderedPageBreak/>
        <w:t>Геомаркетинг как технология – процесс принятия решений в управлении пространственно-распределенными объектами с помощью геоинформационных технологий. (Лазарева, Фурсов, 2010, с. 199)</w:t>
      </w:r>
    </w:p>
    <w:p w14:paraId="382082BE" w14:textId="77777777" w:rsidR="00814CD8" w:rsidRPr="00814CD8" w:rsidRDefault="00814CD8" w:rsidP="00814CD8">
      <w:pPr>
        <w:ind w:firstLine="851"/>
        <w:jc w:val="both"/>
        <w:rPr>
          <w:rFonts w:eastAsiaTheme="minorHAnsi"/>
          <w:lang w:eastAsia="en-US"/>
        </w:rPr>
      </w:pPr>
      <w:r w:rsidRPr="00814CD8">
        <w:rPr>
          <w:rFonts w:eastAsiaTheme="minorHAnsi"/>
          <w:lang w:eastAsia="en-US"/>
        </w:rPr>
        <w:t>Целью геомаркетинга является применение знаний, полученных в результате детального анализа, для принятия решений в сфере рационального и выгодного размещения определенного вида деятельности или производства. В настоящее время геомаркетинг активно применяется в различных сферах жизни общества: размещении розничной торговли, инженерии, строительстве, туризме и др. Геомаркетинг является порождением информационного маркетинга, который, в свою очередь, является современным развитием традиционного маркетинга (Цветков, 2000). Данная дисциплина также дает возможность визуальной обработки данных при применении электронной и деловой графики.</w:t>
      </w:r>
    </w:p>
    <w:p w14:paraId="52447423" w14:textId="515DF855"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В процессе накопления и углубления новых знаний, непременно меняются тенденции исследований. Раньше акцент ставился на изучении крупных территорий (стран или их больших по площади частей). В современный период главенствующую роль играют рассмотрение и детальный анализ более мелких, локальных пространств (городов или их отдельных районов). Сфера охвата геомаркетинговых исследований определяется непосредственно рассматриваемыми объектами. Чем больше территории они занимают, тем обширнее сфера обслуживания, следствием чего методы изучения становятся сложнее и разнообразнее. Для объектов малой торговли чаще всего используют полевые исследования, в ходе которых применяют такие методы, как замер автомобильного и (или) пешеходного трафиков, оценка численности и плотности населения на примыкающей территории, анализ конкурентного окружения и др.; для крупной – исследуются структуры высшего порядка с большим количеством взаимосвязей, при этом учитываются множество факторов, влияющих на перспективное развитие исследуемого объекта: поведение потенциальных потребителей, их материальное положение, оборот розничной торговли, конкурентное окружени</w:t>
      </w:r>
      <w:r w:rsidR="00A16968">
        <w:rPr>
          <w:rFonts w:eastAsiaTheme="minorHAnsi"/>
          <w:szCs w:val="22"/>
          <w:lang w:eastAsia="en-US"/>
        </w:rPr>
        <w:t>е</w:t>
      </w:r>
      <w:r w:rsidRPr="00814CD8">
        <w:rPr>
          <w:rFonts w:eastAsiaTheme="minorHAnsi"/>
          <w:szCs w:val="22"/>
          <w:lang w:eastAsia="en-US"/>
        </w:rPr>
        <w:t>.</w:t>
      </w:r>
    </w:p>
    <w:p w14:paraId="272836A3"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Сочетание сил, которое действует определенным образом на определенной территории и оказывающих непосредственное влияние на реализацию объектом торговли маркетинговой функции было принято называть геомаркетинговой средой. Геомаркетинговая среда обладает территориальной общностью, целостностью и спецификой, т. е. все факторы геомаркетинговой среды распределены в пределах одной и той же территории и между данными факторами наблюдается определенная географическая взаимосвязанность – территориальное единство, придающее характер целостности (Рудой, Павлюкова, 2009, с. 250-251). Любая фирма испытывает на себе влияние факторов геомаркетинговой среды, и сама влияет на нее, образуя геомаркетинговую систему.</w:t>
      </w:r>
    </w:p>
    <w:p w14:paraId="4CC4CF79" w14:textId="1D0CB9BC"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lastRenderedPageBreak/>
        <w:t>Основная цель геомаркетинга – предоставление для компаний различных критериев анализа рынков и поведения покупателей, повышение эффективности ведения бизнеса на основе пространственно-временного изучения реальных разнородных данных: мониторинга, прогноза, управления пространственно</w:t>
      </w:r>
      <w:r w:rsidR="00A16968">
        <w:rPr>
          <w:rFonts w:eastAsiaTheme="minorHAnsi"/>
          <w:szCs w:val="22"/>
          <w:lang w:eastAsia="en-US"/>
        </w:rPr>
        <w:t>-</w:t>
      </w:r>
      <w:r w:rsidRPr="00814CD8">
        <w:rPr>
          <w:rFonts w:eastAsiaTheme="minorHAnsi"/>
          <w:szCs w:val="22"/>
          <w:lang w:eastAsia="en-US"/>
        </w:rPr>
        <w:t>распределенными бизнес-структурами (Рудой, Павлюкова, 2009, с. 252).</w:t>
      </w:r>
    </w:p>
    <w:p w14:paraId="35584101"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К основным задачам геомаркетингового исследования В.Цветковым были отнесены следующие:</w:t>
      </w:r>
    </w:p>
    <w:p w14:paraId="15C29A5C" w14:textId="0FE6C67A"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а</w:t>
      </w:r>
      <w:r w:rsidR="00814CD8" w:rsidRPr="00814CD8">
        <w:rPr>
          <w:rFonts w:eastAsiaTheme="minorHAnsi"/>
          <w:szCs w:val="22"/>
          <w:lang w:eastAsia="en-US"/>
        </w:rPr>
        <w:t>нализ рационального и выгодного размещения планируемого объекта на данной территории;</w:t>
      </w:r>
    </w:p>
    <w:p w14:paraId="65A86A7A" w14:textId="2694F732"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а</w:t>
      </w:r>
      <w:r w:rsidR="00814CD8" w:rsidRPr="00814CD8">
        <w:rPr>
          <w:rFonts w:eastAsiaTheme="minorHAnsi"/>
          <w:szCs w:val="22"/>
          <w:lang w:eastAsia="en-US"/>
        </w:rPr>
        <w:t>нализ пространственной и временной динамики показателей, определяющих размещение исследуемого объекта местности;</w:t>
      </w:r>
    </w:p>
    <w:p w14:paraId="0909A6DC" w14:textId="013FC82A"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а</w:t>
      </w:r>
      <w:r w:rsidR="00814CD8" w:rsidRPr="00814CD8">
        <w:rPr>
          <w:rFonts w:eastAsiaTheme="minorHAnsi"/>
          <w:szCs w:val="22"/>
          <w:lang w:eastAsia="en-US"/>
        </w:rPr>
        <w:t>нализ конкурентоспособности окружения исследуемого объекта;</w:t>
      </w:r>
    </w:p>
    <w:p w14:paraId="525305E9" w14:textId="0D59C225"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п</w:t>
      </w:r>
      <w:r w:rsidR="00814CD8" w:rsidRPr="00814CD8">
        <w:rPr>
          <w:rFonts w:eastAsiaTheme="minorHAnsi"/>
          <w:szCs w:val="22"/>
          <w:lang w:eastAsia="en-US"/>
        </w:rPr>
        <w:t>рогнозирование определенных свойств и показателей исследуемого объекта, соответствующих потребительским требованиям на данной территории;</w:t>
      </w:r>
    </w:p>
    <w:p w14:paraId="56169A21" w14:textId="246E68D5"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в</w:t>
      </w:r>
      <w:r w:rsidR="00814CD8" w:rsidRPr="00814CD8">
        <w:rPr>
          <w:rFonts w:eastAsiaTheme="minorHAnsi"/>
          <w:szCs w:val="22"/>
          <w:lang w:eastAsia="en-US"/>
        </w:rPr>
        <w:t>ыбор оптимального местоположения для планируемого объекта, удовлетворяющего необходимым условиям, таким как: ориентировка на определенные слои населения, ценовая политика организации, актуальность организации данной деятельности на выбранной территории и др.;</w:t>
      </w:r>
    </w:p>
    <w:p w14:paraId="3C23BFB3" w14:textId="7CBD0A89" w:rsidR="00814CD8" w:rsidRPr="00814CD8" w:rsidRDefault="002B7BF3" w:rsidP="00432C4A">
      <w:pPr>
        <w:numPr>
          <w:ilvl w:val="0"/>
          <w:numId w:val="24"/>
        </w:numPr>
        <w:contextualSpacing/>
        <w:jc w:val="both"/>
        <w:rPr>
          <w:rFonts w:eastAsiaTheme="minorHAnsi"/>
          <w:szCs w:val="22"/>
          <w:lang w:eastAsia="en-US"/>
        </w:rPr>
      </w:pPr>
      <w:r>
        <w:rPr>
          <w:rFonts w:eastAsiaTheme="minorHAnsi"/>
          <w:szCs w:val="22"/>
          <w:lang w:eastAsia="en-US"/>
        </w:rPr>
        <w:t>п</w:t>
      </w:r>
      <w:r w:rsidR="00814CD8" w:rsidRPr="00814CD8">
        <w:rPr>
          <w:rFonts w:eastAsiaTheme="minorHAnsi"/>
          <w:szCs w:val="22"/>
          <w:lang w:eastAsia="en-US"/>
        </w:rPr>
        <w:t>остроение зон транспортной и пешеходной доступности и т. д.</w:t>
      </w:r>
    </w:p>
    <w:p w14:paraId="427E1C74" w14:textId="477E6145"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Решение данных задач требует учета многих факторов, таких как: конкурентность окружения, численность и плотность населения, требования потребителей, свойства местности и т. д. Таким образом, можно выделить два основных направления геомаркетингового анализа: потребители и конкуренты (Стефанова, 2019, с. 732). Исследование потребителей заключается в составлении «портрета» потребителя и определения уровня его платежеспособности. При исследовании конкурентов акцент делается на более подробном анализе местоположения потенциальных конкурентов, ассортимент</w:t>
      </w:r>
      <w:r w:rsidR="00A16968">
        <w:rPr>
          <w:rFonts w:eastAsiaTheme="minorHAnsi"/>
          <w:szCs w:val="22"/>
          <w:lang w:eastAsia="en-US"/>
        </w:rPr>
        <w:t>е</w:t>
      </w:r>
      <w:r w:rsidRPr="00814CD8">
        <w:rPr>
          <w:rFonts w:eastAsiaTheme="minorHAnsi"/>
          <w:szCs w:val="22"/>
          <w:lang w:eastAsia="en-US"/>
        </w:rPr>
        <w:t xml:space="preserve"> предлагаемой ими продукции, уровн</w:t>
      </w:r>
      <w:r w:rsidR="00A16968">
        <w:rPr>
          <w:rFonts w:eastAsiaTheme="minorHAnsi"/>
          <w:szCs w:val="22"/>
          <w:lang w:eastAsia="en-US"/>
        </w:rPr>
        <w:t>е</w:t>
      </w:r>
      <w:r w:rsidRPr="00814CD8">
        <w:rPr>
          <w:rFonts w:eastAsiaTheme="minorHAnsi"/>
          <w:szCs w:val="22"/>
          <w:lang w:eastAsia="en-US"/>
        </w:rPr>
        <w:t xml:space="preserve"> цен и др. Чем больше оценивается факторов, тем детальнее получается анализ.</w:t>
      </w:r>
    </w:p>
    <w:p w14:paraId="7B167397"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В.Цветковым было выделено 2 группы геомаркетинговых исследований: оперативные, заключающиеся в оценке тех или иных параметров в данный момент времени и стратегические – более комплексный и ретроспективный анализ состояния рынка с целью получения прогнозных значений состояния рынка, направленный на изучение стратегий развития организации в целом и ее деятельности.</w:t>
      </w:r>
    </w:p>
    <w:p w14:paraId="275D65D0"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lastRenderedPageBreak/>
        <w:t xml:space="preserve">Методологическая основа геомаркетинга представляет собой совокупность методов и моделей: методы пространственных маркетинговых исследований, пространственного анализа, информационных технологий, фрактального анализа, статистические и картографические методы, экономико-математическое моделирование. В современную эпоху бурного развития научно-технической базы применение геоинформационных систем (ГИС) для реализации нужд географических исследований является неотъемлемой составляющей. Существующие ГИС-технологии не охватывают весь круг маркетинговых задач, поэтому они должны быть дополнены типично маркетинговыми технологиями (Цветков, 2000). ГИС являются основным инструментом геомаркетинга. Они помогают быстро и </w:t>
      </w:r>
      <w:proofErr w:type="gramStart"/>
      <w:r w:rsidRPr="00814CD8">
        <w:rPr>
          <w:rFonts w:eastAsiaTheme="minorHAnsi"/>
          <w:szCs w:val="22"/>
          <w:lang w:eastAsia="en-US"/>
        </w:rPr>
        <w:t>качественно анализировать</w:t>
      </w:r>
      <w:proofErr w:type="gramEnd"/>
      <w:r w:rsidRPr="00814CD8">
        <w:rPr>
          <w:rFonts w:eastAsiaTheme="minorHAnsi"/>
          <w:szCs w:val="22"/>
          <w:lang w:eastAsia="en-US"/>
        </w:rPr>
        <w:t xml:space="preserve"> и обрабатывать большие массивы данных, учитывая их географические характеристики.</w:t>
      </w:r>
    </w:p>
    <w:p w14:paraId="45179D13"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Геомаркетинговая информационная система (ГМС или корпоративная ГИС) – программно-аппаратный комплекс, состоящий из программного обеспечения, информационных ресурсов и баз геоданных, позволяющий осуществлять сбор, хранение, обработку, анализ, моделирование и прогноз пространственно привязанной информации о рынках и потребителях для достижения оперативных и стратегических целей компании в сфере торговли. Основная цель данных систем – это непрерывный внутренний и внешний мониторинг разнородной географически «привязанной» информации о рынке и потребителе, ее визуализация на единой картографической основе для решения оперативных задач компании (Богомолова, 2014, с. 105; Угаров, 2005)</w:t>
      </w:r>
    </w:p>
    <w:p w14:paraId="35F1CACE"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К основным преимуществам использования геомаркетинговых исследований при анализе размещения объектов розничной торговли и общественного питания являются:</w:t>
      </w:r>
    </w:p>
    <w:p w14:paraId="17FDFFB4" w14:textId="00F492E1" w:rsidR="00814CD8" w:rsidRPr="00814CD8" w:rsidRDefault="00FA0EEC" w:rsidP="00432C4A">
      <w:pPr>
        <w:numPr>
          <w:ilvl w:val="0"/>
          <w:numId w:val="23"/>
        </w:numPr>
        <w:ind w:left="360"/>
        <w:contextualSpacing/>
        <w:jc w:val="both"/>
        <w:rPr>
          <w:rFonts w:eastAsiaTheme="minorHAnsi"/>
          <w:szCs w:val="22"/>
          <w:lang w:eastAsia="en-US"/>
        </w:rPr>
      </w:pPr>
      <w:r>
        <w:rPr>
          <w:rFonts w:eastAsiaTheme="minorHAnsi"/>
          <w:szCs w:val="22"/>
          <w:lang w:eastAsia="en-US"/>
        </w:rPr>
        <w:t>с</w:t>
      </w:r>
      <w:r w:rsidR="00814CD8" w:rsidRPr="00814CD8">
        <w:rPr>
          <w:rFonts w:eastAsiaTheme="minorHAnsi"/>
          <w:szCs w:val="22"/>
          <w:lang w:eastAsia="en-US"/>
        </w:rPr>
        <w:t>корость: быстрота расчетов результатов работы организаций на рассматриваемой территории;</w:t>
      </w:r>
    </w:p>
    <w:p w14:paraId="06475F15" w14:textId="1A7F895B" w:rsidR="00814CD8" w:rsidRPr="00814CD8" w:rsidRDefault="00FA0EEC" w:rsidP="00432C4A">
      <w:pPr>
        <w:numPr>
          <w:ilvl w:val="0"/>
          <w:numId w:val="23"/>
        </w:numPr>
        <w:ind w:left="360"/>
        <w:contextualSpacing/>
        <w:jc w:val="both"/>
        <w:rPr>
          <w:rFonts w:eastAsiaTheme="minorHAnsi"/>
          <w:szCs w:val="22"/>
          <w:lang w:eastAsia="en-US"/>
        </w:rPr>
      </w:pPr>
      <w:r>
        <w:rPr>
          <w:rFonts w:eastAsiaTheme="minorHAnsi"/>
          <w:szCs w:val="22"/>
          <w:lang w:eastAsia="en-US"/>
        </w:rPr>
        <w:t>т</w:t>
      </w:r>
      <w:r w:rsidR="00814CD8" w:rsidRPr="00814CD8">
        <w:rPr>
          <w:rFonts w:eastAsiaTheme="minorHAnsi"/>
          <w:szCs w:val="22"/>
          <w:lang w:eastAsia="en-US"/>
        </w:rPr>
        <w:t>очность: высокая степень объективности получаемых результатов, минимизация возможных ошибок при использовании релевантных источников данных:</w:t>
      </w:r>
    </w:p>
    <w:p w14:paraId="7B174F10" w14:textId="0E5E732A" w:rsidR="00814CD8" w:rsidRPr="00814CD8" w:rsidRDefault="00FA0EEC" w:rsidP="00432C4A">
      <w:pPr>
        <w:numPr>
          <w:ilvl w:val="0"/>
          <w:numId w:val="23"/>
        </w:numPr>
        <w:ind w:left="360"/>
        <w:contextualSpacing/>
        <w:jc w:val="both"/>
        <w:rPr>
          <w:rFonts w:eastAsiaTheme="minorHAnsi"/>
          <w:szCs w:val="22"/>
          <w:lang w:eastAsia="en-US"/>
        </w:rPr>
      </w:pPr>
      <w:r>
        <w:rPr>
          <w:rFonts w:eastAsiaTheme="minorHAnsi"/>
          <w:szCs w:val="22"/>
          <w:lang w:eastAsia="en-US"/>
        </w:rPr>
        <w:t>н</w:t>
      </w:r>
      <w:r w:rsidR="00814CD8" w:rsidRPr="00814CD8">
        <w:rPr>
          <w:rFonts w:eastAsiaTheme="minorHAnsi"/>
          <w:szCs w:val="22"/>
          <w:lang w:eastAsia="en-US"/>
        </w:rPr>
        <w:t>аглядность: простота проведения сравнительных оценок параметров территорий, объектов и маркетинговой активности с учето</w:t>
      </w:r>
      <w:r w:rsidR="006712B5">
        <w:rPr>
          <w:rFonts w:eastAsiaTheme="minorHAnsi"/>
          <w:szCs w:val="22"/>
          <w:lang w:eastAsia="en-US"/>
        </w:rPr>
        <w:t>м</w:t>
      </w:r>
      <w:r w:rsidR="00814CD8" w:rsidRPr="00814CD8">
        <w:rPr>
          <w:rFonts w:eastAsiaTheme="minorHAnsi"/>
          <w:szCs w:val="22"/>
          <w:lang w:eastAsia="en-US"/>
        </w:rPr>
        <w:t xml:space="preserve"> множества факторов;</w:t>
      </w:r>
    </w:p>
    <w:p w14:paraId="48411FFC" w14:textId="1145E0D2" w:rsidR="00814CD8" w:rsidRPr="00814CD8" w:rsidRDefault="00FA0EEC" w:rsidP="00432C4A">
      <w:pPr>
        <w:numPr>
          <w:ilvl w:val="0"/>
          <w:numId w:val="23"/>
        </w:numPr>
        <w:ind w:left="360"/>
        <w:contextualSpacing/>
        <w:jc w:val="both"/>
        <w:rPr>
          <w:rFonts w:eastAsiaTheme="minorHAnsi"/>
          <w:szCs w:val="22"/>
          <w:lang w:eastAsia="en-US"/>
        </w:rPr>
      </w:pPr>
      <w:r>
        <w:rPr>
          <w:rFonts w:eastAsiaTheme="minorHAnsi"/>
          <w:szCs w:val="22"/>
          <w:lang w:eastAsia="en-US"/>
        </w:rPr>
        <w:t>г</w:t>
      </w:r>
      <w:r w:rsidR="00814CD8" w:rsidRPr="00814CD8">
        <w:rPr>
          <w:rFonts w:eastAsiaTheme="minorHAnsi"/>
          <w:szCs w:val="22"/>
          <w:lang w:eastAsia="en-US"/>
        </w:rPr>
        <w:t>ибкость: широкий набор инструментов пространственного анализа, использование наиболее актуальной информации для отображения на карте;</w:t>
      </w:r>
    </w:p>
    <w:p w14:paraId="0574D41A" w14:textId="4DC0BC4A" w:rsidR="00814CD8" w:rsidRPr="00814CD8" w:rsidRDefault="00FA0EEC" w:rsidP="00432C4A">
      <w:pPr>
        <w:numPr>
          <w:ilvl w:val="0"/>
          <w:numId w:val="23"/>
        </w:numPr>
        <w:ind w:left="360"/>
        <w:contextualSpacing/>
        <w:jc w:val="both"/>
        <w:rPr>
          <w:rFonts w:eastAsiaTheme="minorHAnsi"/>
          <w:szCs w:val="22"/>
          <w:lang w:eastAsia="en-US"/>
        </w:rPr>
      </w:pPr>
      <w:r>
        <w:rPr>
          <w:rFonts w:eastAsiaTheme="minorHAnsi"/>
          <w:szCs w:val="22"/>
          <w:lang w:eastAsia="en-US"/>
        </w:rPr>
        <w:t>о</w:t>
      </w:r>
      <w:r w:rsidR="00814CD8" w:rsidRPr="00814CD8">
        <w:rPr>
          <w:rFonts w:eastAsiaTheme="minorHAnsi"/>
          <w:szCs w:val="22"/>
          <w:lang w:eastAsia="en-US"/>
        </w:rPr>
        <w:t>перативность: быстрота подготовки вариантов решений поставленных задач при вариации используемых параметров, быстрый поиск оптимальных решений;</w:t>
      </w:r>
    </w:p>
    <w:p w14:paraId="6DF99CD8" w14:textId="3C29D44C" w:rsidR="00814CD8" w:rsidRPr="00814CD8" w:rsidRDefault="002B7BF3" w:rsidP="00432C4A">
      <w:pPr>
        <w:numPr>
          <w:ilvl w:val="0"/>
          <w:numId w:val="23"/>
        </w:numPr>
        <w:ind w:left="360"/>
        <w:contextualSpacing/>
        <w:jc w:val="both"/>
        <w:rPr>
          <w:rFonts w:eastAsiaTheme="minorHAnsi"/>
          <w:szCs w:val="22"/>
          <w:lang w:eastAsia="en-US"/>
        </w:rPr>
      </w:pPr>
      <w:r>
        <w:rPr>
          <w:rFonts w:eastAsiaTheme="minorHAnsi"/>
          <w:szCs w:val="22"/>
          <w:lang w:eastAsia="en-US"/>
        </w:rPr>
        <w:t>а</w:t>
      </w:r>
      <w:r w:rsidR="00814CD8" w:rsidRPr="00814CD8">
        <w:rPr>
          <w:rFonts w:eastAsiaTheme="minorHAnsi"/>
          <w:szCs w:val="22"/>
          <w:lang w:eastAsia="en-US"/>
        </w:rPr>
        <w:t>втоматизация решения задач; автоматизация решения повседневных задач;</w:t>
      </w:r>
    </w:p>
    <w:p w14:paraId="1C02FB8A" w14:textId="416A12B8" w:rsidR="00814CD8" w:rsidRPr="00814CD8" w:rsidRDefault="002B7BF3" w:rsidP="00432C4A">
      <w:pPr>
        <w:numPr>
          <w:ilvl w:val="0"/>
          <w:numId w:val="23"/>
        </w:numPr>
        <w:ind w:left="360"/>
        <w:contextualSpacing/>
        <w:jc w:val="both"/>
        <w:rPr>
          <w:rFonts w:eastAsiaTheme="minorHAnsi"/>
          <w:szCs w:val="22"/>
          <w:lang w:eastAsia="en-US"/>
        </w:rPr>
      </w:pPr>
      <w:r>
        <w:rPr>
          <w:rFonts w:eastAsiaTheme="minorHAnsi"/>
          <w:szCs w:val="22"/>
          <w:lang w:eastAsia="en-US"/>
        </w:rPr>
        <w:lastRenderedPageBreak/>
        <w:t>п</w:t>
      </w:r>
      <w:r w:rsidR="00814CD8" w:rsidRPr="00814CD8">
        <w:rPr>
          <w:rFonts w:eastAsiaTheme="minorHAnsi"/>
          <w:szCs w:val="22"/>
          <w:lang w:eastAsia="en-US"/>
        </w:rPr>
        <w:t>резентационные возможности: подготовка графических материалов, пояснительных записок, отчетов и презентаций (Лазарева, Фурсов, 2010, с. 200-201).</w:t>
      </w:r>
    </w:p>
    <w:p w14:paraId="3978945B" w14:textId="77777777" w:rsidR="00814CD8" w:rsidRPr="00814CD8" w:rsidRDefault="00814CD8" w:rsidP="00814CD8">
      <w:pPr>
        <w:spacing w:after="160"/>
        <w:ind w:firstLine="851"/>
        <w:jc w:val="both"/>
        <w:rPr>
          <w:rFonts w:eastAsiaTheme="minorHAnsi"/>
          <w:szCs w:val="22"/>
          <w:lang w:eastAsia="en-US"/>
        </w:rPr>
      </w:pPr>
      <w:r w:rsidRPr="00814CD8">
        <w:rPr>
          <w:rFonts w:eastAsiaTheme="minorHAnsi"/>
          <w:szCs w:val="22"/>
          <w:lang w:eastAsia="en-US"/>
        </w:rPr>
        <w:t>Применение методов и инструментов геомаркетинга помогает решать задачи в области маркетинговых исследований и менеджмента, такие как прогнозы развития рынков под влиянием различных внешних и внутренних факторов, выбор оптимального местоположения для торговых точек, оценка возможного объема потенциальных клиентов с акцентом на транспортную доступность торговых точек, дифференциация их ассортимента в зависимости от показателей территории, анализ конкурентной базы, оценка пространственного распределения материальных потоков, решение логистических задач и многое другое. Таким образом, в рамках концепции геомаркетинга ведутся исследования пространственных характеристик рынков, расположения потенциальных потребителей, проводится географическая сегментация рынков на основе выделения различных зон, необходимых для разработки дифференцированной региональной маркетинговой стратегии (Лазарева, Фурсов, 2010, с.201).</w:t>
      </w:r>
    </w:p>
    <w:p w14:paraId="61E03BE0" w14:textId="41B8701C" w:rsidR="00814CD8" w:rsidRPr="00814CD8" w:rsidRDefault="00814CD8" w:rsidP="00432C4A">
      <w:pPr>
        <w:keepNext/>
        <w:keepLines/>
        <w:numPr>
          <w:ilvl w:val="1"/>
          <w:numId w:val="2"/>
        </w:numPr>
        <w:spacing w:before="160" w:after="160"/>
        <w:ind w:left="0" w:firstLine="0"/>
        <w:outlineLvl w:val="1"/>
        <w:rPr>
          <w:rFonts w:eastAsiaTheme="majorEastAsia"/>
          <w:b/>
          <w:bCs/>
          <w:lang w:eastAsia="en-US"/>
        </w:rPr>
      </w:pPr>
      <w:bookmarkStart w:id="4" w:name="_Toc103641019"/>
      <w:r w:rsidRPr="00814CD8">
        <w:rPr>
          <w:rFonts w:eastAsiaTheme="majorEastAsia"/>
          <w:b/>
          <w:bCs/>
          <w:lang w:eastAsia="en-US"/>
        </w:rPr>
        <w:t xml:space="preserve">Модели </w:t>
      </w:r>
      <w:r w:rsidR="005648A4" w:rsidRPr="00814CD8">
        <w:rPr>
          <w:rFonts w:eastAsiaTheme="majorEastAsia"/>
          <w:b/>
          <w:bCs/>
          <w:lang w:eastAsia="en-US"/>
        </w:rPr>
        <w:t>пространственного</w:t>
      </w:r>
      <w:r w:rsidRPr="00814CD8">
        <w:rPr>
          <w:rFonts w:eastAsiaTheme="majorEastAsia"/>
          <w:b/>
          <w:bCs/>
          <w:lang w:eastAsia="en-US"/>
        </w:rPr>
        <w:t xml:space="preserve"> взаимодействия</w:t>
      </w:r>
      <w:bookmarkEnd w:id="4"/>
    </w:p>
    <w:p w14:paraId="7265F1E3" w14:textId="3356A629"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Размещение объектов торговли и общественного питания определяет характер их функционирования. Отрицать влияние месторасположения объекта сферы обслуживания невозможно, но, тем не менее, степень подобного влияния может быть принципиально разной (Глыбченко, 2014, с.222). Успешность размещения торгового объекта может быть оценена при применении пространственных моделей потребительского пове</w:t>
      </w:r>
      <w:r w:rsidR="006712B5">
        <w:rPr>
          <w:rFonts w:eastAsiaTheme="minorHAnsi"/>
          <w:szCs w:val="22"/>
          <w:lang w:eastAsia="en-US"/>
        </w:rPr>
        <w:t>д</w:t>
      </w:r>
      <w:r w:rsidRPr="00814CD8">
        <w:rPr>
          <w:rFonts w:eastAsiaTheme="minorHAnsi"/>
          <w:szCs w:val="22"/>
          <w:lang w:eastAsia="en-US"/>
        </w:rPr>
        <w:t>ения, которые учитывают временную и пространственную динамику внешних и внутренних факторов и позволяют моделировать и прогнозировать ситуацию на рассматриваемом рынке в будущем.</w:t>
      </w:r>
    </w:p>
    <w:p w14:paraId="4BFD98C9" w14:textId="6287EEEB"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Трудности использования моделей пространственного поведения заключаются в невозможности применения одних и тех же моделей для разных типов объектов с разными социально-экономическими характеристиками. Согласно А.Ф.Имангалину, существует несколько моделей пространственного поведения: детерминистские, описывающие поведени</w:t>
      </w:r>
      <w:r w:rsidR="006712B5">
        <w:rPr>
          <w:rFonts w:eastAsiaTheme="minorHAnsi"/>
          <w:szCs w:val="22"/>
          <w:lang w:eastAsia="en-US"/>
        </w:rPr>
        <w:t>е</w:t>
      </w:r>
      <w:r w:rsidRPr="00814CD8">
        <w:rPr>
          <w:rFonts w:eastAsiaTheme="minorHAnsi"/>
          <w:szCs w:val="22"/>
          <w:lang w:eastAsia="en-US"/>
        </w:rPr>
        <w:t xml:space="preserve"> потребителей, эмпирические наблюдения и стохастические, основывающи</w:t>
      </w:r>
      <w:r w:rsidR="006712B5">
        <w:rPr>
          <w:rFonts w:eastAsiaTheme="minorHAnsi"/>
          <w:szCs w:val="22"/>
          <w:lang w:eastAsia="en-US"/>
        </w:rPr>
        <w:t>е</w:t>
      </w:r>
      <w:r w:rsidRPr="00814CD8">
        <w:rPr>
          <w:rFonts w:eastAsiaTheme="minorHAnsi"/>
          <w:szCs w:val="22"/>
          <w:lang w:eastAsia="en-US"/>
        </w:rPr>
        <w:t>ся на математических методах, с целью анализа факторов выбора объекта обслуживания (Имангалин, 2013, с.62). В сфере розничной торговли и общественного питания обычно применяют второй вид моделей, поскольку на его основе можно сделать выводы о предпочтениях потребителей и их поведении в зоне обслуживания. Каждая из вышеперечисленных моделей делится на типы, каждый из которых применяется с учетом характеристик исследуемых объектов:</w:t>
      </w:r>
    </w:p>
    <w:p w14:paraId="5ADB32A8"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 xml:space="preserve">Детерминистская группа делится на 3 типа: </w:t>
      </w:r>
    </w:p>
    <w:p w14:paraId="2633367E" w14:textId="77777777" w:rsidR="00814CD8" w:rsidRPr="00814CD8" w:rsidRDefault="00814CD8" w:rsidP="00432C4A">
      <w:pPr>
        <w:numPr>
          <w:ilvl w:val="0"/>
          <w:numId w:val="21"/>
        </w:numPr>
        <w:ind w:left="360"/>
        <w:contextualSpacing/>
        <w:jc w:val="both"/>
        <w:rPr>
          <w:rFonts w:eastAsiaTheme="minorHAnsi"/>
          <w:szCs w:val="22"/>
          <w:lang w:eastAsia="en-US"/>
        </w:rPr>
      </w:pPr>
      <w:r w:rsidRPr="00814CD8">
        <w:rPr>
          <w:rFonts w:eastAsiaTheme="minorHAnsi"/>
          <w:szCs w:val="22"/>
          <w:lang w:eastAsia="en-US"/>
        </w:rPr>
        <w:lastRenderedPageBreak/>
        <w:t xml:space="preserve">классические модели, описывающие зоны обслуживания на основе эмпирических данных, такие, как теория первичных торговых зон, анализ распределения плотности потребителей и др.; </w:t>
      </w:r>
    </w:p>
    <w:p w14:paraId="15BE42FD" w14:textId="77777777" w:rsidR="00814CD8" w:rsidRPr="00814CD8" w:rsidRDefault="00814CD8" w:rsidP="00432C4A">
      <w:pPr>
        <w:numPr>
          <w:ilvl w:val="0"/>
          <w:numId w:val="21"/>
        </w:numPr>
        <w:ind w:left="360"/>
        <w:contextualSpacing/>
        <w:jc w:val="both"/>
        <w:rPr>
          <w:rFonts w:eastAsiaTheme="minorHAnsi"/>
          <w:szCs w:val="22"/>
          <w:lang w:eastAsia="en-US"/>
        </w:rPr>
      </w:pPr>
      <w:r w:rsidRPr="00814CD8">
        <w:rPr>
          <w:rFonts w:eastAsiaTheme="minorHAnsi"/>
          <w:szCs w:val="22"/>
          <w:lang w:eastAsia="en-US"/>
        </w:rPr>
        <w:t>модели нормативных предположений о поведении потребителей, например теория центральных мест, модели использования полигонов Тиссена;</w:t>
      </w:r>
    </w:p>
    <w:p w14:paraId="3F1C94C4" w14:textId="77777777" w:rsidR="00814CD8" w:rsidRPr="00814CD8" w:rsidRDefault="00814CD8" w:rsidP="00432C4A">
      <w:pPr>
        <w:numPr>
          <w:ilvl w:val="0"/>
          <w:numId w:val="21"/>
        </w:numPr>
        <w:ind w:left="360"/>
        <w:contextualSpacing/>
        <w:jc w:val="both"/>
        <w:rPr>
          <w:rFonts w:eastAsiaTheme="minorHAnsi"/>
          <w:szCs w:val="22"/>
          <w:lang w:eastAsia="en-US"/>
        </w:rPr>
      </w:pPr>
      <w:r w:rsidRPr="00814CD8">
        <w:rPr>
          <w:rFonts w:eastAsiaTheme="minorHAnsi"/>
          <w:szCs w:val="22"/>
          <w:lang w:eastAsia="en-US"/>
        </w:rPr>
        <w:t xml:space="preserve">гравитационные модели, в основе которых лежит классическая теория гравитации Ньютона, примером таких моделей могут служить модель У. Рейли и Г. Джоунза. </w:t>
      </w:r>
    </w:p>
    <w:p w14:paraId="4683E72A" w14:textId="77777777" w:rsidR="00814CD8" w:rsidRPr="00210947" w:rsidRDefault="00814CD8" w:rsidP="002679D1">
      <w:pPr>
        <w:ind w:firstLine="851"/>
        <w:jc w:val="both"/>
        <w:rPr>
          <w:rFonts w:eastAsiaTheme="minorHAnsi"/>
        </w:rPr>
      </w:pPr>
      <w:r w:rsidRPr="00210947">
        <w:rPr>
          <w:rFonts w:eastAsiaTheme="minorHAnsi"/>
        </w:rPr>
        <w:t xml:space="preserve">Стохастические модели делятся на 2 типа: </w:t>
      </w:r>
    </w:p>
    <w:p w14:paraId="4D48066E" w14:textId="13E59633" w:rsidR="00814CD8" w:rsidRPr="00814CD8" w:rsidRDefault="00814CD8" w:rsidP="00432C4A">
      <w:pPr>
        <w:numPr>
          <w:ilvl w:val="0"/>
          <w:numId w:val="22"/>
        </w:numPr>
        <w:ind w:left="360"/>
        <w:contextualSpacing/>
        <w:jc w:val="both"/>
        <w:rPr>
          <w:rFonts w:eastAsiaTheme="minorHAnsi"/>
          <w:szCs w:val="22"/>
          <w:lang w:eastAsia="en-US"/>
        </w:rPr>
      </w:pPr>
      <w:r w:rsidRPr="00814CD8">
        <w:rPr>
          <w:rFonts w:eastAsiaTheme="minorHAnsi"/>
          <w:szCs w:val="22"/>
          <w:lang w:eastAsia="en-US"/>
        </w:rPr>
        <w:t>модели выявления предпочтений с тремя подтипами — моделями пространственного взаимодействия; модел</w:t>
      </w:r>
      <w:r w:rsidR="00CC0B25">
        <w:rPr>
          <w:rFonts w:eastAsiaTheme="minorHAnsi"/>
          <w:szCs w:val="22"/>
          <w:lang w:eastAsia="en-US"/>
        </w:rPr>
        <w:t>ям</w:t>
      </w:r>
      <w:r w:rsidRPr="00814CD8">
        <w:rPr>
          <w:rFonts w:eastAsiaTheme="minorHAnsi"/>
          <w:szCs w:val="22"/>
          <w:lang w:eastAsia="en-US"/>
        </w:rPr>
        <w:t>и дискретного выбора; динамическими пространственными моделями. Их особенностью является возможность прогнозирования будущего состояния объекта на основе данных;</w:t>
      </w:r>
    </w:p>
    <w:p w14:paraId="5F2B916F" w14:textId="77777777" w:rsidR="00814CD8" w:rsidRPr="00814CD8" w:rsidRDefault="00814CD8" w:rsidP="00432C4A">
      <w:pPr>
        <w:numPr>
          <w:ilvl w:val="0"/>
          <w:numId w:val="22"/>
        </w:numPr>
        <w:ind w:left="360"/>
        <w:contextualSpacing/>
        <w:jc w:val="both"/>
        <w:rPr>
          <w:rFonts w:eastAsiaTheme="minorHAnsi"/>
          <w:szCs w:val="22"/>
          <w:lang w:eastAsia="en-US"/>
        </w:rPr>
      </w:pPr>
      <w:r w:rsidRPr="00814CD8">
        <w:rPr>
          <w:rFonts w:eastAsiaTheme="minorHAnsi"/>
          <w:szCs w:val="22"/>
          <w:lang w:eastAsia="en-US"/>
        </w:rPr>
        <w:t>методы прямой оценки услуг.</w:t>
      </w:r>
    </w:p>
    <w:p w14:paraId="2577499C"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Решение задач геомаркетинговых исследований осуществляется при использовании различных инструментов. В научной литературе чаще всего применяются такие модели как: стохастическая гравитационная модель Хаффа, часто используемая при анализе размещения рыночных услуг; детерминистские модели: гравитационный закон розничной торговли Рейли, Теория Центральных мест Вальтера Кристаллера, применимые при рассмотрении сферы социальных услуг, пространственно-диффузионная модель Олэуэйя, Блэка, Ричарда и Масона, основанная на диффузионной теории, аксиома потребительского выбора Льюса, модель Раста и Донту и др.</w:t>
      </w:r>
    </w:p>
    <w:p w14:paraId="6C4FA9EE" w14:textId="7D025181"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Среди детерминистских моделей наиболее используемыми на практике являются полигоны Тиссена. Принцип построени</w:t>
      </w:r>
      <w:r w:rsidR="00CC0B25">
        <w:rPr>
          <w:rFonts w:eastAsiaTheme="minorHAnsi"/>
          <w:szCs w:val="22"/>
          <w:lang w:eastAsia="en-US"/>
        </w:rPr>
        <w:t>я</w:t>
      </w:r>
      <w:r w:rsidRPr="00814CD8">
        <w:rPr>
          <w:rFonts w:eastAsiaTheme="minorHAnsi"/>
          <w:szCs w:val="22"/>
          <w:lang w:eastAsia="en-US"/>
        </w:rPr>
        <w:t xml:space="preserve"> полигонов заключается в формировании «сетки» многоугольников вокруг объектов таким образом, что</w:t>
      </w:r>
      <w:r w:rsidR="00CC0B25">
        <w:rPr>
          <w:rFonts w:eastAsiaTheme="minorHAnsi"/>
          <w:szCs w:val="22"/>
          <w:lang w:eastAsia="en-US"/>
        </w:rPr>
        <w:t>бы</w:t>
      </w:r>
      <w:r w:rsidRPr="00814CD8">
        <w:rPr>
          <w:rFonts w:eastAsiaTheme="minorHAnsi"/>
          <w:szCs w:val="22"/>
          <w:lang w:eastAsia="en-US"/>
        </w:rPr>
        <w:t xml:space="preserve"> для любой точки в пределах полигона расстояние до объекта было меньше, чем до точки любого другого полигона (</w:t>
      </w:r>
      <w:r w:rsidR="005648A4">
        <w:rPr>
          <w:rFonts w:eastAsiaTheme="minorHAnsi"/>
          <w:szCs w:val="22"/>
          <w:lang w:eastAsia="en-US"/>
        </w:rPr>
        <w:t>Рисунок 1</w:t>
      </w:r>
      <w:r w:rsidRPr="00814CD8">
        <w:rPr>
          <w:rFonts w:eastAsiaTheme="minorHAnsi"/>
          <w:szCs w:val="22"/>
          <w:lang w:eastAsia="en-US"/>
        </w:rPr>
        <w:t xml:space="preserve">). Пространство делится на сегменты, границы которых равноудалены от других объектов — центров полигона. В основном данная модель применяется для объектов сферы услуг, для </w:t>
      </w:r>
      <w:r w:rsidR="00CC0B25">
        <w:rPr>
          <w:rFonts w:eastAsiaTheme="minorHAnsi"/>
          <w:szCs w:val="22"/>
          <w:lang w:eastAsia="en-US"/>
        </w:rPr>
        <w:t>которых</w:t>
      </w:r>
      <w:r w:rsidR="00CC0B25" w:rsidRPr="00814CD8">
        <w:rPr>
          <w:rFonts w:eastAsiaTheme="minorHAnsi"/>
          <w:szCs w:val="22"/>
          <w:lang w:eastAsia="en-US"/>
        </w:rPr>
        <w:t xml:space="preserve"> </w:t>
      </w:r>
      <w:r w:rsidRPr="00814CD8">
        <w:rPr>
          <w:rFonts w:eastAsiaTheme="minorHAnsi"/>
          <w:szCs w:val="22"/>
          <w:lang w:eastAsia="en-US"/>
        </w:rPr>
        <w:t>зоны влияни</w:t>
      </w:r>
      <w:r w:rsidR="00CC0B25">
        <w:rPr>
          <w:rFonts w:eastAsiaTheme="minorHAnsi"/>
          <w:szCs w:val="22"/>
          <w:lang w:eastAsia="en-US"/>
        </w:rPr>
        <w:t>я</w:t>
      </w:r>
      <w:r w:rsidRPr="00814CD8">
        <w:rPr>
          <w:rFonts w:eastAsiaTheme="minorHAnsi"/>
          <w:szCs w:val="22"/>
          <w:lang w:eastAsia="en-US"/>
        </w:rPr>
        <w:t xml:space="preserve"> не пересекаются друг с другом (например: школы, больницы, почтовые отделения и др.), т. е. жители полигонов «привязаны» к центру своего полигона. С полигонами Тиссена схожа модель «пространственной монополии», в которой за центры полигонов выступают коммерческие объекты при условии их равнозначности для потребителя (он выбирает ближайший). Применение данной модели характерно для крупных сетевых ритейлеров и </w:t>
      </w:r>
      <w:r w:rsidR="00CC0B25">
        <w:rPr>
          <w:rFonts w:eastAsiaTheme="minorHAnsi"/>
          <w:szCs w:val="22"/>
          <w:lang w:eastAsia="en-US"/>
        </w:rPr>
        <w:t xml:space="preserve">при </w:t>
      </w:r>
      <w:r w:rsidRPr="00814CD8">
        <w:rPr>
          <w:rFonts w:eastAsiaTheme="minorHAnsi"/>
          <w:szCs w:val="22"/>
          <w:lang w:eastAsia="en-US"/>
        </w:rPr>
        <w:t>низк</w:t>
      </w:r>
      <w:r w:rsidR="00CC0B25">
        <w:rPr>
          <w:rFonts w:eastAsiaTheme="minorHAnsi"/>
          <w:szCs w:val="22"/>
          <w:lang w:eastAsia="en-US"/>
        </w:rPr>
        <w:t>о</w:t>
      </w:r>
      <w:r w:rsidRPr="00814CD8">
        <w:rPr>
          <w:rFonts w:eastAsiaTheme="minorHAnsi"/>
          <w:szCs w:val="22"/>
          <w:lang w:eastAsia="en-US"/>
        </w:rPr>
        <w:t>м уровне конкуренции на рынке.</w:t>
      </w:r>
    </w:p>
    <w:p w14:paraId="4736FB82" w14:textId="77777777" w:rsidR="00814CD8" w:rsidRPr="00814CD8" w:rsidRDefault="00814CD8" w:rsidP="00814CD8">
      <w:pPr>
        <w:spacing w:before="160"/>
        <w:rPr>
          <w:rFonts w:eastAsiaTheme="minorHAnsi"/>
          <w:szCs w:val="22"/>
          <w:lang w:eastAsia="en-US"/>
        </w:rPr>
      </w:pPr>
      <w:r w:rsidRPr="00814CD8">
        <w:rPr>
          <w:rFonts w:eastAsiaTheme="minorHAnsi"/>
          <w:noProof/>
          <w:szCs w:val="22"/>
          <w:lang w:eastAsia="en-US"/>
        </w:rPr>
        <w:lastRenderedPageBreak/>
        <w:drawing>
          <wp:inline distT="0" distB="0" distL="0" distR="0" wp14:anchorId="71CB162B" wp14:editId="032EE710">
            <wp:extent cx="3369716" cy="179258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74967" cy="1848576"/>
                    </a:xfrm>
                    <a:prstGeom prst="rect">
                      <a:avLst/>
                    </a:prstGeom>
                  </pic:spPr>
                </pic:pic>
              </a:graphicData>
            </a:graphic>
          </wp:inline>
        </w:drawing>
      </w:r>
    </w:p>
    <w:p w14:paraId="235B815F" w14:textId="41537AB2" w:rsidR="00814CD8" w:rsidRPr="00814CD8" w:rsidRDefault="005648A4" w:rsidP="00814CD8">
      <w:pPr>
        <w:spacing w:line="240" w:lineRule="auto"/>
        <w:rPr>
          <w:rFonts w:eastAsiaTheme="minorHAnsi"/>
          <w:szCs w:val="22"/>
          <w:lang w:eastAsia="en-US"/>
        </w:rPr>
      </w:pPr>
      <w:r>
        <w:rPr>
          <w:rFonts w:eastAsiaTheme="minorHAnsi"/>
          <w:szCs w:val="22"/>
          <w:lang w:eastAsia="en-US"/>
        </w:rPr>
        <w:t xml:space="preserve">Рисунок </w:t>
      </w:r>
      <w:r w:rsidR="00814CD8" w:rsidRPr="00814CD8">
        <w:rPr>
          <w:rFonts w:eastAsiaTheme="minorHAnsi"/>
          <w:szCs w:val="22"/>
          <w:lang w:eastAsia="en-US"/>
        </w:rPr>
        <w:t>1. Реализация алгоритма построения полигонов Тиссена</w:t>
      </w:r>
    </w:p>
    <w:p w14:paraId="087ED682" w14:textId="77777777" w:rsidR="00814CD8" w:rsidRPr="00814CD8" w:rsidRDefault="00814CD8" w:rsidP="00814CD8">
      <w:pPr>
        <w:spacing w:after="160" w:line="240" w:lineRule="auto"/>
        <w:rPr>
          <w:rFonts w:eastAsiaTheme="minorHAnsi"/>
          <w:szCs w:val="22"/>
          <w:lang w:eastAsia="en-US"/>
        </w:rPr>
      </w:pPr>
      <w:r w:rsidRPr="00814CD8">
        <w:rPr>
          <w:rFonts w:eastAsiaTheme="minorHAnsi"/>
          <w:sz w:val="22"/>
          <w:szCs w:val="20"/>
          <w:lang w:eastAsia="en-US"/>
        </w:rPr>
        <w:t>Источник: Имангалин, 2013, с.63</w:t>
      </w:r>
    </w:p>
    <w:p w14:paraId="04F7E729" w14:textId="0C846AB6"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Особо важное значение в моделях потребительского поведения играют гравитационные модели (Рейли, Хаффа). Гравитационная модель, разработанная Уильямом Рейли и названная в честь ученого, определяет характер влияния двух торговых точек на потребителя, что так же широко используется при анализе размещения розничной торговли. Привлекательность двух объектов зависит от их размеров и расстояния до них. При этом предпочтения потребителя напрямую зависят от площади торгового объекта, а также наблюдается обратная зависимость от дальности этого объекта от потребителя.</w:t>
      </w:r>
    </w:p>
    <w:p w14:paraId="356BD0A2"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 xml:space="preserve">Дальнейшим развитием модели Рейли стала модель Хаффа, которая позволяет спрогнозировать объемы клиентов, продаж, доходов, учитывая различные внешние факторы, определить риски и преимущества развития какой-либо деятельности, выбрать оптимальное место расположения для торговой организации и </w:t>
      </w:r>
      <w:proofErr w:type="gramStart"/>
      <w:r w:rsidRPr="00814CD8">
        <w:rPr>
          <w:rFonts w:eastAsiaTheme="minorHAnsi"/>
          <w:szCs w:val="22"/>
          <w:lang w:eastAsia="en-US"/>
        </w:rPr>
        <w:t>т.д.</w:t>
      </w:r>
      <w:proofErr w:type="gramEnd"/>
      <w:r w:rsidRPr="00814CD8">
        <w:rPr>
          <w:rFonts w:eastAsiaTheme="minorHAnsi"/>
          <w:szCs w:val="22"/>
          <w:lang w:eastAsia="en-US"/>
        </w:rPr>
        <w:t xml:space="preserve"> По формуле Хаффа, привлекательность объекта для потребителя вычисляется как отношение его торговой площади к расстоянию до него:</w:t>
      </w:r>
    </w:p>
    <w:p w14:paraId="042FAE4C" w14:textId="4A1BDE62" w:rsidR="00814CD8" w:rsidRPr="00814CD8" w:rsidRDefault="00814CD8" w:rsidP="00814CD8">
      <w:pPr>
        <w:jc w:val="both"/>
        <w:rPr>
          <w:rFonts w:eastAsiaTheme="minorHAnsi"/>
          <w:szCs w:val="22"/>
          <w:lang w:eastAsia="en-US"/>
        </w:rPr>
      </w:pPr>
      <w:r w:rsidRPr="00814CD8">
        <w:rPr>
          <w:rFonts w:eastAsiaTheme="minorHAnsi"/>
          <w:noProof/>
          <w:szCs w:val="22"/>
          <w:lang w:eastAsia="en-US"/>
        </w:rPr>
        <w:drawing>
          <wp:anchor distT="0" distB="0" distL="114300" distR="114300" simplePos="0" relativeHeight="251659264" behindDoc="0" locked="0" layoutInCell="1" allowOverlap="1" wp14:anchorId="0444D3F5" wp14:editId="5F840E68">
            <wp:simplePos x="0" y="0"/>
            <wp:positionH relativeFrom="margin">
              <wp:posOffset>230669</wp:posOffset>
            </wp:positionH>
            <wp:positionV relativeFrom="paragraph">
              <wp:posOffset>23821</wp:posOffset>
            </wp:positionV>
            <wp:extent cx="1421130" cy="142367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573" r="70843"/>
                    <a:stretch/>
                  </pic:blipFill>
                  <pic:spPr bwMode="auto">
                    <a:xfrm>
                      <a:off x="0" y="0"/>
                      <a:ext cx="1421130" cy="1423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4CD8">
        <w:rPr>
          <w:rFonts w:eastAsiaTheme="minorHAnsi"/>
          <w:szCs w:val="22"/>
          <w:lang w:eastAsia="en-US"/>
        </w:rPr>
        <w:t>где P — вероятность посещения j-го магазина i-м покупателем; A</w:t>
      </w:r>
      <w:r w:rsidR="00FB66BE" w:rsidRPr="00F4416A">
        <w:rPr>
          <w:rFonts w:eastAsiaTheme="minorHAnsi"/>
          <w:sz w:val="36"/>
          <w:szCs w:val="32"/>
          <w:vertAlign w:val="superscript"/>
          <w:lang w:eastAsia="en-US"/>
        </w:rPr>
        <w:t>α</w:t>
      </w:r>
      <w:r w:rsidRPr="00814CD8">
        <w:rPr>
          <w:rFonts w:eastAsiaTheme="minorHAnsi"/>
          <w:szCs w:val="22"/>
          <w:lang w:eastAsia="en-US"/>
        </w:rPr>
        <w:t>j — мера привлекательности коммерческого объекта j (размер торгового зала); D</w:t>
      </w:r>
      <w:r w:rsidR="00FB66BE" w:rsidRPr="00FB66BE">
        <w:rPr>
          <w:rFonts w:eastAsiaTheme="minorHAnsi"/>
          <w:sz w:val="36"/>
          <w:szCs w:val="32"/>
          <w:vertAlign w:val="superscript"/>
          <w:lang w:eastAsia="en-US"/>
        </w:rPr>
        <w:t>β</w:t>
      </w:r>
      <w:r w:rsidRPr="00814CD8">
        <w:rPr>
          <w:rFonts w:eastAsiaTheme="minorHAnsi"/>
          <w:szCs w:val="22"/>
          <w:lang w:eastAsia="en-US"/>
        </w:rPr>
        <w:t>ij — расстояние до торгового центра j, которое должен преодолеть покупатель i; α — вычисляемый эмпирическим путем коэффициент привлекательности; β — коэффициент</w:t>
      </w:r>
      <w:r w:rsidR="003E30F2">
        <w:rPr>
          <w:rFonts w:eastAsiaTheme="minorHAnsi"/>
          <w:szCs w:val="22"/>
          <w:lang w:eastAsia="en-US"/>
        </w:rPr>
        <w:t xml:space="preserve"> проницаемости пространства</w:t>
      </w:r>
      <w:r w:rsidRPr="00814CD8">
        <w:rPr>
          <w:rFonts w:eastAsiaTheme="minorHAnsi"/>
          <w:szCs w:val="22"/>
          <w:lang w:eastAsia="en-US"/>
        </w:rPr>
        <w:t>; n — число торговых точек</w:t>
      </w:r>
      <w:r w:rsidR="000B50F4">
        <w:rPr>
          <w:rFonts w:eastAsiaTheme="minorHAnsi"/>
          <w:szCs w:val="22"/>
          <w:lang w:eastAsia="en-US"/>
        </w:rPr>
        <w:t>.</w:t>
      </w:r>
    </w:p>
    <w:p w14:paraId="343E4C1D" w14:textId="77777777"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 xml:space="preserve">Гибкость данной модели дает возможность ее использования для любого рынка, учитывая его особенности и специфику. Однако необходимо помнить, что не только торговая площадка и расстояние определяют привлекательность, стоит также учитывать такие факторы, как ценовая политика торговой структуры, инфраструктурная обустроенность прилегающей к торговому пространству территории, ассортимент предлагаемых товаров и услуг, профессионализм и компетенция рабочих кадров. </w:t>
      </w:r>
      <w:r w:rsidRPr="00814CD8">
        <w:rPr>
          <w:rFonts w:eastAsiaTheme="minorHAnsi"/>
          <w:szCs w:val="22"/>
          <w:lang w:eastAsia="en-US"/>
        </w:rPr>
        <w:lastRenderedPageBreak/>
        <w:t>Предпочтения клиентов меняются в зависимости от типа объекта. Так, значение фактора местоположения овощного магазина будет играть определяющую роль для потребителя, в то время как расположение крупного гипермаркета не оказывает значительного влияния на привлекательность торговой точки.</w:t>
      </w:r>
    </w:p>
    <w:p w14:paraId="54FAB858" w14:textId="2A2F35BC"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А.</w:t>
      </w:r>
      <w:r w:rsidR="0070691C">
        <w:rPr>
          <w:rFonts w:eastAsiaTheme="minorHAnsi"/>
          <w:szCs w:val="22"/>
          <w:lang w:eastAsia="en-US"/>
        </w:rPr>
        <w:t> </w:t>
      </w:r>
      <w:r w:rsidRPr="00814CD8">
        <w:rPr>
          <w:rFonts w:eastAsiaTheme="minorHAnsi"/>
          <w:szCs w:val="22"/>
          <w:lang w:eastAsia="en-US"/>
        </w:rPr>
        <w:t>С.</w:t>
      </w:r>
      <w:r w:rsidR="0070691C">
        <w:rPr>
          <w:rFonts w:eastAsiaTheme="minorHAnsi"/>
          <w:szCs w:val="22"/>
          <w:lang w:eastAsia="en-US"/>
        </w:rPr>
        <w:t> </w:t>
      </w:r>
      <w:r w:rsidRPr="00814CD8">
        <w:rPr>
          <w:rFonts w:eastAsiaTheme="minorHAnsi"/>
          <w:szCs w:val="22"/>
          <w:lang w:eastAsia="en-US"/>
        </w:rPr>
        <w:t>Уваровым были выделены достоинства стохастических моделей выявления предпочтений. Во-первых, полученные результаты обладают высокой степенью точности, сравнительно с применением регрессионных моделей и аналоговых методов. Во-вторых, результаты исследований с применением данных моделей легко интерпретировать.</w:t>
      </w:r>
    </w:p>
    <w:p w14:paraId="317EF092" w14:textId="702D48DB"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Л.А. Козеродом были выделены недостатки применени</w:t>
      </w:r>
      <w:r w:rsidR="0070691C">
        <w:rPr>
          <w:rFonts w:eastAsiaTheme="minorHAnsi"/>
          <w:szCs w:val="22"/>
          <w:lang w:eastAsia="en-US"/>
        </w:rPr>
        <w:t>я</w:t>
      </w:r>
      <w:r w:rsidRPr="00814CD8">
        <w:rPr>
          <w:rFonts w:eastAsiaTheme="minorHAnsi"/>
          <w:szCs w:val="22"/>
          <w:lang w:eastAsia="en-US"/>
        </w:rPr>
        <w:t xml:space="preserve"> данных моделей:</w:t>
      </w:r>
    </w:p>
    <w:p w14:paraId="6DDFDA64" w14:textId="77777777" w:rsidR="00814CD8" w:rsidRPr="00814CD8" w:rsidRDefault="00814CD8" w:rsidP="00432C4A">
      <w:pPr>
        <w:numPr>
          <w:ilvl w:val="0"/>
          <w:numId w:val="20"/>
        </w:numPr>
        <w:ind w:left="357" w:hanging="357"/>
        <w:contextualSpacing/>
        <w:jc w:val="both"/>
        <w:rPr>
          <w:rFonts w:eastAsiaTheme="minorHAnsi"/>
          <w:szCs w:val="22"/>
          <w:lang w:eastAsia="en-US"/>
        </w:rPr>
      </w:pPr>
      <w:r w:rsidRPr="00814CD8">
        <w:rPr>
          <w:rFonts w:eastAsiaTheme="minorHAnsi"/>
          <w:szCs w:val="22"/>
          <w:lang w:eastAsia="en-US"/>
        </w:rPr>
        <w:t xml:space="preserve">модели опираются на “компенсационный” характер функции полезности, </w:t>
      </w:r>
      <w:proofErr w:type="gramStart"/>
      <w:r w:rsidRPr="00814CD8">
        <w:rPr>
          <w:rFonts w:eastAsiaTheme="minorHAnsi"/>
          <w:szCs w:val="22"/>
          <w:lang w:eastAsia="en-US"/>
        </w:rPr>
        <w:t>т.е.</w:t>
      </w:r>
      <w:proofErr w:type="gramEnd"/>
      <w:r w:rsidRPr="00814CD8">
        <w:rPr>
          <w:rFonts w:eastAsiaTheme="minorHAnsi"/>
          <w:szCs w:val="22"/>
          <w:lang w:eastAsia="en-US"/>
        </w:rPr>
        <w:t xml:space="preserve"> покупатели компенсируют низкое значение одного признака более высоким значением другого; </w:t>
      </w:r>
    </w:p>
    <w:p w14:paraId="3FCA27DD" w14:textId="77777777" w:rsidR="00814CD8" w:rsidRPr="00814CD8" w:rsidRDefault="00814CD8" w:rsidP="00432C4A">
      <w:pPr>
        <w:numPr>
          <w:ilvl w:val="0"/>
          <w:numId w:val="20"/>
        </w:numPr>
        <w:ind w:left="357" w:hanging="357"/>
        <w:contextualSpacing/>
        <w:jc w:val="both"/>
        <w:rPr>
          <w:rFonts w:eastAsiaTheme="minorHAnsi"/>
          <w:szCs w:val="22"/>
          <w:lang w:eastAsia="en-US"/>
        </w:rPr>
      </w:pPr>
      <w:r w:rsidRPr="00814CD8">
        <w:rPr>
          <w:rFonts w:eastAsiaTheme="minorHAnsi"/>
          <w:szCs w:val="22"/>
          <w:lang w:eastAsia="en-US"/>
        </w:rPr>
        <w:t xml:space="preserve">применяется принцип “отсечения”, когда, выбирая между альтернативными возможностями, покупатели исходят из какого-то максимального расстояния, за рамками которого магазин “отсекается” независимо от высокого уровня других признаков; </w:t>
      </w:r>
    </w:p>
    <w:p w14:paraId="496814BD" w14:textId="77777777" w:rsidR="00814CD8" w:rsidRPr="00814CD8" w:rsidRDefault="00814CD8" w:rsidP="00432C4A">
      <w:pPr>
        <w:numPr>
          <w:ilvl w:val="0"/>
          <w:numId w:val="20"/>
        </w:numPr>
        <w:ind w:left="357" w:hanging="357"/>
        <w:contextualSpacing/>
        <w:jc w:val="both"/>
        <w:rPr>
          <w:rFonts w:eastAsiaTheme="minorHAnsi"/>
          <w:szCs w:val="22"/>
          <w:lang w:eastAsia="en-US"/>
        </w:rPr>
      </w:pPr>
      <w:r w:rsidRPr="00814CD8">
        <w:rPr>
          <w:rFonts w:eastAsiaTheme="minorHAnsi"/>
          <w:szCs w:val="22"/>
          <w:lang w:eastAsia="en-US"/>
        </w:rPr>
        <w:t xml:space="preserve">исчисленные параметры отражают характеристики существующих торговых объектов, в то время как новые объекты могут значительно отличаться от существующих; </w:t>
      </w:r>
    </w:p>
    <w:p w14:paraId="38F06D21" w14:textId="77777777" w:rsidR="00814CD8" w:rsidRPr="00814CD8" w:rsidRDefault="00814CD8" w:rsidP="00432C4A">
      <w:pPr>
        <w:numPr>
          <w:ilvl w:val="0"/>
          <w:numId w:val="20"/>
        </w:numPr>
        <w:ind w:left="357" w:hanging="357"/>
        <w:contextualSpacing/>
        <w:jc w:val="both"/>
        <w:rPr>
          <w:rFonts w:eastAsiaTheme="minorHAnsi"/>
          <w:szCs w:val="22"/>
          <w:lang w:eastAsia="en-US"/>
        </w:rPr>
      </w:pPr>
      <w:r w:rsidRPr="00814CD8">
        <w:rPr>
          <w:rFonts w:eastAsiaTheme="minorHAnsi"/>
          <w:szCs w:val="22"/>
          <w:lang w:eastAsia="en-US"/>
        </w:rPr>
        <w:t>в ряде исследований показано, что на относительную значимость переменных в функции полезности влияют такие факторы, как доход, занятие, этническая принадлежность, наличие у покупателя автомобиля; для оценки предпочтений у разных групп населения для настройки параметров модели необходимо проводить полевые исследования с социологическими опросами (Козерод, 2011, с. 145).</w:t>
      </w:r>
    </w:p>
    <w:p w14:paraId="7A9755FD" w14:textId="29D3C201" w:rsidR="00814CD8" w:rsidRDefault="00814CD8" w:rsidP="00814CD8">
      <w:pPr>
        <w:ind w:firstLine="851"/>
        <w:jc w:val="both"/>
        <w:rPr>
          <w:rFonts w:eastAsiaTheme="minorHAnsi"/>
          <w:szCs w:val="22"/>
          <w:lang w:eastAsia="en-US"/>
        </w:rPr>
      </w:pPr>
      <w:r w:rsidRPr="00814CD8">
        <w:rPr>
          <w:rFonts w:eastAsiaTheme="minorHAnsi"/>
          <w:szCs w:val="22"/>
          <w:lang w:eastAsia="en-US"/>
        </w:rPr>
        <w:t>Детерминистские гравитационные модели подробно описывают поведение основной части потребителей, но не всей их совокупности из-за различий в особенностях поведения людей и труднодоступности достоверных данных.</w:t>
      </w:r>
    </w:p>
    <w:p w14:paraId="46E0BEDC" w14:textId="08CD0BDC" w:rsidR="000B50F4" w:rsidRPr="00814CD8" w:rsidRDefault="000B50F4" w:rsidP="000B50F4">
      <w:pPr>
        <w:ind w:firstLine="851"/>
        <w:jc w:val="both"/>
        <w:rPr>
          <w:rFonts w:eastAsiaTheme="minorHAnsi"/>
          <w:szCs w:val="22"/>
          <w:lang w:eastAsia="en-US"/>
        </w:rPr>
      </w:pPr>
      <w:r w:rsidRPr="00814CD8">
        <w:rPr>
          <w:rFonts w:eastAsiaTheme="minorHAnsi"/>
          <w:szCs w:val="22"/>
          <w:lang w:eastAsia="en-US"/>
        </w:rPr>
        <w:t>Б.А.Тхориковым была составлена матричная группировка, демонстрирующая достоинства и ограничения перечисленных моделей, а также некоторых из неупомянутых (</w:t>
      </w:r>
      <w:r w:rsidR="00F85832">
        <w:rPr>
          <w:rFonts w:eastAsiaTheme="minorHAnsi"/>
          <w:szCs w:val="22"/>
          <w:lang w:eastAsia="en-US"/>
        </w:rPr>
        <w:t>Т</w:t>
      </w:r>
      <w:r w:rsidRPr="00814CD8">
        <w:rPr>
          <w:rFonts w:eastAsiaTheme="minorHAnsi"/>
          <w:szCs w:val="22"/>
          <w:lang w:eastAsia="en-US"/>
        </w:rPr>
        <w:t>аблица 1).</w:t>
      </w:r>
    </w:p>
    <w:p w14:paraId="3BC670C3" w14:textId="19D2C512" w:rsidR="000B50F4" w:rsidRPr="00814CD8" w:rsidRDefault="000B50F4" w:rsidP="000B50F4">
      <w:pPr>
        <w:ind w:firstLine="851"/>
        <w:jc w:val="both"/>
        <w:rPr>
          <w:rFonts w:eastAsiaTheme="minorHAnsi"/>
          <w:szCs w:val="22"/>
          <w:lang w:eastAsia="en-US"/>
        </w:rPr>
      </w:pPr>
      <w:r w:rsidRPr="00814CD8">
        <w:rPr>
          <w:rFonts w:eastAsiaTheme="minorHAnsi"/>
          <w:szCs w:val="22"/>
          <w:lang w:eastAsia="en-US"/>
        </w:rPr>
        <w:t xml:space="preserve">На сегодняшний день не существует единственной верной модели, которая могла бы в полном объеме описать все особенности поведения потребителей в пространстве. В зависимости от внешних и внутренних факторов среды, точности и сложности исследования применяются различные виды моделей. Для повышения точности исследований необходим доступ к более точной и релевантной информации, расширенный набор рассматриваемых факторов, применение различных методов сбора информации (в т. ч. социологические опросы), комбинирование разных моделей. При анализе эволюции моделей выявляется тренд, который выражается в “гуманизации” моделей, во главу угла ставится человек с его </w:t>
      </w:r>
      <w:r w:rsidRPr="00814CD8">
        <w:rPr>
          <w:rFonts w:eastAsiaTheme="minorHAnsi"/>
          <w:szCs w:val="22"/>
          <w:lang w:eastAsia="en-US"/>
        </w:rPr>
        <w:lastRenderedPageBreak/>
        <w:t>потребностями и предпочтениями, так как современный формат обслуживания населения усложняется, происходит сегментация рынка на ниши и повышается конкуренция (Имангалин, 2013, с. 67).</w:t>
      </w:r>
    </w:p>
    <w:p w14:paraId="1ACAC44C" w14:textId="0AAC7DDD" w:rsidR="00814CD8" w:rsidRPr="00814CD8" w:rsidRDefault="00814CD8" w:rsidP="00814CD8">
      <w:pPr>
        <w:spacing w:before="160"/>
        <w:rPr>
          <w:rFonts w:eastAsiaTheme="minorHAnsi"/>
          <w:lang w:eastAsia="en-US"/>
        </w:rPr>
      </w:pPr>
      <w:r w:rsidRPr="00814CD8">
        <w:rPr>
          <w:rFonts w:eastAsiaTheme="minorHAnsi"/>
          <w:lang w:eastAsia="en-US"/>
        </w:rPr>
        <w:t xml:space="preserve">Таблица </w:t>
      </w:r>
      <w:r w:rsidR="00267443">
        <w:rPr>
          <w:rFonts w:eastAsiaTheme="minorHAnsi"/>
          <w:lang w:eastAsia="en-US"/>
        </w:rPr>
        <w:t>1</w:t>
      </w:r>
      <w:r w:rsidRPr="00814CD8">
        <w:rPr>
          <w:rFonts w:eastAsiaTheme="minorHAnsi"/>
          <w:lang w:eastAsia="en-US"/>
        </w:rPr>
        <w:t>. Матричная группировка геомаркетинговых моделей</w:t>
      </w:r>
    </w:p>
    <w:p w14:paraId="6FD954F9" w14:textId="77777777" w:rsidR="00814CD8" w:rsidRPr="00814CD8" w:rsidRDefault="00814CD8" w:rsidP="00814CD8">
      <w:pPr>
        <w:jc w:val="both"/>
        <w:rPr>
          <w:rFonts w:eastAsiaTheme="minorHAnsi"/>
          <w:szCs w:val="22"/>
          <w:lang w:eastAsia="en-US"/>
        </w:rPr>
      </w:pPr>
      <w:r w:rsidRPr="00814CD8">
        <w:rPr>
          <w:rFonts w:eastAsiaTheme="minorHAnsi"/>
          <w:noProof/>
          <w:szCs w:val="22"/>
          <w:lang w:eastAsia="en-US"/>
        </w:rPr>
        <w:drawing>
          <wp:inline distT="0" distB="0" distL="0" distR="0" wp14:anchorId="682992A8" wp14:editId="1DEC1FEF">
            <wp:extent cx="6219345" cy="5390984"/>
            <wp:effectExtent l="0" t="0" r="0" b="635"/>
            <wp:docPr id="6" name="Picture 6"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rossword puzzl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45577" cy="5413722"/>
                    </a:xfrm>
                    <a:prstGeom prst="rect">
                      <a:avLst/>
                    </a:prstGeom>
                    <a:noFill/>
                  </pic:spPr>
                </pic:pic>
              </a:graphicData>
            </a:graphic>
          </wp:inline>
        </w:drawing>
      </w:r>
    </w:p>
    <w:p w14:paraId="7F9DCB97" w14:textId="77777777" w:rsidR="00814CD8" w:rsidRPr="00814CD8" w:rsidRDefault="00814CD8" w:rsidP="00814CD8">
      <w:pPr>
        <w:spacing w:after="160"/>
        <w:rPr>
          <w:rFonts w:eastAsiaTheme="minorHAnsi"/>
          <w:sz w:val="22"/>
          <w:szCs w:val="20"/>
          <w:lang w:eastAsia="en-US"/>
        </w:rPr>
      </w:pPr>
      <w:r w:rsidRPr="00814CD8">
        <w:rPr>
          <w:rFonts w:eastAsiaTheme="minorHAnsi"/>
          <w:sz w:val="22"/>
          <w:szCs w:val="20"/>
          <w:lang w:eastAsia="en-US"/>
        </w:rPr>
        <w:t>Источник: Тхориков, 2020, с. 202-203</w:t>
      </w:r>
    </w:p>
    <w:p w14:paraId="232F3605" w14:textId="6BC164EE" w:rsidR="00814CD8" w:rsidRPr="00814CD8" w:rsidRDefault="00814CD8" w:rsidP="00432C4A">
      <w:pPr>
        <w:keepNext/>
        <w:keepLines/>
        <w:numPr>
          <w:ilvl w:val="1"/>
          <w:numId w:val="2"/>
        </w:numPr>
        <w:spacing w:before="160" w:after="160"/>
        <w:ind w:left="0" w:firstLine="0"/>
        <w:outlineLvl w:val="1"/>
        <w:rPr>
          <w:rFonts w:eastAsiaTheme="majorEastAsia"/>
          <w:b/>
          <w:bCs/>
          <w:lang w:eastAsia="en-US"/>
        </w:rPr>
      </w:pPr>
      <w:bookmarkStart w:id="5" w:name="_Toc103641020"/>
      <w:r w:rsidRPr="00814CD8">
        <w:rPr>
          <w:rFonts w:eastAsiaTheme="majorEastAsia"/>
          <w:b/>
          <w:bCs/>
          <w:lang w:eastAsia="en-US"/>
        </w:rPr>
        <w:t>Факторы размещения объектов розничной торговли и общественного питания</w:t>
      </w:r>
      <w:bookmarkEnd w:id="5"/>
    </w:p>
    <w:p w14:paraId="65382A51" w14:textId="1450F86A" w:rsidR="00814CD8" w:rsidRPr="00814CD8" w:rsidRDefault="00814CD8" w:rsidP="00814CD8">
      <w:pPr>
        <w:ind w:firstLine="851"/>
        <w:jc w:val="both"/>
        <w:rPr>
          <w:rFonts w:eastAsiaTheme="minorHAnsi"/>
          <w:szCs w:val="22"/>
          <w:lang w:eastAsia="en-US"/>
        </w:rPr>
      </w:pPr>
      <w:r w:rsidRPr="00814CD8">
        <w:rPr>
          <w:rFonts w:eastAsiaTheme="minorHAnsi"/>
          <w:szCs w:val="22"/>
          <w:lang w:eastAsia="en-US"/>
        </w:rPr>
        <w:t>Размещение розничной торговли в населенных пунктах А. Ф. Имангалин</w:t>
      </w:r>
      <w:r w:rsidR="00C00906">
        <w:rPr>
          <w:rFonts w:eastAsiaTheme="minorHAnsi"/>
          <w:szCs w:val="22"/>
          <w:lang w:eastAsia="en-US"/>
        </w:rPr>
        <w:t>ы</w:t>
      </w:r>
      <w:r w:rsidRPr="00814CD8">
        <w:rPr>
          <w:rFonts w:eastAsiaTheme="minorHAnsi"/>
          <w:szCs w:val="22"/>
          <w:lang w:eastAsia="en-US"/>
        </w:rPr>
        <w:t>м определяется внешними и внутренними факторами. К внешним автор относит численность и плотность населения, наличие платежеспособного спроса, транспортную сеть, генераторы пешеходного трафика (станции метро, торговые центры, ВУЗы и т. п.), соседство (сопутствующие товары и услуги, конкуренция) и др. (Имангалин, 2014, с.22).</w:t>
      </w:r>
    </w:p>
    <w:p w14:paraId="36BC50B9"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 xml:space="preserve">Важное значение на развитие отраслей производства оказывает фактор местоположения, поэтому изучение вопросов его влияния на комплексное развитие </w:t>
      </w:r>
      <w:r w:rsidRPr="00814CD8">
        <w:rPr>
          <w:rFonts w:eastAsiaTheme="minorHAnsi"/>
          <w:lang w:eastAsia="en-US"/>
        </w:rPr>
        <w:lastRenderedPageBreak/>
        <w:t>территории является важным аспектом экономической географии и геомаркетинга. Выбор местоположения торгового объекта является ключевым решением, которое должна принять компания в сфере розничной торговли и общественного питания. Местоположение определяет количество потенциальных клиентов и оборот торговли, имидж торгового объекта и самой торговой сети. Существует множество теорий, обосновывающих особенности и закономерности размещения торговых объектов и предсказывающих потенциал развития отраслей производства. Однако, ни одна из них не может в полной мере объяснить выбор конкретного местоположения для того или иного вида деятельности, поскольку необходим детальный комплексный подход к подробному изучению социальных, демографических, поведенческих и географических характеристик.</w:t>
      </w:r>
    </w:p>
    <w:p w14:paraId="7171A73D"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Выбор идеального местоположения промышленных предприятий и объектов сферы услуг рассматривается как важный вопрос изучения географического пространства, которым интересуются урбанисты, экономисты, социологи, географы и политики. В изучении данной области знаний важной составляющей является выявление факторов, влияющих на формирование и дальнейшее развитие отрасли в конкретной точке пространства.</w:t>
      </w:r>
    </w:p>
    <w:p w14:paraId="3029CDCA"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Еще А.Вебером было выделено два класса теорий местоположения: неоклассические (экономические) и поведенческие. Первые основаны на понятиях «экономический человек» и «изотропное пространство». В этом случае основной акцент делается на стремлении человека минимизировать собственные издержки и получить большую выгоду. Вебер в своей работе предполагал, что предприниматели обладают исчерпывающей информацией о параметрах принятия решений и действуют исключительно рационально, основываясь на анализе затрат и выгод. Поведенческая концепция в свою очередь рассматривает также влияние многочисленных факторов помимо издержек производства и прибыли. То есть в процессе принятия решения для человека может быть важнее не столько максимизация собственной выгоды, сколько рост или минимизация рисков (</w:t>
      </w:r>
      <w:r w:rsidRPr="00814CD8">
        <w:rPr>
          <w:rFonts w:eastAsiaTheme="minorHAnsi"/>
          <w:lang w:val="en-US" w:eastAsia="en-US"/>
        </w:rPr>
        <w:t>Pred</w:t>
      </w:r>
      <w:r w:rsidRPr="00814CD8">
        <w:rPr>
          <w:rFonts w:eastAsiaTheme="minorHAnsi"/>
          <w:lang w:eastAsia="en-US"/>
        </w:rPr>
        <w:t>, 1967).</w:t>
      </w:r>
    </w:p>
    <w:p w14:paraId="4EC89752"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В различных литературных источниках факторы размещения классифицируются по-разному. Важность этих факторов варьируется как от одной отрасли к другой, так и внутри одной отрасли из-за изменения технологии производства, времени и экономического состояния (</w:t>
      </w:r>
      <w:bookmarkStart w:id="6" w:name="_Hlk97390728"/>
      <w:r w:rsidRPr="00814CD8">
        <w:rPr>
          <w:rFonts w:eastAsiaTheme="minorHAnsi"/>
          <w:lang w:eastAsia="en-US"/>
        </w:rPr>
        <w:t xml:space="preserve">Jones, Woods, </w:t>
      </w:r>
      <w:bookmarkEnd w:id="6"/>
      <w:r w:rsidRPr="00814CD8">
        <w:rPr>
          <w:rFonts w:eastAsiaTheme="minorHAnsi"/>
          <w:lang w:eastAsia="en-US"/>
        </w:rPr>
        <w:t>2002).</w:t>
      </w:r>
    </w:p>
    <w:p w14:paraId="006215EF" w14:textId="77777777" w:rsidR="00814CD8" w:rsidRPr="00814CD8" w:rsidRDefault="00814CD8" w:rsidP="00814CD8">
      <w:pPr>
        <w:ind w:firstLine="851"/>
        <w:contextualSpacing/>
        <w:jc w:val="both"/>
        <w:rPr>
          <w:rFonts w:eastAsiaTheme="minorHAnsi"/>
          <w:lang w:eastAsia="en-US"/>
        </w:rPr>
      </w:pPr>
      <w:r w:rsidRPr="00814CD8">
        <w:rPr>
          <w:rFonts w:eastAsiaTheme="minorHAnsi"/>
          <w:lang w:val="en-US" w:eastAsia="en-US"/>
        </w:rPr>
        <w:t>Dicken</w:t>
      </w:r>
      <w:r w:rsidRPr="00814CD8">
        <w:rPr>
          <w:rFonts w:eastAsiaTheme="minorHAnsi"/>
          <w:lang w:eastAsia="en-US"/>
        </w:rPr>
        <w:t xml:space="preserve"> и </w:t>
      </w:r>
      <w:r w:rsidRPr="00814CD8">
        <w:rPr>
          <w:rFonts w:eastAsiaTheme="minorHAnsi"/>
          <w:lang w:val="en-US" w:eastAsia="en-US"/>
        </w:rPr>
        <w:t>Lloyd</w:t>
      </w:r>
      <w:r w:rsidRPr="00814CD8">
        <w:rPr>
          <w:rFonts w:eastAsiaTheme="minorHAnsi"/>
          <w:lang w:eastAsia="en-US"/>
        </w:rPr>
        <w:t xml:space="preserve"> типологизировали факторы местоположения на внутренние, непосредственно факторы местоположения и внешние. К первым были отнесены такие как управление, структура собственности, цели организации. К факторам местоположения – доступность к клиентам и поставщикам, площадь территории и др. Внешние составили природные и нормативные условия. В то же время </w:t>
      </w:r>
      <w:r w:rsidRPr="00814CD8">
        <w:rPr>
          <w:rFonts w:eastAsiaTheme="minorHAnsi"/>
          <w:lang w:val="en-US" w:eastAsia="en-US"/>
        </w:rPr>
        <w:t>Van</w:t>
      </w:r>
      <w:r w:rsidRPr="00814CD8">
        <w:rPr>
          <w:rFonts w:eastAsiaTheme="minorHAnsi"/>
          <w:lang w:eastAsia="en-US"/>
        </w:rPr>
        <w:t xml:space="preserve"> </w:t>
      </w:r>
      <w:r w:rsidRPr="00814CD8">
        <w:rPr>
          <w:rFonts w:eastAsiaTheme="minorHAnsi"/>
          <w:lang w:val="en-US" w:eastAsia="en-US"/>
        </w:rPr>
        <w:t>Noort</w:t>
      </w:r>
      <w:r w:rsidRPr="00814CD8">
        <w:rPr>
          <w:rFonts w:eastAsiaTheme="minorHAnsi"/>
          <w:lang w:eastAsia="en-US"/>
        </w:rPr>
        <w:t xml:space="preserve"> и </w:t>
      </w:r>
      <w:r w:rsidRPr="00814CD8">
        <w:rPr>
          <w:rFonts w:eastAsiaTheme="minorHAnsi"/>
          <w:lang w:val="en-US" w:eastAsia="en-US"/>
        </w:rPr>
        <w:t>Reijmer</w:t>
      </w:r>
      <w:r w:rsidRPr="00814CD8">
        <w:rPr>
          <w:rFonts w:eastAsiaTheme="minorHAnsi"/>
          <w:lang w:eastAsia="en-US"/>
        </w:rPr>
        <w:t xml:space="preserve"> выделяли следующие факторы: «факторы притяжения» (которые притягивают отрасли к какому-либо </w:t>
      </w:r>
      <w:r w:rsidRPr="00814CD8">
        <w:rPr>
          <w:rFonts w:eastAsiaTheme="minorHAnsi"/>
          <w:lang w:eastAsia="en-US"/>
        </w:rPr>
        <w:lastRenderedPageBreak/>
        <w:t>определенному местоположению); «факторы толчка», которые вынуждают отрасль менять свое географическое положение (например, неблагоприятное законодательство); «факторы сохранности», влияющие на то, чтобы отрасль оставалась на текущем месте (инерция человеческих ресурсов).</w:t>
      </w:r>
    </w:p>
    <w:p w14:paraId="4DF02FF0"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В настоящее время факторы размещения производств, имеющие основополагающие роли в прошлом (такие как сырье, энергетика, рабочая сила и др.) теряют свою значимость вследствие выхода на передний план факторов транспортной доступности территорий. Важное значение имеет интенсивное развитие рынка в особенности для отраслей, производящих скоропортящуюся продукцию, требующую быстрой доставки. (Renner, 1947).</w:t>
      </w:r>
    </w:p>
    <w:p w14:paraId="126BFA49" w14:textId="77777777" w:rsidR="00814CD8" w:rsidRPr="00814CD8" w:rsidRDefault="00814CD8" w:rsidP="00814CD8">
      <w:pPr>
        <w:ind w:firstLine="851"/>
        <w:jc w:val="both"/>
        <w:rPr>
          <w:rFonts w:eastAsiaTheme="minorHAnsi"/>
          <w:lang w:eastAsia="en-US"/>
        </w:rPr>
      </w:pPr>
      <w:bookmarkStart w:id="7" w:name="_Hlk97390064"/>
      <w:r w:rsidRPr="00814CD8">
        <w:rPr>
          <w:rFonts w:eastAsiaTheme="minorHAnsi"/>
          <w:lang w:val="en-US" w:eastAsia="en-US"/>
        </w:rPr>
        <w:t>S</w:t>
      </w:r>
      <w:r w:rsidRPr="00814CD8">
        <w:rPr>
          <w:rFonts w:eastAsiaTheme="minorHAnsi"/>
          <w:lang w:eastAsia="en-US"/>
        </w:rPr>
        <w:t>.</w:t>
      </w:r>
      <w:proofErr w:type="gramStart"/>
      <w:r w:rsidRPr="00814CD8">
        <w:rPr>
          <w:rFonts w:eastAsiaTheme="minorHAnsi"/>
          <w:lang w:val="en-US" w:eastAsia="en-US"/>
        </w:rPr>
        <w:t>M</w:t>
      </w:r>
      <w:r w:rsidRPr="00814CD8">
        <w:rPr>
          <w:rFonts w:eastAsiaTheme="minorHAnsi"/>
          <w:lang w:eastAsia="en-US"/>
        </w:rPr>
        <w:t>.Towhidur</w:t>
      </w:r>
      <w:proofErr w:type="gramEnd"/>
      <w:r w:rsidRPr="00814CD8">
        <w:rPr>
          <w:rFonts w:eastAsiaTheme="minorHAnsi"/>
          <w:lang w:eastAsia="en-US"/>
        </w:rPr>
        <w:t xml:space="preserve"> Rahman и Ahsanul Kabir </w:t>
      </w:r>
      <w:bookmarkEnd w:id="7"/>
      <w:r w:rsidRPr="00814CD8">
        <w:rPr>
          <w:rFonts w:eastAsiaTheme="minorHAnsi"/>
          <w:lang w:eastAsia="en-US"/>
        </w:rPr>
        <w:t xml:space="preserve">в своей работе выделили и подробно </w:t>
      </w:r>
      <w:bookmarkStart w:id="8" w:name="_Hlk97390094"/>
      <w:r w:rsidRPr="00814CD8">
        <w:rPr>
          <w:rFonts w:eastAsiaTheme="minorHAnsi"/>
          <w:lang w:eastAsia="en-US"/>
        </w:rPr>
        <w:t xml:space="preserve">рассмотрели факторы, влияющие на местоположение предприятий малого и среднего бизнеса </w:t>
      </w:r>
      <w:bookmarkEnd w:id="8"/>
      <w:r w:rsidRPr="00814CD8">
        <w:rPr>
          <w:rFonts w:eastAsiaTheme="minorHAnsi"/>
          <w:lang w:eastAsia="en-US"/>
        </w:rPr>
        <w:t>в городах на примере города Кхулна в Бангладеше. В ходе исследования был проведен опрос пятнадцати респондентов – предпринимателей малого и среднего бизнеса, на основе ответов которых сформировалась оценка значимости определенных показателей в территориальном размещении предприятий различных отраслей. На основе мнения респондентов было установлено, что идеальным местом для открытия бизнеса является открытое пространство в нежилом здании с высокой транспортной доступностью и плотным человеческим трафиком. Важное значение также играет высокая видимость территории, шумовое и выхлопное загрязнение. Таким образом большинство опрошенных сходятся во мнении, что идеальным местом является окраина города.</w:t>
      </w:r>
    </w:p>
    <w:p w14:paraId="536D7A31" w14:textId="757EDFB7" w:rsidR="00814CD8" w:rsidRDefault="00814CD8" w:rsidP="00814CD8">
      <w:pPr>
        <w:ind w:firstLine="851"/>
        <w:contextualSpacing/>
        <w:jc w:val="both"/>
        <w:rPr>
          <w:rFonts w:eastAsiaTheme="minorHAnsi"/>
          <w:szCs w:val="22"/>
          <w:lang w:eastAsia="en-US"/>
        </w:rPr>
      </w:pPr>
      <w:r w:rsidRPr="00814CD8">
        <w:rPr>
          <w:rFonts w:eastAsiaTheme="minorHAnsi"/>
          <w:lang w:eastAsia="en-US"/>
        </w:rPr>
        <w:t xml:space="preserve">Выгодным является наличие агломерационного эффекта, при котором ряд аналогичных или родственных отраслей имеет более высокий шанс привлечь к себе потенциальных клиентов, поскольку, исходя из результатов социологических исследований, наблюдается тяготение населения к территориям, в большей степени обеспеченных торговыми объектами, нежели к тем, где их плотность ниже. Данные условия обладают важными конкурентными преимуществами: более простой способ привлечения потребителей, </w:t>
      </w:r>
      <w:r w:rsidR="008B1D27" w:rsidRPr="00814CD8">
        <w:rPr>
          <w:rFonts w:eastAsiaTheme="minorHAnsi"/>
          <w:lang w:eastAsia="en-US"/>
        </w:rPr>
        <w:t>сотрудничество</w:t>
      </w:r>
      <w:r w:rsidRPr="00814CD8">
        <w:rPr>
          <w:rFonts w:eastAsiaTheme="minorHAnsi"/>
          <w:lang w:eastAsia="en-US"/>
        </w:rPr>
        <w:t xml:space="preserve"> и кооперация. В свою очередь для клиентов выгода от агломерационного эффекта состоит в способности выбирать из множества фирм ту, которая в наибольшей степени способна удовлетворить его потребности. Таким образом, наличие конкурентов не всегда отрицательно влияет на бизнес. </w:t>
      </w:r>
      <w:r w:rsidRPr="00814CD8">
        <w:rPr>
          <w:rFonts w:eastAsiaTheme="minorHAnsi"/>
          <w:szCs w:val="22"/>
          <w:lang w:eastAsia="en-US"/>
        </w:rPr>
        <w:t>С одной стороны, все конкурируют между собой, а с другой - большое количество однотипных торговых точек и заведений говорит о большом выборе товаров и услуг и привлекает туристов (Стефанова, 2019, 733).</w:t>
      </w:r>
    </w:p>
    <w:p w14:paraId="1F595B3B" w14:textId="7F4DF69B" w:rsidR="00056CC2" w:rsidRPr="00056CC2" w:rsidRDefault="00056CC2" w:rsidP="00056CC2">
      <w:pPr>
        <w:ind w:firstLine="709"/>
        <w:jc w:val="both"/>
      </w:pPr>
      <w:r w:rsidRPr="00E25939">
        <w:t xml:space="preserve">Число торговых предприятий должно быть таким, чтобы обеспечить всем потребителям полноценные покупки при минимальных затратах времени (Бакаева, Курушина, 2011, с.161). Тяготение покупателей к конкретной торговой точке при наличии </w:t>
      </w:r>
      <w:r w:rsidRPr="00E25939">
        <w:lastRenderedPageBreak/>
        <w:t xml:space="preserve">конкуренции зависит от удобства ее расположения, широты и полноты ассортимента товаров, уровня цен, качества обслуживания и затрат времени на обслуживание в самом предприятии, от качества предоставляемых услуг - доставки, принятия предварительных заказов и </w:t>
      </w:r>
      <w:proofErr w:type="gramStart"/>
      <w:r w:rsidRPr="00E25939">
        <w:t>т.д.</w:t>
      </w:r>
      <w:proofErr w:type="gramEnd"/>
      <w:r w:rsidRPr="00E25939">
        <w:t xml:space="preserve"> (Григорьянц, 2016, с.38). Коммерческая активность территории определяет желание предпринимателя открывать на ней свой бизнес.</w:t>
      </w:r>
    </w:p>
    <w:p w14:paraId="29F58211"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Одним из важнейших факторов местоположения является транспортная доступность. Предприятия малого и среднего бизнеса чаще всего тяготеют к крупным автомагистралям. Это обеспечивает снижение транспортных издержек, а также способствует привлечению новой клиентуры. С большей вероятностью потенциальный клиент посетит ту фирму, которая расположена вблизи крупных транспортных узлов или вдоль оживленных путей. Увеличение количества перемещений людей, транспортная доступность и открытое пространство являются основными причинами концентрации фирм на обочинах крупных дорог.</w:t>
      </w:r>
    </w:p>
    <w:p w14:paraId="4A8B9EF7" w14:textId="7BE98260" w:rsidR="00814CD8" w:rsidRPr="00814CD8" w:rsidRDefault="00814CD8" w:rsidP="00814CD8">
      <w:pPr>
        <w:ind w:firstLine="851"/>
        <w:contextualSpacing/>
        <w:jc w:val="both"/>
        <w:rPr>
          <w:rFonts w:eastAsiaTheme="minorHAnsi"/>
          <w:lang w:eastAsia="en-US"/>
        </w:rPr>
      </w:pPr>
      <w:r w:rsidRPr="00814CD8">
        <w:rPr>
          <w:rFonts w:eastAsiaTheme="minorHAnsi"/>
          <w:lang w:eastAsia="en-US"/>
        </w:rPr>
        <w:t xml:space="preserve">При выборе места для размещения торговой точки или точки общественного питания необходимо обращать внимание на зону тяготения покупателя, определяемую расстоянием от его работы/дома до рассматриваемого объекта. Часть авторов, занимающихся данной проблемой, отмечает, что, учитывая </w:t>
      </w:r>
      <w:r w:rsidR="000B50F4" w:rsidRPr="00814CD8">
        <w:rPr>
          <w:rFonts w:eastAsiaTheme="minorHAnsi"/>
          <w:lang w:eastAsia="en-US"/>
        </w:rPr>
        <w:t>большую насыщенность</w:t>
      </w:r>
      <w:r w:rsidRPr="00814CD8">
        <w:rPr>
          <w:rFonts w:eastAsiaTheme="minorHAnsi"/>
          <w:lang w:eastAsia="en-US"/>
        </w:rPr>
        <w:t xml:space="preserve"> розничными торговыми точками всех районов города, необходимо рассчитывать только на тех покупателей, которые могут находиться от магазина в радиусе, равном 400–800 метров (Козерод, 2011, 136-137). Имеет смысл определение максимального расстояния, которое готов преодолеть покупатель до торговой точки и расчет объема потенциальных потребителей.</w:t>
      </w:r>
    </w:p>
    <w:p w14:paraId="695E4CEF"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При исследовании необходимо также учитывать размер объекта. Для небольших предприятий в качестве основных факторов может выступать транспортная доступность и объемы пассажиропотока. При большем размере организации возрастает значение таких факторов, как: уровень и темпы безработицы, оборот розничной торговли, конкурентная среда на близлежащей территории, объем рыночного спроса и др. Чем больше количество оцениваемых факторов, тем более высока степень детальности анализа.</w:t>
      </w:r>
    </w:p>
    <w:p w14:paraId="61BA598B" w14:textId="0A93F6AD"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На основе ответов респондентов, в исследовании был проведен анализ и создано «облако» наиболее часто повторяемых слов при ответе на поставленные вопросы. Данная схема отражает специфические факторы, имеющие ту или иную степен</w:t>
      </w:r>
      <w:r w:rsidR="008B1D27">
        <w:rPr>
          <w:rFonts w:eastAsiaTheme="minorHAnsi"/>
          <w:lang w:eastAsia="en-US"/>
        </w:rPr>
        <w:t>ь</w:t>
      </w:r>
      <w:r w:rsidRPr="00814CD8">
        <w:rPr>
          <w:rFonts w:eastAsiaTheme="minorHAnsi"/>
          <w:lang w:eastAsia="en-US"/>
        </w:rPr>
        <w:t xml:space="preserve"> значимости в выборе идеального местоположения (</w:t>
      </w:r>
      <w:r w:rsidR="00FA78E8">
        <w:rPr>
          <w:rFonts w:eastAsiaTheme="minorHAnsi"/>
          <w:lang w:eastAsia="en-US"/>
        </w:rPr>
        <w:t xml:space="preserve">Рисунок </w:t>
      </w:r>
      <w:r w:rsidR="00F85832">
        <w:rPr>
          <w:rFonts w:eastAsiaTheme="minorHAnsi"/>
          <w:lang w:eastAsia="en-US"/>
        </w:rPr>
        <w:t>2</w:t>
      </w:r>
      <w:r w:rsidRPr="00814CD8">
        <w:rPr>
          <w:rFonts w:eastAsiaTheme="minorHAnsi"/>
          <w:lang w:eastAsia="en-US"/>
        </w:rPr>
        <w:t xml:space="preserve">). К ним отнесены: открытое пространство, дороги и реки, дешевая аренда, пешеходный трафик, агломерационный эффект, состояние окружающей среды, шумовое загрязнение, близость к месту жительства, конкуренция и </w:t>
      </w:r>
      <w:proofErr w:type="gramStart"/>
      <w:r w:rsidRPr="00814CD8">
        <w:rPr>
          <w:rFonts w:eastAsiaTheme="minorHAnsi"/>
          <w:lang w:eastAsia="en-US"/>
        </w:rPr>
        <w:t>взаимное сотрудничество</w:t>
      </w:r>
      <w:proofErr w:type="gramEnd"/>
      <w:r w:rsidRPr="00814CD8">
        <w:rPr>
          <w:rFonts w:eastAsiaTheme="minorHAnsi"/>
          <w:lang w:eastAsia="en-US"/>
        </w:rPr>
        <w:t xml:space="preserve"> предприятий и др.</w:t>
      </w:r>
    </w:p>
    <w:p w14:paraId="450A18D7" w14:textId="77777777" w:rsidR="00814CD8" w:rsidRPr="00814CD8" w:rsidRDefault="00814CD8" w:rsidP="00814CD8">
      <w:pPr>
        <w:contextualSpacing/>
        <w:rPr>
          <w:rFonts w:eastAsiaTheme="minorHAnsi"/>
          <w:lang w:eastAsia="en-US"/>
        </w:rPr>
      </w:pPr>
      <w:r w:rsidRPr="00814CD8">
        <w:rPr>
          <w:rFonts w:eastAsiaTheme="minorHAnsi"/>
          <w:noProof/>
        </w:rPr>
        <w:lastRenderedPageBreak/>
        <w:drawing>
          <wp:inline distT="0" distB="0" distL="0" distR="0" wp14:anchorId="0691D2B1" wp14:editId="2DD66D05">
            <wp:extent cx="4329511" cy="2688879"/>
            <wp:effectExtent l="0" t="0" r="0" b="0"/>
            <wp:docPr id="36" name="Рисунок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Text&#10;&#10;Description automatically generated"/>
                    <pic:cNvPicPr/>
                  </pic:nvPicPr>
                  <pic:blipFill>
                    <a:blip r:embed="rId11"/>
                    <a:stretch>
                      <a:fillRect/>
                    </a:stretch>
                  </pic:blipFill>
                  <pic:spPr>
                    <a:xfrm>
                      <a:off x="0" y="0"/>
                      <a:ext cx="4374504" cy="2716822"/>
                    </a:xfrm>
                    <a:prstGeom prst="rect">
                      <a:avLst/>
                    </a:prstGeom>
                  </pic:spPr>
                </pic:pic>
              </a:graphicData>
            </a:graphic>
          </wp:inline>
        </w:drawing>
      </w:r>
    </w:p>
    <w:p w14:paraId="2F67C6CD" w14:textId="0248757B" w:rsidR="00814CD8" w:rsidRPr="00814CD8" w:rsidRDefault="00814CD8" w:rsidP="00814CD8">
      <w:pPr>
        <w:spacing w:line="240" w:lineRule="auto"/>
        <w:contextualSpacing/>
        <w:rPr>
          <w:rFonts w:eastAsiaTheme="minorHAnsi"/>
          <w:bCs/>
          <w:iCs/>
          <w:szCs w:val="22"/>
          <w:lang w:eastAsia="en-US"/>
        </w:rPr>
      </w:pPr>
      <w:r w:rsidRPr="00814CD8">
        <w:rPr>
          <w:rFonts w:eastAsiaTheme="minorHAnsi"/>
          <w:lang w:eastAsia="en-US"/>
        </w:rPr>
        <w:t>Рис</w:t>
      </w:r>
      <w:r w:rsidR="00FA78E8">
        <w:rPr>
          <w:rFonts w:eastAsiaTheme="minorHAnsi"/>
          <w:lang w:eastAsia="en-US"/>
        </w:rPr>
        <w:t xml:space="preserve">унок </w:t>
      </w:r>
      <w:r w:rsidR="00F85832">
        <w:rPr>
          <w:rFonts w:eastAsiaTheme="minorHAnsi"/>
          <w:lang w:eastAsia="en-US"/>
        </w:rPr>
        <w:t>2</w:t>
      </w:r>
      <w:r w:rsidRPr="00814CD8">
        <w:rPr>
          <w:rFonts w:eastAsiaTheme="minorHAnsi"/>
          <w:lang w:eastAsia="en-US"/>
        </w:rPr>
        <w:t xml:space="preserve">. </w:t>
      </w:r>
      <w:r w:rsidRPr="00814CD8">
        <w:rPr>
          <w:rFonts w:eastAsiaTheme="minorHAnsi"/>
          <w:bCs/>
          <w:iCs/>
          <w:lang w:eastAsia="en-US"/>
        </w:rPr>
        <w:t>Облако наиболее значимых факторов местоположения</w:t>
      </w:r>
    </w:p>
    <w:p w14:paraId="3B426005" w14:textId="77777777" w:rsidR="00814CD8" w:rsidRPr="00814CD8" w:rsidRDefault="00814CD8" w:rsidP="00814CD8">
      <w:pPr>
        <w:spacing w:after="160" w:line="240" w:lineRule="auto"/>
        <w:contextualSpacing/>
        <w:rPr>
          <w:rFonts w:eastAsiaTheme="minorHAnsi"/>
          <w:bCs/>
          <w:sz w:val="18"/>
          <w:szCs w:val="20"/>
          <w:lang w:eastAsia="en-US"/>
        </w:rPr>
      </w:pPr>
      <w:r w:rsidRPr="00814CD8">
        <w:rPr>
          <w:rFonts w:eastAsiaTheme="minorHAnsi"/>
          <w:bCs/>
          <w:iCs/>
          <w:sz w:val="22"/>
          <w:lang w:eastAsia="en-US"/>
        </w:rPr>
        <w:t>Источник: (</w:t>
      </w:r>
      <w:r w:rsidRPr="00814CD8">
        <w:rPr>
          <w:rFonts w:eastAsiaTheme="minorHAnsi"/>
          <w:bCs/>
          <w:sz w:val="22"/>
          <w:lang w:val="en-US" w:eastAsia="en-US"/>
        </w:rPr>
        <w:t>Towhidur</w:t>
      </w:r>
      <w:r w:rsidRPr="00814CD8">
        <w:rPr>
          <w:rFonts w:eastAsiaTheme="minorHAnsi"/>
          <w:bCs/>
          <w:sz w:val="22"/>
          <w:lang w:eastAsia="en-US"/>
        </w:rPr>
        <w:t xml:space="preserve"> </w:t>
      </w:r>
      <w:r w:rsidRPr="00814CD8">
        <w:rPr>
          <w:rFonts w:eastAsiaTheme="minorHAnsi"/>
          <w:bCs/>
          <w:sz w:val="22"/>
          <w:lang w:val="en-US" w:eastAsia="en-US"/>
        </w:rPr>
        <w:t>Rahman</w:t>
      </w:r>
      <w:r w:rsidRPr="00814CD8">
        <w:rPr>
          <w:rFonts w:eastAsiaTheme="minorHAnsi"/>
          <w:bCs/>
          <w:sz w:val="22"/>
          <w:lang w:eastAsia="en-US"/>
        </w:rPr>
        <w:t xml:space="preserve">, </w:t>
      </w:r>
      <w:r w:rsidRPr="00814CD8">
        <w:rPr>
          <w:rFonts w:eastAsiaTheme="minorHAnsi"/>
          <w:bCs/>
          <w:sz w:val="22"/>
          <w:lang w:val="en-US" w:eastAsia="en-US"/>
        </w:rPr>
        <w:t>Ahsanul</w:t>
      </w:r>
      <w:r w:rsidRPr="00814CD8">
        <w:rPr>
          <w:rFonts w:eastAsiaTheme="minorHAnsi"/>
          <w:bCs/>
          <w:sz w:val="22"/>
          <w:lang w:eastAsia="en-US"/>
        </w:rPr>
        <w:t xml:space="preserve">, 2019) </w:t>
      </w:r>
    </w:p>
    <w:p w14:paraId="7C6A6678" w14:textId="77777777" w:rsidR="00814CD8" w:rsidRPr="00814CD8" w:rsidRDefault="00814CD8" w:rsidP="00814CD8">
      <w:pPr>
        <w:spacing w:line="240" w:lineRule="auto"/>
        <w:ind w:firstLine="709"/>
        <w:contextualSpacing/>
        <w:rPr>
          <w:rFonts w:eastAsiaTheme="minorHAnsi"/>
          <w:szCs w:val="22"/>
          <w:lang w:eastAsia="en-US"/>
        </w:rPr>
      </w:pPr>
    </w:p>
    <w:p w14:paraId="18EA14D0"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В зарубежной литературе также к ключевым направлениям выбора местоположения торгового объекта относят исследования исторически сложившегося размещения объекта, влияние культурной составляющей городского пространства.</w:t>
      </w:r>
    </w:p>
    <w:p w14:paraId="672D35EB" w14:textId="77777777" w:rsidR="00814CD8" w:rsidRPr="00814CD8" w:rsidRDefault="00814CD8" w:rsidP="00814CD8">
      <w:pPr>
        <w:ind w:firstLine="851"/>
        <w:contextualSpacing/>
        <w:jc w:val="both"/>
        <w:rPr>
          <w:rFonts w:eastAsiaTheme="minorHAnsi"/>
          <w:lang w:eastAsia="en-US"/>
        </w:rPr>
      </w:pPr>
      <w:r w:rsidRPr="00814CD8">
        <w:rPr>
          <w:rFonts w:eastAsiaTheme="minorHAnsi"/>
          <w:lang w:eastAsia="en-US"/>
        </w:rPr>
        <w:t>В организации деятельности объекта ритейла немаловажную роль играет расположение вблизи него других отраслей производства товаров и услуг. Такое «соседство» может выражаться в разных видах (Имаргалин, 2014, с. 22-23):</w:t>
      </w:r>
    </w:p>
    <w:p w14:paraId="4C7A67B7" w14:textId="77777777" w:rsidR="00814CD8" w:rsidRPr="00210947" w:rsidRDefault="00814CD8" w:rsidP="00432C4A">
      <w:pPr>
        <w:pStyle w:val="ListParagraph"/>
        <w:numPr>
          <w:ilvl w:val="0"/>
          <w:numId w:val="19"/>
        </w:numPr>
        <w:ind w:left="357" w:hanging="357"/>
      </w:pPr>
      <w:r w:rsidRPr="00210947">
        <w:t>симбиотическое – объекты взаимно дополняют друг друга, не создавая ущерба (например, продовольственный магазин и аптека);</w:t>
      </w:r>
    </w:p>
    <w:p w14:paraId="0EE9AE2D" w14:textId="77777777" w:rsidR="00814CD8" w:rsidRPr="00210947" w:rsidRDefault="00814CD8" w:rsidP="00432C4A">
      <w:pPr>
        <w:pStyle w:val="ListParagraph"/>
        <w:numPr>
          <w:ilvl w:val="0"/>
          <w:numId w:val="19"/>
        </w:numPr>
        <w:ind w:left="357" w:hanging="357"/>
      </w:pPr>
      <w:r w:rsidRPr="00210947">
        <w:t>паразитическое – один объект получает преимущества за счет другого (например, магазины мелкой электроники, паразитирующие на магазинах крупной бытовой техники);</w:t>
      </w:r>
    </w:p>
    <w:p w14:paraId="35CBADE5" w14:textId="77777777" w:rsidR="00814CD8" w:rsidRPr="00210947" w:rsidRDefault="00814CD8" w:rsidP="00432C4A">
      <w:pPr>
        <w:pStyle w:val="ListParagraph"/>
        <w:numPr>
          <w:ilvl w:val="0"/>
          <w:numId w:val="19"/>
        </w:numPr>
        <w:ind w:left="357" w:hanging="357"/>
      </w:pPr>
      <w:r w:rsidRPr="00210947">
        <w:t>синергетическое – объекты одного сегмента концентрируются в одном месте, создавая кластер (магазины обуви, детских товаров);</w:t>
      </w:r>
    </w:p>
    <w:p w14:paraId="61DAF0D9" w14:textId="77777777" w:rsidR="00814CD8" w:rsidRPr="00210947" w:rsidRDefault="00814CD8" w:rsidP="00432C4A">
      <w:pPr>
        <w:pStyle w:val="ListParagraph"/>
        <w:numPr>
          <w:ilvl w:val="0"/>
          <w:numId w:val="19"/>
        </w:numPr>
        <w:ind w:left="357" w:hanging="357"/>
      </w:pPr>
      <w:r w:rsidRPr="00210947">
        <w:t>отрицательное – целевая аудитория одного объекта отрицательно влияет на целевую аудиторию другого (детские товары и магазин нижнего белья);</w:t>
      </w:r>
    </w:p>
    <w:p w14:paraId="275699B0" w14:textId="77777777" w:rsidR="00814CD8" w:rsidRPr="00210947" w:rsidRDefault="00814CD8" w:rsidP="00432C4A">
      <w:pPr>
        <w:pStyle w:val="ListParagraph"/>
        <w:numPr>
          <w:ilvl w:val="0"/>
          <w:numId w:val="19"/>
        </w:numPr>
        <w:ind w:left="357" w:hanging="357"/>
      </w:pPr>
      <w:r w:rsidRPr="00210947">
        <w:t>конкурентное – классическая конкуренция между объектами одного сегмента рынка;</w:t>
      </w:r>
    </w:p>
    <w:p w14:paraId="4052BB25" w14:textId="77777777" w:rsidR="00814CD8" w:rsidRPr="00210947" w:rsidRDefault="00814CD8" w:rsidP="00432C4A">
      <w:pPr>
        <w:pStyle w:val="ListParagraph"/>
        <w:numPr>
          <w:ilvl w:val="0"/>
          <w:numId w:val="19"/>
        </w:numPr>
        <w:ind w:left="357" w:hanging="357"/>
      </w:pPr>
      <w:r w:rsidRPr="00210947">
        <w:t>нейтральное – взаимодействие между объектами отсутствует.</w:t>
      </w:r>
    </w:p>
    <w:p w14:paraId="40E25BD9" w14:textId="13B1616C" w:rsidR="00814CD8" w:rsidRPr="00814CD8" w:rsidRDefault="00814CD8" w:rsidP="00814CD8">
      <w:pPr>
        <w:ind w:firstLine="851"/>
        <w:contextualSpacing/>
        <w:jc w:val="both"/>
        <w:rPr>
          <w:rFonts w:eastAsiaTheme="minorHAnsi"/>
          <w:lang w:eastAsia="en-US"/>
        </w:rPr>
      </w:pPr>
      <w:r w:rsidRPr="00814CD8">
        <w:rPr>
          <w:rFonts w:eastAsiaTheme="minorHAnsi"/>
          <w:lang w:eastAsia="en-US"/>
        </w:rPr>
        <w:t xml:space="preserve">Степень выраженности данного явления «соседства» определяется общими факторами размещения и характеризует показатель кластеризации (ПК): насколько часто один тип торговой структуры попадает в 500-метровую зону доступности другой. Различные объекты розничной торговли отличаются данными показателями. Наибольшими значениями обладают следующие категории: кофейни, пекарни, канцелярские магазины, алкогольные </w:t>
      </w:r>
      <w:r w:rsidRPr="00814CD8">
        <w:rPr>
          <w:rFonts w:eastAsiaTheme="minorHAnsi"/>
          <w:lang w:eastAsia="en-US"/>
        </w:rPr>
        <w:lastRenderedPageBreak/>
        <w:t>магазины, рестораны. Вероятность расположения объектов перечисленных групп вблизи объектов своего типа наибольшая. Однако как высокие, так и низкие показатели кластеризации могут наблюдаться между различными сферами производства. Существование взаимной связи определяется ПК на 25% выше среднего значения в группе. Данный критерий позволяет выделить 2 типа связей</w:t>
      </w:r>
      <w:r w:rsidR="00F85832">
        <w:rPr>
          <w:rFonts w:eastAsiaTheme="minorHAnsi"/>
          <w:lang w:eastAsia="en-US"/>
        </w:rPr>
        <w:t xml:space="preserve"> (Таблица 2)</w:t>
      </w:r>
      <w:r w:rsidRPr="00814CD8">
        <w:rPr>
          <w:rFonts w:eastAsiaTheme="minorHAnsi"/>
          <w:lang w:eastAsia="en-US"/>
        </w:rPr>
        <w:t>:</w:t>
      </w:r>
    </w:p>
    <w:p w14:paraId="46EA72C4" w14:textId="77777777" w:rsidR="00814CD8" w:rsidRPr="00814CD8" w:rsidRDefault="00814CD8" w:rsidP="00432C4A">
      <w:pPr>
        <w:numPr>
          <w:ilvl w:val="0"/>
          <w:numId w:val="18"/>
        </w:numPr>
        <w:ind w:left="357" w:hanging="357"/>
        <w:contextualSpacing/>
        <w:jc w:val="both"/>
        <w:rPr>
          <w:rFonts w:eastAsiaTheme="minorHAnsi"/>
          <w:lang w:eastAsia="en-US"/>
        </w:rPr>
      </w:pPr>
      <w:r w:rsidRPr="00814CD8">
        <w:rPr>
          <w:rFonts w:eastAsiaTheme="minorHAnsi"/>
          <w:lang w:eastAsia="en-US"/>
        </w:rPr>
        <w:t>Взаимная. ПК между двумя типами объектов выше их средних значений по группам (бары и рестораны, имеющие в группах показатели 16 и 17 соответственно, при этой значение взаимной кластеризации составляет 26);</w:t>
      </w:r>
    </w:p>
    <w:p w14:paraId="2B41A85D" w14:textId="77777777" w:rsidR="00814CD8" w:rsidRPr="00814CD8" w:rsidRDefault="00814CD8" w:rsidP="00432C4A">
      <w:pPr>
        <w:numPr>
          <w:ilvl w:val="0"/>
          <w:numId w:val="18"/>
        </w:numPr>
        <w:ind w:left="357" w:hanging="357"/>
        <w:contextualSpacing/>
        <w:jc w:val="both"/>
        <w:rPr>
          <w:rFonts w:eastAsiaTheme="minorHAnsi"/>
          <w:lang w:eastAsia="en-US"/>
        </w:rPr>
      </w:pPr>
      <w:r w:rsidRPr="00814CD8">
        <w:rPr>
          <w:rFonts w:eastAsiaTheme="minorHAnsi"/>
          <w:lang w:eastAsia="en-US"/>
        </w:rPr>
        <w:t>Односторонняя. Показатель взаимной кластеризации выше среднего значения только одного из типов (бары и магазины алкогольной продукции с ПК внутри своей группы 16 и 11 соответственно, при этом значение взаимной составляет 13) (Имангалин, 2014, с.25).</w:t>
      </w:r>
    </w:p>
    <w:p w14:paraId="10E4C57D" w14:textId="77777777" w:rsidR="00814CD8" w:rsidRPr="00814CD8" w:rsidRDefault="00814CD8" w:rsidP="00814CD8">
      <w:pPr>
        <w:spacing w:before="160"/>
        <w:rPr>
          <w:rFonts w:eastAsiaTheme="minorHAnsi"/>
          <w:sz w:val="28"/>
          <w:szCs w:val="28"/>
          <w:lang w:eastAsia="en-US"/>
        </w:rPr>
      </w:pPr>
      <w:r w:rsidRPr="00814CD8">
        <w:rPr>
          <w:rFonts w:eastAsiaTheme="minorHAnsi"/>
          <w:noProof/>
          <w:sz w:val="28"/>
          <w:szCs w:val="28"/>
        </w:rPr>
        <w:drawing>
          <wp:inline distT="0" distB="0" distL="0" distR="0" wp14:anchorId="4BAFC0B6" wp14:editId="3080E6ED">
            <wp:extent cx="6339470" cy="3947311"/>
            <wp:effectExtent l="0" t="0" r="4445" b="0"/>
            <wp:docPr id="3" name="Рисунок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Diagram, engineering drawing&#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t="4751" b="3880"/>
                    <a:stretch/>
                  </pic:blipFill>
                  <pic:spPr bwMode="auto">
                    <a:xfrm>
                      <a:off x="0" y="0"/>
                      <a:ext cx="6413991" cy="3993712"/>
                    </a:xfrm>
                    <a:prstGeom prst="rect">
                      <a:avLst/>
                    </a:prstGeom>
                    <a:noFill/>
                    <a:ln>
                      <a:noFill/>
                    </a:ln>
                    <a:extLst>
                      <a:ext uri="{53640926-AAD7-44D8-BBD7-CCE9431645EC}">
                        <a14:shadowObscured xmlns:a14="http://schemas.microsoft.com/office/drawing/2010/main"/>
                      </a:ext>
                    </a:extLst>
                  </pic:spPr>
                </pic:pic>
              </a:graphicData>
            </a:graphic>
          </wp:inline>
        </w:drawing>
      </w:r>
    </w:p>
    <w:p w14:paraId="33790DC0" w14:textId="704F3D45" w:rsidR="00814CD8" w:rsidRPr="00814CD8" w:rsidRDefault="00814CD8" w:rsidP="00814CD8">
      <w:pPr>
        <w:spacing w:line="240" w:lineRule="auto"/>
        <w:rPr>
          <w:rFonts w:eastAsiaTheme="minorHAnsi"/>
          <w:lang w:eastAsia="en-US"/>
        </w:rPr>
      </w:pPr>
      <w:r w:rsidRPr="00814CD8">
        <w:rPr>
          <w:rFonts w:eastAsiaTheme="minorHAnsi"/>
          <w:lang w:eastAsia="en-US"/>
        </w:rPr>
        <w:t>Рис</w:t>
      </w:r>
      <w:r w:rsidR="00FA78E8">
        <w:rPr>
          <w:rFonts w:eastAsiaTheme="minorHAnsi"/>
          <w:lang w:eastAsia="en-US"/>
        </w:rPr>
        <w:t>унок</w:t>
      </w:r>
      <w:r w:rsidRPr="00814CD8">
        <w:rPr>
          <w:rFonts w:eastAsiaTheme="minorHAnsi"/>
          <w:lang w:eastAsia="en-US"/>
        </w:rPr>
        <w:t xml:space="preserve"> </w:t>
      </w:r>
      <w:r w:rsidR="00F85832">
        <w:rPr>
          <w:rFonts w:eastAsiaTheme="minorHAnsi"/>
          <w:lang w:eastAsia="en-US"/>
        </w:rPr>
        <w:t>3</w:t>
      </w:r>
      <w:r w:rsidRPr="00814CD8">
        <w:rPr>
          <w:rFonts w:eastAsiaTheme="minorHAnsi"/>
          <w:lang w:eastAsia="en-US"/>
        </w:rPr>
        <w:t>. Категории товаров и услуг с общим фактором размещения</w:t>
      </w:r>
    </w:p>
    <w:p w14:paraId="46114136" w14:textId="542F0DC9" w:rsidR="00814CD8" w:rsidRDefault="00814CD8" w:rsidP="00814CD8">
      <w:pPr>
        <w:spacing w:after="160"/>
        <w:rPr>
          <w:rFonts w:eastAsiaTheme="minorHAnsi"/>
          <w:sz w:val="22"/>
          <w:szCs w:val="20"/>
          <w:lang w:eastAsia="en-US"/>
        </w:rPr>
      </w:pPr>
      <w:r w:rsidRPr="00814CD8">
        <w:rPr>
          <w:rFonts w:eastAsiaTheme="minorHAnsi"/>
          <w:sz w:val="22"/>
          <w:szCs w:val="20"/>
          <w:lang w:eastAsia="en-US"/>
        </w:rPr>
        <w:t xml:space="preserve">Источник: данные компании </w:t>
      </w:r>
      <w:r w:rsidRPr="00814CD8">
        <w:rPr>
          <w:rFonts w:eastAsiaTheme="minorHAnsi"/>
          <w:sz w:val="22"/>
          <w:szCs w:val="20"/>
          <w:lang w:val="en-US" w:eastAsia="en-US"/>
        </w:rPr>
        <w:t>SmartLoc</w:t>
      </w:r>
      <w:r w:rsidRPr="00814CD8">
        <w:rPr>
          <w:rFonts w:eastAsiaTheme="minorHAnsi"/>
          <w:sz w:val="22"/>
          <w:szCs w:val="20"/>
          <w:lang w:eastAsia="en-US"/>
        </w:rPr>
        <w:t xml:space="preserve"> (Имангалин, 2014, с.26)</w:t>
      </w:r>
    </w:p>
    <w:p w14:paraId="2C30B981" w14:textId="7AEBD71A" w:rsidR="00F26C97" w:rsidRDefault="00F26C97" w:rsidP="00814CD8">
      <w:pPr>
        <w:spacing w:after="160"/>
        <w:rPr>
          <w:rFonts w:eastAsiaTheme="minorHAnsi"/>
          <w:sz w:val="22"/>
          <w:szCs w:val="20"/>
          <w:lang w:eastAsia="en-US"/>
        </w:rPr>
      </w:pPr>
    </w:p>
    <w:p w14:paraId="44A7E7D1" w14:textId="771FF45B" w:rsidR="00F26C97" w:rsidRDefault="00F26C97" w:rsidP="00814CD8">
      <w:pPr>
        <w:spacing w:after="160"/>
        <w:rPr>
          <w:rFonts w:eastAsiaTheme="minorHAnsi"/>
          <w:sz w:val="22"/>
          <w:szCs w:val="20"/>
          <w:lang w:eastAsia="en-US"/>
        </w:rPr>
      </w:pPr>
    </w:p>
    <w:p w14:paraId="1FEE35CF" w14:textId="4CE22EAB" w:rsidR="00F26C97" w:rsidRDefault="00F26C97" w:rsidP="00814CD8">
      <w:pPr>
        <w:spacing w:after="160"/>
        <w:rPr>
          <w:rFonts w:eastAsiaTheme="minorHAnsi"/>
          <w:sz w:val="22"/>
          <w:szCs w:val="20"/>
          <w:lang w:eastAsia="en-US"/>
        </w:rPr>
      </w:pPr>
    </w:p>
    <w:p w14:paraId="1C25404C" w14:textId="55520E38" w:rsidR="00F26C97" w:rsidRDefault="00F26C97" w:rsidP="00814CD8">
      <w:pPr>
        <w:spacing w:after="160"/>
        <w:rPr>
          <w:rFonts w:eastAsiaTheme="minorHAnsi"/>
          <w:sz w:val="22"/>
          <w:szCs w:val="20"/>
          <w:lang w:eastAsia="en-US"/>
        </w:rPr>
      </w:pPr>
    </w:p>
    <w:p w14:paraId="47F8626B" w14:textId="77777777" w:rsidR="00F26C97" w:rsidRPr="00814CD8" w:rsidRDefault="00F26C97" w:rsidP="00814CD8">
      <w:pPr>
        <w:spacing w:after="160"/>
        <w:rPr>
          <w:rFonts w:eastAsiaTheme="minorHAnsi"/>
          <w:sz w:val="22"/>
          <w:szCs w:val="20"/>
          <w:lang w:eastAsia="en-US"/>
        </w:rPr>
      </w:pPr>
    </w:p>
    <w:p w14:paraId="1EFF92E1" w14:textId="69E20AAE" w:rsidR="00814CD8" w:rsidRPr="00814CD8" w:rsidRDefault="00814CD8" w:rsidP="00814CD8">
      <w:pPr>
        <w:spacing w:before="160"/>
        <w:rPr>
          <w:rFonts w:eastAsiaTheme="minorHAnsi"/>
          <w:noProof/>
          <w:lang w:eastAsia="en-US"/>
        </w:rPr>
      </w:pPr>
      <w:r w:rsidRPr="00814CD8">
        <w:rPr>
          <w:rFonts w:eastAsiaTheme="minorHAnsi"/>
          <w:noProof/>
          <w:lang w:eastAsia="en-US"/>
        </w:rPr>
        <w:lastRenderedPageBreak/>
        <w:t xml:space="preserve">Таблица </w:t>
      </w:r>
      <w:r w:rsidR="00F85832">
        <w:rPr>
          <w:rFonts w:eastAsiaTheme="minorHAnsi"/>
          <w:noProof/>
          <w:lang w:eastAsia="en-US"/>
        </w:rPr>
        <w:t>2</w:t>
      </w:r>
      <w:r w:rsidRPr="00814CD8">
        <w:rPr>
          <w:rFonts w:eastAsiaTheme="minorHAnsi"/>
          <w:noProof/>
          <w:lang w:eastAsia="en-US"/>
        </w:rPr>
        <w:t>. Значения показателя кластеризации размещения объектов стрит ритейла</w:t>
      </w:r>
    </w:p>
    <w:p w14:paraId="4DB2888C" w14:textId="11694AF8" w:rsidR="00814CD8" w:rsidRPr="00814CD8" w:rsidRDefault="00F26C97" w:rsidP="00814CD8">
      <w:pPr>
        <w:spacing w:line="240" w:lineRule="auto"/>
        <w:rPr>
          <w:rFonts w:eastAsiaTheme="minorHAnsi"/>
          <w:szCs w:val="22"/>
          <w:lang w:eastAsia="en-US"/>
        </w:rPr>
      </w:pPr>
      <w:r>
        <w:rPr>
          <w:rFonts w:eastAsiaTheme="minorHAnsi"/>
          <w:noProof/>
          <w:szCs w:val="22"/>
          <w:lang w:eastAsia="en-US"/>
        </w:rPr>
        <w:drawing>
          <wp:inline distT="0" distB="0" distL="0" distR="0" wp14:anchorId="4975A8E7" wp14:editId="164E01A9">
            <wp:extent cx="6340475" cy="37433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0475" cy="3743325"/>
                    </a:xfrm>
                    <a:prstGeom prst="rect">
                      <a:avLst/>
                    </a:prstGeom>
                    <a:noFill/>
                  </pic:spPr>
                </pic:pic>
              </a:graphicData>
            </a:graphic>
          </wp:inline>
        </w:drawing>
      </w:r>
    </w:p>
    <w:p w14:paraId="552D2F49" w14:textId="77777777" w:rsidR="00814CD8" w:rsidRPr="00814CD8" w:rsidRDefault="00814CD8" w:rsidP="00814CD8">
      <w:pPr>
        <w:spacing w:after="160"/>
        <w:rPr>
          <w:rFonts w:eastAsiaTheme="minorHAnsi"/>
          <w:sz w:val="22"/>
          <w:szCs w:val="20"/>
          <w:lang w:eastAsia="en-US"/>
        </w:rPr>
      </w:pPr>
      <w:r w:rsidRPr="00814CD8">
        <w:rPr>
          <w:rFonts w:eastAsiaTheme="minorHAnsi"/>
          <w:sz w:val="22"/>
          <w:szCs w:val="20"/>
          <w:lang w:eastAsia="en-US"/>
        </w:rPr>
        <w:t>Источник: (Иманглалин, 2014, с.27)</w:t>
      </w:r>
    </w:p>
    <w:p w14:paraId="3B8D40D4" w14:textId="11E6423C" w:rsidR="00210947" w:rsidRDefault="00814CD8" w:rsidP="00210947">
      <w:pPr>
        <w:pStyle w:val="NoSpacing"/>
        <w:spacing w:after="160" w:line="360" w:lineRule="auto"/>
        <w:ind w:firstLine="851"/>
        <w:jc w:val="both"/>
        <w:rPr>
          <w:rFonts w:eastAsiaTheme="minorHAnsi"/>
        </w:rPr>
      </w:pPr>
      <w:r w:rsidRPr="00814CD8">
        <w:rPr>
          <w:rFonts w:eastAsiaTheme="minorHAnsi"/>
        </w:rPr>
        <w:t>В процессе выбора идеального местоположения для размещения отрасли производства предпринимателями оценивается целый комплекс экономических, социальных, территориальных и других факторов. Необходимо установление баланса между идеальным представлением о местоположении и тем, что возможно достигнуть в реальности.</w:t>
      </w:r>
    </w:p>
    <w:p w14:paraId="419A2BA2" w14:textId="42EA606A" w:rsidR="005A72AE" w:rsidRPr="00B24652" w:rsidRDefault="005A72AE" w:rsidP="005A72AE">
      <w:pPr>
        <w:keepNext/>
        <w:keepLines/>
        <w:spacing w:before="160" w:after="160"/>
        <w:outlineLvl w:val="1"/>
        <w:rPr>
          <w:rFonts w:eastAsiaTheme="majorEastAsia"/>
          <w:b/>
          <w:bCs/>
          <w:lang w:eastAsia="en-US"/>
        </w:rPr>
      </w:pPr>
      <w:bookmarkStart w:id="9" w:name="_Toc103641021"/>
      <w:r w:rsidRPr="005A72AE">
        <w:rPr>
          <w:rFonts w:eastAsiaTheme="majorEastAsia"/>
          <w:b/>
          <w:bCs/>
          <w:lang w:eastAsia="en-US"/>
        </w:rPr>
        <w:t>1</w:t>
      </w:r>
      <w:r w:rsidRPr="00B24652">
        <w:rPr>
          <w:rFonts w:eastAsiaTheme="majorEastAsia"/>
          <w:b/>
          <w:bCs/>
          <w:lang w:eastAsia="en-US"/>
        </w:rPr>
        <w:t>.4</w:t>
      </w:r>
      <w:r w:rsidRPr="005A72AE">
        <w:rPr>
          <w:rFonts w:eastAsiaTheme="majorEastAsia"/>
          <w:b/>
          <w:bCs/>
          <w:lang w:eastAsia="en-US"/>
        </w:rPr>
        <w:t>.</w:t>
      </w:r>
      <w:r w:rsidRPr="00B24652">
        <w:rPr>
          <w:rFonts w:eastAsiaTheme="majorEastAsia"/>
          <w:b/>
          <w:bCs/>
          <w:lang w:eastAsia="en-US"/>
        </w:rPr>
        <w:t xml:space="preserve"> Методика сбора и обработки данных</w:t>
      </w:r>
      <w:bookmarkEnd w:id="9"/>
    </w:p>
    <w:p w14:paraId="5288BDF7" w14:textId="77777777" w:rsidR="005A72AE" w:rsidRPr="00B24652" w:rsidRDefault="005A72AE" w:rsidP="005A72AE">
      <w:pPr>
        <w:ind w:firstLine="851"/>
        <w:jc w:val="both"/>
        <w:rPr>
          <w:rFonts w:eastAsiaTheme="minorHAnsi"/>
          <w:lang w:eastAsia="en-US"/>
        </w:rPr>
      </w:pPr>
      <w:r w:rsidRPr="00B24652">
        <w:rPr>
          <w:rFonts w:eastAsiaTheme="minorHAnsi"/>
          <w:lang w:eastAsia="en-US"/>
        </w:rPr>
        <w:t>Основой для формирования базы данных алкогольных магазинов, питейных заведений, пекарен и кофеен Санкт-Петербурга стала геоинформационная система «2ГИС», поскольку она обладает достоверными и регулярно обновляемыми данными.</w:t>
      </w:r>
    </w:p>
    <w:p w14:paraId="62EC9DF2" w14:textId="77777777" w:rsidR="005A72AE" w:rsidRPr="00B24652" w:rsidRDefault="005A72AE" w:rsidP="005A72AE">
      <w:pPr>
        <w:ind w:firstLine="851"/>
        <w:jc w:val="both"/>
        <w:rPr>
          <w:rFonts w:eastAsiaTheme="minorHAnsi"/>
          <w:lang w:eastAsia="en-US"/>
        </w:rPr>
      </w:pPr>
      <w:r w:rsidRPr="00B24652">
        <w:rPr>
          <w:rFonts w:eastAsiaTheme="minorHAnsi"/>
          <w:lang w:eastAsia="en-US"/>
        </w:rPr>
        <w:t>В базе данных «2ГИС» информация хранится в форме взаимосвязанных таблиц, каждый атрибут которых уникален. В данных таблицах хранятся основные атрибутивные сведения о каждом объекте.</w:t>
      </w:r>
    </w:p>
    <w:p w14:paraId="2A74385D" w14:textId="77777777" w:rsidR="005A72AE" w:rsidRPr="00B24652" w:rsidRDefault="005A72AE" w:rsidP="005A72AE">
      <w:pPr>
        <w:ind w:firstLine="851"/>
        <w:jc w:val="both"/>
        <w:rPr>
          <w:rFonts w:eastAsiaTheme="minorHAnsi"/>
          <w:lang w:eastAsia="en-US"/>
        </w:rPr>
      </w:pPr>
      <w:r w:rsidRPr="00B24652">
        <w:rPr>
          <w:rFonts w:eastAsiaTheme="minorHAnsi"/>
          <w:lang w:eastAsia="en-US"/>
        </w:rPr>
        <w:t>Данные в «2ГИС» можно разделить на два типа: справочные, которые включают наименование объекта, его качественную и количественную информацию и пространственные – его координаты.</w:t>
      </w:r>
    </w:p>
    <w:p w14:paraId="47A30D65" w14:textId="77777777" w:rsidR="005A72AE" w:rsidRPr="00B24652" w:rsidRDefault="005A72AE" w:rsidP="005A72AE">
      <w:pPr>
        <w:ind w:firstLine="851"/>
        <w:jc w:val="both"/>
        <w:rPr>
          <w:rFonts w:eastAsiaTheme="minorHAnsi"/>
          <w:lang w:eastAsia="en-US"/>
        </w:rPr>
      </w:pPr>
      <w:r w:rsidRPr="00B24652">
        <w:rPr>
          <w:rFonts w:eastAsiaTheme="minorHAnsi"/>
          <w:lang w:eastAsia="en-US"/>
        </w:rPr>
        <w:t>Выгрузка данных из базы геоинформационной системы реализовывалась в ходе следующих этапов:</w:t>
      </w:r>
    </w:p>
    <w:p w14:paraId="5545ABB7" w14:textId="77777777" w:rsidR="005A72AE" w:rsidRPr="00B24652" w:rsidRDefault="005A72AE" w:rsidP="005A72AE">
      <w:pPr>
        <w:numPr>
          <w:ilvl w:val="0"/>
          <w:numId w:val="5"/>
        </w:numPr>
        <w:ind w:left="357" w:hanging="357"/>
        <w:contextualSpacing/>
        <w:jc w:val="both"/>
        <w:rPr>
          <w:rFonts w:eastAsiaTheme="minorHAnsi"/>
          <w:lang w:eastAsia="en-US"/>
        </w:rPr>
      </w:pPr>
      <w:r w:rsidRPr="00B24652">
        <w:rPr>
          <w:rFonts w:eastAsiaTheme="minorHAnsi"/>
          <w:lang w:eastAsia="en-US"/>
        </w:rPr>
        <w:lastRenderedPageBreak/>
        <w:t>Обращение к программному продукту «2ГИС» и создание запроса в поисковой строке. Для выгрузки данных о питейных заведениях города был создан запрос «алкогольные магазины»; для питейных заведений – «бары»; для пекарен – «пекарни»; для кофеен – «кофейни». При этом по отправленным запросам выгруженные объекты подразделялись на различные категории: бары – на пабы, бары, кафе-бары, пивные, рестораны и др.; пекарни – на пекарни, кондитерские, булочные, кафе-кондитерские, пышечные, кафе-пекарни и др.; кофейни – на кофейни, кафе, кафе-пекарни, кафе-кондитерские и др.</w:t>
      </w:r>
    </w:p>
    <w:p w14:paraId="6CD96504" w14:textId="4E622A17" w:rsidR="005A72AE" w:rsidRPr="00B24652" w:rsidRDefault="005A72AE" w:rsidP="005A72AE">
      <w:pPr>
        <w:numPr>
          <w:ilvl w:val="0"/>
          <w:numId w:val="5"/>
        </w:numPr>
        <w:ind w:left="357" w:hanging="357"/>
        <w:contextualSpacing/>
        <w:jc w:val="both"/>
        <w:rPr>
          <w:rFonts w:eastAsiaTheme="minorHAnsi"/>
          <w:lang w:eastAsia="en-US"/>
        </w:rPr>
      </w:pPr>
      <w:r w:rsidRPr="00B24652">
        <w:rPr>
          <w:rFonts w:eastAsiaTheme="minorHAnsi"/>
          <w:lang w:eastAsia="en-US"/>
        </w:rPr>
        <w:t xml:space="preserve">Обращение к панели разработчика, нажав комбинацию клавиш </w:t>
      </w:r>
      <w:r w:rsidRPr="00B24652">
        <w:rPr>
          <w:rFonts w:eastAsiaTheme="minorHAnsi"/>
          <w:lang w:val="en-US" w:eastAsia="en-US"/>
        </w:rPr>
        <w:t>Fn</w:t>
      </w:r>
      <w:r w:rsidRPr="00B24652">
        <w:rPr>
          <w:rFonts w:eastAsiaTheme="minorHAnsi"/>
          <w:lang w:eastAsia="en-US"/>
        </w:rPr>
        <w:t xml:space="preserve"> + </w:t>
      </w:r>
      <w:r w:rsidRPr="00B24652">
        <w:rPr>
          <w:rFonts w:eastAsiaTheme="minorHAnsi"/>
          <w:lang w:val="en-US" w:eastAsia="en-US"/>
        </w:rPr>
        <w:t>F</w:t>
      </w:r>
      <w:r w:rsidRPr="00B24652">
        <w:rPr>
          <w:rFonts w:eastAsiaTheme="minorHAnsi"/>
          <w:lang w:eastAsia="en-US"/>
        </w:rPr>
        <w:t xml:space="preserve">12 (Рисунки </w:t>
      </w:r>
      <w:r w:rsidR="00F85832">
        <w:rPr>
          <w:rFonts w:eastAsiaTheme="minorHAnsi"/>
          <w:lang w:eastAsia="en-US"/>
        </w:rPr>
        <w:t>4-5</w:t>
      </w:r>
      <w:r w:rsidRPr="00B24652">
        <w:rPr>
          <w:rFonts w:eastAsiaTheme="minorHAnsi"/>
          <w:lang w:eastAsia="en-US"/>
        </w:rPr>
        <w:t>).</w:t>
      </w:r>
    </w:p>
    <w:p w14:paraId="6B054CFA" w14:textId="77777777" w:rsidR="005A72AE" w:rsidRPr="00B24652" w:rsidRDefault="005A72AE" w:rsidP="005A72AE">
      <w:pPr>
        <w:numPr>
          <w:ilvl w:val="0"/>
          <w:numId w:val="5"/>
        </w:numPr>
        <w:ind w:left="357" w:hanging="357"/>
        <w:contextualSpacing/>
        <w:jc w:val="both"/>
        <w:rPr>
          <w:rFonts w:eastAsiaTheme="minorHAnsi"/>
          <w:lang w:eastAsia="en-US"/>
        </w:rPr>
      </w:pPr>
      <w:r w:rsidRPr="00B24652">
        <w:rPr>
          <w:rFonts w:eastAsiaTheme="minorHAnsi"/>
          <w:lang w:eastAsia="en-US"/>
        </w:rPr>
        <w:t>Переход во вкладку «</w:t>
      </w:r>
      <w:r w:rsidRPr="00B24652">
        <w:rPr>
          <w:rFonts w:eastAsiaTheme="minorHAnsi"/>
          <w:lang w:val="en-US" w:eastAsia="en-US"/>
        </w:rPr>
        <w:t>Network</w:t>
      </w:r>
      <w:r w:rsidRPr="00B24652">
        <w:rPr>
          <w:rFonts w:eastAsiaTheme="minorHAnsi"/>
          <w:lang w:eastAsia="en-US"/>
        </w:rPr>
        <w:t>».</w:t>
      </w:r>
    </w:p>
    <w:p w14:paraId="4566FCD8" w14:textId="77777777" w:rsidR="005A72AE" w:rsidRPr="00B24652" w:rsidRDefault="005A72AE" w:rsidP="005A72AE">
      <w:pPr>
        <w:numPr>
          <w:ilvl w:val="0"/>
          <w:numId w:val="5"/>
        </w:numPr>
        <w:ind w:left="357" w:hanging="357"/>
        <w:contextualSpacing/>
        <w:jc w:val="both"/>
        <w:rPr>
          <w:rFonts w:eastAsiaTheme="minorHAnsi"/>
          <w:lang w:eastAsia="en-US"/>
        </w:rPr>
      </w:pPr>
      <w:r w:rsidRPr="00B24652">
        <w:rPr>
          <w:rFonts w:eastAsiaTheme="minorHAnsi"/>
          <w:lang w:eastAsia="en-US"/>
        </w:rPr>
        <w:t>Обращение к запросу «</w:t>
      </w:r>
      <w:r w:rsidRPr="00B24652">
        <w:rPr>
          <w:rFonts w:eastAsiaTheme="minorHAnsi"/>
          <w:lang w:val="en-US" w:eastAsia="en-US"/>
        </w:rPr>
        <w:t>items</w:t>
      </w:r>
      <w:r w:rsidRPr="00B24652">
        <w:rPr>
          <w:rFonts w:eastAsiaTheme="minorHAnsi"/>
          <w:lang w:eastAsia="en-US"/>
        </w:rPr>
        <w:t>» – выгружаемые объекты.</w:t>
      </w:r>
    </w:p>
    <w:p w14:paraId="1AFEC536" w14:textId="77777777" w:rsidR="005A72AE" w:rsidRPr="00B24652" w:rsidRDefault="005A72AE" w:rsidP="005A72AE">
      <w:pPr>
        <w:numPr>
          <w:ilvl w:val="0"/>
          <w:numId w:val="5"/>
        </w:numPr>
        <w:ind w:left="357" w:hanging="357"/>
        <w:contextualSpacing/>
        <w:jc w:val="both"/>
        <w:rPr>
          <w:rFonts w:eastAsiaTheme="minorHAnsi"/>
          <w:lang w:eastAsia="en-US"/>
        </w:rPr>
      </w:pPr>
      <w:r w:rsidRPr="00B24652">
        <w:rPr>
          <w:rFonts w:eastAsiaTheme="minorHAnsi"/>
          <w:lang w:eastAsia="en-US"/>
        </w:rPr>
        <w:t>Выкачивание «сырых» данных методом копирования результатов по запросу «</w:t>
      </w:r>
      <w:r w:rsidRPr="00B24652">
        <w:rPr>
          <w:rFonts w:eastAsiaTheme="minorHAnsi"/>
          <w:lang w:val="en-US" w:eastAsia="en-US"/>
        </w:rPr>
        <w:t>items</w:t>
      </w:r>
      <w:r w:rsidRPr="00B24652">
        <w:rPr>
          <w:rFonts w:eastAsiaTheme="minorHAnsi"/>
          <w:lang w:eastAsia="en-US"/>
        </w:rPr>
        <w:t xml:space="preserve">» в текстовом формате и вставка их в таблицу </w:t>
      </w:r>
      <w:r w:rsidRPr="00B24652">
        <w:rPr>
          <w:rFonts w:eastAsiaTheme="minorHAnsi"/>
          <w:lang w:val="en-US" w:eastAsia="en-US"/>
        </w:rPr>
        <w:t>Excel</w:t>
      </w:r>
      <w:r w:rsidRPr="00B24652">
        <w:rPr>
          <w:rFonts w:eastAsiaTheme="minorHAnsi"/>
          <w:lang w:eastAsia="en-US"/>
        </w:rPr>
        <w:t>.</w:t>
      </w:r>
    </w:p>
    <w:p w14:paraId="3AE05AD2" w14:textId="77777777" w:rsidR="005A72AE" w:rsidRPr="00B24652" w:rsidRDefault="005A72AE" w:rsidP="005A72AE">
      <w:pPr>
        <w:ind w:firstLine="851"/>
        <w:jc w:val="both"/>
        <w:rPr>
          <w:rFonts w:eastAsiaTheme="minorHAnsi"/>
          <w:lang w:eastAsia="en-US"/>
        </w:rPr>
      </w:pPr>
      <w:r w:rsidRPr="00B24652">
        <w:rPr>
          <w:rFonts w:eastAsiaTheme="minorHAnsi"/>
          <w:lang w:eastAsia="en-US"/>
        </w:rPr>
        <w:t>Данный процесс является достаточно длительным, поскольку данные выкачиваются группами по 12 объектов, из-за чего работа по выгрузке становится монотонной и требует особой внимательности.</w:t>
      </w:r>
    </w:p>
    <w:p w14:paraId="4C08F897" w14:textId="77777777" w:rsidR="005A72AE" w:rsidRPr="00B24652" w:rsidRDefault="005A72AE" w:rsidP="005A72AE">
      <w:pPr>
        <w:spacing w:before="160"/>
        <w:rPr>
          <w:rFonts w:eastAsiaTheme="minorHAnsi"/>
          <w:lang w:eastAsia="en-US"/>
        </w:rPr>
      </w:pPr>
      <w:r w:rsidRPr="00B24652">
        <w:rPr>
          <w:rFonts w:eastAsiaTheme="minorHAnsi"/>
          <w:noProof/>
          <w:szCs w:val="22"/>
        </w:rPr>
        <w:drawing>
          <wp:inline distT="0" distB="0" distL="0" distR="0" wp14:anchorId="4F66C0DC" wp14:editId="34019283">
            <wp:extent cx="5802105" cy="2838767"/>
            <wp:effectExtent l="0" t="0" r="8255" b="0"/>
            <wp:docPr id="24" name="Рисунок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Map&#10;&#10;Description automatically generated"/>
                    <pic:cNvPicPr/>
                  </pic:nvPicPr>
                  <pic:blipFill rotWithShape="1">
                    <a:blip r:embed="rId14"/>
                    <a:srcRect t="8816" b="4211"/>
                    <a:stretch/>
                  </pic:blipFill>
                  <pic:spPr bwMode="auto">
                    <a:xfrm>
                      <a:off x="0" y="0"/>
                      <a:ext cx="5834950" cy="2854837"/>
                    </a:xfrm>
                    <a:prstGeom prst="rect">
                      <a:avLst/>
                    </a:prstGeom>
                    <a:ln>
                      <a:noFill/>
                    </a:ln>
                    <a:extLst>
                      <a:ext uri="{53640926-AAD7-44D8-BBD7-CCE9431645EC}">
                        <a14:shadowObscured xmlns:a14="http://schemas.microsoft.com/office/drawing/2010/main"/>
                      </a:ext>
                    </a:extLst>
                  </pic:spPr>
                </pic:pic>
              </a:graphicData>
            </a:graphic>
          </wp:inline>
        </w:drawing>
      </w:r>
    </w:p>
    <w:p w14:paraId="0F358B94" w14:textId="77598A77" w:rsidR="005A72AE" w:rsidRPr="00B24652" w:rsidRDefault="005A72AE" w:rsidP="005A72AE">
      <w:pPr>
        <w:spacing w:after="160"/>
        <w:rPr>
          <w:rFonts w:eastAsiaTheme="minorHAnsi"/>
          <w:bCs/>
          <w:iCs/>
          <w:szCs w:val="22"/>
          <w:lang w:eastAsia="en-US"/>
        </w:rPr>
      </w:pPr>
      <w:r w:rsidRPr="00B24652">
        <w:rPr>
          <w:rFonts w:eastAsiaTheme="minorHAnsi"/>
          <w:szCs w:val="22"/>
          <w:lang w:eastAsia="en-US"/>
        </w:rPr>
        <w:t>Рисунок 4.</w:t>
      </w:r>
      <w:r w:rsidRPr="00B24652">
        <w:rPr>
          <w:rFonts w:eastAsiaTheme="minorHAnsi"/>
          <w:bCs/>
          <w:iCs/>
          <w:szCs w:val="22"/>
          <w:lang w:eastAsia="en-US"/>
        </w:rPr>
        <w:t xml:space="preserve"> </w:t>
      </w:r>
      <w:r w:rsidRPr="00B24652">
        <w:rPr>
          <w:rFonts w:eastAsiaTheme="minorHAnsi"/>
          <w:bCs/>
          <w:iCs/>
          <w:lang w:eastAsia="en-US"/>
        </w:rPr>
        <w:t>Выгрузка данных из базы «2ГИС»</w:t>
      </w:r>
    </w:p>
    <w:p w14:paraId="143874A0" w14:textId="77777777" w:rsidR="005A72AE" w:rsidRPr="00B24652" w:rsidRDefault="005A72AE" w:rsidP="005A72AE">
      <w:pPr>
        <w:spacing w:before="160"/>
        <w:rPr>
          <w:rFonts w:eastAsiaTheme="minorHAnsi"/>
          <w:b/>
          <w:bCs/>
          <w:i/>
          <w:iCs/>
          <w:szCs w:val="22"/>
          <w:lang w:eastAsia="en-US"/>
        </w:rPr>
      </w:pPr>
      <w:r w:rsidRPr="00B24652">
        <w:rPr>
          <w:rFonts w:eastAsiaTheme="minorHAnsi"/>
          <w:noProof/>
          <w:szCs w:val="22"/>
        </w:rPr>
        <w:lastRenderedPageBreak/>
        <w:drawing>
          <wp:inline distT="0" distB="0" distL="0" distR="0" wp14:anchorId="3B5E7638" wp14:editId="31EA18E3">
            <wp:extent cx="5376863" cy="3036645"/>
            <wp:effectExtent l="0" t="0" r="0" b="0"/>
            <wp:docPr id="26" name="Рисунок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Graphical user interface, text, application, email&#10;&#10;Description automatically generated"/>
                    <pic:cNvPicPr/>
                  </pic:nvPicPr>
                  <pic:blipFill>
                    <a:blip r:embed="rId15"/>
                    <a:stretch>
                      <a:fillRect/>
                    </a:stretch>
                  </pic:blipFill>
                  <pic:spPr>
                    <a:xfrm>
                      <a:off x="0" y="0"/>
                      <a:ext cx="5460725" cy="3084007"/>
                    </a:xfrm>
                    <a:prstGeom prst="rect">
                      <a:avLst/>
                    </a:prstGeom>
                  </pic:spPr>
                </pic:pic>
              </a:graphicData>
            </a:graphic>
          </wp:inline>
        </w:drawing>
      </w:r>
    </w:p>
    <w:p w14:paraId="54DED905" w14:textId="50643750" w:rsidR="005A72AE" w:rsidRPr="00B24652" w:rsidRDefault="005A72AE" w:rsidP="005A72AE">
      <w:pPr>
        <w:spacing w:after="160"/>
        <w:rPr>
          <w:rFonts w:eastAsiaTheme="minorHAnsi"/>
          <w:b/>
          <w:bCs/>
          <w:i/>
          <w:iCs/>
          <w:szCs w:val="22"/>
          <w:lang w:eastAsia="en-US"/>
        </w:rPr>
      </w:pPr>
      <w:r w:rsidRPr="00B24652">
        <w:rPr>
          <w:rFonts w:eastAsiaTheme="minorHAnsi"/>
          <w:lang w:eastAsia="en-US"/>
        </w:rPr>
        <w:t xml:space="preserve">Рисунок </w:t>
      </w:r>
      <w:r w:rsidR="00F85832">
        <w:rPr>
          <w:rFonts w:eastAsiaTheme="minorHAnsi"/>
          <w:lang w:eastAsia="en-US"/>
        </w:rPr>
        <w:t>5</w:t>
      </w:r>
      <w:r w:rsidRPr="00B24652">
        <w:rPr>
          <w:rFonts w:eastAsiaTheme="minorHAnsi"/>
          <w:lang w:eastAsia="en-US"/>
        </w:rPr>
        <w:t>.</w:t>
      </w:r>
      <w:r w:rsidRPr="00B24652">
        <w:rPr>
          <w:rFonts w:eastAsiaTheme="minorHAnsi"/>
          <w:b/>
          <w:bCs/>
          <w:i/>
          <w:iCs/>
          <w:sz w:val="28"/>
          <w:szCs w:val="28"/>
          <w:lang w:eastAsia="en-US"/>
        </w:rPr>
        <w:t xml:space="preserve"> </w:t>
      </w:r>
      <w:r w:rsidRPr="00B24652">
        <w:rPr>
          <w:rFonts w:eastAsiaTheme="minorHAnsi"/>
          <w:bCs/>
          <w:iCs/>
          <w:lang w:eastAsia="en-US"/>
        </w:rPr>
        <w:t>Пример выгружаемых данных из «2ГИС»</w:t>
      </w:r>
    </w:p>
    <w:p w14:paraId="043865D1" w14:textId="77777777" w:rsidR="005A72AE" w:rsidRPr="00B24652" w:rsidRDefault="005A72AE" w:rsidP="005A72AE">
      <w:pPr>
        <w:ind w:firstLine="851"/>
        <w:jc w:val="both"/>
        <w:rPr>
          <w:rFonts w:eastAsiaTheme="minorHAnsi"/>
          <w:lang w:eastAsia="en-US"/>
        </w:rPr>
      </w:pPr>
      <w:r w:rsidRPr="00B24652">
        <w:rPr>
          <w:rFonts w:eastAsiaTheme="minorHAnsi"/>
          <w:lang w:eastAsia="en-US"/>
        </w:rPr>
        <w:t>По каждому объекту в базе содержится большой объём информации: местоположение, почтовый индекс, название, тип, регион, адрес, режим работы, рейтинг, количество отзывов, количество филиалов. Каждая итоговая таблица состояла из числа сток, соответствующего количеству объектов исследуемых отраслей Санкт-Петербурга:</w:t>
      </w:r>
    </w:p>
    <w:p w14:paraId="02A6C3F8" w14:textId="77777777" w:rsidR="005A72AE" w:rsidRPr="00B24652" w:rsidRDefault="005A72AE" w:rsidP="005A72AE">
      <w:pPr>
        <w:numPr>
          <w:ilvl w:val="0"/>
          <w:numId w:val="15"/>
        </w:numPr>
        <w:ind w:left="360"/>
        <w:contextualSpacing/>
        <w:jc w:val="both"/>
        <w:rPr>
          <w:rFonts w:eastAsiaTheme="minorHAnsi"/>
          <w:lang w:eastAsia="en-US"/>
        </w:rPr>
      </w:pPr>
      <w:r w:rsidRPr="00B24652">
        <w:rPr>
          <w:rFonts w:eastAsiaTheme="minorHAnsi"/>
          <w:lang w:eastAsia="en-US"/>
        </w:rPr>
        <w:t>1267 объектов специализированной алкогольной розницы;</w:t>
      </w:r>
    </w:p>
    <w:p w14:paraId="52B8A7AE" w14:textId="77777777" w:rsidR="005A72AE" w:rsidRPr="00B24652" w:rsidRDefault="005A72AE" w:rsidP="005A72AE">
      <w:pPr>
        <w:numPr>
          <w:ilvl w:val="0"/>
          <w:numId w:val="15"/>
        </w:numPr>
        <w:ind w:left="360"/>
        <w:contextualSpacing/>
        <w:jc w:val="both"/>
        <w:rPr>
          <w:rFonts w:eastAsiaTheme="minorHAnsi"/>
          <w:lang w:eastAsia="en-US"/>
        </w:rPr>
      </w:pPr>
      <w:r w:rsidRPr="00B24652">
        <w:rPr>
          <w:rFonts w:eastAsiaTheme="minorHAnsi"/>
          <w:lang w:eastAsia="en-US"/>
        </w:rPr>
        <w:t>1464 питейных заведений;</w:t>
      </w:r>
    </w:p>
    <w:p w14:paraId="1105ACF6" w14:textId="77777777" w:rsidR="005A72AE" w:rsidRPr="00B24652" w:rsidRDefault="005A72AE" w:rsidP="005A72AE">
      <w:pPr>
        <w:numPr>
          <w:ilvl w:val="0"/>
          <w:numId w:val="15"/>
        </w:numPr>
        <w:ind w:left="360"/>
        <w:contextualSpacing/>
        <w:jc w:val="both"/>
        <w:rPr>
          <w:rFonts w:eastAsiaTheme="minorHAnsi"/>
          <w:lang w:eastAsia="en-US"/>
        </w:rPr>
      </w:pPr>
      <w:r w:rsidRPr="00B24652">
        <w:rPr>
          <w:rFonts w:eastAsiaTheme="minorHAnsi"/>
          <w:lang w:eastAsia="en-US"/>
        </w:rPr>
        <w:t>1480 пекарен;</w:t>
      </w:r>
    </w:p>
    <w:p w14:paraId="21C90F51" w14:textId="77777777" w:rsidR="005A72AE" w:rsidRPr="00B24652" w:rsidRDefault="005A72AE" w:rsidP="005A72AE">
      <w:pPr>
        <w:numPr>
          <w:ilvl w:val="0"/>
          <w:numId w:val="15"/>
        </w:numPr>
        <w:ind w:left="360"/>
        <w:contextualSpacing/>
        <w:jc w:val="both"/>
        <w:rPr>
          <w:rFonts w:eastAsiaTheme="minorHAnsi"/>
          <w:lang w:eastAsia="en-US"/>
        </w:rPr>
      </w:pPr>
      <w:r w:rsidRPr="00B24652">
        <w:rPr>
          <w:rFonts w:eastAsiaTheme="minorHAnsi"/>
          <w:lang w:eastAsia="en-US"/>
        </w:rPr>
        <w:t>2152 кофейни.</w:t>
      </w:r>
    </w:p>
    <w:p w14:paraId="4987A547" w14:textId="37BBF6AA" w:rsidR="005A72AE" w:rsidRDefault="005A72AE" w:rsidP="005A72AE">
      <w:pPr>
        <w:spacing w:after="160"/>
        <w:ind w:firstLine="851"/>
        <w:jc w:val="both"/>
        <w:rPr>
          <w:rFonts w:eastAsiaTheme="minorHAnsi"/>
          <w:lang w:eastAsia="en-US"/>
        </w:rPr>
      </w:pPr>
      <w:r w:rsidRPr="00B24652">
        <w:rPr>
          <w:rFonts w:eastAsiaTheme="minorHAnsi"/>
          <w:lang w:eastAsia="en-US"/>
        </w:rPr>
        <w:t xml:space="preserve">На основе полученных сведений, в дальнейшем производился их анализ и выявление особенностей размещения исследуемых рынков на территории Санкт-Петербурга посредством использования </w:t>
      </w:r>
      <w:r w:rsidRPr="00B24652">
        <w:rPr>
          <w:rFonts w:eastAsiaTheme="minorHAnsi"/>
          <w:lang w:val="en-US" w:eastAsia="en-US"/>
        </w:rPr>
        <w:t>Excel</w:t>
      </w:r>
      <w:r w:rsidRPr="00B24652">
        <w:rPr>
          <w:rFonts w:eastAsiaTheme="minorHAnsi"/>
          <w:lang w:eastAsia="en-US"/>
        </w:rPr>
        <w:t xml:space="preserve">, </w:t>
      </w:r>
      <w:r w:rsidRPr="00B24652">
        <w:rPr>
          <w:rFonts w:eastAsiaTheme="minorHAnsi"/>
          <w:lang w:val="en-US" w:eastAsia="en-US"/>
        </w:rPr>
        <w:t>GeoDa</w:t>
      </w:r>
      <w:r w:rsidRPr="00B24652">
        <w:rPr>
          <w:rFonts w:eastAsiaTheme="minorHAnsi"/>
          <w:lang w:eastAsia="en-US"/>
        </w:rPr>
        <w:t xml:space="preserve">, </w:t>
      </w:r>
      <w:r w:rsidRPr="00B24652">
        <w:rPr>
          <w:rFonts w:eastAsiaTheme="minorHAnsi"/>
          <w:lang w:val="en-US" w:eastAsia="en-US"/>
        </w:rPr>
        <w:t>QGis</w:t>
      </w:r>
      <w:r w:rsidRPr="00B24652">
        <w:rPr>
          <w:rFonts w:eastAsiaTheme="minorHAnsi"/>
          <w:lang w:eastAsia="en-US"/>
        </w:rPr>
        <w:t>.</w:t>
      </w:r>
    </w:p>
    <w:p w14:paraId="40F2A3E3" w14:textId="77777777" w:rsidR="00B04B6A" w:rsidRDefault="00B04B6A" w:rsidP="005A72AE">
      <w:pPr>
        <w:spacing w:after="160"/>
        <w:ind w:firstLine="851"/>
        <w:jc w:val="both"/>
        <w:rPr>
          <w:rFonts w:eastAsiaTheme="minorHAnsi"/>
          <w:lang w:eastAsia="en-US"/>
        </w:rPr>
      </w:pPr>
    </w:p>
    <w:p w14:paraId="48E762C2" w14:textId="7370CE2B" w:rsidR="00B24652" w:rsidRPr="00B24652" w:rsidRDefault="00814CD8" w:rsidP="00B24652">
      <w:pPr>
        <w:pStyle w:val="Heading1"/>
        <w:spacing w:before="0" w:after="160"/>
        <w:ind w:firstLine="0"/>
        <w:jc w:val="center"/>
        <w:rPr>
          <w:rFonts w:ascii="Times New Roman" w:hAnsi="Times New Roman" w:cs="Times New Roman"/>
          <w:b/>
          <w:bCs/>
          <w:color w:val="auto"/>
          <w:sz w:val="28"/>
          <w:szCs w:val="28"/>
        </w:rPr>
      </w:pPr>
      <w:r w:rsidRPr="00814CD8">
        <w:rPr>
          <w:rFonts w:eastAsiaTheme="minorHAnsi"/>
        </w:rPr>
        <w:t xml:space="preserve"> </w:t>
      </w:r>
      <w:bookmarkStart w:id="10" w:name="_Toc103641022"/>
      <w:r w:rsidR="00B24652" w:rsidRPr="00B24652">
        <w:rPr>
          <w:rFonts w:ascii="Times New Roman" w:hAnsi="Times New Roman" w:cs="Times New Roman"/>
          <w:b/>
          <w:bCs/>
          <w:color w:val="auto"/>
          <w:sz w:val="28"/>
          <w:szCs w:val="28"/>
        </w:rPr>
        <w:t>Глава 2. Особенности развития розничной торговли и общественного питания Санкт-Петербурга в постсоветский период</w:t>
      </w:r>
      <w:bookmarkEnd w:id="10"/>
    </w:p>
    <w:p w14:paraId="6FC486B0" w14:textId="6AF78074" w:rsidR="00B24652" w:rsidRPr="00B24652" w:rsidRDefault="00B24652" w:rsidP="00B24652">
      <w:pPr>
        <w:keepNext/>
        <w:keepLines/>
        <w:spacing w:before="160" w:after="160"/>
        <w:outlineLvl w:val="1"/>
        <w:rPr>
          <w:rFonts w:eastAsiaTheme="majorEastAsia"/>
          <w:b/>
          <w:bCs/>
          <w:lang w:eastAsia="en-US"/>
        </w:rPr>
      </w:pPr>
      <w:bookmarkStart w:id="11" w:name="_Toc103641023"/>
      <w:r w:rsidRPr="00B24652">
        <w:rPr>
          <w:rFonts w:eastAsiaTheme="majorEastAsia"/>
          <w:b/>
          <w:bCs/>
          <w:lang w:eastAsia="en-US"/>
        </w:rPr>
        <w:t xml:space="preserve">2.1. </w:t>
      </w:r>
      <w:r w:rsidR="00543341" w:rsidRPr="00543341">
        <w:rPr>
          <w:rFonts w:eastAsiaTheme="majorEastAsia"/>
          <w:b/>
          <w:bCs/>
          <w:lang w:eastAsia="en-US"/>
        </w:rPr>
        <w:t>Трансформация городско</w:t>
      </w:r>
      <w:r w:rsidR="00543341">
        <w:rPr>
          <w:rFonts w:eastAsiaTheme="majorEastAsia"/>
          <w:b/>
          <w:bCs/>
          <w:lang w:eastAsia="en-US"/>
        </w:rPr>
        <w:t xml:space="preserve">й среды </w:t>
      </w:r>
      <w:r w:rsidR="00543341" w:rsidRPr="00543341">
        <w:rPr>
          <w:rFonts w:eastAsiaTheme="majorEastAsia"/>
          <w:b/>
          <w:bCs/>
          <w:lang w:eastAsia="en-US"/>
        </w:rPr>
        <w:t>Санкт-Петербурга в постсоветский период</w:t>
      </w:r>
      <w:bookmarkEnd w:id="11"/>
    </w:p>
    <w:p w14:paraId="61700273"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Сфера розничной торговли и общественного питания отличается быстротой скорости реакции на изменения, происходящие в обществе. Ритейл трансформирует городскую морфологию, формируя тем самым ландшафт материальный. Данный факт </w:t>
      </w:r>
      <w:r w:rsidRPr="00B24652">
        <w:rPr>
          <w:rFonts w:eastAsiaTheme="minorHAnsi"/>
          <w:lang w:eastAsia="en-US"/>
        </w:rPr>
        <w:lastRenderedPageBreak/>
        <w:t>является одним из наиболее удачных примеров при описании трансформаций, происходивших в постсоветский период в городах России.</w:t>
      </w:r>
    </w:p>
    <w:p w14:paraId="211AE100"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Санкт-Петербург, как крупнейший город, является пространственно-временной системой (ПВС) – системой, в которой одновременно и пространственные, и временные свойства ее элементов способны менять сущность образующих систему явлений или процессов, связанных с географической оболочкой (Аксенов, 2019, с.30). </w:t>
      </w:r>
      <w:r w:rsidRPr="00B24652">
        <w:rPr>
          <w:rFonts w:eastAsiaTheme="minorHAnsi"/>
          <w:szCs w:val="22"/>
          <w:lang w:eastAsia="en-US"/>
        </w:rPr>
        <w:t>Без анализа пространственно-временных характеристик подобные системы непознаваемы и зачастую неразличимы. Трансформация общественно-географического пространства представляет собой систему, в которой происходит совпадение системных взаимосвязей во времени и пространстве</w:t>
      </w:r>
    </w:p>
    <w:p w14:paraId="1F369412" w14:textId="77777777" w:rsidR="00B24652" w:rsidRPr="00B24652" w:rsidRDefault="00B24652" w:rsidP="00210947">
      <w:pPr>
        <w:ind w:firstLine="851"/>
        <w:jc w:val="both"/>
        <w:rPr>
          <w:rFonts w:eastAsiaTheme="minorHAnsi"/>
          <w:lang w:eastAsia="en-US"/>
        </w:rPr>
      </w:pPr>
      <w:r w:rsidRPr="00B24652">
        <w:rPr>
          <w:rFonts w:eastAsiaTheme="minorHAnsi"/>
          <w:lang w:eastAsia="en-US"/>
        </w:rPr>
        <w:t>Применимо к теме исследования, под термином трансформация городской среды следует понимать преобразования всех общественно-географических и экономических пространств, произошедшие на территории Санкт-Петербурга с целью адаптации их к новой структуре организации городского ландшафта. При этом осуществляется перестройка существующих внутри бывшей структуры связей, меняется состав и значимость элементов, их иерархичность. Трансформация представляет собой одновременное параллельное преобразование экономической, политической и социальной сфер общественной жизни. Это ограниченный во времени и пространстве процесс разрешения старой системы организации городского пространства и перехода к новой (Аксенов, 2011, с.8).</w:t>
      </w:r>
    </w:p>
    <w:p w14:paraId="0BDB2C91"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К. Э. Аксенов выделяет 3 важнейших процесса, без которых трансформация городской среды невозможна: </w:t>
      </w:r>
    </w:p>
    <w:p w14:paraId="724968BA" w14:textId="45A2830A" w:rsidR="00B24652" w:rsidRPr="00F77136" w:rsidRDefault="00B24652" w:rsidP="00432C4A">
      <w:pPr>
        <w:pStyle w:val="ListParagraph"/>
        <w:numPr>
          <w:ilvl w:val="0"/>
          <w:numId w:val="25"/>
        </w:numPr>
        <w:ind w:left="360"/>
      </w:pPr>
      <w:r w:rsidRPr="00F77136">
        <w:t>Появление у городского пространства новых общественных функций, которые раньше не были свойственны данной системе;</w:t>
      </w:r>
    </w:p>
    <w:p w14:paraId="05438E4D" w14:textId="5E37EA07" w:rsidR="00B24652" w:rsidRPr="00F77136" w:rsidRDefault="00E25742" w:rsidP="00432C4A">
      <w:pPr>
        <w:pStyle w:val="ListParagraph"/>
        <w:numPr>
          <w:ilvl w:val="0"/>
          <w:numId w:val="25"/>
        </w:numPr>
        <w:ind w:left="360"/>
      </w:pPr>
      <w:r>
        <w:t>У</w:t>
      </w:r>
      <w:r w:rsidR="00B24652" w:rsidRPr="00F77136">
        <w:t>меньшение влияния старых до их полного исчезновения;</w:t>
      </w:r>
    </w:p>
    <w:p w14:paraId="0BB6D4A7" w14:textId="221A0934" w:rsidR="00B24652" w:rsidRPr="00F77136" w:rsidRDefault="00E25742" w:rsidP="00432C4A">
      <w:pPr>
        <w:pStyle w:val="ListParagraph"/>
        <w:numPr>
          <w:ilvl w:val="0"/>
          <w:numId w:val="25"/>
        </w:numPr>
        <w:ind w:left="360"/>
      </w:pPr>
      <w:r>
        <w:t>И</w:t>
      </w:r>
      <w:r w:rsidR="00B24652" w:rsidRPr="00F77136">
        <w:t>зменение сути всех существующих общественных функций.</w:t>
      </w:r>
    </w:p>
    <w:p w14:paraId="0008B262"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Существуют факторы, как ускоряющие трансформацию, так и замедляющие ее. К первой группе могут быть отнесены: процесс глобализации, управленческие решения, стремление самого пространства максимально ускорить и распространить нововведения, воздействие населения на внутреннюю структуру организации городской среды, пространственный резонанс и др. В замедляющих причинах можно выделить такие как: морфология среды инородного происхождения, идеология и ценности, препятствующие появлению новых черт и свойств, аналогично ускоряющим факторам, деятельность населения так же может оказывать и тормозящий эффект. </w:t>
      </w:r>
    </w:p>
    <w:p w14:paraId="68B0176A"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Основным понятием в изучении трансформации городской среды является место, определяющее характер проявления политических, экономических, социальных и </w:t>
      </w:r>
      <w:r w:rsidRPr="00B24652">
        <w:rPr>
          <w:rFonts w:eastAsiaTheme="minorHAnsi"/>
          <w:lang w:eastAsia="en-US"/>
        </w:rPr>
        <w:lastRenderedPageBreak/>
        <w:t xml:space="preserve">демографических показателей развития общества. В нем начинают прослеживаться общественные и географические различия территорий, особенности ее организации и структуры. </w:t>
      </w:r>
    </w:p>
    <w:p w14:paraId="467F3818" w14:textId="77777777" w:rsidR="00B24652" w:rsidRPr="00B24652" w:rsidRDefault="00B24652" w:rsidP="00210947">
      <w:pPr>
        <w:ind w:firstLine="851"/>
        <w:jc w:val="both"/>
        <w:rPr>
          <w:rFonts w:eastAsiaTheme="minorHAnsi"/>
          <w:lang w:eastAsia="en-US"/>
        </w:rPr>
      </w:pPr>
      <w:r w:rsidRPr="00B24652">
        <w:rPr>
          <w:rFonts w:eastAsiaTheme="minorHAnsi"/>
          <w:lang w:eastAsia="en-US"/>
        </w:rPr>
        <w:t>Важными свойствами места являются (Аксенов, 2011, с.11):</w:t>
      </w:r>
    </w:p>
    <w:p w14:paraId="1997B821" w14:textId="77777777" w:rsidR="00B24652" w:rsidRPr="00B24652" w:rsidRDefault="00B24652" w:rsidP="00432C4A">
      <w:pPr>
        <w:numPr>
          <w:ilvl w:val="0"/>
          <w:numId w:val="17"/>
        </w:numPr>
        <w:ind w:left="357" w:hanging="357"/>
        <w:contextualSpacing/>
        <w:jc w:val="both"/>
        <w:rPr>
          <w:rFonts w:eastAsiaTheme="minorHAnsi"/>
          <w:lang w:eastAsia="en-US"/>
        </w:rPr>
      </w:pPr>
      <w:r w:rsidRPr="00B24652">
        <w:rPr>
          <w:rFonts w:eastAsiaTheme="minorHAnsi"/>
          <w:lang w:eastAsia="en-US"/>
        </w:rPr>
        <w:t xml:space="preserve">место имеет сущностное происхождение и не отлично от своей общественной сущности; </w:t>
      </w:r>
    </w:p>
    <w:p w14:paraId="6C7F816F" w14:textId="77777777" w:rsidR="00B24652" w:rsidRPr="00B24652" w:rsidRDefault="00B24652" w:rsidP="00432C4A">
      <w:pPr>
        <w:numPr>
          <w:ilvl w:val="0"/>
          <w:numId w:val="17"/>
        </w:numPr>
        <w:ind w:left="357" w:hanging="357"/>
        <w:contextualSpacing/>
        <w:jc w:val="both"/>
        <w:rPr>
          <w:rFonts w:eastAsiaTheme="minorHAnsi"/>
          <w:lang w:eastAsia="en-US"/>
        </w:rPr>
      </w:pPr>
      <w:r w:rsidRPr="00B24652">
        <w:rPr>
          <w:rFonts w:eastAsiaTheme="minorHAnsi"/>
          <w:lang w:eastAsia="en-US"/>
        </w:rPr>
        <w:t>место всегда имеет пространственный контекст, но не всегда – среду;</w:t>
      </w:r>
    </w:p>
    <w:p w14:paraId="7295690C" w14:textId="77777777" w:rsidR="00B24652" w:rsidRPr="00B24652" w:rsidRDefault="00B24652" w:rsidP="00432C4A">
      <w:pPr>
        <w:numPr>
          <w:ilvl w:val="0"/>
          <w:numId w:val="17"/>
        </w:numPr>
        <w:ind w:left="357" w:hanging="357"/>
        <w:contextualSpacing/>
        <w:jc w:val="both"/>
        <w:rPr>
          <w:rFonts w:eastAsiaTheme="minorHAnsi"/>
          <w:lang w:eastAsia="en-US"/>
        </w:rPr>
      </w:pPr>
      <w:r w:rsidRPr="00B24652">
        <w:rPr>
          <w:rFonts w:eastAsiaTheme="minorHAnsi"/>
          <w:lang w:eastAsia="en-US"/>
        </w:rPr>
        <w:t>временное чередование событий меняет сущности места, в результате чего место возникает, развивается и исчезает (перерождается).</w:t>
      </w:r>
    </w:p>
    <w:p w14:paraId="68EBD696" w14:textId="77777777" w:rsidR="00B24652" w:rsidRPr="00B24652" w:rsidRDefault="00B24652" w:rsidP="00210947">
      <w:pPr>
        <w:ind w:firstLine="851"/>
        <w:contextualSpacing/>
        <w:jc w:val="both"/>
        <w:rPr>
          <w:rFonts w:eastAsiaTheme="minorHAnsi"/>
          <w:lang w:eastAsia="en-US"/>
        </w:rPr>
      </w:pPr>
      <w:r w:rsidRPr="00B24652">
        <w:rPr>
          <w:rFonts w:eastAsiaTheme="minorHAnsi"/>
          <w:lang w:eastAsia="en-US"/>
        </w:rPr>
        <w:t xml:space="preserve">Сущность образующих пространственно-временную систему процессов и явлений способна меняться при изменении пространственно-временных свойств. </w:t>
      </w:r>
    </w:p>
    <w:p w14:paraId="7810132C" w14:textId="507832B7" w:rsidR="00543341" w:rsidRDefault="00543341" w:rsidP="00210947">
      <w:pPr>
        <w:ind w:firstLine="851"/>
        <w:jc w:val="both"/>
        <w:rPr>
          <w:rFonts w:eastAsiaTheme="minorHAnsi"/>
          <w:lang w:eastAsia="en-US"/>
        </w:rPr>
      </w:pPr>
      <w:r>
        <w:rPr>
          <w:rFonts w:eastAsiaTheme="minorHAnsi"/>
          <w:lang w:eastAsia="en-US"/>
        </w:rPr>
        <w:t xml:space="preserve">За постсоветский </w:t>
      </w:r>
      <w:proofErr w:type="gramStart"/>
      <w:r>
        <w:rPr>
          <w:rFonts w:eastAsiaTheme="minorHAnsi"/>
          <w:lang w:eastAsia="en-US"/>
        </w:rPr>
        <w:t>период  можно</w:t>
      </w:r>
      <w:proofErr w:type="gramEnd"/>
      <w:r>
        <w:rPr>
          <w:rFonts w:eastAsiaTheme="minorHAnsi"/>
          <w:lang w:eastAsia="en-US"/>
        </w:rPr>
        <w:t xml:space="preserve"> выделить несколько э</w:t>
      </w:r>
      <w:r w:rsidRPr="00543341">
        <w:rPr>
          <w:rFonts w:eastAsiaTheme="minorHAnsi"/>
          <w:lang w:eastAsia="en-US"/>
        </w:rPr>
        <w:t>тап</w:t>
      </w:r>
      <w:r>
        <w:rPr>
          <w:rFonts w:eastAsiaTheme="minorHAnsi"/>
          <w:lang w:eastAsia="en-US"/>
        </w:rPr>
        <w:t>ов</w:t>
      </w:r>
      <w:r w:rsidRPr="00543341">
        <w:rPr>
          <w:rFonts w:eastAsiaTheme="minorHAnsi"/>
          <w:lang w:eastAsia="en-US"/>
        </w:rPr>
        <w:t xml:space="preserve"> трансформации городского пространства и функциональной структуры Санкт-Петербурга</w:t>
      </w:r>
      <w:r>
        <w:rPr>
          <w:rFonts w:eastAsiaTheme="minorHAnsi"/>
          <w:lang w:eastAsia="en-US"/>
        </w:rPr>
        <w:t>.</w:t>
      </w:r>
    </w:p>
    <w:p w14:paraId="5FDA7E2B" w14:textId="37F61F00" w:rsidR="00B24652" w:rsidRPr="00B24652" w:rsidRDefault="00B24652" w:rsidP="00210947">
      <w:pPr>
        <w:ind w:firstLine="851"/>
        <w:jc w:val="both"/>
        <w:rPr>
          <w:rFonts w:eastAsiaTheme="minorHAnsi"/>
          <w:lang w:eastAsia="en-US"/>
        </w:rPr>
      </w:pPr>
      <w:r w:rsidRPr="00B24652">
        <w:rPr>
          <w:rFonts w:eastAsiaTheme="minorHAnsi"/>
          <w:lang w:eastAsia="en-US"/>
        </w:rPr>
        <w:t xml:space="preserve">В тот период, когда страны Западной Европы переходили на путь активного развития третичного сектора экономики, в России продолжалась индустриализация до конца 1980-х годов. Это время характеризуется развитием структуры городов на основе «градостроительных предприятий», играющих огромное значение в развитии плановой экономики. При этом сектор потребительских товаров и услуг </w:t>
      </w:r>
      <w:r w:rsidR="000F6D95" w:rsidRPr="00B24652">
        <w:rPr>
          <w:rFonts w:eastAsiaTheme="minorHAnsi"/>
          <w:lang w:eastAsia="en-US"/>
        </w:rPr>
        <w:t>развива</w:t>
      </w:r>
      <w:r w:rsidR="000F6D95">
        <w:rPr>
          <w:rFonts w:eastAsiaTheme="minorHAnsi"/>
          <w:lang w:eastAsia="en-US"/>
        </w:rPr>
        <w:t>л</w:t>
      </w:r>
      <w:r w:rsidR="000F6D95" w:rsidRPr="00B24652">
        <w:rPr>
          <w:rFonts w:eastAsiaTheme="minorHAnsi"/>
          <w:lang w:eastAsia="en-US"/>
        </w:rPr>
        <w:t xml:space="preserve">ся </w:t>
      </w:r>
      <w:r w:rsidRPr="00B24652">
        <w:rPr>
          <w:rFonts w:eastAsiaTheme="minorHAnsi"/>
          <w:lang w:eastAsia="en-US"/>
        </w:rPr>
        <w:t xml:space="preserve">крайне медленно. Основной отраслью его специализации можно назвать бытовые услуги, в то время как сфера бизнеса была совершенно неразвита из-за отсутствия потребности в ней. </w:t>
      </w:r>
    </w:p>
    <w:p w14:paraId="5C27144E" w14:textId="77777777" w:rsidR="00B24652" w:rsidRPr="00B24652" w:rsidRDefault="00B24652" w:rsidP="00210947">
      <w:pPr>
        <w:ind w:firstLine="851"/>
        <w:jc w:val="both"/>
        <w:rPr>
          <w:rFonts w:eastAsiaTheme="minorHAnsi"/>
          <w:lang w:eastAsia="en-US"/>
        </w:rPr>
      </w:pPr>
      <w:r w:rsidRPr="00B24652">
        <w:rPr>
          <w:rFonts w:eastAsiaTheme="minorHAnsi"/>
          <w:lang w:eastAsia="en-US"/>
        </w:rPr>
        <w:t>С началом процесса трансформации общества необходимым стало появление структуры, которая обеспечивала бы экономическую и социальную стабильность населения. Этой структурой стал малый бизнес, включивший в себя множество предприятий, организаций и частных компаний по предоставлению услуг. Процесс трансформации происходил в постсоциалистическое время в нерегулируемой обстановке, поэтому оценить количество предприятий малого бизнеса, проанализировать продуктивность их деятельности представляется сложной задачей. Желая уклониться от налогов, многие предприниматели не регистрировали свои организации, боясь поставить под угрозу существование своего бизнеса.</w:t>
      </w:r>
    </w:p>
    <w:p w14:paraId="6242E89F" w14:textId="77777777" w:rsidR="00B24652" w:rsidRPr="00B24652" w:rsidRDefault="00B24652" w:rsidP="00210947">
      <w:pPr>
        <w:ind w:firstLine="851"/>
        <w:jc w:val="both"/>
        <w:rPr>
          <w:rFonts w:eastAsiaTheme="minorHAnsi"/>
          <w:lang w:eastAsia="en-US"/>
        </w:rPr>
      </w:pPr>
      <w:r w:rsidRPr="00B24652">
        <w:rPr>
          <w:rFonts w:eastAsiaTheme="minorHAnsi"/>
          <w:lang w:eastAsia="en-US"/>
        </w:rPr>
        <w:t>Санкт-Петербург, являясь объектом исследования, закончил трансформацию своего пространства, о чем подробно пишет в своих работах К.Э.Аксенов. На основе его выводов можно сделать предположения, что вследствие трансформации городской среды появились новые формы организации общественно-географического пространства. Их уникальность определяется условиями начала их формирования в социалистический период.</w:t>
      </w:r>
    </w:p>
    <w:p w14:paraId="3BE3185E"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В развитии постсоветского Санкт-Петербурга можно выделить 3 этапа его развития, отличающихся динамикой пространственной структуры, регулированием реструктуризации, </w:t>
      </w:r>
      <w:r w:rsidRPr="00B24652">
        <w:rPr>
          <w:rFonts w:eastAsiaTheme="minorHAnsi"/>
          <w:lang w:eastAsia="en-US"/>
        </w:rPr>
        <w:lastRenderedPageBreak/>
        <w:t>степенью участия в глобальной модернизации, имущественными вопросами и территориальной насыщенностью. Три стадии были определены как «социалистический город», «трансформационный город» и «посттрансформационный город» (Аксенов, 2011, с.31)</w:t>
      </w:r>
    </w:p>
    <w:p w14:paraId="1BC68EF2" w14:textId="286AF054" w:rsidR="00F77136" w:rsidRDefault="00B24652" w:rsidP="00210947">
      <w:pPr>
        <w:ind w:firstLine="851"/>
        <w:jc w:val="both"/>
        <w:rPr>
          <w:rFonts w:eastAsiaTheme="minorHAnsi"/>
          <w:lang w:eastAsia="en-US"/>
        </w:rPr>
      </w:pPr>
      <w:r w:rsidRPr="00B24652">
        <w:rPr>
          <w:rFonts w:eastAsiaTheme="minorHAnsi"/>
          <w:lang w:eastAsia="en-US"/>
        </w:rPr>
        <w:t>Пространственная организация «социалистического города» характеризовалась, прежде всего, жестким консерватизмом в вопросах динамики территориальных структур. Правила их формирования и развития сохранялись долгие десятилетия. Все отрасли специализации находились под строгим контролем и наблюдением органов государственной власти, поэтому принятия решений осуществлялись под жестким надзором. Еще одной важной особенностью является государственная политика протекционизма, наложившая отпечаток на экономическую и социальную системы, тем самым изолировав страну от</w:t>
      </w:r>
      <w:r w:rsidR="000F6D95">
        <w:rPr>
          <w:rFonts w:eastAsiaTheme="minorHAnsi"/>
          <w:lang w:eastAsia="en-US"/>
        </w:rPr>
        <w:t xml:space="preserve"> з</w:t>
      </w:r>
      <w:r w:rsidRPr="00B24652">
        <w:rPr>
          <w:rFonts w:eastAsiaTheme="minorHAnsi"/>
          <w:lang w:eastAsia="en-US"/>
        </w:rPr>
        <w:t xml:space="preserve">ападных соседей. </w:t>
      </w:r>
    </w:p>
    <w:p w14:paraId="122AAA9D" w14:textId="0A64E265" w:rsidR="00B24652" w:rsidRPr="00B24652" w:rsidRDefault="00B24652" w:rsidP="00210947">
      <w:pPr>
        <w:ind w:firstLine="851"/>
        <w:jc w:val="both"/>
        <w:rPr>
          <w:rFonts w:eastAsiaTheme="minorHAnsi"/>
          <w:lang w:eastAsia="en-US"/>
        </w:rPr>
      </w:pPr>
      <w:r w:rsidRPr="00B24652">
        <w:rPr>
          <w:rFonts w:eastAsiaTheme="minorHAnsi"/>
          <w:lang w:eastAsia="en-US"/>
        </w:rPr>
        <w:t>Помимо перечисленного</w:t>
      </w:r>
      <w:r w:rsidR="00F77136">
        <w:rPr>
          <w:rFonts w:eastAsiaTheme="minorHAnsi"/>
          <w:lang w:eastAsia="en-US"/>
        </w:rPr>
        <w:t xml:space="preserve"> выше</w:t>
      </w:r>
      <w:r w:rsidRPr="00B24652">
        <w:rPr>
          <w:rFonts w:eastAsiaTheme="minorHAnsi"/>
          <w:lang w:eastAsia="en-US"/>
        </w:rPr>
        <w:t xml:space="preserve"> к чертам «социалистического города» относятся:</w:t>
      </w:r>
    </w:p>
    <w:p w14:paraId="09E0020F" w14:textId="77777777" w:rsidR="00B24652" w:rsidRPr="00B24652" w:rsidRDefault="00B24652" w:rsidP="00F77136">
      <w:pPr>
        <w:ind w:left="357" w:hanging="357"/>
        <w:jc w:val="both"/>
        <w:rPr>
          <w:rFonts w:eastAsiaTheme="minorHAnsi"/>
          <w:lang w:eastAsia="en-US"/>
        </w:rPr>
      </w:pPr>
      <w:r w:rsidRPr="00B24652">
        <w:rPr>
          <w:rFonts w:eastAsiaTheme="minorHAnsi"/>
          <w:lang w:eastAsia="en-US"/>
        </w:rPr>
        <w:t>•</w:t>
      </w:r>
      <w:r w:rsidRPr="00B24652">
        <w:rPr>
          <w:rFonts w:eastAsiaTheme="minorHAnsi"/>
          <w:lang w:eastAsia="en-US"/>
        </w:rPr>
        <w:tab/>
        <w:t>отсутствие частной собственности на землю;</w:t>
      </w:r>
    </w:p>
    <w:p w14:paraId="71BBB5B0" w14:textId="77777777" w:rsidR="00B24652" w:rsidRPr="00B24652" w:rsidRDefault="00B24652" w:rsidP="00F77136">
      <w:pPr>
        <w:ind w:left="357" w:hanging="357"/>
        <w:jc w:val="both"/>
        <w:rPr>
          <w:rFonts w:eastAsiaTheme="minorHAnsi"/>
          <w:lang w:eastAsia="en-US"/>
        </w:rPr>
      </w:pPr>
      <w:r w:rsidRPr="00B24652">
        <w:rPr>
          <w:rFonts w:eastAsiaTheme="minorHAnsi"/>
          <w:lang w:eastAsia="en-US"/>
        </w:rPr>
        <w:t>•</w:t>
      </w:r>
      <w:r w:rsidRPr="00B24652">
        <w:rPr>
          <w:rFonts w:eastAsiaTheme="minorHAnsi"/>
          <w:lang w:eastAsia="en-US"/>
        </w:rPr>
        <w:tab/>
        <w:t>государственный контроль за городским землепользованием;</w:t>
      </w:r>
    </w:p>
    <w:p w14:paraId="493622A3" w14:textId="77777777" w:rsidR="00B24652" w:rsidRPr="00B24652" w:rsidRDefault="00B24652" w:rsidP="00F77136">
      <w:pPr>
        <w:ind w:left="357" w:hanging="357"/>
        <w:jc w:val="both"/>
        <w:rPr>
          <w:rFonts w:eastAsiaTheme="minorHAnsi"/>
          <w:lang w:eastAsia="en-US"/>
        </w:rPr>
      </w:pPr>
      <w:r w:rsidRPr="00B24652">
        <w:rPr>
          <w:rFonts w:eastAsiaTheme="minorHAnsi"/>
          <w:lang w:eastAsia="en-US"/>
        </w:rPr>
        <w:t>•</w:t>
      </w:r>
      <w:r w:rsidRPr="00B24652">
        <w:rPr>
          <w:rFonts w:eastAsiaTheme="minorHAnsi"/>
          <w:lang w:eastAsia="en-US"/>
        </w:rPr>
        <w:tab/>
        <w:t>преобладание общественного транспорта над частным;</w:t>
      </w:r>
    </w:p>
    <w:p w14:paraId="3CDBB13D" w14:textId="77777777" w:rsidR="00B24652" w:rsidRPr="00B24652" w:rsidRDefault="00B24652" w:rsidP="00F77136">
      <w:pPr>
        <w:ind w:left="357" w:hanging="357"/>
        <w:jc w:val="both"/>
        <w:rPr>
          <w:rFonts w:eastAsiaTheme="minorHAnsi"/>
          <w:lang w:eastAsia="en-US"/>
        </w:rPr>
      </w:pPr>
      <w:r w:rsidRPr="00B24652">
        <w:rPr>
          <w:rFonts w:eastAsiaTheme="minorHAnsi"/>
          <w:lang w:eastAsia="en-US"/>
        </w:rPr>
        <w:t>•</w:t>
      </w:r>
      <w:r w:rsidRPr="00B24652">
        <w:rPr>
          <w:rFonts w:eastAsiaTheme="minorHAnsi"/>
          <w:lang w:eastAsia="en-US"/>
        </w:rPr>
        <w:tab/>
        <w:t>государственный контроль за жилищным хозяйством;</w:t>
      </w:r>
    </w:p>
    <w:p w14:paraId="532B4BD3" w14:textId="299288C1" w:rsidR="00B24652" w:rsidRPr="00B24652" w:rsidRDefault="00B24652" w:rsidP="00F77136">
      <w:pPr>
        <w:ind w:left="357" w:hanging="357"/>
        <w:jc w:val="both"/>
        <w:rPr>
          <w:rFonts w:eastAsiaTheme="minorHAnsi"/>
          <w:lang w:eastAsia="en-US"/>
        </w:rPr>
      </w:pPr>
      <w:r w:rsidRPr="00B24652">
        <w:rPr>
          <w:rFonts w:eastAsiaTheme="minorHAnsi"/>
          <w:lang w:eastAsia="en-US"/>
        </w:rPr>
        <w:t>•</w:t>
      </w:r>
      <w:r w:rsidRPr="00B24652">
        <w:rPr>
          <w:rFonts w:eastAsiaTheme="minorHAnsi"/>
          <w:lang w:eastAsia="en-US"/>
        </w:rPr>
        <w:tab/>
        <w:t>неразвитость сферы услуг и размещение объектов городского благоустройства независимо от структуры и объема рыночного спроса (Аксенов, 2011)</w:t>
      </w:r>
    </w:p>
    <w:p w14:paraId="3F08AF40" w14:textId="77777777" w:rsidR="00B24652" w:rsidRPr="00B24652" w:rsidRDefault="00B24652" w:rsidP="00210947">
      <w:pPr>
        <w:ind w:firstLine="851"/>
        <w:jc w:val="both"/>
        <w:rPr>
          <w:rFonts w:eastAsiaTheme="minorHAnsi"/>
          <w:lang w:eastAsia="en-US"/>
        </w:rPr>
      </w:pPr>
      <w:r w:rsidRPr="00B24652">
        <w:rPr>
          <w:rFonts w:eastAsiaTheme="minorHAnsi"/>
          <w:lang w:eastAsia="en-US"/>
        </w:rPr>
        <w:t>Учитывая все вышеперечисленное, можно сделать вывод, что для социалистической экономики был характерен недостаток товаров и услуг. Это выражалось в малой доле торговых площадей в общем городском пространстве. Количества объектов розничной торговли не хватало для удовлетворения появляющихся новых потребностей населения.</w:t>
      </w:r>
    </w:p>
    <w:p w14:paraId="4B37FCAC" w14:textId="77777777" w:rsidR="00B24652" w:rsidRPr="00B24652" w:rsidRDefault="00B24652" w:rsidP="00210947">
      <w:pPr>
        <w:ind w:firstLine="851"/>
        <w:jc w:val="both"/>
        <w:rPr>
          <w:rFonts w:eastAsiaTheme="minorHAnsi"/>
          <w:lang w:eastAsia="en-US"/>
        </w:rPr>
      </w:pPr>
      <w:r w:rsidRPr="00B24652">
        <w:rPr>
          <w:rFonts w:eastAsiaTheme="minorHAnsi"/>
          <w:lang w:eastAsia="en-US"/>
        </w:rPr>
        <w:t>Постепенно, при снижении контроля государства во всех сферах общественной жизни, происходили изменения в городском пространстве. Наступает этап «трансформационного города». Начинается развитие частного предпринимательства, увеличивается число объектов малого и среднего бизнеса. С высокой скоростью изменяется структура городской сети, появляются новые способы организации окружающего ландшафта, что вносит свой вклад в увеличивающиеся темпы трансформации города. Для периода становится характерным большое число изменений в законодательстве, касающихся вопросов собственности и землепользования.</w:t>
      </w:r>
    </w:p>
    <w:p w14:paraId="5856CF8B" w14:textId="77777777" w:rsidR="00F77136" w:rsidRDefault="00B24652" w:rsidP="00210947">
      <w:pPr>
        <w:ind w:firstLine="851"/>
        <w:jc w:val="both"/>
        <w:rPr>
          <w:rFonts w:eastAsiaTheme="minorHAnsi"/>
          <w:lang w:eastAsia="en-US"/>
        </w:rPr>
      </w:pPr>
      <w:r w:rsidRPr="00B24652">
        <w:rPr>
          <w:rFonts w:eastAsiaTheme="minorHAnsi"/>
          <w:lang w:eastAsia="en-US"/>
        </w:rPr>
        <w:t xml:space="preserve">Следующий этап – «посттрансформационный город» – характеризуется замедлением процесса нововведений на микро- и мезо-уровнях, новые структуры появляются только в масштабе вновь освоенных районов. Усиливается влияние государственных органов власти, новая экономика и общество требуют изменения существующих методов управления. В </w:t>
      </w:r>
      <w:r w:rsidRPr="00B24652">
        <w:rPr>
          <w:rFonts w:eastAsiaTheme="minorHAnsi"/>
          <w:lang w:eastAsia="en-US"/>
        </w:rPr>
        <w:lastRenderedPageBreak/>
        <w:t xml:space="preserve">отличие от «социалистического города», в данный период достигается баланс между участием государственного регулирования и рынка в преобразовании городского пространства. Объекты по предоставлению товаров и услуг становятся доступными и ориентированными на потребителя. Основной задачей становится рациональное распределение объектов производства и торговли. Чертой посттрансформационного города также является уникальность гибридных пространственных структур, сочетающих социалистические, трансформационные и международные бизнес-формы в особую взаимозависимую систему (Аксенов, 2011, с.22). </w:t>
      </w:r>
    </w:p>
    <w:p w14:paraId="3DE524D5" w14:textId="5B4DF257" w:rsidR="00B24652" w:rsidRPr="00B24652" w:rsidRDefault="00B24652" w:rsidP="00210947">
      <w:pPr>
        <w:ind w:firstLine="851"/>
        <w:jc w:val="both"/>
        <w:rPr>
          <w:rFonts w:eastAsiaTheme="minorHAnsi"/>
          <w:lang w:eastAsia="en-US"/>
        </w:rPr>
      </w:pPr>
      <w:r w:rsidRPr="00B24652">
        <w:rPr>
          <w:rFonts w:eastAsiaTheme="minorHAnsi"/>
          <w:lang w:eastAsia="en-US"/>
        </w:rPr>
        <w:t>Таким образом, в сравнении с предыдущим этапом наблюдаются следующие изменения:</w:t>
      </w:r>
    </w:p>
    <w:p w14:paraId="1AC2CAC2" w14:textId="77777777" w:rsidR="00B24652" w:rsidRPr="002679D1" w:rsidRDefault="00B24652" w:rsidP="00432C4A">
      <w:pPr>
        <w:pStyle w:val="ListParagraph"/>
        <w:numPr>
          <w:ilvl w:val="0"/>
          <w:numId w:val="16"/>
        </w:numPr>
        <w:ind w:left="357" w:hanging="357"/>
      </w:pPr>
      <w:r w:rsidRPr="002679D1">
        <w:t>монополия рынка на регулирование размещение бизнеса прекращается;</w:t>
      </w:r>
    </w:p>
    <w:p w14:paraId="3DE943FA" w14:textId="75951D77" w:rsidR="00B24652" w:rsidRPr="002679D1" w:rsidRDefault="00B24652" w:rsidP="00432C4A">
      <w:pPr>
        <w:pStyle w:val="ListParagraph"/>
        <w:numPr>
          <w:ilvl w:val="0"/>
          <w:numId w:val="16"/>
        </w:numPr>
        <w:ind w:left="357" w:hanging="357"/>
      </w:pPr>
      <w:r w:rsidRPr="002679D1">
        <w:t>на размещение начина</w:t>
      </w:r>
      <w:r w:rsidR="0066488C">
        <w:t>ю</w:t>
      </w:r>
      <w:r w:rsidRPr="002679D1">
        <w:t>т оказывать влияние городские власти;</w:t>
      </w:r>
    </w:p>
    <w:p w14:paraId="38E19CF2" w14:textId="77777777" w:rsidR="00B24652" w:rsidRPr="002679D1" w:rsidRDefault="00B24652" w:rsidP="00432C4A">
      <w:pPr>
        <w:pStyle w:val="ListParagraph"/>
        <w:numPr>
          <w:ilvl w:val="0"/>
          <w:numId w:val="16"/>
        </w:numPr>
        <w:ind w:left="357" w:hanging="357"/>
      </w:pPr>
      <w:r w:rsidRPr="002679D1">
        <w:t>сокращение значения неформального регулирования;</w:t>
      </w:r>
    </w:p>
    <w:p w14:paraId="424EC28F" w14:textId="77777777" w:rsidR="00B24652" w:rsidRPr="002679D1" w:rsidRDefault="00B24652" w:rsidP="00432C4A">
      <w:pPr>
        <w:pStyle w:val="ListParagraph"/>
        <w:numPr>
          <w:ilvl w:val="0"/>
          <w:numId w:val="16"/>
        </w:numPr>
        <w:ind w:left="357" w:hanging="357"/>
      </w:pPr>
      <w:r w:rsidRPr="002679D1">
        <w:t>факторы морфологии городской среды и транспортная доступность сменили фактор пространственной иерархии, имевший основополагающее значение в предыдущие периоды.</w:t>
      </w:r>
    </w:p>
    <w:p w14:paraId="628ACF33" w14:textId="629CD460" w:rsidR="00B24652" w:rsidRPr="00B24652" w:rsidRDefault="00B24652" w:rsidP="00210947">
      <w:pPr>
        <w:ind w:firstLine="851"/>
        <w:jc w:val="both"/>
        <w:rPr>
          <w:rFonts w:eastAsiaTheme="minorHAnsi"/>
          <w:lang w:eastAsia="en-US"/>
        </w:rPr>
      </w:pPr>
      <w:r w:rsidRPr="00B24652">
        <w:rPr>
          <w:rFonts w:eastAsiaTheme="minorHAnsi"/>
          <w:lang w:eastAsia="en-US"/>
        </w:rPr>
        <w:t xml:space="preserve">Основными отличительными особенностями трех вышеперечисленных периодов, по мнению </w:t>
      </w:r>
      <w:proofErr w:type="gramStart"/>
      <w:r w:rsidRPr="00B24652">
        <w:rPr>
          <w:rFonts w:eastAsiaTheme="minorHAnsi"/>
          <w:lang w:eastAsia="en-US"/>
        </w:rPr>
        <w:t>К.Э.</w:t>
      </w:r>
      <w:proofErr w:type="gramEnd"/>
      <w:r w:rsidR="0066488C">
        <w:rPr>
          <w:rFonts w:eastAsiaTheme="minorHAnsi"/>
          <w:lang w:eastAsia="en-US"/>
        </w:rPr>
        <w:t> </w:t>
      </w:r>
      <w:r w:rsidRPr="00B24652">
        <w:rPr>
          <w:rFonts w:eastAsiaTheme="minorHAnsi"/>
          <w:lang w:eastAsia="en-US"/>
        </w:rPr>
        <w:t xml:space="preserve">Аксенова, являются: пространственная модель шопинга, специфические бизнес-формы и принципы размещения третичного сектора экономики. Меняющиеся требования моделей шопинга, развитие рынка и др. оказывали влияние на бизнес-формы, преобразовывая их на каждом этапе (Рисунок </w:t>
      </w:r>
      <w:r w:rsidR="00F85832">
        <w:rPr>
          <w:rFonts w:eastAsiaTheme="minorHAnsi"/>
          <w:lang w:eastAsia="en-US"/>
        </w:rPr>
        <w:t>6</w:t>
      </w:r>
      <w:r w:rsidRPr="00B24652">
        <w:rPr>
          <w:rFonts w:eastAsiaTheme="minorHAnsi"/>
          <w:lang w:eastAsia="en-US"/>
        </w:rPr>
        <w:t>).</w:t>
      </w:r>
    </w:p>
    <w:p w14:paraId="023BBCE9" w14:textId="77777777" w:rsidR="00B24652" w:rsidRPr="00B24652" w:rsidRDefault="00B24652" w:rsidP="00B24652">
      <w:pPr>
        <w:spacing w:before="160"/>
        <w:jc w:val="both"/>
        <w:rPr>
          <w:rFonts w:eastAsiaTheme="minorHAnsi"/>
          <w:lang w:eastAsia="en-US"/>
        </w:rPr>
      </w:pPr>
      <w:r w:rsidRPr="00B24652">
        <w:rPr>
          <w:rFonts w:eastAsiaTheme="minorHAnsi"/>
          <w:noProof/>
          <w:lang w:eastAsia="en-US"/>
        </w:rPr>
        <w:drawing>
          <wp:inline distT="0" distB="0" distL="0" distR="0" wp14:anchorId="0528860A" wp14:editId="3215D4C1">
            <wp:extent cx="6087827" cy="2149719"/>
            <wp:effectExtent l="0" t="0" r="0" b="0"/>
            <wp:docPr id="41" name="Picture 4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3528" cy="2165857"/>
                    </a:xfrm>
                    <a:prstGeom prst="rect">
                      <a:avLst/>
                    </a:prstGeom>
                    <a:noFill/>
                  </pic:spPr>
                </pic:pic>
              </a:graphicData>
            </a:graphic>
          </wp:inline>
        </w:drawing>
      </w:r>
    </w:p>
    <w:p w14:paraId="48CAE0E7" w14:textId="657C4831" w:rsidR="00B24652" w:rsidRPr="00B24652" w:rsidRDefault="00B24652" w:rsidP="00B24652">
      <w:pPr>
        <w:spacing w:line="240" w:lineRule="auto"/>
        <w:rPr>
          <w:rFonts w:eastAsiaTheme="minorHAnsi"/>
          <w:lang w:eastAsia="en-US"/>
        </w:rPr>
      </w:pPr>
      <w:r w:rsidRPr="00B24652">
        <w:rPr>
          <w:rFonts w:eastAsiaTheme="minorHAnsi"/>
          <w:lang w:eastAsia="en-US"/>
        </w:rPr>
        <w:t xml:space="preserve">Рисунок </w:t>
      </w:r>
      <w:r w:rsidR="00F85832">
        <w:rPr>
          <w:rFonts w:eastAsiaTheme="minorHAnsi"/>
          <w:lang w:eastAsia="en-US"/>
        </w:rPr>
        <w:t>6</w:t>
      </w:r>
      <w:r w:rsidRPr="00B24652">
        <w:rPr>
          <w:rFonts w:eastAsiaTheme="minorHAnsi"/>
          <w:lang w:eastAsia="en-US"/>
        </w:rPr>
        <w:t>. Система факторов, воздействующих на размещение третичного сектора Санкт-Петербурга</w:t>
      </w:r>
    </w:p>
    <w:p w14:paraId="2A22E8D8" w14:textId="77777777" w:rsidR="00B24652" w:rsidRPr="00B24652" w:rsidRDefault="00B24652" w:rsidP="00B24652">
      <w:pPr>
        <w:spacing w:after="160"/>
        <w:rPr>
          <w:rFonts w:eastAsiaTheme="minorHAnsi"/>
          <w:sz w:val="28"/>
          <w:szCs w:val="28"/>
          <w:lang w:eastAsia="en-US"/>
        </w:rPr>
      </w:pPr>
      <w:r w:rsidRPr="00B24652">
        <w:rPr>
          <w:rFonts w:eastAsiaTheme="minorHAnsi"/>
          <w:sz w:val="22"/>
          <w:szCs w:val="22"/>
          <w:lang w:eastAsia="en-US"/>
        </w:rPr>
        <w:t>Источник: составлено на основе (Аксенов, 2011, с.23)</w:t>
      </w:r>
    </w:p>
    <w:p w14:paraId="184B78AB"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Санкт-Петербург является примером уникальной многократной трансформации городского пространства за сравнительно небольшой период своего существования.  </w:t>
      </w:r>
      <w:r w:rsidRPr="00B24652">
        <w:rPr>
          <w:rFonts w:eastAsiaTheme="minorHAnsi"/>
          <w:lang w:eastAsia="en-US"/>
        </w:rPr>
        <w:lastRenderedPageBreak/>
        <w:t>Немногим больше, чем за триста лет, город многократно менял свое название. Изменениям подвергались также основные функции и структура организации. К. Э. Аксеновым было выделено три основных этапа эволюции города:</w:t>
      </w:r>
    </w:p>
    <w:p w14:paraId="2260F590" w14:textId="136BC5A9" w:rsidR="00B24652" w:rsidRPr="00B24652" w:rsidRDefault="00B24652" w:rsidP="00432C4A">
      <w:pPr>
        <w:numPr>
          <w:ilvl w:val="0"/>
          <w:numId w:val="26"/>
        </w:numPr>
        <w:ind w:left="360"/>
        <w:contextualSpacing/>
        <w:jc w:val="both"/>
        <w:rPr>
          <w:rFonts w:eastAsiaTheme="minorHAnsi"/>
          <w:lang w:eastAsia="en-US"/>
        </w:rPr>
      </w:pPr>
      <w:r w:rsidRPr="00B24652">
        <w:rPr>
          <w:rFonts w:eastAsiaTheme="minorHAnsi"/>
          <w:lang w:eastAsia="en-US"/>
        </w:rPr>
        <w:t xml:space="preserve">Развитие Санкт-Петербурга в основном как финансового, торгового и культурного центра. Этот этап развития </w:t>
      </w:r>
      <w:r w:rsidR="0066488C">
        <w:rPr>
          <w:rFonts w:eastAsiaTheme="minorHAnsi"/>
          <w:lang w:eastAsia="en-US"/>
        </w:rPr>
        <w:t>длился</w:t>
      </w:r>
      <w:r w:rsidR="0066488C" w:rsidRPr="00B24652">
        <w:rPr>
          <w:rFonts w:eastAsiaTheme="minorHAnsi"/>
          <w:lang w:eastAsia="en-US"/>
        </w:rPr>
        <w:t xml:space="preserve"> </w:t>
      </w:r>
      <w:r w:rsidRPr="00B24652">
        <w:rPr>
          <w:rFonts w:eastAsiaTheme="minorHAnsi"/>
          <w:lang w:eastAsia="en-US"/>
        </w:rPr>
        <w:t>вплоть до начала 20 века.</w:t>
      </w:r>
    </w:p>
    <w:p w14:paraId="7CB96D0D" w14:textId="288A9493" w:rsidR="00B24652" w:rsidRPr="00B24652" w:rsidRDefault="0066488C" w:rsidP="00432C4A">
      <w:pPr>
        <w:numPr>
          <w:ilvl w:val="0"/>
          <w:numId w:val="26"/>
        </w:numPr>
        <w:ind w:left="360"/>
        <w:contextualSpacing/>
        <w:jc w:val="both"/>
        <w:rPr>
          <w:rFonts w:eastAsiaTheme="minorHAnsi"/>
          <w:lang w:eastAsia="en-US"/>
        </w:rPr>
      </w:pPr>
      <w:r>
        <w:rPr>
          <w:rFonts w:eastAsiaTheme="minorHAnsi"/>
          <w:lang w:eastAsia="en-US"/>
        </w:rPr>
        <w:t>С</w:t>
      </w:r>
      <w:r w:rsidR="00B24652" w:rsidRPr="00B24652">
        <w:rPr>
          <w:rFonts w:eastAsiaTheme="minorHAnsi"/>
          <w:lang w:eastAsia="en-US"/>
        </w:rPr>
        <w:t>тановление города вторым индустриальным центром Советского Союза;</w:t>
      </w:r>
    </w:p>
    <w:p w14:paraId="70998075" w14:textId="67729D5F" w:rsidR="00B24652" w:rsidRPr="00B24652" w:rsidRDefault="0066488C" w:rsidP="00432C4A">
      <w:pPr>
        <w:numPr>
          <w:ilvl w:val="0"/>
          <w:numId w:val="26"/>
        </w:numPr>
        <w:ind w:left="360"/>
        <w:contextualSpacing/>
        <w:jc w:val="both"/>
        <w:rPr>
          <w:rFonts w:eastAsiaTheme="minorHAnsi"/>
          <w:lang w:eastAsia="en-US"/>
        </w:rPr>
      </w:pPr>
      <w:r>
        <w:rPr>
          <w:rFonts w:eastAsiaTheme="minorHAnsi"/>
          <w:lang w:eastAsia="en-US"/>
        </w:rPr>
        <w:t>Т</w:t>
      </w:r>
      <w:r w:rsidR="00B24652" w:rsidRPr="00B24652">
        <w:rPr>
          <w:rFonts w:eastAsiaTheme="minorHAnsi"/>
          <w:lang w:eastAsia="en-US"/>
        </w:rPr>
        <w:t xml:space="preserve">рансформация в современный многофункциональный центр в начале </w:t>
      </w:r>
      <w:proofErr w:type="gramStart"/>
      <w:r w:rsidR="00B24652" w:rsidRPr="00B24652">
        <w:rPr>
          <w:rFonts w:eastAsiaTheme="minorHAnsi"/>
          <w:lang w:eastAsia="en-US"/>
        </w:rPr>
        <w:t>1980-ых</w:t>
      </w:r>
      <w:proofErr w:type="gramEnd"/>
      <w:r w:rsidR="00B24652" w:rsidRPr="00B24652">
        <w:rPr>
          <w:rFonts w:eastAsiaTheme="minorHAnsi"/>
          <w:lang w:eastAsia="en-US"/>
        </w:rPr>
        <w:t xml:space="preserve"> годов. </w:t>
      </w:r>
    </w:p>
    <w:p w14:paraId="4BE208B5"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В исследовании был затронут только третий, заключительный этап постсоветской реорганизации городской структуры. После распада Советского Союза в выдающемся экономическом центре началось активное внедрение объектов рыночной экономики, привлечение иностранного капитала в развитие малого и среднего бизнеса. Близость города к ведущим странам Европы, наличие тесной связи с ними дало толчок к развитию международной торговли между государствами и привлечению крупных инвестиций. В сравнении с другими городами России, которые медленнее воспринимали изменения после длительной советской власти, в менее бюрократизированном Санкт-Петербурге создавались условия для ведения набирающей популярность предпринимательской деятельности. Местным органам власти постепенно предоставлялись полномочия самоуправления и независимости в их финансовых и экономических вопросах, что приводило к росту интенсивности формирования коммерческих рынков. Город стал первым, который пересмотрел свою роль в экономическом пространстве как России, так и Европы (Axenov, Brade, Bondarchuk, 2006). Были намечены новые тенденции развития и формировались функции постсоциалистического города.  </w:t>
      </w:r>
    </w:p>
    <w:p w14:paraId="3974D980"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В Санкт-Петербурге развитие розничной торговли и сферы услуг происходило практически с нуля. С началом трансформации города, когда население стало потреблять большее количество товаров и услуг, предприниматели вынуждены были столкнуться с проблемой недостатка торговых территорий. Вопрос решался переориентированием неиспользуемых площадей на применение их в торговле и сфере услуг. Другим способом стало появление небольших мобильных структур (киосков), не требовавших особых условий для размещения, что привело к активному распространению их на улицах города. </w:t>
      </w:r>
    </w:p>
    <w:p w14:paraId="52C8E3DB"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В настоящее время Санкт-Петербург является крупным промышленным центром, специализирующимся на различных отраслях производства. Однако в ходе трансформации всех сфер общественной жизни, ведущее место в экономике города стало принадлежать торговле и сектору услуг. Будучи расположенным на побережье Балтийского моря, Санкт-Петербург является крупным морским узлом, обеспечивающим товарооборот с развитыми соседями, и его значение в экономических связях растет с каждым годом. С развитием </w:t>
      </w:r>
      <w:r w:rsidRPr="00B24652">
        <w:rPr>
          <w:rFonts w:eastAsiaTheme="minorHAnsi"/>
          <w:lang w:eastAsia="en-US"/>
        </w:rPr>
        <w:lastRenderedPageBreak/>
        <w:t>рыночной экономики город стал привлекать большое количество зарубежных инвестиций. В этих условиях предприятия начинают конкурировать за шанс привлечь иностранный капитал, вследствие чего на рынке появляются товары и услуги более высокого качества. Как правило, инвесторов привлекают крупные центры с большим потенциалом и развитой инфраструктурной и (или) сырьевой базой. В этих аспектах Санкт-Петербург входит в список наиболее привлекательных регионов.</w:t>
      </w:r>
    </w:p>
    <w:p w14:paraId="7FDA3906" w14:textId="7B3FCA74" w:rsidR="00B24652" w:rsidRPr="00B24652" w:rsidRDefault="00B24652" w:rsidP="00B24652">
      <w:pPr>
        <w:keepNext/>
        <w:keepLines/>
        <w:spacing w:before="160" w:after="160"/>
        <w:outlineLvl w:val="1"/>
        <w:rPr>
          <w:rFonts w:eastAsiaTheme="majorEastAsia"/>
          <w:b/>
          <w:bCs/>
          <w:lang w:eastAsia="en-US"/>
        </w:rPr>
      </w:pPr>
      <w:bookmarkStart w:id="12" w:name="_Toc103641024"/>
      <w:r w:rsidRPr="00B24652">
        <w:rPr>
          <w:rFonts w:eastAsiaTheme="majorEastAsia"/>
          <w:b/>
          <w:bCs/>
          <w:lang w:eastAsia="en-US"/>
        </w:rPr>
        <w:t>2.</w:t>
      </w:r>
      <w:r w:rsidR="009040D3" w:rsidRPr="009040D3">
        <w:rPr>
          <w:rFonts w:eastAsiaTheme="majorEastAsia"/>
          <w:b/>
          <w:bCs/>
          <w:lang w:eastAsia="en-US"/>
        </w:rPr>
        <w:t>2</w:t>
      </w:r>
      <w:r w:rsidRPr="00B24652">
        <w:rPr>
          <w:rFonts w:eastAsiaTheme="majorEastAsia"/>
          <w:b/>
          <w:bCs/>
          <w:lang w:eastAsia="en-US"/>
        </w:rPr>
        <w:t xml:space="preserve">. Изменения в территориальной организации розничной торговли и общественного питания Санкт-Петербурга в </w:t>
      </w:r>
      <w:r w:rsidR="0066488C">
        <w:rPr>
          <w:rFonts w:eastAsiaTheme="majorEastAsia"/>
          <w:b/>
          <w:bCs/>
          <w:lang w:eastAsia="en-US"/>
        </w:rPr>
        <w:t>пост</w:t>
      </w:r>
      <w:r w:rsidRPr="00B24652">
        <w:rPr>
          <w:rFonts w:eastAsiaTheme="majorEastAsia"/>
          <w:b/>
          <w:bCs/>
          <w:lang w:eastAsia="en-US"/>
        </w:rPr>
        <w:t>советский период</w:t>
      </w:r>
      <w:bookmarkEnd w:id="12"/>
    </w:p>
    <w:p w14:paraId="71CA8DAB"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Одной из особенностей развития сферы обслуживания в любой период времени можно назвать стремление предпринимателей расположить свой бизнес в наиболее выгодном для получения прибыли месте. Для реализации данных целей применялись маркетинговые исследования по анализу комплекса факторов. Кроме того, немаловажное значение отдается конкуренции между смежными отраслями производства, когда параметры, влияющие на их развитие идентичны. Это заставляет компании разрастаться, искать новые условия для формирования, тем самым увеличивая площадь территорий, занятых коммерческими объектами. </w:t>
      </w:r>
    </w:p>
    <w:p w14:paraId="02A9C7F2" w14:textId="77777777" w:rsidR="00B24652" w:rsidRPr="00B24652" w:rsidRDefault="00B24652" w:rsidP="00210947">
      <w:pPr>
        <w:ind w:firstLine="851"/>
        <w:jc w:val="both"/>
        <w:rPr>
          <w:rFonts w:eastAsiaTheme="minorHAnsi"/>
          <w:lang w:eastAsia="en-US"/>
        </w:rPr>
      </w:pPr>
      <w:r w:rsidRPr="00B24652">
        <w:rPr>
          <w:rFonts w:eastAsiaTheme="minorHAnsi"/>
          <w:lang w:eastAsia="en-US"/>
        </w:rPr>
        <w:t>Розничная торговля, аналогично изменяющемуся городскому ландшафту, перестраивается под потребности населения и меняет структуру. На каждом этапе развития общественно-географического пространства можно проследить характерные формы организации ритейла, которые непрерывно сменялись с ходом истории. Анализ этих форм и влияние их на городскую среду позволяет сделать выводы о темпах и характере преобразований.</w:t>
      </w:r>
    </w:p>
    <w:p w14:paraId="466834E7" w14:textId="77777777" w:rsidR="00B24652" w:rsidRPr="00B24652" w:rsidRDefault="00B24652" w:rsidP="00210947">
      <w:pPr>
        <w:ind w:firstLine="851"/>
        <w:jc w:val="both"/>
        <w:rPr>
          <w:rFonts w:eastAsiaTheme="minorHAnsi"/>
          <w:lang w:eastAsia="en-US"/>
        </w:rPr>
      </w:pPr>
      <w:r w:rsidRPr="00B24652">
        <w:rPr>
          <w:rFonts w:eastAsiaTheme="minorHAnsi"/>
          <w:lang w:eastAsia="en-US"/>
        </w:rPr>
        <w:t>К. Э. Аксеновым в постсоветский период было выделено 4 стадии развития ритейла (Приложение 1), основывающиеся на степени и характере административного регулирования и потребительском поведении:</w:t>
      </w:r>
    </w:p>
    <w:p w14:paraId="26C25F48" w14:textId="77777777" w:rsidR="00B24652" w:rsidRPr="00B24652" w:rsidRDefault="00B24652" w:rsidP="00210947">
      <w:pPr>
        <w:ind w:firstLine="851"/>
        <w:jc w:val="both"/>
        <w:rPr>
          <w:rFonts w:eastAsiaTheme="minorHAnsi"/>
          <w:lang w:eastAsia="en-US"/>
        </w:rPr>
      </w:pPr>
      <w:r w:rsidRPr="00B24652">
        <w:rPr>
          <w:rFonts w:eastAsiaTheme="minorHAnsi"/>
          <w:lang w:eastAsia="en-US"/>
        </w:rPr>
        <w:t>1.</w:t>
      </w:r>
      <w:r w:rsidRPr="00B24652">
        <w:rPr>
          <w:rFonts w:eastAsiaTheme="minorHAnsi"/>
          <w:lang w:eastAsia="en-US"/>
        </w:rPr>
        <w:tab/>
        <w:t xml:space="preserve">Ранняя стадия трансформации (1989-1996 гг.). </w:t>
      </w:r>
    </w:p>
    <w:p w14:paraId="09CE2414" w14:textId="77777777" w:rsidR="00B24652" w:rsidRPr="00B24652" w:rsidRDefault="00B24652" w:rsidP="00210947">
      <w:pPr>
        <w:ind w:firstLine="851"/>
        <w:jc w:val="both"/>
        <w:rPr>
          <w:rFonts w:eastAsiaTheme="minorHAnsi"/>
          <w:lang w:eastAsia="en-US"/>
        </w:rPr>
      </w:pPr>
      <w:r w:rsidRPr="00B24652">
        <w:rPr>
          <w:rFonts w:eastAsiaTheme="minorHAnsi"/>
          <w:lang w:eastAsia="en-US"/>
        </w:rPr>
        <w:t>Как только Санкт-Петербург стал активным участником в международной торговле, из-за отсутствия собственной необходимой инфраструктуры большое количество импортных товаров и услуг появились на его территории. Начался процесс пространственной адаптации к возросшим потребностям рынка розничной торговли и услуг города (Axenov, Brade, Bondarchuk, 2006)</w:t>
      </w:r>
    </w:p>
    <w:p w14:paraId="444ABB5A" w14:textId="300DE619" w:rsidR="00B24652" w:rsidRPr="00B24652" w:rsidRDefault="00B24652" w:rsidP="00210947">
      <w:pPr>
        <w:ind w:firstLine="851"/>
        <w:jc w:val="both"/>
        <w:rPr>
          <w:rFonts w:eastAsiaTheme="minorHAnsi"/>
          <w:lang w:eastAsia="en-US"/>
        </w:rPr>
      </w:pPr>
      <w:r w:rsidRPr="00B24652">
        <w:rPr>
          <w:rFonts w:eastAsiaTheme="minorHAnsi"/>
          <w:lang w:eastAsia="en-US"/>
        </w:rPr>
        <w:t xml:space="preserve">Этот этап характеризует, признание государством частной собственности и появление большого числа мобильных киосков, оказавших значительное влияние на трансформацию городского пространства. Данный вид размещения торговых точек был </w:t>
      </w:r>
      <w:r w:rsidRPr="00B24652">
        <w:rPr>
          <w:rFonts w:eastAsiaTheme="minorHAnsi"/>
          <w:lang w:eastAsia="en-US"/>
        </w:rPr>
        <w:lastRenderedPageBreak/>
        <w:t xml:space="preserve">основным способом наполнения территории объектами ритейла. Практика внедрения данных структур в обеспечение населения товарами и услугами и последующий анализ поведения потребителей позволили понять специфику и особенности влияния местоположения на выбор покупателя той или иной торговой площадки. Появление мобильных объектов ритейла решило проблему недостатка коммерческих площадей, особенно в спальных районах города. Возможности платить меньшую арендную плату в сравнении с супермаркетами и, в связи со свободой передвижения, выбирать наиболее выгодное местоположение для организации деятельности сделали киоски востребованными торговыми точками. В основном они концентрировались вокруг станций метро и остановок наземного транспорта, где пассажиропоток был максимален. Постепенно хаотическое размещение объектов стало сменяться попытками сгруппировать их в единую систему. При увеличении конкуренции начинается активна борьба </w:t>
      </w:r>
      <w:r w:rsidR="00277A84">
        <w:rPr>
          <w:rFonts w:eastAsiaTheme="minorHAnsi"/>
          <w:lang w:eastAsia="en-US"/>
        </w:rPr>
        <w:t>з</w:t>
      </w:r>
      <w:r w:rsidRPr="00B24652">
        <w:rPr>
          <w:rFonts w:eastAsiaTheme="minorHAnsi"/>
          <w:lang w:eastAsia="en-US"/>
        </w:rPr>
        <w:t>а наиболее выгодное местоположение.</w:t>
      </w:r>
    </w:p>
    <w:p w14:paraId="02024C5B" w14:textId="204124FA" w:rsidR="00B24652" w:rsidRPr="00B24652" w:rsidRDefault="00B24652" w:rsidP="00210947">
      <w:pPr>
        <w:ind w:firstLine="851"/>
        <w:jc w:val="both"/>
        <w:rPr>
          <w:rFonts w:eastAsiaTheme="minorHAnsi"/>
          <w:lang w:eastAsia="en-US"/>
        </w:rPr>
      </w:pPr>
      <w:r w:rsidRPr="00B24652">
        <w:rPr>
          <w:rFonts w:eastAsiaTheme="minorHAnsi"/>
          <w:lang w:eastAsia="en-US"/>
        </w:rPr>
        <w:t>Одно из основных отличий данного типа шопинга – ликвидация необходимости у покупателя совершать дополнительную работу (принятие решени</w:t>
      </w:r>
      <w:r w:rsidR="00277A84">
        <w:rPr>
          <w:rFonts w:eastAsiaTheme="minorHAnsi"/>
          <w:lang w:eastAsia="en-US"/>
        </w:rPr>
        <w:t>я</w:t>
      </w:r>
      <w:r w:rsidRPr="00B24652">
        <w:rPr>
          <w:rFonts w:eastAsiaTheme="minorHAnsi"/>
          <w:lang w:eastAsia="en-US"/>
        </w:rPr>
        <w:t xml:space="preserve"> о покупке, маркетинг, выбор торгового объекта и трата времени на дорогу), поскольку данный вид мобильной торговли был ориентирован на потребителя и располагался в непосредственной близости к нему. Киосковая торговля тем более эффективна, чем ближе территориально она придвинута к гарантированным ежедневным маятниковым потокам и чем интенсивнее эти потоки (Аксенов, 2011, с.17)</w:t>
      </w:r>
    </w:p>
    <w:p w14:paraId="2D37FEAD" w14:textId="77777777" w:rsidR="00B24652" w:rsidRPr="00B24652" w:rsidRDefault="00B24652" w:rsidP="00210947">
      <w:pPr>
        <w:ind w:firstLine="851"/>
        <w:jc w:val="both"/>
        <w:rPr>
          <w:rFonts w:eastAsiaTheme="minorHAnsi"/>
          <w:lang w:eastAsia="en-US"/>
        </w:rPr>
      </w:pPr>
      <w:r w:rsidRPr="00B24652">
        <w:rPr>
          <w:rFonts w:eastAsiaTheme="minorHAnsi"/>
          <w:lang w:eastAsia="en-US"/>
        </w:rPr>
        <w:t>Доминируя как основной вид торговли на протяжении долгого времени, мобильные формы торговли оставили «отпечатки», которые до сих пор проявляются в «посттрансформационном городе». В первую очередь они стали «первооткрывателями» для рынка новой иерархической системы коммерческих местоположений (Аксенов, 2011, с.16). Они также сформировали особую модель потребления, принятую большинством населения и, как следствие, повлияли на утверждение новых принципов размещения торговых объектов. Помимо вышеперечисленного, они сформировали базу первичного накопления капитала в секторе торговли и предоставления услуг.</w:t>
      </w:r>
    </w:p>
    <w:p w14:paraId="5831EE7E" w14:textId="77777777" w:rsidR="00B24652" w:rsidRPr="00B24652" w:rsidRDefault="00B24652" w:rsidP="00210947">
      <w:pPr>
        <w:ind w:firstLine="851"/>
        <w:jc w:val="both"/>
        <w:rPr>
          <w:rFonts w:eastAsiaTheme="minorHAnsi"/>
          <w:lang w:eastAsia="en-US"/>
        </w:rPr>
      </w:pPr>
      <w:r w:rsidRPr="00B24652">
        <w:rPr>
          <w:rFonts w:eastAsiaTheme="minorHAnsi"/>
          <w:lang w:eastAsia="en-US"/>
        </w:rPr>
        <w:t>2.</w:t>
      </w:r>
      <w:r w:rsidRPr="00B24652">
        <w:rPr>
          <w:rFonts w:eastAsiaTheme="minorHAnsi"/>
          <w:lang w:eastAsia="en-US"/>
        </w:rPr>
        <w:tab/>
        <w:t>Первый этап изменения административной структуры (1996-1998 гг.).</w:t>
      </w:r>
    </w:p>
    <w:p w14:paraId="0E9738BC" w14:textId="35A59704" w:rsidR="00B24652" w:rsidRPr="00B24652" w:rsidRDefault="00B24652" w:rsidP="00210947">
      <w:pPr>
        <w:ind w:firstLine="851"/>
        <w:jc w:val="both"/>
        <w:rPr>
          <w:rFonts w:eastAsiaTheme="minorHAnsi"/>
          <w:lang w:eastAsia="en-US"/>
        </w:rPr>
      </w:pPr>
      <w:r w:rsidRPr="00B24652">
        <w:rPr>
          <w:rFonts w:eastAsiaTheme="minorHAnsi"/>
          <w:lang w:eastAsia="en-US"/>
        </w:rPr>
        <w:t>С увеличение</w:t>
      </w:r>
      <w:r w:rsidR="00277A84">
        <w:rPr>
          <w:rFonts w:eastAsiaTheme="minorHAnsi"/>
          <w:lang w:eastAsia="en-US"/>
        </w:rPr>
        <w:t>м</w:t>
      </w:r>
      <w:r w:rsidRPr="00B24652">
        <w:rPr>
          <w:rFonts w:eastAsiaTheme="minorHAnsi"/>
          <w:lang w:eastAsia="en-US"/>
        </w:rPr>
        <w:t xml:space="preserve"> покупательской способности система киосков постепенно стала отходить на второй план, освобождая место более крупным структурам. С целью </w:t>
      </w:r>
      <w:r w:rsidR="00277A84" w:rsidRPr="00B24652">
        <w:rPr>
          <w:rFonts w:eastAsiaTheme="minorHAnsi"/>
          <w:lang w:eastAsia="en-US"/>
        </w:rPr>
        <w:t>повышени</w:t>
      </w:r>
      <w:r w:rsidR="00277A84">
        <w:rPr>
          <w:rFonts w:eastAsiaTheme="minorHAnsi"/>
          <w:lang w:eastAsia="en-US"/>
        </w:rPr>
        <w:t>я</w:t>
      </w:r>
      <w:r w:rsidR="00277A84" w:rsidRPr="00B24652">
        <w:rPr>
          <w:rFonts w:eastAsiaTheme="minorHAnsi"/>
          <w:lang w:eastAsia="en-US"/>
        </w:rPr>
        <w:t xml:space="preserve"> </w:t>
      </w:r>
      <w:r w:rsidRPr="00B24652">
        <w:rPr>
          <w:rFonts w:eastAsiaTheme="minorHAnsi"/>
          <w:lang w:eastAsia="en-US"/>
        </w:rPr>
        <w:t xml:space="preserve">качества и стандартов обслуживания власти начали борьбу с теневым незаконным </w:t>
      </w:r>
      <w:r w:rsidR="00277A84" w:rsidRPr="00B24652">
        <w:rPr>
          <w:rFonts w:eastAsiaTheme="minorHAnsi"/>
          <w:lang w:eastAsia="en-US"/>
        </w:rPr>
        <w:t>бизнесо</w:t>
      </w:r>
      <w:r w:rsidR="00277A84">
        <w:rPr>
          <w:rFonts w:eastAsiaTheme="minorHAnsi"/>
          <w:lang w:eastAsia="en-US"/>
        </w:rPr>
        <w:t>м</w:t>
      </w:r>
      <w:r w:rsidR="00277A84" w:rsidRPr="00B24652">
        <w:rPr>
          <w:rFonts w:eastAsiaTheme="minorHAnsi"/>
          <w:lang w:eastAsia="en-US"/>
        </w:rPr>
        <w:t xml:space="preserve"> </w:t>
      </w:r>
      <w:r w:rsidRPr="00B24652">
        <w:rPr>
          <w:rFonts w:eastAsiaTheme="minorHAnsi"/>
          <w:lang w:eastAsia="en-US"/>
        </w:rPr>
        <w:t xml:space="preserve">в сфере мобильной торговли. На смену стали приходить рынки и павильоны, сохранившие плюсы своих предшественников (низине цены, удобное месторасположение). Главной особенностью новых структур стало наличие торгового зала, а следовательно, и более высокое качество обслуживания. </w:t>
      </w:r>
    </w:p>
    <w:p w14:paraId="5A68396B" w14:textId="77777777" w:rsidR="00B24652" w:rsidRPr="00B24652" w:rsidRDefault="00B24652" w:rsidP="00210947">
      <w:pPr>
        <w:ind w:firstLine="851"/>
        <w:jc w:val="both"/>
        <w:rPr>
          <w:rFonts w:eastAsiaTheme="minorHAnsi"/>
          <w:lang w:eastAsia="en-US"/>
        </w:rPr>
      </w:pPr>
      <w:r w:rsidRPr="00B24652">
        <w:rPr>
          <w:rFonts w:eastAsiaTheme="minorHAnsi"/>
          <w:lang w:eastAsia="en-US"/>
        </w:rPr>
        <w:lastRenderedPageBreak/>
        <w:t>Минусами рынков и павильонов стали высокая, относительно киосков, арендная плата, падение конкуренции из-за сравнительно меньшего числа производственных точек, высокие издержки и невозможность обслуживать большое количество клиентов. Эти недостатки влияли на ценообразование, которое отражалось в уменьшении покупательской способности населения. Городские власти пытались регулировать данные проблемы, располагая торговые объекты в местах наибольшей концентрации населения и устанавливая более низкую стоимость аренды. Павильоны были ориентированы на потребителей, готовых покупать товары за более высокую стоимость, чтобы не тратить время на поиск новых дешевых мест.</w:t>
      </w:r>
    </w:p>
    <w:p w14:paraId="6B6FB5C1" w14:textId="77777777" w:rsidR="00B24652" w:rsidRPr="00B24652" w:rsidRDefault="00B24652" w:rsidP="00210947">
      <w:pPr>
        <w:ind w:firstLine="851"/>
        <w:jc w:val="both"/>
        <w:rPr>
          <w:rFonts w:eastAsiaTheme="minorHAnsi"/>
          <w:lang w:eastAsia="en-US"/>
        </w:rPr>
      </w:pPr>
      <w:r w:rsidRPr="00B24652">
        <w:rPr>
          <w:rFonts w:eastAsiaTheme="minorHAnsi"/>
          <w:lang w:eastAsia="en-US"/>
        </w:rPr>
        <w:t>3.</w:t>
      </w:r>
      <w:r w:rsidRPr="00B24652">
        <w:rPr>
          <w:rFonts w:eastAsiaTheme="minorHAnsi"/>
          <w:lang w:eastAsia="en-US"/>
        </w:rPr>
        <w:tab/>
        <w:t>Этап павильонов и рынков. (1998-2001 гг.)</w:t>
      </w:r>
    </w:p>
    <w:p w14:paraId="379C9EEE"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К 1998 году большинство скоплений киосков были замещены рынками и павильонами. Постепенно продолжалось изменение рыночной организации. Население не всегда могло позволить себе тратить время на огромные очереди на рынках и павильонах. На смену давно утратившим популярность киоскам стали приходить новые торговые структуры, схожие с ними, но не требующие относительно долговременной постройки. Как правило такие точки были дневного существования, а на ночь убирались. Существенными недостатками организации такой деятельности стали несоответствие санитарно-гигиеническим нормам, значительная роль теневого сектора экономики в управлении объектами ритейла. Для решения этих проблем власти вынуждены были ввести своего рода «паспорта» для обеспечения соблюдения соответствующих норм (Аксенов, 2019). Результатом данных методов стало сокращение киосков, торгующих алкоголем и сигаретами и увеличение числа предприятий по продаже продуктов питания. </w:t>
      </w:r>
    </w:p>
    <w:p w14:paraId="0E89E702" w14:textId="77777777" w:rsidR="00B24652" w:rsidRPr="00B24652" w:rsidRDefault="00B24652" w:rsidP="00210947">
      <w:pPr>
        <w:ind w:firstLine="851"/>
        <w:jc w:val="both"/>
        <w:rPr>
          <w:rFonts w:eastAsiaTheme="minorHAnsi"/>
          <w:lang w:eastAsia="en-US"/>
        </w:rPr>
      </w:pPr>
      <w:r w:rsidRPr="00B24652">
        <w:rPr>
          <w:rFonts w:eastAsiaTheme="minorHAnsi"/>
          <w:lang w:eastAsia="en-US"/>
        </w:rPr>
        <w:t>4.</w:t>
      </w:r>
      <w:r w:rsidRPr="00B24652">
        <w:rPr>
          <w:rFonts w:eastAsiaTheme="minorHAnsi"/>
          <w:lang w:eastAsia="en-US"/>
        </w:rPr>
        <w:tab/>
        <w:t>Развитие крупных постоянных форм торговли (2001-2002 гг.)</w:t>
      </w:r>
    </w:p>
    <w:p w14:paraId="5B6FE355" w14:textId="735B09A5" w:rsidR="00B24652" w:rsidRPr="00B24652" w:rsidRDefault="00B24652" w:rsidP="00210947">
      <w:pPr>
        <w:ind w:firstLine="851"/>
        <w:jc w:val="both"/>
        <w:rPr>
          <w:rFonts w:eastAsiaTheme="minorHAnsi"/>
          <w:lang w:eastAsia="en-US"/>
        </w:rPr>
      </w:pPr>
      <w:r w:rsidRPr="00B24652">
        <w:rPr>
          <w:rFonts w:eastAsiaTheme="minorHAnsi"/>
          <w:lang w:eastAsia="en-US"/>
        </w:rPr>
        <w:t xml:space="preserve">Вплоть до 2000-х годов предприниматели не готовы были тратить огромные суммы денег на создание новых структур ритейла. Однако к началу нового тысячелетия с усилением процесса привлечения иностранного капитала стали появляться ранее не существующие формы рыночных организаций. Они формировались как отдельные постоянные сооружения с целью повышения качества обслуживания и создания условий для </w:t>
      </w:r>
      <w:r w:rsidR="00277A84" w:rsidRPr="00B24652">
        <w:rPr>
          <w:rFonts w:eastAsiaTheme="minorHAnsi"/>
          <w:lang w:eastAsia="en-US"/>
        </w:rPr>
        <w:t>привлечени</w:t>
      </w:r>
      <w:r w:rsidR="00277A84">
        <w:rPr>
          <w:rFonts w:eastAsiaTheme="minorHAnsi"/>
          <w:lang w:eastAsia="en-US"/>
        </w:rPr>
        <w:t>я</w:t>
      </w:r>
      <w:r w:rsidR="00277A84" w:rsidRPr="00B24652">
        <w:rPr>
          <w:rFonts w:eastAsiaTheme="minorHAnsi"/>
          <w:lang w:eastAsia="en-US"/>
        </w:rPr>
        <w:t xml:space="preserve"> </w:t>
      </w:r>
      <w:r w:rsidRPr="00B24652">
        <w:rPr>
          <w:rFonts w:eastAsiaTheme="minorHAnsi"/>
          <w:lang w:eastAsia="en-US"/>
        </w:rPr>
        <w:t xml:space="preserve">большего количества клиентов, чем ранее существующие киоски и павильоны. Началась модернизация существующих крупных объектов ритейла и реорганизация мелких в торговые комплексы. Они сосредотачивались вокруг центров </w:t>
      </w:r>
      <w:r w:rsidR="00277A84" w:rsidRPr="00B24652">
        <w:rPr>
          <w:rFonts w:eastAsiaTheme="minorHAnsi"/>
          <w:lang w:eastAsia="en-US"/>
        </w:rPr>
        <w:t>притяжени</w:t>
      </w:r>
      <w:r w:rsidR="00277A84">
        <w:rPr>
          <w:rFonts w:eastAsiaTheme="minorHAnsi"/>
          <w:lang w:eastAsia="en-US"/>
        </w:rPr>
        <w:t>я</w:t>
      </w:r>
      <w:r w:rsidR="00277A84" w:rsidRPr="00B24652">
        <w:rPr>
          <w:rFonts w:eastAsiaTheme="minorHAnsi"/>
          <w:lang w:eastAsia="en-US"/>
        </w:rPr>
        <w:t xml:space="preserve"> </w:t>
      </w:r>
      <w:r w:rsidRPr="00B24652">
        <w:rPr>
          <w:rFonts w:eastAsiaTheme="minorHAnsi"/>
          <w:lang w:eastAsia="en-US"/>
        </w:rPr>
        <w:t xml:space="preserve">потоков населения. Особенно заметен данный процесс </w:t>
      </w:r>
      <w:r w:rsidR="00277A84">
        <w:rPr>
          <w:rFonts w:eastAsiaTheme="minorHAnsi"/>
          <w:lang w:eastAsia="en-US"/>
        </w:rPr>
        <w:t>в</w:t>
      </w:r>
      <w:r w:rsidRPr="00B24652">
        <w:rPr>
          <w:rFonts w:eastAsiaTheme="minorHAnsi"/>
          <w:lang w:eastAsia="en-US"/>
        </w:rPr>
        <w:t>близи станций метро, где бурными темпами начинается строительство крупных коммерческих структур.</w:t>
      </w:r>
    </w:p>
    <w:p w14:paraId="6E712924" w14:textId="43575A01" w:rsidR="00B24652" w:rsidRPr="00B24652" w:rsidRDefault="00B24652" w:rsidP="00210947">
      <w:pPr>
        <w:ind w:firstLine="851"/>
        <w:jc w:val="both"/>
        <w:rPr>
          <w:rFonts w:eastAsiaTheme="minorHAnsi"/>
          <w:lang w:eastAsia="en-US"/>
        </w:rPr>
      </w:pPr>
      <w:r w:rsidRPr="00B24652">
        <w:rPr>
          <w:rFonts w:eastAsiaTheme="minorHAnsi"/>
          <w:lang w:eastAsia="en-US"/>
        </w:rPr>
        <w:lastRenderedPageBreak/>
        <w:t>Период 2007-</w:t>
      </w:r>
      <w:r w:rsidR="00BF7628">
        <w:rPr>
          <w:rFonts w:eastAsiaTheme="minorHAnsi"/>
          <w:lang w:eastAsia="en-US"/>
        </w:rPr>
        <w:t>2</w:t>
      </w:r>
      <w:r w:rsidRPr="00B24652">
        <w:rPr>
          <w:rFonts w:eastAsiaTheme="minorHAnsi"/>
          <w:lang w:eastAsia="en-US"/>
        </w:rPr>
        <w:t>010 года характеризовался одновременной борьбой с рынками, павильонами, киосками и появлением новой формы – магазин</w:t>
      </w:r>
      <w:r w:rsidR="00BF7628">
        <w:rPr>
          <w:rFonts w:eastAsiaTheme="minorHAnsi"/>
          <w:lang w:eastAsia="en-US"/>
        </w:rPr>
        <w:t>а</w:t>
      </w:r>
      <w:r w:rsidRPr="00B24652">
        <w:rPr>
          <w:rFonts w:eastAsiaTheme="minorHAnsi"/>
          <w:lang w:eastAsia="en-US"/>
        </w:rPr>
        <w:t xml:space="preserve"> «у дома», </w:t>
      </w:r>
      <w:r w:rsidR="00BF7628" w:rsidRPr="00B24652">
        <w:rPr>
          <w:rFonts w:eastAsiaTheme="minorHAnsi"/>
          <w:lang w:eastAsia="en-US"/>
        </w:rPr>
        <w:t>представляюще</w:t>
      </w:r>
      <w:r w:rsidR="00BF7628">
        <w:rPr>
          <w:rFonts w:eastAsiaTheme="minorHAnsi"/>
          <w:lang w:eastAsia="en-US"/>
        </w:rPr>
        <w:t>го</w:t>
      </w:r>
      <w:r w:rsidR="00BF7628" w:rsidRPr="00B24652">
        <w:rPr>
          <w:rFonts w:eastAsiaTheme="minorHAnsi"/>
          <w:lang w:eastAsia="en-US"/>
        </w:rPr>
        <w:t xml:space="preserve"> </w:t>
      </w:r>
      <w:r w:rsidRPr="00B24652">
        <w:rPr>
          <w:rFonts w:eastAsiaTheme="minorHAnsi"/>
          <w:lang w:eastAsia="en-US"/>
        </w:rPr>
        <w:t>собой симбиоз киоска и продовольственного рынка.</w:t>
      </w:r>
    </w:p>
    <w:p w14:paraId="06442E30" w14:textId="77777777" w:rsidR="00B24652" w:rsidRPr="00B24652" w:rsidRDefault="00B24652" w:rsidP="00210947">
      <w:pPr>
        <w:ind w:firstLine="851"/>
        <w:jc w:val="both"/>
        <w:rPr>
          <w:rFonts w:eastAsiaTheme="minorHAnsi"/>
          <w:lang w:eastAsia="en-US"/>
        </w:rPr>
      </w:pPr>
      <w:r w:rsidRPr="00B24652">
        <w:rPr>
          <w:rFonts w:eastAsiaTheme="minorHAnsi"/>
          <w:lang w:eastAsia="en-US"/>
        </w:rPr>
        <w:t xml:space="preserve">Таким образом, развитие ритейла прошло несколько этапов, отличающихся друг от друга различными формами торговых объектов. Стоит понимать, что сегодняшние изменения в городской среде обусловлены, в том числе, эволюцией рынка в прошлом. Процесс трансформации продолжается до сих пор и элементы минувших этапов развития общественно-географического пространства можно наблюдать в городском ландшафте по сей день. </w:t>
      </w:r>
    </w:p>
    <w:p w14:paraId="00AC8E54" w14:textId="77777777" w:rsidR="00B24652" w:rsidRPr="00B24652" w:rsidRDefault="00B24652" w:rsidP="00210947">
      <w:pPr>
        <w:ind w:firstLine="851"/>
        <w:jc w:val="both"/>
        <w:rPr>
          <w:rFonts w:eastAsiaTheme="minorHAnsi"/>
          <w:lang w:eastAsia="en-US"/>
        </w:rPr>
      </w:pPr>
      <w:r w:rsidRPr="00B24652">
        <w:rPr>
          <w:rFonts w:eastAsiaTheme="minorHAnsi"/>
          <w:lang w:eastAsia="en-US"/>
        </w:rPr>
        <w:t>Было выделено два ключевых фактора, виляющих на географическую систему розничной торговли и общественного питания. Первым фактором является транспортно-планировочная структура. При относительно равных условиях, зоны концентрации предприятий розничной торговли и сферы услуг тяготели к основным транзитным автомобильным транспортным системам и станциям метрополитена (Аксенов, 2011, с.19). Влияние транспортной сети на географию розничной торговли было скорее косвенное. Оно определялось функционально-морфологической структурой городской среды – вторым важнейшим фактором, представляющий собой общие характеристики функциональной специализации частей города, населения, землепользования и типа застройки и планировочной структурой.</w:t>
      </w:r>
    </w:p>
    <w:p w14:paraId="76DCEA67" w14:textId="3AC5B5D9" w:rsidR="00B24652" w:rsidRPr="00B24652" w:rsidRDefault="00B24652" w:rsidP="00210947">
      <w:pPr>
        <w:ind w:firstLine="851"/>
        <w:jc w:val="both"/>
        <w:rPr>
          <w:rFonts w:eastAsiaTheme="minorHAnsi"/>
          <w:lang w:eastAsia="en-US"/>
        </w:rPr>
      </w:pPr>
      <w:r w:rsidRPr="00B24652">
        <w:rPr>
          <w:rFonts w:eastAsiaTheme="minorHAnsi"/>
          <w:lang w:eastAsia="en-US"/>
        </w:rPr>
        <w:t>Аналогично изменениям структуры организации ритейла менялось поведение и требования потребителей, влияние различных факторов на предпочтения в выборе того или иного торгового объекта. Основываясь на этих переменах, принято выделять 3 основных типа шопинга (Аксенов, 2016, с. 43-45) (</w:t>
      </w:r>
      <w:r w:rsidR="00F85832">
        <w:rPr>
          <w:rFonts w:eastAsiaTheme="minorHAnsi"/>
          <w:lang w:eastAsia="en-US"/>
        </w:rPr>
        <w:t>Таблица 3</w:t>
      </w:r>
      <w:r w:rsidRPr="00B24652">
        <w:rPr>
          <w:rFonts w:eastAsiaTheme="minorHAnsi"/>
          <w:lang w:eastAsia="en-US"/>
        </w:rPr>
        <w:t>):</w:t>
      </w:r>
    </w:p>
    <w:p w14:paraId="141972F9" w14:textId="77777777" w:rsidR="00B24652" w:rsidRPr="00B24652" w:rsidRDefault="00B24652" w:rsidP="00432C4A">
      <w:pPr>
        <w:numPr>
          <w:ilvl w:val="0"/>
          <w:numId w:val="3"/>
        </w:numPr>
        <w:ind w:left="357" w:hanging="357"/>
        <w:contextualSpacing/>
        <w:jc w:val="both"/>
        <w:rPr>
          <w:rFonts w:eastAsiaTheme="minorHAnsi"/>
          <w:lang w:eastAsia="en-US"/>
        </w:rPr>
      </w:pPr>
      <w:r w:rsidRPr="00B24652">
        <w:rPr>
          <w:rFonts w:eastAsiaTheme="minorHAnsi"/>
          <w:lang w:eastAsia="en-US"/>
        </w:rPr>
        <w:t>Трансформационный – характеризуется приобретением населением товаров при движении вдоль основных транспортных маршрутов. При этом зачастую покупатели переплачивают, но не тратят время на поиск более дешевых торговых объектов. Решение о приобретении покупки принимается спонтанно: «увидел-купил».</w:t>
      </w:r>
    </w:p>
    <w:p w14:paraId="2F5C7BB9" w14:textId="77777777" w:rsidR="00B24652" w:rsidRPr="00B24652" w:rsidRDefault="00B24652" w:rsidP="00432C4A">
      <w:pPr>
        <w:numPr>
          <w:ilvl w:val="0"/>
          <w:numId w:val="3"/>
        </w:numPr>
        <w:ind w:left="357" w:hanging="357"/>
        <w:contextualSpacing/>
        <w:jc w:val="both"/>
        <w:rPr>
          <w:rFonts w:eastAsiaTheme="minorHAnsi"/>
          <w:lang w:eastAsia="en-US"/>
        </w:rPr>
      </w:pPr>
      <w:r w:rsidRPr="00B24652">
        <w:rPr>
          <w:rFonts w:eastAsiaTheme="minorHAnsi"/>
          <w:lang w:eastAsia="en-US"/>
        </w:rPr>
        <w:t>Новых бедных – характерен преимущественно для пожилых граждан, для которых ценовая политика рыночных организаций имеет определяющее значение, и они вынуждены преодолевать большие расстояния в поисках дешевых товаров и услуг.</w:t>
      </w:r>
    </w:p>
    <w:p w14:paraId="0A0323B4" w14:textId="77777777" w:rsidR="00B24652" w:rsidRPr="00B24652" w:rsidRDefault="00B24652" w:rsidP="00432C4A">
      <w:pPr>
        <w:numPr>
          <w:ilvl w:val="0"/>
          <w:numId w:val="3"/>
        </w:numPr>
        <w:ind w:left="357" w:hanging="357"/>
        <w:contextualSpacing/>
        <w:jc w:val="both"/>
        <w:rPr>
          <w:rFonts w:eastAsiaTheme="minorHAnsi"/>
          <w:lang w:eastAsia="en-US"/>
        </w:rPr>
      </w:pPr>
      <w:r w:rsidRPr="00B24652">
        <w:rPr>
          <w:rFonts w:eastAsiaTheme="minorHAnsi"/>
          <w:lang w:eastAsia="en-US"/>
        </w:rPr>
        <w:t xml:space="preserve">Посттрансформационный – свойственен населению с относительно высокими доходами и наличием автомобиля. Как правило, эти люди совершают большое количество покупок один-два раза в неделю в крупном магазине (гипермаркете). </w:t>
      </w:r>
    </w:p>
    <w:p w14:paraId="357D6C69" w14:textId="77777777" w:rsidR="00B24652" w:rsidRPr="00B24652" w:rsidRDefault="00B24652" w:rsidP="00432C4A">
      <w:pPr>
        <w:numPr>
          <w:ilvl w:val="1"/>
          <w:numId w:val="3"/>
        </w:numPr>
        <w:ind w:left="1248" w:hanging="397"/>
        <w:contextualSpacing/>
        <w:jc w:val="both"/>
        <w:rPr>
          <w:rFonts w:eastAsiaTheme="minorHAnsi"/>
          <w:lang w:eastAsia="en-US"/>
        </w:rPr>
      </w:pPr>
      <w:r w:rsidRPr="00B24652">
        <w:rPr>
          <w:rFonts w:eastAsiaTheme="minorHAnsi"/>
          <w:lang w:eastAsia="en-US"/>
        </w:rPr>
        <w:lastRenderedPageBreak/>
        <w:t>Посттрансформационный крупноформатный – свойственен преимущественно автовладельцам и представлен крупными торговыми и сервисными центрами, ориентированными на продукцию длительного пользования.</w:t>
      </w:r>
    </w:p>
    <w:p w14:paraId="27B4BE94" w14:textId="77777777" w:rsidR="00B24652" w:rsidRPr="00B24652" w:rsidRDefault="00B24652" w:rsidP="00432C4A">
      <w:pPr>
        <w:numPr>
          <w:ilvl w:val="1"/>
          <w:numId w:val="3"/>
        </w:numPr>
        <w:ind w:left="1248" w:hanging="397"/>
        <w:contextualSpacing/>
        <w:jc w:val="both"/>
        <w:rPr>
          <w:rFonts w:eastAsiaTheme="minorHAnsi"/>
          <w:lang w:eastAsia="en-US"/>
        </w:rPr>
      </w:pPr>
      <w:r w:rsidRPr="00B24652">
        <w:rPr>
          <w:rFonts w:eastAsiaTheme="minorHAnsi"/>
          <w:lang w:eastAsia="en-US"/>
        </w:rPr>
        <w:t>Посттрансформационный мелкоформатный – противоположность крупноформатному, когда акцент с еженедельных покупок смещается на ежедневные без участия автомобиля или иного транспорта вблизи дома.</w:t>
      </w:r>
    </w:p>
    <w:p w14:paraId="180024AD" w14:textId="0BF88BF9" w:rsidR="00F85832" w:rsidRDefault="00F85832" w:rsidP="00B24652">
      <w:pPr>
        <w:spacing w:before="160"/>
        <w:rPr>
          <w:rFonts w:eastAsiaTheme="minorHAnsi"/>
          <w:lang w:eastAsia="en-US"/>
        </w:rPr>
      </w:pPr>
      <w:r>
        <w:rPr>
          <w:rFonts w:eastAsiaTheme="minorHAnsi"/>
          <w:lang w:eastAsia="en-US"/>
        </w:rPr>
        <w:t>Таблица 3</w:t>
      </w:r>
      <w:r w:rsidRPr="00F85832">
        <w:rPr>
          <w:rFonts w:eastAsiaTheme="minorHAnsi"/>
          <w:lang w:eastAsia="en-US"/>
        </w:rPr>
        <w:t>. Модели шопинга и пространственная организация сектора розничной торговли и услуг в Санкт-Петербурге</w:t>
      </w:r>
    </w:p>
    <w:p w14:paraId="5C0003B6" w14:textId="59C5E572" w:rsidR="00B24652" w:rsidRPr="00B24652" w:rsidRDefault="00B24652" w:rsidP="00F85832">
      <w:pPr>
        <w:rPr>
          <w:rFonts w:eastAsiaTheme="minorHAnsi"/>
          <w:lang w:eastAsia="en-US"/>
        </w:rPr>
      </w:pPr>
      <w:r w:rsidRPr="00B24652">
        <w:rPr>
          <w:rFonts w:eastAsiaTheme="minorHAnsi"/>
          <w:i/>
          <w:iCs/>
          <w:noProof/>
          <w:sz w:val="20"/>
          <w:szCs w:val="20"/>
          <w:lang w:eastAsia="en-US"/>
        </w:rPr>
        <w:drawing>
          <wp:inline distT="0" distB="0" distL="0" distR="0" wp14:anchorId="7A85581E" wp14:editId="689283B0">
            <wp:extent cx="5165921" cy="3766242"/>
            <wp:effectExtent l="0" t="0" r="0" b="5715"/>
            <wp:docPr id="51" name="Picture 5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10;&#10;Description automatically generated"/>
                    <pic:cNvPicPr/>
                  </pic:nvPicPr>
                  <pic:blipFill>
                    <a:blip r:embed="rId17"/>
                    <a:stretch>
                      <a:fillRect/>
                    </a:stretch>
                  </pic:blipFill>
                  <pic:spPr>
                    <a:xfrm>
                      <a:off x="0" y="0"/>
                      <a:ext cx="5183591" cy="3779124"/>
                    </a:xfrm>
                    <a:prstGeom prst="rect">
                      <a:avLst/>
                    </a:prstGeom>
                  </pic:spPr>
                </pic:pic>
              </a:graphicData>
            </a:graphic>
          </wp:inline>
        </w:drawing>
      </w:r>
    </w:p>
    <w:p w14:paraId="6D411101" w14:textId="77777777" w:rsidR="00B24652" w:rsidRPr="00B24652" w:rsidRDefault="00B24652" w:rsidP="00B24652">
      <w:pPr>
        <w:spacing w:after="160"/>
        <w:rPr>
          <w:rFonts w:eastAsiaTheme="minorHAnsi"/>
          <w:sz w:val="22"/>
          <w:szCs w:val="22"/>
          <w:lang w:eastAsia="en-US"/>
        </w:rPr>
      </w:pPr>
      <w:r w:rsidRPr="00B24652">
        <w:rPr>
          <w:rFonts w:eastAsiaTheme="minorHAnsi"/>
          <w:sz w:val="22"/>
          <w:szCs w:val="22"/>
          <w:lang w:eastAsia="en-US"/>
        </w:rPr>
        <w:t>Источник: Аксенов, 2016, с. 54</w:t>
      </w:r>
    </w:p>
    <w:p w14:paraId="74363CDC" w14:textId="0924B4E7" w:rsidR="00B24652" w:rsidRPr="00B24652" w:rsidRDefault="00B24652" w:rsidP="00C12124">
      <w:pPr>
        <w:ind w:firstLine="851"/>
        <w:jc w:val="both"/>
        <w:rPr>
          <w:rFonts w:eastAsiaTheme="minorHAnsi"/>
          <w:lang w:eastAsia="en-US"/>
        </w:rPr>
      </w:pPr>
      <w:r w:rsidRPr="00B24652">
        <w:rPr>
          <w:rFonts w:eastAsiaTheme="minorHAnsi"/>
          <w:lang w:eastAsia="en-US"/>
        </w:rPr>
        <w:t xml:space="preserve">В период 2006-2018 </w:t>
      </w:r>
      <w:r w:rsidR="00BF7628" w:rsidRPr="00B24652">
        <w:rPr>
          <w:rFonts w:eastAsiaTheme="minorHAnsi"/>
          <w:lang w:eastAsia="en-US"/>
        </w:rPr>
        <w:t>год</w:t>
      </w:r>
      <w:r w:rsidR="00BF7628">
        <w:rPr>
          <w:rFonts w:eastAsiaTheme="minorHAnsi"/>
          <w:lang w:eastAsia="en-US"/>
        </w:rPr>
        <w:t>ов</w:t>
      </w:r>
      <w:r w:rsidR="00BF7628" w:rsidRPr="00B24652">
        <w:rPr>
          <w:rFonts w:eastAsiaTheme="minorHAnsi"/>
          <w:lang w:eastAsia="en-US"/>
        </w:rPr>
        <w:t xml:space="preserve"> </w:t>
      </w:r>
      <w:r w:rsidRPr="00B24652">
        <w:rPr>
          <w:rFonts w:eastAsiaTheme="minorHAnsi"/>
          <w:lang w:eastAsia="en-US"/>
        </w:rPr>
        <w:t>тип шопинга снова изменился: трансформационный крупномасштабный уступил лидерство трансформационному мелкомасштабному. В этот период посещение рынков/киосков было свойственно только малообеспеченным категориям населения, увеличилась частота закупок на 2-3 дня (в отличие он недельных закупок в предыдущий период), возросла значимость магазинов «у дома». Частота пользования гипермаркетами существенно изменилась: бедные стали посещать гипермаркеты, а представители средней и богатой групп пользоваться ими для совершения ежедневных покупок. Последнее стало возможным благодаря особенностям развития пространственной структуры третичного сектора в Санкт-Петербурге, приблизившей данный формат к большинству потребителей на расстояние до 1 км (Аксенов, 2016, с.50).</w:t>
      </w:r>
    </w:p>
    <w:p w14:paraId="5FC9BA88" w14:textId="77777777" w:rsidR="00B24652" w:rsidRPr="00B24652" w:rsidRDefault="00B24652" w:rsidP="00C12124">
      <w:pPr>
        <w:ind w:firstLine="851"/>
        <w:jc w:val="both"/>
        <w:rPr>
          <w:rFonts w:eastAsiaTheme="minorHAnsi"/>
          <w:lang w:eastAsia="en-US"/>
        </w:rPr>
      </w:pPr>
      <w:r w:rsidRPr="00B24652">
        <w:rPr>
          <w:rFonts w:eastAsiaTheme="minorHAnsi"/>
          <w:lang w:eastAsia="en-US"/>
        </w:rPr>
        <w:lastRenderedPageBreak/>
        <w:t xml:space="preserve">Конец 1990-х и первые годы ⅩⅩⅠ века ознаменовались как период перехода от «трансформационного» типа шопинга к «посттрансформационному». Особенности и динамика данного процесса были описаны выше. </w:t>
      </w:r>
    </w:p>
    <w:p w14:paraId="5905E1ED" w14:textId="77777777" w:rsidR="00B24652" w:rsidRPr="00B24652" w:rsidRDefault="00B24652" w:rsidP="00C12124">
      <w:pPr>
        <w:ind w:firstLine="851"/>
        <w:jc w:val="both"/>
        <w:rPr>
          <w:rFonts w:eastAsiaTheme="minorHAnsi"/>
          <w:lang w:eastAsia="en-US"/>
        </w:rPr>
      </w:pPr>
      <w:r w:rsidRPr="00B24652">
        <w:rPr>
          <w:rFonts w:eastAsiaTheme="minorHAnsi"/>
          <w:lang w:eastAsia="en-US"/>
        </w:rPr>
        <w:t>В настоящее время намечены тенденции «вымирания» «трансформационного» типа торговли, т. е. население перестало совершать покупки в киосках и павильонах, приуроченных к основным центрам пассажиропотоков. Большинство предпочитает совершать покупки в стационарных магазинах вблизи дома, что соответствует «посттрансформационному» шопингу. Именно этот вариант является наиболее значимым для большинства потребителей на сегодняшний день. Кроме того, увеличивается частота посещения гипермаркетов средними слоями населения, имеющими мобильное средство передвижения. В данном случае местоположение торгового объекта не оказывает определяющего влияния на выбор покупателя.</w:t>
      </w:r>
    </w:p>
    <w:p w14:paraId="6B64F348" w14:textId="12BCA651" w:rsidR="00B24652" w:rsidRPr="00B24652" w:rsidRDefault="00B24652" w:rsidP="00B24652">
      <w:pPr>
        <w:keepNext/>
        <w:keepLines/>
        <w:spacing w:before="160" w:after="160"/>
        <w:outlineLvl w:val="1"/>
        <w:rPr>
          <w:rFonts w:eastAsiaTheme="majorEastAsia"/>
          <w:b/>
          <w:bCs/>
          <w:lang w:eastAsia="en-US"/>
        </w:rPr>
      </w:pPr>
      <w:bookmarkStart w:id="13" w:name="_Toc103641025"/>
      <w:r w:rsidRPr="00B24652">
        <w:rPr>
          <w:rFonts w:eastAsiaTheme="majorEastAsia"/>
          <w:b/>
          <w:bCs/>
          <w:lang w:eastAsia="en-US"/>
        </w:rPr>
        <w:t>2.</w:t>
      </w:r>
      <w:r w:rsidR="00543341">
        <w:rPr>
          <w:rFonts w:eastAsiaTheme="majorEastAsia"/>
          <w:b/>
          <w:bCs/>
          <w:lang w:eastAsia="en-US"/>
        </w:rPr>
        <w:t>3</w:t>
      </w:r>
      <w:r w:rsidR="005A72AE" w:rsidRPr="005A72AE">
        <w:rPr>
          <w:rFonts w:eastAsiaTheme="majorEastAsia"/>
          <w:b/>
          <w:bCs/>
          <w:lang w:eastAsia="en-US"/>
        </w:rPr>
        <w:t>.</w:t>
      </w:r>
      <w:r w:rsidRPr="00B24652">
        <w:rPr>
          <w:rFonts w:eastAsiaTheme="majorEastAsia"/>
          <w:b/>
          <w:bCs/>
          <w:lang w:eastAsia="en-US"/>
        </w:rPr>
        <w:t xml:space="preserve"> </w:t>
      </w:r>
      <w:r w:rsidR="002539A4">
        <w:rPr>
          <w:rFonts w:eastAsiaTheme="majorEastAsia"/>
          <w:b/>
          <w:bCs/>
          <w:lang w:eastAsia="en-US"/>
        </w:rPr>
        <w:t>Дифференциация</w:t>
      </w:r>
      <w:r w:rsidR="002B2EF1">
        <w:rPr>
          <w:rFonts w:eastAsiaTheme="majorEastAsia"/>
          <w:b/>
          <w:bCs/>
          <w:lang w:eastAsia="en-US"/>
        </w:rPr>
        <w:t xml:space="preserve"> </w:t>
      </w:r>
      <w:r w:rsidR="00543341" w:rsidRPr="00543341">
        <w:rPr>
          <w:rFonts w:eastAsiaTheme="majorEastAsia"/>
          <w:b/>
          <w:bCs/>
          <w:lang w:eastAsia="en-US"/>
        </w:rPr>
        <w:t>городского пространства Санкт-Петербурга для целей геомаркетинга</w:t>
      </w:r>
      <w:bookmarkEnd w:id="13"/>
    </w:p>
    <w:p w14:paraId="1AD61449" w14:textId="77777777" w:rsidR="00B24652" w:rsidRPr="00B24652" w:rsidRDefault="00B24652" w:rsidP="00C12124">
      <w:pPr>
        <w:ind w:firstLine="851"/>
        <w:jc w:val="both"/>
        <w:rPr>
          <w:rFonts w:eastAsiaTheme="minorHAnsi"/>
          <w:lang w:eastAsia="en-US"/>
        </w:rPr>
      </w:pPr>
      <w:r w:rsidRPr="00B24652">
        <w:rPr>
          <w:rFonts w:eastAsiaTheme="minorHAnsi"/>
          <w:lang w:eastAsia="en-US"/>
        </w:rPr>
        <w:t>С целью более подробного анализа особенностей размещения объектов общественного питания и специализированной алкогольной розницы на территории Санкт-Петербурга, были проанализированы социально-экономические показатели населения: численность постоянного населения, численность занятого на территории населения и средняя заработная плата на территории муниципальных округов.</w:t>
      </w:r>
    </w:p>
    <w:p w14:paraId="21D4E334" w14:textId="62D97AC5" w:rsidR="00B24652" w:rsidRPr="00B24652" w:rsidRDefault="00B24652" w:rsidP="00C12124">
      <w:pPr>
        <w:ind w:firstLine="851"/>
        <w:jc w:val="both"/>
        <w:rPr>
          <w:rFonts w:eastAsiaTheme="minorHAnsi"/>
          <w:lang w:eastAsia="en-US"/>
        </w:rPr>
      </w:pPr>
      <w:r w:rsidRPr="00B24652">
        <w:rPr>
          <w:rFonts w:eastAsiaTheme="minorHAnsi"/>
          <w:lang w:eastAsia="en-US"/>
        </w:rPr>
        <w:t xml:space="preserve">Анализ дифференциации Санкт-Петербурга по общей численности населения и численности работающего расселения (Рисунок </w:t>
      </w:r>
      <w:r w:rsidR="003948EE">
        <w:rPr>
          <w:rFonts w:eastAsiaTheme="minorHAnsi"/>
          <w:lang w:eastAsia="en-US"/>
        </w:rPr>
        <w:t>7</w:t>
      </w:r>
      <w:r w:rsidRPr="00B24652">
        <w:rPr>
          <w:rFonts w:eastAsiaTheme="minorHAnsi"/>
          <w:lang w:eastAsia="en-US"/>
        </w:rPr>
        <w:t xml:space="preserve">), которое приурочено непосредственно к территориям осуществления деятельности, позволили выявить районы «ночного» (проживающего на данной территории) и «дневного» (работающего на данной территории) населения. </w:t>
      </w:r>
    </w:p>
    <w:p w14:paraId="7F1CFB95" w14:textId="77777777" w:rsidR="00B24652" w:rsidRPr="00B24652" w:rsidRDefault="00B24652" w:rsidP="00B24652">
      <w:pPr>
        <w:jc w:val="both"/>
        <w:rPr>
          <w:rFonts w:eastAsiaTheme="minorHAnsi"/>
          <w:lang w:eastAsia="en-US"/>
        </w:rPr>
      </w:pPr>
      <w:r w:rsidRPr="00B24652">
        <w:rPr>
          <w:rFonts w:eastAsiaTheme="minorHAnsi"/>
          <w:noProof/>
          <w:szCs w:val="22"/>
        </w:rPr>
        <w:lastRenderedPageBreak/>
        <w:drawing>
          <wp:inline distT="0" distB="0" distL="0" distR="0" wp14:anchorId="53D40FBA" wp14:editId="4097F99D">
            <wp:extent cx="2888056" cy="2683639"/>
            <wp:effectExtent l="0" t="0" r="7620" b="2540"/>
            <wp:docPr id="72" name="Рисунок 7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Diagram, map&#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8738" t="4531" r="15115" b="8579"/>
                    <a:stretch/>
                  </pic:blipFill>
                  <pic:spPr bwMode="auto">
                    <a:xfrm>
                      <a:off x="0" y="0"/>
                      <a:ext cx="2888056" cy="2683639"/>
                    </a:xfrm>
                    <a:prstGeom prst="rect">
                      <a:avLst/>
                    </a:prstGeom>
                    <a:noFill/>
                    <a:ln>
                      <a:noFill/>
                    </a:ln>
                    <a:extLst>
                      <a:ext uri="{53640926-AAD7-44D8-BBD7-CCE9431645EC}">
                        <a14:shadowObscured xmlns:a14="http://schemas.microsoft.com/office/drawing/2010/main"/>
                      </a:ext>
                    </a:extLst>
                  </pic:spPr>
                </pic:pic>
              </a:graphicData>
            </a:graphic>
          </wp:inline>
        </w:drawing>
      </w:r>
      <w:r w:rsidRPr="00B24652">
        <w:rPr>
          <w:rFonts w:eastAsiaTheme="minorHAnsi"/>
          <w:noProof/>
          <w:szCs w:val="22"/>
          <w:lang w:eastAsia="en-US"/>
        </w:rPr>
        <w:t xml:space="preserve"> </w:t>
      </w:r>
      <w:r w:rsidRPr="00B24652">
        <w:rPr>
          <w:rFonts w:eastAsiaTheme="minorHAnsi"/>
          <w:noProof/>
          <w:szCs w:val="22"/>
        </w:rPr>
        <w:drawing>
          <wp:inline distT="0" distB="0" distL="0" distR="0" wp14:anchorId="151333C7" wp14:editId="1CB616BD">
            <wp:extent cx="3012609" cy="2719505"/>
            <wp:effectExtent l="0" t="0" r="0" b="5080"/>
            <wp:docPr id="73" name="Рисунок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Map&#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705" t="6174" r="11293" b="8322"/>
                    <a:stretch/>
                  </pic:blipFill>
                  <pic:spPr bwMode="auto">
                    <a:xfrm>
                      <a:off x="0" y="0"/>
                      <a:ext cx="3037969" cy="2742398"/>
                    </a:xfrm>
                    <a:prstGeom prst="rect">
                      <a:avLst/>
                    </a:prstGeom>
                    <a:noFill/>
                    <a:ln>
                      <a:noFill/>
                    </a:ln>
                    <a:extLst>
                      <a:ext uri="{53640926-AAD7-44D8-BBD7-CCE9431645EC}">
                        <a14:shadowObscured xmlns:a14="http://schemas.microsoft.com/office/drawing/2010/main"/>
                      </a:ext>
                    </a:extLst>
                  </pic:spPr>
                </pic:pic>
              </a:graphicData>
            </a:graphic>
          </wp:inline>
        </w:drawing>
      </w:r>
    </w:p>
    <w:p w14:paraId="15EC7E17" w14:textId="52F013AA" w:rsidR="00B24652" w:rsidRPr="00B24652" w:rsidRDefault="00B24652" w:rsidP="00B24652">
      <w:pPr>
        <w:spacing w:line="240" w:lineRule="auto"/>
        <w:rPr>
          <w:rFonts w:eastAsiaTheme="minorHAnsi"/>
          <w:bCs/>
          <w:iCs/>
          <w:szCs w:val="22"/>
          <w:lang w:eastAsia="en-US"/>
        </w:rPr>
      </w:pPr>
      <w:r w:rsidRPr="00B24652">
        <w:rPr>
          <w:rFonts w:eastAsiaTheme="minorHAnsi"/>
          <w:lang w:eastAsia="en-US"/>
        </w:rPr>
        <w:t xml:space="preserve">Рисунок </w:t>
      </w:r>
      <w:r w:rsidR="003948EE">
        <w:rPr>
          <w:rFonts w:eastAsiaTheme="minorHAnsi"/>
          <w:lang w:eastAsia="en-US"/>
        </w:rPr>
        <w:t>7.</w:t>
      </w:r>
      <w:r w:rsidRPr="00B24652">
        <w:rPr>
          <w:rFonts w:eastAsiaTheme="minorHAnsi"/>
          <w:lang w:eastAsia="en-US"/>
        </w:rPr>
        <w:t xml:space="preserve"> </w:t>
      </w:r>
      <w:r w:rsidRPr="00B24652">
        <w:rPr>
          <w:rFonts w:eastAsiaTheme="minorHAnsi"/>
          <w:bCs/>
          <w:iCs/>
          <w:lang w:eastAsia="en-US"/>
        </w:rPr>
        <w:t>Численность населения и численность работников муниципальных округов</w:t>
      </w:r>
    </w:p>
    <w:p w14:paraId="2CADEEAE" w14:textId="77777777" w:rsidR="00B24652" w:rsidRPr="00B24652" w:rsidRDefault="00B24652" w:rsidP="00B24652">
      <w:pPr>
        <w:spacing w:after="160" w:line="240" w:lineRule="auto"/>
        <w:rPr>
          <w:rFonts w:eastAsiaTheme="minorHAnsi"/>
          <w:bCs/>
          <w:iCs/>
          <w:sz w:val="22"/>
          <w:szCs w:val="20"/>
          <w:lang w:eastAsia="en-US"/>
        </w:rPr>
      </w:pPr>
      <w:r w:rsidRPr="00B24652">
        <w:rPr>
          <w:rFonts w:eastAsiaTheme="minorHAnsi"/>
          <w:bCs/>
          <w:iCs/>
          <w:sz w:val="22"/>
          <w:szCs w:val="20"/>
          <w:lang w:eastAsia="en-US"/>
        </w:rPr>
        <w:t>* Составлено автором</w:t>
      </w:r>
    </w:p>
    <w:p w14:paraId="27AA5723" w14:textId="77777777" w:rsidR="00B24652" w:rsidRPr="00B24652" w:rsidRDefault="00B24652" w:rsidP="00C12124">
      <w:pPr>
        <w:ind w:firstLine="851"/>
        <w:jc w:val="both"/>
        <w:rPr>
          <w:rFonts w:eastAsiaTheme="minorHAnsi"/>
          <w:lang w:eastAsia="en-US"/>
        </w:rPr>
      </w:pPr>
      <w:r w:rsidRPr="00B24652">
        <w:rPr>
          <w:rFonts w:eastAsiaTheme="minorHAnsi"/>
          <w:lang w:eastAsia="en-US"/>
        </w:rPr>
        <w:t>В основном центральные территории характеризуются небольшой численностью «ночного населения». Скорее всего это может связано с дорогим жильем в «историческом центре» и в целом застройкой преимущественно старым фондом, не вмещающим большое количество населения. К МО с наибольшей численностью относятся Колпино (149,2 тыс. чел.), МО №65 (148,2 ты. Чел.) и МО Пороховые (136,7 тыс. чел.). Таким образом, спальные территории находятся на удалении от исторического центра и образованы крупными жилыми комплексами, сосредотачивающими в себе основную часть населения. Минимальное значение показателя наблюдается в наиболее удаленных территориях: поселки Серово (281 чел.), Ушково (703 чел.) и Смолячково (844 чел.).</w:t>
      </w:r>
    </w:p>
    <w:p w14:paraId="4CDDAFF5" w14:textId="77777777" w:rsidR="00B24652" w:rsidRPr="00B24652" w:rsidRDefault="00B24652" w:rsidP="00C12124">
      <w:pPr>
        <w:ind w:firstLine="851"/>
        <w:jc w:val="both"/>
        <w:rPr>
          <w:rFonts w:eastAsiaTheme="minorHAnsi"/>
          <w:lang w:eastAsia="en-US"/>
        </w:rPr>
      </w:pPr>
      <w:r w:rsidRPr="00B24652">
        <w:rPr>
          <w:rFonts w:eastAsiaTheme="minorHAnsi"/>
          <w:lang w:eastAsia="en-US"/>
        </w:rPr>
        <w:t>По числу работающего населения лидируют МО Смольнинское (88 тыс. чел.), также значительная концентрация наблюдается в Московской заставе (57 тыс. чел.), Финляндском округе (51 тыс. чел.) и на территориях, имеющих географическое положение, вытянутое с «Севера на Юг». Минимальные показатели характерны для наиболее удаленных местностей. Объяснение этому лежит в привлекательности с экономический точки зрения центра города, поскольку именно там сосредоточены основные бизнес-структуры и крупные организации, привлекающие рабочие массы. Муниципальные округа с преобладанием «дневного» населения сосредоточены в основном в центре. В южных районах это может быть связано с концентрацией промышленных предприятий, которые сосредотачивают большое количество трудовых ресурсов (Ижорский завод, Пушкинский машиностроительный завод, Колпинский металлообрабатывающий завод и др.).</w:t>
      </w:r>
    </w:p>
    <w:p w14:paraId="6FB42676" w14:textId="62D845B8" w:rsidR="00B24652" w:rsidRPr="00B24652" w:rsidRDefault="00B24652" w:rsidP="00C12124">
      <w:pPr>
        <w:ind w:firstLine="851"/>
        <w:jc w:val="both"/>
        <w:rPr>
          <w:rFonts w:eastAsiaTheme="minorHAnsi"/>
          <w:lang w:eastAsia="en-US"/>
        </w:rPr>
      </w:pPr>
      <w:r w:rsidRPr="00B24652">
        <w:rPr>
          <w:rFonts w:eastAsiaTheme="minorHAnsi"/>
          <w:lang w:eastAsia="en-US"/>
        </w:rPr>
        <w:t xml:space="preserve">Из соотношения «дневного» и «ночного» (Рисунок </w:t>
      </w:r>
      <w:r w:rsidR="003948EE">
        <w:rPr>
          <w:rFonts w:eastAsiaTheme="minorHAnsi"/>
          <w:lang w:eastAsia="en-US"/>
        </w:rPr>
        <w:t>8</w:t>
      </w:r>
      <w:r w:rsidRPr="00B24652">
        <w:rPr>
          <w:rFonts w:eastAsiaTheme="minorHAnsi"/>
          <w:lang w:eastAsia="en-US"/>
        </w:rPr>
        <w:t xml:space="preserve">) населения явно выражена закономерность тяготения работников в центральные округа Санкт-Петербурга, где </w:t>
      </w:r>
      <w:r w:rsidRPr="00B24652">
        <w:rPr>
          <w:rFonts w:eastAsiaTheme="minorHAnsi"/>
          <w:lang w:eastAsia="en-US"/>
        </w:rPr>
        <w:lastRenderedPageBreak/>
        <w:t>численность населения, приезжающего регулярно на работу, может в несколько раз превышать численность постоянно проживающего населения, например в Дворцовом округе (4,68), МО №78 (2,3), Адмиралтейский (2,1).</w:t>
      </w:r>
    </w:p>
    <w:p w14:paraId="6D34829D" w14:textId="77777777" w:rsidR="00B24652" w:rsidRPr="00B24652" w:rsidRDefault="00B24652" w:rsidP="00B24652">
      <w:pPr>
        <w:spacing w:before="160"/>
        <w:rPr>
          <w:rFonts w:eastAsiaTheme="minorHAnsi"/>
          <w:b/>
          <w:bCs/>
          <w:i/>
          <w:iCs/>
          <w:szCs w:val="22"/>
          <w:lang w:eastAsia="en-US"/>
        </w:rPr>
      </w:pPr>
      <w:r w:rsidRPr="00B24652">
        <w:rPr>
          <w:rFonts w:eastAsiaTheme="minorHAnsi"/>
          <w:noProof/>
          <w:szCs w:val="22"/>
        </w:rPr>
        <w:drawing>
          <wp:inline distT="0" distB="0" distL="0" distR="0" wp14:anchorId="1093020B" wp14:editId="72C20801">
            <wp:extent cx="3776870" cy="3003918"/>
            <wp:effectExtent l="0" t="0" r="0" b="6350"/>
            <wp:docPr id="74" name="Рисунок 7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Diagram, map&#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t="6341"/>
                    <a:stretch/>
                  </pic:blipFill>
                  <pic:spPr bwMode="auto">
                    <a:xfrm>
                      <a:off x="0" y="0"/>
                      <a:ext cx="3835949" cy="3050906"/>
                    </a:xfrm>
                    <a:prstGeom prst="rect">
                      <a:avLst/>
                    </a:prstGeom>
                    <a:noFill/>
                    <a:ln>
                      <a:noFill/>
                    </a:ln>
                    <a:extLst>
                      <a:ext uri="{53640926-AAD7-44D8-BBD7-CCE9431645EC}">
                        <a14:shadowObscured xmlns:a14="http://schemas.microsoft.com/office/drawing/2010/main"/>
                      </a:ext>
                    </a:extLst>
                  </pic:spPr>
                </pic:pic>
              </a:graphicData>
            </a:graphic>
          </wp:inline>
        </w:drawing>
      </w:r>
    </w:p>
    <w:p w14:paraId="1283A3B8" w14:textId="7A0CAA59"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8.</w:t>
      </w:r>
      <w:r w:rsidRPr="00B24652">
        <w:rPr>
          <w:rFonts w:eastAsiaTheme="minorHAnsi"/>
          <w:lang w:eastAsia="en-US"/>
        </w:rPr>
        <w:t xml:space="preserve"> </w:t>
      </w:r>
      <w:r w:rsidRPr="00B24652">
        <w:rPr>
          <w:rFonts w:eastAsiaTheme="minorHAnsi"/>
          <w:bCs/>
          <w:iCs/>
          <w:lang w:eastAsia="en-US"/>
        </w:rPr>
        <w:t>Отношение численности «дневного» населения к «ночному»</w:t>
      </w:r>
    </w:p>
    <w:p w14:paraId="5F2C85DC" w14:textId="77777777" w:rsidR="00B24652" w:rsidRPr="00B24652" w:rsidRDefault="00B24652" w:rsidP="00B24652">
      <w:pPr>
        <w:spacing w:after="160" w:line="240" w:lineRule="auto"/>
        <w:rPr>
          <w:rFonts w:eastAsiaTheme="minorHAnsi"/>
          <w:bCs/>
          <w:iCs/>
          <w:sz w:val="22"/>
          <w:szCs w:val="20"/>
          <w:lang w:eastAsia="en-US"/>
        </w:rPr>
      </w:pPr>
      <w:r w:rsidRPr="00B24652">
        <w:rPr>
          <w:rFonts w:eastAsiaTheme="minorHAnsi"/>
          <w:bCs/>
          <w:iCs/>
          <w:sz w:val="22"/>
          <w:szCs w:val="20"/>
          <w:lang w:eastAsia="en-US"/>
        </w:rPr>
        <w:t>Источник: Составлено автором</w:t>
      </w:r>
    </w:p>
    <w:p w14:paraId="4A1835B8" w14:textId="77777777" w:rsidR="00B24652" w:rsidRPr="00B24652" w:rsidRDefault="00B24652" w:rsidP="00B24652">
      <w:pPr>
        <w:spacing w:before="160"/>
        <w:rPr>
          <w:rFonts w:eastAsiaTheme="minorHAnsi"/>
          <w:lang w:eastAsia="en-US"/>
        </w:rPr>
      </w:pPr>
      <w:r w:rsidRPr="00B24652">
        <w:rPr>
          <w:rFonts w:eastAsiaTheme="minorHAnsi"/>
          <w:noProof/>
          <w:szCs w:val="22"/>
        </w:rPr>
        <w:drawing>
          <wp:inline distT="0" distB="0" distL="0" distR="0" wp14:anchorId="18BA0E6B" wp14:editId="34C7E2AF">
            <wp:extent cx="4048415" cy="3286408"/>
            <wp:effectExtent l="0" t="0" r="0" b="9525"/>
            <wp:docPr id="76" name="Рисунок 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Map&#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26380" t="15115" r="6891" b="8309"/>
                    <a:stretch/>
                  </pic:blipFill>
                  <pic:spPr bwMode="auto">
                    <a:xfrm>
                      <a:off x="0" y="0"/>
                      <a:ext cx="4087715" cy="3318311"/>
                    </a:xfrm>
                    <a:prstGeom prst="rect">
                      <a:avLst/>
                    </a:prstGeom>
                    <a:noFill/>
                    <a:ln>
                      <a:noFill/>
                    </a:ln>
                    <a:extLst>
                      <a:ext uri="{53640926-AAD7-44D8-BBD7-CCE9431645EC}">
                        <a14:shadowObscured xmlns:a14="http://schemas.microsoft.com/office/drawing/2010/main"/>
                      </a:ext>
                    </a:extLst>
                  </pic:spPr>
                </pic:pic>
              </a:graphicData>
            </a:graphic>
          </wp:inline>
        </w:drawing>
      </w:r>
    </w:p>
    <w:p w14:paraId="1DD1A3CB" w14:textId="14E9797A"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9</w:t>
      </w:r>
      <w:r w:rsidRPr="00B24652">
        <w:rPr>
          <w:rFonts w:eastAsiaTheme="minorHAnsi"/>
          <w:lang w:eastAsia="en-US"/>
        </w:rPr>
        <w:t xml:space="preserve">. </w:t>
      </w:r>
      <w:r w:rsidRPr="00B24652">
        <w:rPr>
          <w:rFonts w:eastAsiaTheme="minorHAnsi"/>
          <w:bCs/>
          <w:iCs/>
          <w:lang w:eastAsia="en-US"/>
        </w:rPr>
        <w:t>Средняя заработная плата по муниципальным округам Санкт-Петербурга</w:t>
      </w:r>
    </w:p>
    <w:p w14:paraId="0E857552" w14:textId="77777777" w:rsidR="00B24652" w:rsidRPr="00B24652" w:rsidRDefault="00B24652" w:rsidP="00B24652">
      <w:pPr>
        <w:spacing w:after="160" w:line="240" w:lineRule="auto"/>
        <w:rPr>
          <w:rFonts w:eastAsiaTheme="minorHAnsi"/>
          <w:bCs/>
          <w:iCs/>
          <w:sz w:val="22"/>
          <w:szCs w:val="20"/>
          <w:lang w:eastAsia="en-US"/>
        </w:rPr>
      </w:pPr>
      <w:r w:rsidRPr="00B24652">
        <w:rPr>
          <w:rFonts w:eastAsiaTheme="minorHAnsi"/>
          <w:bCs/>
          <w:iCs/>
          <w:sz w:val="22"/>
          <w:szCs w:val="20"/>
          <w:lang w:eastAsia="en-US"/>
        </w:rPr>
        <w:t>* Составлено автором по данным Петростата</w:t>
      </w:r>
    </w:p>
    <w:p w14:paraId="30F284B6" w14:textId="17884C15" w:rsidR="00B24652" w:rsidRPr="00B24652" w:rsidRDefault="00B24652" w:rsidP="00C12124">
      <w:pPr>
        <w:spacing w:after="160"/>
        <w:ind w:firstLine="851"/>
        <w:jc w:val="both"/>
        <w:rPr>
          <w:rFonts w:eastAsiaTheme="minorHAnsi"/>
          <w:lang w:eastAsia="en-US"/>
        </w:rPr>
      </w:pPr>
      <w:r w:rsidRPr="00B24652">
        <w:rPr>
          <w:rFonts w:eastAsiaTheme="minorHAnsi"/>
          <w:lang w:eastAsia="en-US"/>
        </w:rPr>
        <w:t xml:space="preserve">Как отдельный показатель дифференциации городского пространства была также выбрана заработная плата (Рисунок </w:t>
      </w:r>
      <w:r w:rsidR="003948EE">
        <w:rPr>
          <w:rFonts w:eastAsiaTheme="minorHAnsi"/>
          <w:lang w:eastAsia="en-US"/>
        </w:rPr>
        <w:t>9</w:t>
      </w:r>
      <w:r w:rsidRPr="00B24652">
        <w:rPr>
          <w:rFonts w:eastAsiaTheme="minorHAnsi"/>
          <w:lang w:eastAsia="en-US"/>
        </w:rPr>
        <w:t xml:space="preserve">). По наибольшему значению данного показателя выделяются центральные территории, где, как уже было сказано выше, доля лиц, регулярно </w:t>
      </w:r>
      <w:r w:rsidRPr="00B24652">
        <w:rPr>
          <w:rFonts w:eastAsiaTheme="minorHAnsi"/>
          <w:lang w:eastAsia="en-US"/>
        </w:rPr>
        <w:lastRenderedPageBreak/>
        <w:t>приезжающих на работу, максимальна. Также высокими заработными платами отличаются муниципальные округа Московского административного района, поселок Шушары, город Стрельна, округ Сосновая поляна, а также некоторые территории Выборгского и Приморского районов.</w:t>
      </w:r>
    </w:p>
    <w:p w14:paraId="62D9FD40" w14:textId="7483E026" w:rsidR="00B24652" w:rsidRPr="00B24652" w:rsidRDefault="00B24652" w:rsidP="00B24652">
      <w:pPr>
        <w:keepNext/>
        <w:keepLines/>
        <w:spacing w:before="160" w:after="160"/>
        <w:outlineLvl w:val="1"/>
        <w:rPr>
          <w:rFonts w:eastAsiaTheme="majorEastAsia"/>
          <w:b/>
          <w:bCs/>
          <w:lang w:eastAsia="en-US"/>
        </w:rPr>
      </w:pPr>
      <w:bookmarkStart w:id="14" w:name="_Toc103641026"/>
      <w:r w:rsidRPr="00B24652">
        <w:rPr>
          <w:rFonts w:eastAsiaTheme="majorEastAsia"/>
          <w:b/>
          <w:bCs/>
          <w:lang w:eastAsia="en-US"/>
        </w:rPr>
        <w:t>2.</w:t>
      </w:r>
      <w:r w:rsidR="002539A4">
        <w:rPr>
          <w:rFonts w:eastAsiaTheme="majorEastAsia"/>
          <w:b/>
          <w:bCs/>
          <w:lang w:eastAsia="en-US"/>
        </w:rPr>
        <w:t>4</w:t>
      </w:r>
      <w:r w:rsidR="005A72AE" w:rsidRPr="005A72AE">
        <w:rPr>
          <w:rFonts w:eastAsiaTheme="majorEastAsia"/>
          <w:b/>
          <w:bCs/>
          <w:lang w:eastAsia="en-US"/>
        </w:rPr>
        <w:t>.</w:t>
      </w:r>
      <w:r w:rsidRPr="00B24652">
        <w:rPr>
          <w:rFonts w:eastAsiaTheme="majorEastAsia"/>
          <w:b/>
          <w:bCs/>
          <w:lang w:eastAsia="en-US"/>
        </w:rPr>
        <w:t xml:space="preserve"> </w:t>
      </w:r>
      <w:r w:rsidR="002539A4">
        <w:rPr>
          <w:rFonts w:eastAsiaTheme="majorEastAsia"/>
          <w:b/>
          <w:bCs/>
          <w:lang w:eastAsia="en-US"/>
        </w:rPr>
        <w:t>Современное с</w:t>
      </w:r>
      <w:r w:rsidRPr="00B24652">
        <w:rPr>
          <w:rFonts w:eastAsiaTheme="majorEastAsia"/>
          <w:b/>
          <w:bCs/>
          <w:lang w:eastAsia="en-US"/>
        </w:rPr>
        <w:t>остояние рынков розничной торговли и общественного питания Санкт-Петербурга</w:t>
      </w:r>
      <w:bookmarkEnd w:id="14"/>
    </w:p>
    <w:p w14:paraId="5FD576DC" w14:textId="124A1371" w:rsidR="00B24652" w:rsidRPr="00B24652" w:rsidRDefault="00B24652" w:rsidP="00B24652">
      <w:pPr>
        <w:spacing w:before="160" w:after="160"/>
        <w:ind w:firstLine="851"/>
        <w:jc w:val="both"/>
        <w:rPr>
          <w:rFonts w:eastAsiaTheme="minorHAnsi"/>
          <w:lang w:eastAsia="en-US"/>
        </w:rPr>
      </w:pPr>
      <w:r w:rsidRPr="00B24652">
        <w:rPr>
          <w:rFonts w:eastAsiaTheme="minorHAnsi"/>
          <w:lang w:eastAsia="en-US"/>
        </w:rPr>
        <w:t xml:space="preserve">Санкт-Петербург, являясь вторым по величине и численности населения городом России, обладает высокоразвитой сферой обслуживания населения. Значительную роль в ней играет общественное питание. Однако в 2020 году кризис ресторанного бизнеса приобрел огромный масштаб. Объекты торговли закрывались в 3 раза чаще, чем открывались новые. По данным РБК исследований, за первое полугодие 2020 года в Санкт-Петербурге прекратили деятельность 416 заведений общественного питания, что превышает аналогичный показатель предыдущего года в 2,4 раза. Наибольшее число закрытий пришлось на рестораны (43%), бары (13%) и кофейни (11%), сообщили в отчете аналитики международной консалтинговой компании Knight Frank (Лунькова, 2020).  После тяжелого для всех отраслей торговли и общественного питания 2020 года ситуация постепенно начала стабилизироваться и по итогам 2021 года оборот общественного питания увеличился на 43% в сравнении с предыдущим годом (Рисунок </w:t>
      </w:r>
      <w:r w:rsidR="003948EE">
        <w:rPr>
          <w:rFonts w:eastAsiaTheme="minorHAnsi"/>
          <w:lang w:eastAsia="en-US"/>
        </w:rPr>
        <w:t>10</w:t>
      </w:r>
      <w:r w:rsidRPr="00B24652">
        <w:rPr>
          <w:rFonts w:eastAsiaTheme="minorHAnsi"/>
          <w:lang w:eastAsia="en-US"/>
        </w:rPr>
        <w:t>).</w:t>
      </w:r>
    </w:p>
    <w:p w14:paraId="1B3DC45E" w14:textId="77777777" w:rsidR="00B24652" w:rsidRPr="00B24652" w:rsidRDefault="00B24652" w:rsidP="00B24652">
      <w:pPr>
        <w:spacing w:before="160"/>
        <w:jc w:val="both"/>
        <w:rPr>
          <w:rFonts w:eastAsiaTheme="minorHAnsi"/>
          <w:lang w:eastAsia="en-US"/>
        </w:rPr>
      </w:pPr>
      <w:r w:rsidRPr="00B24652">
        <w:rPr>
          <w:rFonts w:eastAsiaTheme="minorHAnsi"/>
          <w:noProof/>
          <w:szCs w:val="22"/>
          <w:lang w:eastAsia="en-US"/>
        </w:rPr>
        <w:drawing>
          <wp:inline distT="0" distB="0" distL="0" distR="0" wp14:anchorId="735015CF" wp14:editId="626195EA">
            <wp:extent cx="6154310" cy="2759103"/>
            <wp:effectExtent l="0" t="0" r="0" b="3175"/>
            <wp:docPr id="8" name="Chart 8">
              <a:extLst xmlns:a="http://schemas.openxmlformats.org/drawingml/2006/main">
                <a:ext uri="{FF2B5EF4-FFF2-40B4-BE49-F238E27FC236}">
                  <a16:creationId xmlns:a16="http://schemas.microsoft.com/office/drawing/2014/main" id="{7FC6BBA3-38D3-4CE3-B714-051FC442A1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BA319F3" w14:textId="10998842" w:rsidR="00B24652" w:rsidRPr="00B24652" w:rsidRDefault="00B24652" w:rsidP="00B24652">
      <w:pPr>
        <w:spacing w:line="240" w:lineRule="auto"/>
        <w:rPr>
          <w:rFonts w:eastAsiaTheme="minorHAnsi"/>
          <w:bCs/>
          <w:iCs/>
          <w:lang w:eastAsia="en-US"/>
        </w:rPr>
      </w:pPr>
      <w:r w:rsidRPr="00B24652">
        <w:rPr>
          <w:rFonts w:eastAsiaTheme="minorHAnsi"/>
          <w:bCs/>
          <w:iCs/>
          <w:lang w:eastAsia="en-US"/>
        </w:rPr>
        <w:t xml:space="preserve">Рисунок </w:t>
      </w:r>
      <w:r w:rsidR="003948EE">
        <w:rPr>
          <w:rFonts w:eastAsiaTheme="minorHAnsi"/>
          <w:bCs/>
          <w:iCs/>
          <w:lang w:eastAsia="en-US"/>
        </w:rPr>
        <w:t>10</w:t>
      </w:r>
      <w:r w:rsidRPr="00B24652">
        <w:rPr>
          <w:rFonts w:eastAsiaTheme="minorHAnsi"/>
          <w:bCs/>
          <w:iCs/>
          <w:lang w:eastAsia="en-US"/>
        </w:rPr>
        <w:t>. Оборот общественного питания Санкт-Петербурга, млрд. руб. (</w:t>
      </w:r>
      <w:r w:rsidRPr="00B24652">
        <w:rPr>
          <w:rFonts w:eastAsiaTheme="minorHAnsi"/>
          <w:bCs/>
          <w:iCs/>
          <w:szCs w:val="22"/>
          <w:lang w:eastAsia="en-US"/>
        </w:rPr>
        <w:t>*в ценах 2020 года)</w:t>
      </w:r>
      <w:r w:rsidRPr="00B24652">
        <w:rPr>
          <w:rFonts w:eastAsiaTheme="minorHAnsi"/>
          <w:bCs/>
          <w:iCs/>
          <w:lang w:eastAsia="en-US"/>
        </w:rPr>
        <w:t xml:space="preserve"> </w:t>
      </w:r>
    </w:p>
    <w:p w14:paraId="2B2743EA" w14:textId="77777777" w:rsidR="00B24652" w:rsidRPr="00B24652" w:rsidRDefault="00B24652" w:rsidP="00B24652">
      <w:pPr>
        <w:spacing w:after="160" w:line="240" w:lineRule="auto"/>
        <w:rPr>
          <w:rFonts w:eastAsiaTheme="minorHAnsi"/>
          <w:bCs/>
          <w:iCs/>
          <w:sz w:val="22"/>
          <w:szCs w:val="20"/>
          <w:lang w:eastAsia="en-US"/>
        </w:rPr>
      </w:pPr>
      <w:r w:rsidRPr="00B24652">
        <w:rPr>
          <w:rFonts w:eastAsiaTheme="minorHAnsi"/>
          <w:bCs/>
          <w:iCs/>
          <w:sz w:val="22"/>
          <w:szCs w:val="20"/>
          <w:lang w:eastAsia="en-US"/>
        </w:rPr>
        <w:t>*Составлено автором на основе данных Росстата</w:t>
      </w:r>
    </w:p>
    <w:p w14:paraId="1C652A2C" w14:textId="77777777" w:rsidR="00B24652" w:rsidRPr="00B24652" w:rsidRDefault="00B24652" w:rsidP="00B24652">
      <w:pPr>
        <w:spacing w:before="160" w:after="160"/>
        <w:ind w:firstLine="851"/>
        <w:jc w:val="both"/>
        <w:rPr>
          <w:rFonts w:eastAsiaTheme="minorHAnsi"/>
          <w:bCs/>
          <w:iCs/>
          <w:szCs w:val="22"/>
          <w:lang w:eastAsia="en-US"/>
        </w:rPr>
      </w:pPr>
      <w:r w:rsidRPr="00B24652">
        <w:rPr>
          <w:rFonts w:eastAsiaTheme="minorHAnsi"/>
          <w:bCs/>
          <w:iCs/>
          <w:szCs w:val="22"/>
          <w:lang w:eastAsia="en-US"/>
        </w:rPr>
        <w:t>Далее приведен обзор состояния рынков розничной торговли и общественного на примере специализированной алкогольной розницы, питейных заведений, пекарен и кофеен.</w:t>
      </w:r>
    </w:p>
    <w:p w14:paraId="700F9C5E" w14:textId="2A24A645" w:rsidR="00B24652" w:rsidRPr="00B24652" w:rsidRDefault="00B24652" w:rsidP="00B24652">
      <w:pPr>
        <w:keepNext/>
        <w:keepLines/>
        <w:spacing w:before="160" w:after="160"/>
        <w:outlineLvl w:val="2"/>
        <w:rPr>
          <w:rFonts w:eastAsiaTheme="majorEastAsia"/>
          <w:b/>
          <w:bCs/>
          <w:lang w:eastAsia="en-US"/>
        </w:rPr>
      </w:pPr>
      <w:bookmarkStart w:id="15" w:name="_Toc103641027"/>
      <w:r w:rsidRPr="00B24652">
        <w:rPr>
          <w:rFonts w:eastAsiaTheme="majorEastAsia"/>
          <w:b/>
          <w:bCs/>
          <w:lang w:eastAsia="en-US"/>
        </w:rPr>
        <w:lastRenderedPageBreak/>
        <w:t>2.</w:t>
      </w:r>
      <w:r w:rsidR="008447A6">
        <w:rPr>
          <w:rFonts w:eastAsiaTheme="majorEastAsia"/>
          <w:b/>
          <w:bCs/>
          <w:lang w:eastAsia="en-US"/>
        </w:rPr>
        <w:t>4</w:t>
      </w:r>
      <w:r w:rsidRPr="00B24652">
        <w:rPr>
          <w:rFonts w:eastAsiaTheme="majorEastAsia"/>
          <w:b/>
          <w:bCs/>
          <w:lang w:eastAsia="en-US"/>
        </w:rPr>
        <w:t>.1</w:t>
      </w:r>
      <w:r w:rsidR="005A72AE" w:rsidRPr="00474BFD">
        <w:rPr>
          <w:rFonts w:eastAsiaTheme="majorEastAsia"/>
          <w:b/>
          <w:bCs/>
          <w:lang w:eastAsia="en-US"/>
        </w:rPr>
        <w:t>.</w:t>
      </w:r>
      <w:r w:rsidRPr="00B24652">
        <w:rPr>
          <w:rFonts w:eastAsiaTheme="majorEastAsia"/>
          <w:b/>
          <w:bCs/>
          <w:lang w:eastAsia="en-US"/>
        </w:rPr>
        <w:t xml:space="preserve"> Состояние рынка алкогольной розницы</w:t>
      </w:r>
      <w:bookmarkEnd w:id="15"/>
    </w:p>
    <w:p w14:paraId="21EEBFCE" w14:textId="15E7BFC5" w:rsidR="00B24652" w:rsidRPr="00B24652" w:rsidRDefault="00B24652" w:rsidP="00B24652">
      <w:pPr>
        <w:ind w:firstLine="851"/>
        <w:jc w:val="both"/>
        <w:rPr>
          <w:rFonts w:eastAsiaTheme="minorHAnsi"/>
          <w:lang w:eastAsia="en-US"/>
        </w:rPr>
      </w:pPr>
      <w:r w:rsidRPr="00B24652">
        <w:rPr>
          <w:rFonts w:eastAsiaTheme="minorHAnsi"/>
          <w:lang w:eastAsia="en-US"/>
        </w:rPr>
        <w:t>Интенсивное развитие розничной торговли, повышение уровня доходов населения, оказывают непосредственное влияние на увеличение объемов продаж продуктов питания. Одну из лидирующих позиций в розничной торговле продовольственными товарами занимают алкогольные напитки. Хотя, согласно данным Росстата, их доля в общем объеме товарооборота с каждым годом уменьшается, данный тип продукции не теряет своей популярности среди населения.</w:t>
      </w:r>
    </w:p>
    <w:p w14:paraId="5F410CD6" w14:textId="77777777" w:rsidR="00B24652" w:rsidRPr="00B24652" w:rsidRDefault="00B24652" w:rsidP="00B24652">
      <w:pPr>
        <w:ind w:firstLine="851"/>
        <w:jc w:val="both"/>
        <w:rPr>
          <w:rFonts w:eastAsiaTheme="minorHAnsi"/>
          <w:lang w:eastAsia="en-US"/>
        </w:rPr>
      </w:pPr>
      <w:r w:rsidRPr="00B24652">
        <w:rPr>
          <w:rFonts w:eastAsiaTheme="minorHAnsi"/>
          <w:lang w:eastAsia="en-US"/>
        </w:rPr>
        <w:t>На алкогольном рынке выделяют три основных группы ритейлеров на основе степени географического охвата занимаемой ими территории.</w:t>
      </w:r>
    </w:p>
    <w:p w14:paraId="5D966720" w14:textId="77777777" w:rsidR="00B24652" w:rsidRPr="00B24652" w:rsidRDefault="00B24652" w:rsidP="00432C4A">
      <w:pPr>
        <w:numPr>
          <w:ilvl w:val="0"/>
          <w:numId w:val="4"/>
        </w:numPr>
        <w:ind w:left="357" w:hanging="357"/>
        <w:contextualSpacing/>
        <w:jc w:val="both"/>
        <w:rPr>
          <w:rFonts w:eastAsiaTheme="minorHAnsi"/>
          <w:lang w:eastAsia="en-US"/>
        </w:rPr>
      </w:pPr>
      <w:r w:rsidRPr="00B24652">
        <w:rPr>
          <w:rFonts w:eastAsiaTheme="minorHAnsi"/>
          <w:lang w:eastAsia="en-US"/>
        </w:rPr>
        <w:t>Федеральные. Как правило, они осуществляют свою деятельность в 2 или более Федеральных округах («Красное и Белое», «Норман», «Ароматный мир»).</w:t>
      </w:r>
    </w:p>
    <w:p w14:paraId="6DFF1A5A" w14:textId="77777777" w:rsidR="00B24652" w:rsidRPr="00B24652" w:rsidRDefault="00B24652" w:rsidP="00432C4A">
      <w:pPr>
        <w:numPr>
          <w:ilvl w:val="0"/>
          <w:numId w:val="4"/>
        </w:numPr>
        <w:ind w:left="357" w:hanging="357"/>
        <w:contextualSpacing/>
        <w:jc w:val="both"/>
        <w:rPr>
          <w:rFonts w:eastAsiaTheme="minorHAnsi"/>
          <w:lang w:eastAsia="en-US"/>
        </w:rPr>
      </w:pPr>
      <w:r w:rsidRPr="00B24652">
        <w:rPr>
          <w:rFonts w:eastAsiaTheme="minorHAnsi"/>
          <w:lang w:eastAsia="en-US"/>
        </w:rPr>
        <w:t>Региональные. Осуществляют деятельность в нескольких субъектах Российской Федерации в пределах одного Федерального округа («Дилан» - Дальний Восток, «Алкотека» - Южный ФО).</w:t>
      </w:r>
    </w:p>
    <w:p w14:paraId="6EA2E5D4" w14:textId="77777777" w:rsidR="00B24652" w:rsidRPr="00B24652" w:rsidRDefault="00B24652" w:rsidP="00432C4A">
      <w:pPr>
        <w:numPr>
          <w:ilvl w:val="0"/>
          <w:numId w:val="4"/>
        </w:numPr>
        <w:ind w:left="357" w:hanging="357"/>
        <w:contextualSpacing/>
        <w:jc w:val="both"/>
        <w:rPr>
          <w:rFonts w:eastAsiaTheme="minorHAnsi"/>
          <w:lang w:eastAsia="en-US"/>
        </w:rPr>
      </w:pPr>
      <w:r w:rsidRPr="00B24652">
        <w:rPr>
          <w:rFonts w:eastAsiaTheme="minorHAnsi"/>
          <w:lang w:eastAsia="en-US"/>
        </w:rPr>
        <w:t>Локальные.  Осуществляют деятельность в рамках одного субъекта РФ («Башспирт», «Люкс») (РБК исследования рынков, 2018, с.33-34).</w:t>
      </w:r>
    </w:p>
    <w:p w14:paraId="7A57EF06" w14:textId="77777777" w:rsidR="00B24652" w:rsidRPr="00B24652" w:rsidRDefault="00B24652" w:rsidP="00B24652">
      <w:pPr>
        <w:ind w:firstLine="851"/>
        <w:jc w:val="both"/>
        <w:rPr>
          <w:rFonts w:eastAsiaTheme="minorHAnsi"/>
          <w:lang w:eastAsia="en-US"/>
        </w:rPr>
      </w:pPr>
      <w:r w:rsidRPr="00B24652">
        <w:rPr>
          <w:rFonts w:eastAsiaTheme="minorHAnsi"/>
          <w:lang w:eastAsia="en-US"/>
        </w:rPr>
        <w:t>Розничная торговля вносит огромный вклад в развитие экономики Санкт-Петербурга. Это обусловлено требованием населения к производству большего объема товаров и услуг, что способствует росту прибыли от торговли. Объем розничной торговли за 2021 год, согласно данным Петростата, составил 1,9 трлн. рублей, что на 15% больше, чем за 2020 год. Город занимает лидирующие позиции в стране по доле объектов ритейла в общей структуре товарооборота и объему выручки с него.</w:t>
      </w:r>
    </w:p>
    <w:p w14:paraId="1A79A082" w14:textId="77777777" w:rsidR="00B24652" w:rsidRPr="00B24652" w:rsidRDefault="00B24652" w:rsidP="00B24652">
      <w:pPr>
        <w:ind w:firstLine="851"/>
        <w:jc w:val="both"/>
        <w:rPr>
          <w:rFonts w:eastAsiaTheme="minorHAnsi"/>
          <w:lang w:eastAsia="en-US"/>
        </w:rPr>
      </w:pPr>
      <w:r w:rsidRPr="00B24652">
        <w:rPr>
          <w:rFonts w:eastAsiaTheme="minorHAnsi"/>
          <w:lang w:eastAsia="en-US"/>
        </w:rPr>
        <w:t>Согласно данным Петростата, объем розничной торговли алкогольной продукцией в Санкт-Петербурге, включая пиво, в 2021 году составил 94,6 млрд. руб., тем самым увеличившись на 10,2% в сравнении с предыдущим годом.</w:t>
      </w:r>
    </w:p>
    <w:p w14:paraId="470F6149" w14:textId="0B433570" w:rsid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Рынок алкогольной розницы в Санкт-Петербурге один из самых больших и развитых в стране. По состоянию на август 2021 года количество алкогольных магазинов на территории города составило 1267 объектов, что больше соответствующего показателя на январь 2020 года (1115). Крупнейшие сети алкогольной продукции и динамика количества филиалов их сетей представлены в </w:t>
      </w:r>
      <w:r w:rsidR="003948EE">
        <w:rPr>
          <w:rFonts w:eastAsiaTheme="minorHAnsi"/>
          <w:szCs w:val="22"/>
          <w:lang w:eastAsia="en-US"/>
        </w:rPr>
        <w:t>Т</w:t>
      </w:r>
      <w:r w:rsidRPr="00B24652">
        <w:rPr>
          <w:rFonts w:eastAsiaTheme="minorHAnsi"/>
          <w:szCs w:val="22"/>
          <w:lang w:eastAsia="en-US"/>
        </w:rPr>
        <w:t>аблице 4.</w:t>
      </w:r>
    </w:p>
    <w:p w14:paraId="2C65B23A" w14:textId="547318CF" w:rsidR="008447A6" w:rsidRDefault="008447A6" w:rsidP="00B24652">
      <w:pPr>
        <w:ind w:firstLine="851"/>
        <w:jc w:val="both"/>
        <w:rPr>
          <w:rFonts w:eastAsiaTheme="minorHAnsi"/>
          <w:szCs w:val="22"/>
          <w:lang w:eastAsia="en-US"/>
        </w:rPr>
      </w:pPr>
    </w:p>
    <w:p w14:paraId="5E8BB0D0" w14:textId="300AFFD1" w:rsidR="008447A6" w:rsidRDefault="008447A6" w:rsidP="00B24652">
      <w:pPr>
        <w:ind w:firstLine="851"/>
        <w:jc w:val="both"/>
        <w:rPr>
          <w:rFonts w:eastAsiaTheme="minorHAnsi"/>
          <w:szCs w:val="22"/>
          <w:lang w:eastAsia="en-US"/>
        </w:rPr>
      </w:pPr>
    </w:p>
    <w:p w14:paraId="3104D01D" w14:textId="77777777" w:rsidR="008447A6" w:rsidRPr="00B24652" w:rsidRDefault="008447A6" w:rsidP="00B24652">
      <w:pPr>
        <w:ind w:firstLine="851"/>
        <w:jc w:val="both"/>
        <w:rPr>
          <w:rFonts w:eastAsiaTheme="minorHAnsi"/>
          <w:szCs w:val="22"/>
          <w:lang w:eastAsia="en-US"/>
        </w:rPr>
      </w:pPr>
    </w:p>
    <w:p w14:paraId="341400FE" w14:textId="3FBC4356" w:rsidR="00B24652" w:rsidRPr="00B24652" w:rsidRDefault="00B24652" w:rsidP="00B24652">
      <w:pPr>
        <w:spacing w:before="160"/>
        <w:rPr>
          <w:rFonts w:eastAsiaTheme="minorHAnsi"/>
          <w:szCs w:val="22"/>
          <w:lang w:eastAsia="en-US"/>
        </w:rPr>
      </w:pPr>
      <w:r w:rsidRPr="00B24652">
        <w:rPr>
          <w:rFonts w:eastAsiaTheme="minorHAnsi"/>
          <w:szCs w:val="22"/>
          <w:lang w:eastAsia="en-US"/>
        </w:rPr>
        <w:lastRenderedPageBreak/>
        <w:t xml:space="preserve">Таблица </w:t>
      </w:r>
      <w:r w:rsidR="003948EE">
        <w:rPr>
          <w:rFonts w:eastAsiaTheme="minorHAnsi"/>
          <w:szCs w:val="22"/>
          <w:lang w:eastAsia="en-US"/>
        </w:rPr>
        <w:t>4</w:t>
      </w:r>
      <w:r w:rsidRPr="00B24652">
        <w:rPr>
          <w:rFonts w:eastAsiaTheme="minorHAnsi"/>
          <w:szCs w:val="22"/>
          <w:lang w:eastAsia="en-US"/>
        </w:rPr>
        <w:t>. Крупнейшие специализированные сети алкогольной продукции Санкт-Петербурга</w:t>
      </w:r>
    </w:p>
    <w:p w14:paraId="7E76D115" w14:textId="77777777" w:rsidR="00B24652" w:rsidRPr="00B24652" w:rsidRDefault="00B24652" w:rsidP="00B24652">
      <w:pPr>
        <w:spacing w:line="240" w:lineRule="auto"/>
        <w:rPr>
          <w:rFonts w:eastAsiaTheme="minorHAnsi"/>
          <w:szCs w:val="22"/>
          <w:lang w:eastAsia="en-US"/>
        </w:rPr>
      </w:pPr>
      <w:r w:rsidRPr="00B24652">
        <w:rPr>
          <w:rFonts w:eastAsiaTheme="minorHAnsi"/>
          <w:noProof/>
          <w:szCs w:val="22"/>
          <w:lang w:eastAsia="en-US"/>
        </w:rPr>
        <w:drawing>
          <wp:inline distT="0" distB="0" distL="0" distR="0" wp14:anchorId="54C12B9E" wp14:editId="11B31EAC">
            <wp:extent cx="6098651" cy="2811121"/>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17" cy="2818665"/>
                    </a:xfrm>
                    <a:prstGeom prst="rect">
                      <a:avLst/>
                    </a:prstGeom>
                    <a:noFill/>
                    <a:ln>
                      <a:noFill/>
                    </a:ln>
                  </pic:spPr>
                </pic:pic>
              </a:graphicData>
            </a:graphic>
          </wp:inline>
        </w:drawing>
      </w:r>
    </w:p>
    <w:p w14:paraId="2F401767" w14:textId="77777777" w:rsidR="00B24652" w:rsidRPr="00B24652" w:rsidRDefault="00B24652" w:rsidP="00B24652">
      <w:pPr>
        <w:spacing w:after="160"/>
        <w:rPr>
          <w:rFonts w:eastAsiaTheme="minorHAnsi"/>
          <w:bCs/>
          <w:iCs/>
          <w:sz w:val="22"/>
          <w:lang w:eastAsia="en-US"/>
        </w:rPr>
      </w:pPr>
      <w:r w:rsidRPr="00B24652">
        <w:rPr>
          <w:rFonts w:eastAsiaTheme="minorHAnsi"/>
          <w:bCs/>
          <w:iCs/>
          <w:sz w:val="22"/>
          <w:lang w:eastAsia="en-US"/>
        </w:rPr>
        <w:t>*Составлено автором на основе данных 2ГИС</w:t>
      </w:r>
    </w:p>
    <w:p w14:paraId="48CE9F29" w14:textId="77777777" w:rsidR="00B24652" w:rsidRPr="00B24652" w:rsidRDefault="00B24652" w:rsidP="00B24652">
      <w:pPr>
        <w:ind w:firstLine="851"/>
        <w:jc w:val="both"/>
        <w:rPr>
          <w:rFonts w:eastAsiaTheme="minorHAnsi"/>
          <w:lang w:eastAsia="en-US"/>
        </w:rPr>
      </w:pPr>
      <w:r w:rsidRPr="00B24652">
        <w:rPr>
          <w:rFonts w:eastAsiaTheme="minorHAnsi"/>
          <w:lang w:eastAsia="en-US"/>
        </w:rPr>
        <w:t>Важной особенностью алкогольного рынка Санкт-Петербурга является его укрупнение в первую очередь зачёт роста крупнейших сетей: «Ароматный мир», «Красное &amp; Белое», «Бристоль» и др.</w:t>
      </w:r>
    </w:p>
    <w:p w14:paraId="39BCD271" w14:textId="77777777"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В ходе исследования были проанализированы показатели, характеризующие розничные сети алкогольной продукции: структура сетевых и круглосуточных магазинов, дифференциация по графикам работы.</w:t>
      </w:r>
    </w:p>
    <w:p w14:paraId="1BE21E22" w14:textId="2D22E270"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К «сетевым» магазинам были отнесены те, число филиалов которых было больше или равно 4-м торговым точкам. На этой основе было выделено 928 объектов, что составило 73% от суммарного числа розничных магазинов на территории Санкт-Петербурга. Таким образом, абсолютное большинство рынка алкогольной продукции занимает сетевая розничная торговля, представленная 31 сетью (Рисунок </w:t>
      </w:r>
      <w:r w:rsidR="003948EE">
        <w:rPr>
          <w:rFonts w:eastAsiaTheme="minorHAnsi"/>
          <w:szCs w:val="22"/>
          <w:lang w:eastAsia="en-US"/>
        </w:rPr>
        <w:t>11</w:t>
      </w:r>
      <w:r w:rsidRPr="00B24652">
        <w:rPr>
          <w:rFonts w:eastAsiaTheme="minorHAnsi"/>
          <w:szCs w:val="22"/>
          <w:lang w:eastAsia="en-US"/>
        </w:rPr>
        <w:t>).</w:t>
      </w:r>
    </w:p>
    <w:p w14:paraId="4CAAB31A"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lastRenderedPageBreak/>
        <w:drawing>
          <wp:inline distT="0" distB="0" distL="0" distR="0" wp14:anchorId="1FAC70E5" wp14:editId="3573D4D0">
            <wp:extent cx="4691269" cy="2667694"/>
            <wp:effectExtent l="0" t="0" r="0" b="0"/>
            <wp:docPr id="43" name="Picture 4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pie chart&#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197" b="11399"/>
                    <a:stretch/>
                  </pic:blipFill>
                  <pic:spPr bwMode="auto">
                    <a:xfrm>
                      <a:off x="0" y="0"/>
                      <a:ext cx="4750804" cy="2701548"/>
                    </a:xfrm>
                    <a:prstGeom prst="rect">
                      <a:avLst/>
                    </a:prstGeom>
                    <a:noFill/>
                    <a:ln>
                      <a:noFill/>
                    </a:ln>
                    <a:extLst>
                      <a:ext uri="{53640926-AAD7-44D8-BBD7-CCE9431645EC}">
                        <a14:shadowObscured xmlns:a14="http://schemas.microsoft.com/office/drawing/2010/main"/>
                      </a:ext>
                    </a:extLst>
                  </pic:spPr>
                </pic:pic>
              </a:graphicData>
            </a:graphic>
          </wp:inline>
        </w:drawing>
      </w:r>
    </w:p>
    <w:p w14:paraId="4BA5C17D" w14:textId="73FA6845"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1</w:t>
      </w:r>
      <w:r w:rsidRPr="00B24652">
        <w:rPr>
          <w:rFonts w:eastAsiaTheme="minorHAnsi"/>
          <w:lang w:eastAsia="en-US"/>
        </w:rPr>
        <w:t xml:space="preserve">1. </w:t>
      </w:r>
      <w:r w:rsidRPr="00B24652">
        <w:rPr>
          <w:rFonts w:eastAsiaTheme="minorHAnsi"/>
          <w:bCs/>
          <w:iCs/>
          <w:lang w:eastAsia="en-US"/>
        </w:rPr>
        <w:t>Крупнейшие сети алкогольных магазинов Санкт-Петербурга</w:t>
      </w:r>
    </w:p>
    <w:p w14:paraId="30FCB878"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6A3DA82F" w14:textId="4C230567"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В рамках работы рассматривалась дифференциация объектов алкогольной розницы по графикам работы. Было выделено 10 групп (Рисунок </w:t>
      </w:r>
      <w:r w:rsidR="003948EE">
        <w:rPr>
          <w:rFonts w:eastAsiaTheme="minorHAnsi"/>
          <w:szCs w:val="22"/>
          <w:lang w:eastAsia="en-US"/>
        </w:rPr>
        <w:t>1</w:t>
      </w:r>
      <w:r w:rsidRPr="00B24652">
        <w:rPr>
          <w:rFonts w:eastAsiaTheme="minorHAnsi"/>
          <w:szCs w:val="22"/>
          <w:lang w:eastAsia="en-US"/>
        </w:rPr>
        <w:t>2). Наибольшая доля алкогольных магазинов имеет часы работы с 9:00 до 22:00, значительную часть составляют объекты с рабочими расписаниями с 10:00 до 22:00 и 11:00 до 22:00.</w:t>
      </w:r>
    </w:p>
    <w:p w14:paraId="5A6A160C" w14:textId="77777777" w:rsidR="00B24652" w:rsidRPr="00B24652" w:rsidRDefault="00B24652" w:rsidP="00B24652">
      <w:pPr>
        <w:spacing w:before="160" w:after="160" w:line="240" w:lineRule="auto"/>
        <w:rPr>
          <w:rFonts w:eastAsiaTheme="minorHAnsi"/>
          <w:szCs w:val="22"/>
          <w:lang w:eastAsia="en-US"/>
        </w:rPr>
      </w:pPr>
      <w:r w:rsidRPr="00B24652">
        <w:rPr>
          <w:rFonts w:eastAsiaTheme="minorHAnsi"/>
          <w:noProof/>
          <w:szCs w:val="22"/>
          <w:lang w:eastAsia="en-US"/>
        </w:rPr>
        <w:drawing>
          <wp:inline distT="0" distB="0" distL="0" distR="0" wp14:anchorId="37B7FE50" wp14:editId="3A1DD3C3">
            <wp:extent cx="5194300" cy="2914650"/>
            <wp:effectExtent l="0" t="0" r="0" b="0"/>
            <wp:docPr id="4" name="Chart 4">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2DCB7AE" w14:textId="21BB8DE3" w:rsidR="00B24652" w:rsidRPr="00B24652" w:rsidRDefault="00B24652" w:rsidP="00B24652">
      <w:pPr>
        <w:spacing w:line="240" w:lineRule="auto"/>
        <w:rPr>
          <w:rFonts w:eastAsiaTheme="minorHAnsi"/>
          <w:bCs/>
          <w:iCs/>
          <w:szCs w:val="22"/>
          <w:lang w:eastAsia="en-US"/>
        </w:rPr>
      </w:pPr>
      <w:r w:rsidRPr="00B24652">
        <w:rPr>
          <w:rFonts w:eastAsiaTheme="minorHAnsi"/>
          <w:szCs w:val="22"/>
          <w:lang w:eastAsia="en-US"/>
        </w:rPr>
        <w:t xml:space="preserve">Рисунок </w:t>
      </w:r>
      <w:r w:rsidR="003948EE">
        <w:rPr>
          <w:rFonts w:eastAsiaTheme="minorHAnsi"/>
          <w:szCs w:val="22"/>
          <w:lang w:eastAsia="en-US"/>
        </w:rPr>
        <w:t>1</w:t>
      </w:r>
      <w:r w:rsidRPr="00B24652">
        <w:rPr>
          <w:rFonts w:eastAsiaTheme="minorHAnsi"/>
          <w:szCs w:val="22"/>
          <w:lang w:eastAsia="en-US"/>
        </w:rPr>
        <w:t xml:space="preserve">2. </w:t>
      </w:r>
      <w:r w:rsidRPr="00B24652">
        <w:rPr>
          <w:rFonts w:eastAsiaTheme="minorHAnsi"/>
          <w:bCs/>
          <w:iCs/>
          <w:szCs w:val="22"/>
          <w:lang w:eastAsia="en-US"/>
        </w:rPr>
        <w:t>Графики работы алкогольных магазинов</w:t>
      </w:r>
    </w:p>
    <w:p w14:paraId="587F6893" w14:textId="77777777" w:rsidR="00B24652" w:rsidRPr="00B24652" w:rsidRDefault="00B24652" w:rsidP="00B24652">
      <w:pPr>
        <w:rPr>
          <w:rFonts w:eastAsiaTheme="minorHAnsi"/>
          <w:bCs/>
          <w:iCs/>
          <w:sz w:val="22"/>
          <w:szCs w:val="20"/>
          <w:lang w:eastAsia="en-US"/>
        </w:rPr>
      </w:pPr>
      <w:r w:rsidRPr="00B24652">
        <w:rPr>
          <w:rFonts w:eastAsiaTheme="minorHAnsi"/>
          <w:bCs/>
          <w:iCs/>
          <w:sz w:val="22"/>
          <w:szCs w:val="20"/>
          <w:lang w:eastAsia="en-US"/>
        </w:rPr>
        <w:t>* Составлено автором на основе данных 2ГИС</w:t>
      </w:r>
    </w:p>
    <w:p w14:paraId="2ADBAB7E" w14:textId="2C7CE915" w:rsidR="00B24652" w:rsidRPr="00B24652" w:rsidRDefault="00B24652" w:rsidP="00B24652">
      <w:pPr>
        <w:keepNext/>
        <w:keepLines/>
        <w:spacing w:before="160" w:after="160"/>
        <w:outlineLvl w:val="2"/>
        <w:rPr>
          <w:rFonts w:eastAsiaTheme="majorEastAsia"/>
          <w:b/>
          <w:bCs/>
          <w:lang w:eastAsia="en-US"/>
        </w:rPr>
      </w:pPr>
      <w:bookmarkStart w:id="16" w:name="_Toc103641028"/>
      <w:r w:rsidRPr="00B24652">
        <w:rPr>
          <w:rFonts w:eastAsiaTheme="majorEastAsia"/>
          <w:b/>
          <w:bCs/>
          <w:lang w:eastAsia="en-US"/>
        </w:rPr>
        <w:t>2.</w:t>
      </w:r>
      <w:r w:rsidR="008447A6">
        <w:rPr>
          <w:rFonts w:eastAsiaTheme="majorEastAsia"/>
          <w:b/>
          <w:bCs/>
          <w:lang w:eastAsia="en-US"/>
        </w:rPr>
        <w:t>4</w:t>
      </w:r>
      <w:r w:rsidRPr="00B24652">
        <w:rPr>
          <w:rFonts w:eastAsiaTheme="majorEastAsia"/>
          <w:b/>
          <w:bCs/>
          <w:lang w:eastAsia="en-US"/>
        </w:rPr>
        <w:t>.2</w:t>
      </w:r>
      <w:r w:rsidR="005A72AE" w:rsidRPr="00474BFD">
        <w:rPr>
          <w:rFonts w:eastAsiaTheme="majorEastAsia"/>
          <w:b/>
          <w:bCs/>
          <w:lang w:eastAsia="en-US"/>
        </w:rPr>
        <w:t>.</w:t>
      </w:r>
      <w:r w:rsidRPr="00B24652">
        <w:rPr>
          <w:rFonts w:eastAsiaTheme="majorEastAsia"/>
          <w:b/>
          <w:bCs/>
          <w:lang w:eastAsia="en-US"/>
        </w:rPr>
        <w:t xml:space="preserve"> Состояние рынка питейных заведений</w:t>
      </w:r>
      <w:bookmarkEnd w:id="16"/>
    </w:p>
    <w:p w14:paraId="484EBD51" w14:textId="76B49DEA" w:rsidR="00B24652" w:rsidRPr="00B24652" w:rsidRDefault="00B24652" w:rsidP="00B24652">
      <w:pPr>
        <w:ind w:firstLine="851"/>
        <w:jc w:val="both"/>
        <w:rPr>
          <w:rFonts w:eastAsiaTheme="minorHAnsi"/>
          <w:lang w:eastAsia="en-US"/>
        </w:rPr>
      </w:pPr>
      <w:r w:rsidRPr="00B24652">
        <w:rPr>
          <w:rFonts w:eastAsiaTheme="minorHAnsi"/>
          <w:lang w:eastAsia="en-US"/>
        </w:rPr>
        <w:t xml:space="preserve">Согласно данным электронного ресурса «Ведомости», </w:t>
      </w:r>
      <w:r w:rsidR="00EF545E">
        <w:rPr>
          <w:rFonts w:eastAsiaTheme="minorHAnsi"/>
          <w:lang w:eastAsia="en-US"/>
        </w:rPr>
        <w:t>в</w:t>
      </w:r>
      <w:r w:rsidRPr="00B24652">
        <w:rPr>
          <w:rFonts w:eastAsiaTheme="minorHAnsi"/>
          <w:lang w:eastAsia="en-US"/>
        </w:rPr>
        <w:t xml:space="preserve"> Санкт-Петербурге в 1,5 раза больше баров, кафе и ресторанов, чем в Москве в пересчете на 100 000 населения (157 </w:t>
      </w:r>
      <w:r w:rsidRPr="00B24652">
        <w:rPr>
          <w:rFonts w:eastAsiaTheme="minorHAnsi"/>
          <w:lang w:eastAsia="en-US"/>
        </w:rPr>
        <w:lastRenderedPageBreak/>
        <w:t xml:space="preserve">торговых объектов). Рынок питейных заведений, как отрасль общественного питания, имеет высокие темпы роста в Санкт-Петербурге. </w:t>
      </w:r>
    </w:p>
    <w:p w14:paraId="0FC19D47" w14:textId="0A1B0070" w:rsidR="00B24652" w:rsidRPr="00B24652" w:rsidRDefault="00B24652" w:rsidP="00B24652">
      <w:pPr>
        <w:ind w:firstLine="851"/>
        <w:jc w:val="both"/>
        <w:rPr>
          <w:rFonts w:eastAsiaTheme="minorHAnsi"/>
          <w:lang w:eastAsia="en-US"/>
        </w:rPr>
      </w:pPr>
      <w:r w:rsidRPr="00B24652">
        <w:rPr>
          <w:rFonts w:eastAsiaTheme="minorHAnsi"/>
          <w:lang w:eastAsia="en-US"/>
        </w:rPr>
        <w:t xml:space="preserve">База данных питейных заведений составлялась на основе базы данных 2ГИС, откуда были </w:t>
      </w:r>
      <w:r w:rsidR="00EF545E">
        <w:rPr>
          <w:rFonts w:eastAsiaTheme="minorHAnsi"/>
          <w:lang w:eastAsia="en-US"/>
        </w:rPr>
        <w:t xml:space="preserve">взяты </w:t>
      </w:r>
      <w:r w:rsidRPr="00B24652">
        <w:rPr>
          <w:rFonts w:eastAsiaTheme="minorHAnsi"/>
          <w:lang w:eastAsia="en-US"/>
        </w:rPr>
        <w:t>объекты, попадающие в категорию «бары». К таковым объектам были отнесены собственно бары, а также пабы и пивные, рюмочные, а также некоторые кафе и рестораны.</w:t>
      </w:r>
    </w:p>
    <w:p w14:paraId="11BB5FE6" w14:textId="488264F9" w:rsidR="00B24652" w:rsidRPr="00B24652" w:rsidRDefault="00B24652" w:rsidP="00091275">
      <w:pPr>
        <w:ind w:firstLine="851"/>
        <w:jc w:val="both"/>
        <w:rPr>
          <w:rFonts w:eastAsiaTheme="minorHAnsi"/>
          <w:szCs w:val="22"/>
          <w:lang w:eastAsia="en-US"/>
        </w:rPr>
      </w:pPr>
      <w:r w:rsidRPr="00B24652">
        <w:rPr>
          <w:rFonts w:eastAsiaTheme="minorHAnsi"/>
          <w:szCs w:val="22"/>
          <w:lang w:eastAsia="en-US"/>
        </w:rPr>
        <w:t>По состоянию на февраль 2022 года на территории Санкт-Петербурга было выделено 1464 питейных заведения, к которым были отнесены бары, пабы, рюмочные, пивные бары и др. Крупнейшие сети питейных заведений представлены в Таблице 5.</w:t>
      </w:r>
    </w:p>
    <w:p w14:paraId="5C5AA962" w14:textId="0AF0020A" w:rsidR="00B24652" w:rsidRPr="00B24652" w:rsidRDefault="00B24652" w:rsidP="00B24652">
      <w:pPr>
        <w:spacing w:before="160"/>
        <w:rPr>
          <w:rFonts w:eastAsiaTheme="minorHAnsi"/>
          <w:szCs w:val="22"/>
          <w:lang w:eastAsia="en-US"/>
        </w:rPr>
      </w:pPr>
      <w:r w:rsidRPr="00B24652">
        <w:rPr>
          <w:rFonts w:eastAsiaTheme="minorHAnsi"/>
          <w:szCs w:val="22"/>
          <w:lang w:eastAsia="en-US"/>
        </w:rPr>
        <w:t>Таблица 5. Крупнейшие сети питейных заведений Санкт-Петербурга</w:t>
      </w:r>
    </w:p>
    <w:tbl>
      <w:tblPr>
        <w:tblW w:w="9840" w:type="dxa"/>
        <w:tblLook w:val="04A0" w:firstRow="1" w:lastRow="0" w:firstColumn="1" w:lastColumn="0" w:noHBand="0" w:noVBand="1"/>
      </w:tblPr>
      <w:tblGrid>
        <w:gridCol w:w="2560"/>
        <w:gridCol w:w="1920"/>
        <w:gridCol w:w="2680"/>
        <w:gridCol w:w="2680"/>
      </w:tblGrid>
      <w:tr w:rsidR="00B24652" w:rsidRPr="00B24652" w14:paraId="3DC8BE37" w14:textId="77777777" w:rsidTr="00BA1E3E">
        <w:trPr>
          <w:trHeight w:val="780"/>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0299" w14:textId="77777777" w:rsidR="00B24652" w:rsidRPr="00B24652" w:rsidRDefault="00B24652" w:rsidP="00B24652">
            <w:pPr>
              <w:spacing w:line="240" w:lineRule="auto"/>
              <w:rPr>
                <w:b/>
                <w:bCs/>
                <w:color w:val="000000"/>
                <w:sz w:val="20"/>
                <w:szCs w:val="20"/>
              </w:rPr>
            </w:pPr>
            <w:r w:rsidRPr="00B24652">
              <w:rPr>
                <w:b/>
                <w:bCs/>
                <w:color w:val="000000"/>
                <w:sz w:val="20"/>
                <w:szCs w:val="20"/>
              </w:rPr>
              <w:t>Название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166D73F0" w14:textId="77777777" w:rsidR="00B24652" w:rsidRPr="00B24652" w:rsidRDefault="00B24652" w:rsidP="00B24652">
            <w:pPr>
              <w:spacing w:line="240" w:lineRule="auto"/>
              <w:rPr>
                <w:b/>
                <w:bCs/>
                <w:sz w:val="20"/>
                <w:szCs w:val="20"/>
              </w:rPr>
            </w:pPr>
            <w:r w:rsidRPr="00B24652">
              <w:rPr>
                <w:b/>
                <w:bCs/>
                <w:sz w:val="20"/>
                <w:szCs w:val="20"/>
              </w:rPr>
              <w:t>Количество филиалов сети</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14:paraId="00057530"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питейных заведений</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14:paraId="6C6D7259"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сетевых питейных заведений</w:t>
            </w:r>
          </w:p>
        </w:tc>
      </w:tr>
      <w:tr w:rsidR="00B24652" w:rsidRPr="00B24652" w14:paraId="3033305F"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9360B63" w14:textId="77777777" w:rsidR="00B24652" w:rsidRPr="00B24652" w:rsidRDefault="00B24652" w:rsidP="00B24652">
            <w:pPr>
              <w:spacing w:line="240" w:lineRule="auto"/>
              <w:rPr>
                <w:color w:val="000000"/>
                <w:sz w:val="20"/>
                <w:szCs w:val="20"/>
              </w:rPr>
            </w:pPr>
            <w:r w:rsidRPr="00B24652">
              <w:rPr>
                <w:color w:val="000000"/>
                <w:sz w:val="20"/>
                <w:szCs w:val="20"/>
              </w:rPr>
              <w:t>Beer House</w:t>
            </w:r>
          </w:p>
        </w:tc>
        <w:tc>
          <w:tcPr>
            <w:tcW w:w="1920" w:type="dxa"/>
            <w:tcBorders>
              <w:top w:val="nil"/>
              <w:left w:val="nil"/>
              <w:bottom w:val="single" w:sz="4" w:space="0" w:color="auto"/>
              <w:right w:val="single" w:sz="4" w:space="0" w:color="auto"/>
            </w:tcBorders>
            <w:shd w:val="clear" w:color="auto" w:fill="auto"/>
            <w:noWrap/>
            <w:vAlign w:val="center"/>
            <w:hideMark/>
          </w:tcPr>
          <w:p w14:paraId="095FB2C7" w14:textId="77777777" w:rsidR="00B24652" w:rsidRPr="00B24652" w:rsidRDefault="00B24652" w:rsidP="00B24652">
            <w:pPr>
              <w:spacing w:line="240" w:lineRule="auto"/>
              <w:rPr>
                <w:sz w:val="20"/>
                <w:szCs w:val="20"/>
              </w:rPr>
            </w:pPr>
            <w:r w:rsidRPr="00B24652">
              <w:rPr>
                <w:sz w:val="20"/>
                <w:szCs w:val="20"/>
              </w:rPr>
              <w:t>16</w:t>
            </w:r>
          </w:p>
        </w:tc>
        <w:tc>
          <w:tcPr>
            <w:tcW w:w="2680" w:type="dxa"/>
            <w:tcBorders>
              <w:top w:val="nil"/>
              <w:left w:val="nil"/>
              <w:bottom w:val="single" w:sz="4" w:space="0" w:color="auto"/>
              <w:right w:val="single" w:sz="4" w:space="0" w:color="auto"/>
            </w:tcBorders>
            <w:shd w:val="clear" w:color="auto" w:fill="auto"/>
            <w:noWrap/>
            <w:vAlign w:val="center"/>
            <w:hideMark/>
          </w:tcPr>
          <w:p w14:paraId="375A3FA8" w14:textId="77777777" w:rsidR="00B24652" w:rsidRPr="00B24652" w:rsidRDefault="00B24652" w:rsidP="00B24652">
            <w:pPr>
              <w:spacing w:line="240" w:lineRule="auto"/>
              <w:rPr>
                <w:color w:val="000000"/>
                <w:sz w:val="20"/>
                <w:szCs w:val="20"/>
              </w:rPr>
            </w:pPr>
            <w:r w:rsidRPr="00B24652">
              <w:rPr>
                <w:color w:val="000000"/>
                <w:sz w:val="20"/>
                <w:szCs w:val="20"/>
              </w:rPr>
              <w:t>1,1%</w:t>
            </w:r>
          </w:p>
        </w:tc>
        <w:tc>
          <w:tcPr>
            <w:tcW w:w="2680" w:type="dxa"/>
            <w:tcBorders>
              <w:top w:val="nil"/>
              <w:left w:val="nil"/>
              <w:bottom w:val="single" w:sz="4" w:space="0" w:color="auto"/>
              <w:right w:val="single" w:sz="4" w:space="0" w:color="auto"/>
            </w:tcBorders>
            <w:shd w:val="clear" w:color="auto" w:fill="auto"/>
            <w:noWrap/>
            <w:vAlign w:val="center"/>
            <w:hideMark/>
          </w:tcPr>
          <w:p w14:paraId="1C48CED3" w14:textId="77777777" w:rsidR="00B24652" w:rsidRPr="00B24652" w:rsidRDefault="00B24652" w:rsidP="00B24652">
            <w:pPr>
              <w:spacing w:line="240" w:lineRule="auto"/>
              <w:rPr>
                <w:color w:val="000000"/>
                <w:sz w:val="20"/>
                <w:szCs w:val="20"/>
              </w:rPr>
            </w:pPr>
            <w:r w:rsidRPr="00B24652">
              <w:rPr>
                <w:color w:val="000000"/>
                <w:sz w:val="20"/>
                <w:szCs w:val="20"/>
              </w:rPr>
              <w:t>8,2%</w:t>
            </w:r>
          </w:p>
        </w:tc>
      </w:tr>
      <w:tr w:rsidR="00B24652" w:rsidRPr="00B24652" w14:paraId="518F1743"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6D37D6F" w14:textId="77777777" w:rsidR="00B24652" w:rsidRPr="00B24652" w:rsidRDefault="00B24652" w:rsidP="00B24652">
            <w:pPr>
              <w:spacing w:line="240" w:lineRule="auto"/>
              <w:rPr>
                <w:color w:val="000000"/>
                <w:sz w:val="20"/>
                <w:szCs w:val="20"/>
              </w:rPr>
            </w:pPr>
            <w:r w:rsidRPr="00B24652">
              <w:rPr>
                <w:color w:val="000000"/>
                <w:sz w:val="20"/>
                <w:szCs w:val="20"/>
              </w:rPr>
              <w:t>Feromon Group</w:t>
            </w:r>
          </w:p>
        </w:tc>
        <w:tc>
          <w:tcPr>
            <w:tcW w:w="1920" w:type="dxa"/>
            <w:tcBorders>
              <w:top w:val="nil"/>
              <w:left w:val="nil"/>
              <w:bottom w:val="single" w:sz="4" w:space="0" w:color="auto"/>
              <w:right w:val="single" w:sz="4" w:space="0" w:color="auto"/>
            </w:tcBorders>
            <w:shd w:val="clear" w:color="auto" w:fill="auto"/>
            <w:noWrap/>
            <w:vAlign w:val="center"/>
            <w:hideMark/>
          </w:tcPr>
          <w:p w14:paraId="6A7FEBC1" w14:textId="77777777" w:rsidR="00B24652" w:rsidRPr="00B24652" w:rsidRDefault="00B24652" w:rsidP="00B24652">
            <w:pPr>
              <w:spacing w:line="240" w:lineRule="auto"/>
              <w:rPr>
                <w:sz w:val="20"/>
                <w:szCs w:val="20"/>
              </w:rPr>
            </w:pPr>
            <w:r w:rsidRPr="00B24652">
              <w:rPr>
                <w:sz w:val="20"/>
                <w:szCs w:val="20"/>
              </w:rPr>
              <w:t>15</w:t>
            </w:r>
          </w:p>
        </w:tc>
        <w:tc>
          <w:tcPr>
            <w:tcW w:w="2680" w:type="dxa"/>
            <w:tcBorders>
              <w:top w:val="nil"/>
              <w:left w:val="nil"/>
              <w:bottom w:val="single" w:sz="4" w:space="0" w:color="auto"/>
              <w:right w:val="single" w:sz="4" w:space="0" w:color="auto"/>
            </w:tcBorders>
            <w:shd w:val="clear" w:color="auto" w:fill="auto"/>
            <w:noWrap/>
            <w:vAlign w:val="center"/>
            <w:hideMark/>
          </w:tcPr>
          <w:p w14:paraId="4884428C" w14:textId="77777777" w:rsidR="00B24652" w:rsidRPr="00B24652" w:rsidRDefault="00B24652" w:rsidP="00B24652">
            <w:pPr>
              <w:spacing w:line="240" w:lineRule="auto"/>
              <w:rPr>
                <w:color w:val="000000"/>
                <w:sz w:val="20"/>
                <w:szCs w:val="20"/>
              </w:rPr>
            </w:pPr>
            <w:r w:rsidRPr="00B24652">
              <w:rPr>
                <w:color w:val="000000"/>
                <w:sz w:val="20"/>
                <w:szCs w:val="20"/>
              </w:rPr>
              <w:t>1,0%</w:t>
            </w:r>
          </w:p>
        </w:tc>
        <w:tc>
          <w:tcPr>
            <w:tcW w:w="2680" w:type="dxa"/>
            <w:tcBorders>
              <w:top w:val="nil"/>
              <w:left w:val="nil"/>
              <w:bottom w:val="single" w:sz="4" w:space="0" w:color="auto"/>
              <w:right w:val="single" w:sz="4" w:space="0" w:color="auto"/>
            </w:tcBorders>
            <w:shd w:val="clear" w:color="auto" w:fill="auto"/>
            <w:noWrap/>
            <w:vAlign w:val="center"/>
            <w:hideMark/>
          </w:tcPr>
          <w:p w14:paraId="14F9E33B" w14:textId="77777777" w:rsidR="00B24652" w:rsidRPr="00B24652" w:rsidRDefault="00B24652" w:rsidP="00B24652">
            <w:pPr>
              <w:spacing w:line="240" w:lineRule="auto"/>
              <w:rPr>
                <w:color w:val="000000"/>
                <w:sz w:val="20"/>
                <w:szCs w:val="20"/>
              </w:rPr>
            </w:pPr>
            <w:r w:rsidRPr="00B24652">
              <w:rPr>
                <w:color w:val="000000"/>
                <w:sz w:val="20"/>
                <w:szCs w:val="20"/>
              </w:rPr>
              <w:t>7,7%</w:t>
            </w:r>
          </w:p>
        </w:tc>
      </w:tr>
      <w:tr w:rsidR="00B24652" w:rsidRPr="00B24652" w14:paraId="4FEB25D4"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97C5475" w14:textId="77777777" w:rsidR="00B24652" w:rsidRPr="00B24652" w:rsidRDefault="00B24652" w:rsidP="00B24652">
            <w:pPr>
              <w:spacing w:line="240" w:lineRule="auto"/>
              <w:rPr>
                <w:color w:val="000000"/>
                <w:sz w:val="20"/>
                <w:szCs w:val="20"/>
              </w:rPr>
            </w:pPr>
            <w:r w:rsidRPr="00B24652">
              <w:rPr>
                <w:color w:val="000000"/>
                <w:sz w:val="20"/>
                <w:szCs w:val="20"/>
              </w:rPr>
              <w:t>Mollie`s</w:t>
            </w:r>
          </w:p>
        </w:tc>
        <w:tc>
          <w:tcPr>
            <w:tcW w:w="1920" w:type="dxa"/>
            <w:tcBorders>
              <w:top w:val="nil"/>
              <w:left w:val="nil"/>
              <w:bottom w:val="single" w:sz="4" w:space="0" w:color="auto"/>
              <w:right w:val="single" w:sz="4" w:space="0" w:color="auto"/>
            </w:tcBorders>
            <w:shd w:val="clear" w:color="auto" w:fill="auto"/>
            <w:noWrap/>
            <w:vAlign w:val="center"/>
            <w:hideMark/>
          </w:tcPr>
          <w:p w14:paraId="31C0F4A8" w14:textId="77777777" w:rsidR="00B24652" w:rsidRPr="00B24652" w:rsidRDefault="00B24652" w:rsidP="00B24652">
            <w:pPr>
              <w:spacing w:line="240" w:lineRule="auto"/>
              <w:rPr>
                <w:sz w:val="20"/>
                <w:szCs w:val="20"/>
              </w:rPr>
            </w:pPr>
            <w:r w:rsidRPr="00B24652">
              <w:rPr>
                <w:sz w:val="20"/>
                <w:szCs w:val="20"/>
              </w:rPr>
              <w:t>14</w:t>
            </w:r>
          </w:p>
        </w:tc>
        <w:tc>
          <w:tcPr>
            <w:tcW w:w="2680" w:type="dxa"/>
            <w:tcBorders>
              <w:top w:val="nil"/>
              <w:left w:val="nil"/>
              <w:bottom w:val="single" w:sz="4" w:space="0" w:color="auto"/>
              <w:right w:val="single" w:sz="4" w:space="0" w:color="auto"/>
            </w:tcBorders>
            <w:shd w:val="clear" w:color="auto" w:fill="auto"/>
            <w:noWrap/>
            <w:vAlign w:val="center"/>
            <w:hideMark/>
          </w:tcPr>
          <w:p w14:paraId="52769717" w14:textId="77777777" w:rsidR="00B24652" w:rsidRPr="00B24652" w:rsidRDefault="00B24652" w:rsidP="00B24652">
            <w:pPr>
              <w:spacing w:line="240" w:lineRule="auto"/>
              <w:rPr>
                <w:color w:val="000000"/>
                <w:sz w:val="20"/>
                <w:szCs w:val="20"/>
              </w:rPr>
            </w:pPr>
            <w:r w:rsidRPr="00B24652">
              <w:rPr>
                <w:color w:val="000000"/>
                <w:sz w:val="20"/>
                <w:szCs w:val="20"/>
              </w:rPr>
              <w:t>1,0%</w:t>
            </w:r>
          </w:p>
        </w:tc>
        <w:tc>
          <w:tcPr>
            <w:tcW w:w="2680" w:type="dxa"/>
            <w:tcBorders>
              <w:top w:val="nil"/>
              <w:left w:val="nil"/>
              <w:bottom w:val="single" w:sz="4" w:space="0" w:color="auto"/>
              <w:right w:val="single" w:sz="4" w:space="0" w:color="auto"/>
            </w:tcBorders>
            <w:shd w:val="clear" w:color="auto" w:fill="auto"/>
            <w:noWrap/>
            <w:vAlign w:val="center"/>
            <w:hideMark/>
          </w:tcPr>
          <w:p w14:paraId="2A8F20D4" w14:textId="77777777" w:rsidR="00B24652" w:rsidRPr="00B24652" w:rsidRDefault="00B24652" w:rsidP="00B24652">
            <w:pPr>
              <w:spacing w:line="240" w:lineRule="auto"/>
              <w:rPr>
                <w:color w:val="000000"/>
                <w:sz w:val="20"/>
                <w:szCs w:val="20"/>
              </w:rPr>
            </w:pPr>
            <w:r w:rsidRPr="00B24652">
              <w:rPr>
                <w:color w:val="000000"/>
                <w:sz w:val="20"/>
                <w:szCs w:val="20"/>
              </w:rPr>
              <w:t>7,1%</w:t>
            </w:r>
          </w:p>
        </w:tc>
      </w:tr>
      <w:tr w:rsidR="00B24652" w:rsidRPr="00B24652" w14:paraId="7ABCAF12"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B17146E" w14:textId="77777777" w:rsidR="00B24652" w:rsidRPr="00B24652" w:rsidRDefault="00B24652" w:rsidP="00B24652">
            <w:pPr>
              <w:spacing w:line="240" w:lineRule="auto"/>
              <w:rPr>
                <w:color w:val="000000"/>
                <w:sz w:val="20"/>
                <w:szCs w:val="20"/>
              </w:rPr>
            </w:pPr>
            <w:r w:rsidRPr="00B24652">
              <w:rPr>
                <w:color w:val="000000"/>
                <w:sz w:val="20"/>
                <w:szCs w:val="20"/>
              </w:rPr>
              <w:t>Контакт бар</w:t>
            </w:r>
          </w:p>
        </w:tc>
        <w:tc>
          <w:tcPr>
            <w:tcW w:w="1920" w:type="dxa"/>
            <w:tcBorders>
              <w:top w:val="nil"/>
              <w:left w:val="nil"/>
              <w:bottom w:val="single" w:sz="4" w:space="0" w:color="auto"/>
              <w:right w:val="single" w:sz="4" w:space="0" w:color="auto"/>
            </w:tcBorders>
            <w:shd w:val="clear" w:color="auto" w:fill="auto"/>
            <w:noWrap/>
            <w:vAlign w:val="center"/>
            <w:hideMark/>
          </w:tcPr>
          <w:p w14:paraId="0F776E58" w14:textId="77777777" w:rsidR="00B24652" w:rsidRPr="00B24652" w:rsidRDefault="00B24652" w:rsidP="00B24652">
            <w:pPr>
              <w:spacing w:line="240" w:lineRule="auto"/>
              <w:rPr>
                <w:sz w:val="20"/>
                <w:szCs w:val="20"/>
              </w:rPr>
            </w:pPr>
            <w:r w:rsidRPr="00B24652">
              <w:rPr>
                <w:sz w:val="20"/>
                <w:szCs w:val="20"/>
              </w:rPr>
              <w:t>12</w:t>
            </w:r>
          </w:p>
        </w:tc>
        <w:tc>
          <w:tcPr>
            <w:tcW w:w="2680" w:type="dxa"/>
            <w:tcBorders>
              <w:top w:val="nil"/>
              <w:left w:val="nil"/>
              <w:bottom w:val="single" w:sz="4" w:space="0" w:color="auto"/>
              <w:right w:val="single" w:sz="4" w:space="0" w:color="auto"/>
            </w:tcBorders>
            <w:shd w:val="clear" w:color="auto" w:fill="auto"/>
            <w:noWrap/>
            <w:vAlign w:val="center"/>
            <w:hideMark/>
          </w:tcPr>
          <w:p w14:paraId="73D0EA27" w14:textId="77777777" w:rsidR="00B24652" w:rsidRPr="00B24652" w:rsidRDefault="00B24652" w:rsidP="00B24652">
            <w:pPr>
              <w:spacing w:line="240" w:lineRule="auto"/>
              <w:rPr>
                <w:color w:val="000000"/>
                <w:sz w:val="20"/>
                <w:szCs w:val="20"/>
              </w:rPr>
            </w:pPr>
            <w:r w:rsidRPr="00B24652">
              <w:rPr>
                <w:color w:val="000000"/>
                <w:sz w:val="20"/>
                <w:szCs w:val="20"/>
              </w:rPr>
              <w:t>0,8%</w:t>
            </w:r>
          </w:p>
        </w:tc>
        <w:tc>
          <w:tcPr>
            <w:tcW w:w="2680" w:type="dxa"/>
            <w:tcBorders>
              <w:top w:val="nil"/>
              <w:left w:val="nil"/>
              <w:bottom w:val="single" w:sz="4" w:space="0" w:color="auto"/>
              <w:right w:val="single" w:sz="4" w:space="0" w:color="auto"/>
            </w:tcBorders>
            <w:shd w:val="clear" w:color="auto" w:fill="auto"/>
            <w:noWrap/>
            <w:vAlign w:val="center"/>
            <w:hideMark/>
          </w:tcPr>
          <w:p w14:paraId="30B3BF3F" w14:textId="77777777" w:rsidR="00B24652" w:rsidRPr="00B24652" w:rsidRDefault="00B24652" w:rsidP="00B24652">
            <w:pPr>
              <w:spacing w:line="240" w:lineRule="auto"/>
              <w:rPr>
                <w:color w:val="000000"/>
                <w:sz w:val="20"/>
                <w:szCs w:val="20"/>
              </w:rPr>
            </w:pPr>
            <w:r w:rsidRPr="00B24652">
              <w:rPr>
                <w:color w:val="000000"/>
                <w:sz w:val="20"/>
                <w:szCs w:val="20"/>
              </w:rPr>
              <w:t>6,1%</w:t>
            </w:r>
          </w:p>
        </w:tc>
      </w:tr>
      <w:tr w:rsidR="00B24652" w:rsidRPr="00B24652" w14:paraId="733A21FA"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39547EA" w14:textId="77777777" w:rsidR="00B24652" w:rsidRPr="00B24652" w:rsidRDefault="00B24652" w:rsidP="00B24652">
            <w:pPr>
              <w:spacing w:line="240" w:lineRule="auto"/>
              <w:rPr>
                <w:color w:val="000000"/>
                <w:sz w:val="20"/>
                <w:szCs w:val="20"/>
              </w:rPr>
            </w:pPr>
            <w:r w:rsidRPr="00B24652">
              <w:rPr>
                <w:color w:val="000000"/>
                <w:sz w:val="20"/>
                <w:szCs w:val="20"/>
              </w:rPr>
              <w:t>Пифкo</w:t>
            </w:r>
          </w:p>
        </w:tc>
        <w:tc>
          <w:tcPr>
            <w:tcW w:w="1920" w:type="dxa"/>
            <w:tcBorders>
              <w:top w:val="nil"/>
              <w:left w:val="nil"/>
              <w:bottom w:val="single" w:sz="4" w:space="0" w:color="auto"/>
              <w:right w:val="single" w:sz="4" w:space="0" w:color="auto"/>
            </w:tcBorders>
            <w:shd w:val="clear" w:color="auto" w:fill="auto"/>
            <w:noWrap/>
            <w:vAlign w:val="center"/>
            <w:hideMark/>
          </w:tcPr>
          <w:p w14:paraId="00F4B7F3" w14:textId="77777777" w:rsidR="00B24652" w:rsidRPr="00B24652" w:rsidRDefault="00B24652" w:rsidP="00B24652">
            <w:pPr>
              <w:spacing w:line="240" w:lineRule="auto"/>
              <w:rPr>
                <w:sz w:val="20"/>
                <w:szCs w:val="20"/>
              </w:rPr>
            </w:pPr>
            <w:r w:rsidRPr="00B24652">
              <w:rPr>
                <w:sz w:val="20"/>
                <w:szCs w:val="20"/>
              </w:rPr>
              <w:t>12</w:t>
            </w:r>
          </w:p>
        </w:tc>
        <w:tc>
          <w:tcPr>
            <w:tcW w:w="2680" w:type="dxa"/>
            <w:tcBorders>
              <w:top w:val="nil"/>
              <w:left w:val="nil"/>
              <w:bottom w:val="single" w:sz="4" w:space="0" w:color="auto"/>
              <w:right w:val="single" w:sz="4" w:space="0" w:color="auto"/>
            </w:tcBorders>
            <w:shd w:val="clear" w:color="auto" w:fill="auto"/>
            <w:noWrap/>
            <w:vAlign w:val="center"/>
            <w:hideMark/>
          </w:tcPr>
          <w:p w14:paraId="474193E2" w14:textId="77777777" w:rsidR="00B24652" w:rsidRPr="00B24652" w:rsidRDefault="00B24652" w:rsidP="00B24652">
            <w:pPr>
              <w:spacing w:line="240" w:lineRule="auto"/>
              <w:rPr>
                <w:color w:val="000000"/>
                <w:sz w:val="20"/>
                <w:szCs w:val="20"/>
              </w:rPr>
            </w:pPr>
            <w:r w:rsidRPr="00B24652">
              <w:rPr>
                <w:color w:val="000000"/>
                <w:sz w:val="20"/>
                <w:szCs w:val="20"/>
              </w:rPr>
              <w:t>0,8%</w:t>
            </w:r>
          </w:p>
        </w:tc>
        <w:tc>
          <w:tcPr>
            <w:tcW w:w="2680" w:type="dxa"/>
            <w:tcBorders>
              <w:top w:val="nil"/>
              <w:left w:val="nil"/>
              <w:bottom w:val="single" w:sz="4" w:space="0" w:color="auto"/>
              <w:right w:val="single" w:sz="4" w:space="0" w:color="auto"/>
            </w:tcBorders>
            <w:shd w:val="clear" w:color="auto" w:fill="auto"/>
            <w:noWrap/>
            <w:vAlign w:val="center"/>
            <w:hideMark/>
          </w:tcPr>
          <w:p w14:paraId="39D31E31" w14:textId="77777777" w:rsidR="00B24652" w:rsidRPr="00B24652" w:rsidRDefault="00B24652" w:rsidP="00B24652">
            <w:pPr>
              <w:spacing w:line="240" w:lineRule="auto"/>
              <w:rPr>
                <w:color w:val="000000"/>
                <w:sz w:val="20"/>
                <w:szCs w:val="20"/>
              </w:rPr>
            </w:pPr>
            <w:r w:rsidRPr="00B24652">
              <w:rPr>
                <w:color w:val="000000"/>
                <w:sz w:val="20"/>
                <w:szCs w:val="20"/>
              </w:rPr>
              <w:t>6,1%</w:t>
            </w:r>
          </w:p>
        </w:tc>
      </w:tr>
      <w:tr w:rsidR="00B24652" w:rsidRPr="00B24652" w14:paraId="701E18BC"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18366E68" w14:textId="77777777" w:rsidR="00B24652" w:rsidRPr="00B24652" w:rsidRDefault="00B24652" w:rsidP="00B24652">
            <w:pPr>
              <w:spacing w:line="240" w:lineRule="auto"/>
              <w:rPr>
                <w:color w:val="000000"/>
                <w:sz w:val="20"/>
                <w:szCs w:val="20"/>
              </w:rPr>
            </w:pPr>
            <w:r w:rsidRPr="00B24652">
              <w:rPr>
                <w:color w:val="000000"/>
                <w:sz w:val="20"/>
                <w:szCs w:val="20"/>
              </w:rPr>
              <w:t>BAHROMA</w:t>
            </w:r>
          </w:p>
        </w:tc>
        <w:tc>
          <w:tcPr>
            <w:tcW w:w="1920" w:type="dxa"/>
            <w:tcBorders>
              <w:top w:val="nil"/>
              <w:left w:val="nil"/>
              <w:bottom w:val="single" w:sz="4" w:space="0" w:color="auto"/>
              <w:right w:val="single" w:sz="4" w:space="0" w:color="auto"/>
            </w:tcBorders>
            <w:shd w:val="clear" w:color="auto" w:fill="auto"/>
            <w:noWrap/>
            <w:vAlign w:val="center"/>
            <w:hideMark/>
          </w:tcPr>
          <w:p w14:paraId="7B36458C" w14:textId="77777777" w:rsidR="00B24652" w:rsidRPr="00B24652" w:rsidRDefault="00B24652" w:rsidP="00B24652">
            <w:pPr>
              <w:spacing w:line="240" w:lineRule="auto"/>
              <w:rPr>
                <w:sz w:val="20"/>
                <w:szCs w:val="20"/>
              </w:rPr>
            </w:pPr>
            <w:r w:rsidRPr="00B24652">
              <w:rPr>
                <w:sz w:val="20"/>
                <w:szCs w:val="20"/>
              </w:rPr>
              <w:t>10</w:t>
            </w:r>
          </w:p>
        </w:tc>
        <w:tc>
          <w:tcPr>
            <w:tcW w:w="2680" w:type="dxa"/>
            <w:tcBorders>
              <w:top w:val="nil"/>
              <w:left w:val="nil"/>
              <w:bottom w:val="single" w:sz="4" w:space="0" w:color="auto"/>
              <w:right w:val="single" w:sz="4" w:space="0" w:color="auto"/>
            </w:tcBorders>
            <w:shd w:val="clear" w:color="auto" w:fill="auto"/>
            <w:noWrap/>
            <w:vAlign w:val="center"/>
            <w:hideMark/>
          </w:tcPr>
          <w:p w14:paraId="6C170DC8" w14:textId="77777777" w:rsidR="00B24652" w:rsidRPr="00B24652" w:rsidRDefault="00B24652" w:rsidP="00B24652">
            <w:pPr>
              <w:spacing w:line="240" w:lineRule="auto"/>
              <w:rPr>
                <w:color w:val="000000"/>
                <w:sz w:val="20"/>
                <w:szCs w:val="20"/>
              </w:rPr>
            </w:pPr>
            <w:r w:rsidRPr="00B24652">
              <w:rPr>
                <w:color w:val="000000"/>
                <w:sz w:val="20"/>
                <w:szCs w:val="20"/>
              </w:rPr>
              <w:t>0,7%</w:t>
            </w:r>
          </w:p>
        </w:tc>
        <w:tc>
          <w:tcPr>
            <w:tcW w:w="2680" w:type="dxa"/>
            <w:tcBorders>
              <w:top w:val="nil"/>
              <w:left w:val="nil"/>
              <w:bottom w:val="single" w:sz="4" w:space="0" w:color="auto"/>
              <w:right w:val="single" w:sz="4" w:space="0" w:color="auto"/>
            </w:tcBorders>
            <w:shd w:val="clear" w:color="auto" w:fill="auto"/>
            <w:noWrap/>
            <w:vAlign w:val="center"/>
            <w:hideMark/>
          </w:tcPr>
          <w:p w14:paraId="4B78B0A9" w14:textId="77777777" w:rsidR="00B24652" w:rsidRPr="00B24652" w:rsidRDefault="00B24652" w:rsidP="00B24652">
            <w:pPr>
              <w:spacing w:line="240" w:lineRule="auto"/>
              <w:rPr>
                <w:color w:val="000000"/>
                <w:sz w:val="20"/>
                <w:szCs w:val="20"/>
              </w:rPr>
            </w:pPr>
            <w:r w:rsidRPr="00B24652">
              <w:rPr>
                <w:color w:val="000000"/>
                <w:sz w:val="20"/>
                <w:szCs w:val="20"/>
              </w:rPr>
              <w:t>5,1%</w:t>
            </w:r>
          </w:p>
        </w:tc>
      </w:tr>
      <w:tr w:rsidR="00B24652" w:rsidRPr="00B24652" w14:paraId="701E0791"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DA7E03A" w14:textId="77777777" w:rsidR="00B24652" w:rsidRPr="00B24652" w:rsidRDefault="00B24652" w:rsidP="00B24652">
            <w:pPr>
              <w:spacing w:line="240" w:lineRule="auto"/>
              <w:rPr>
                <w:color w:val="000000"/>
                <w:sz w:val="20"/>
                <w:szCs w:val="20"/>
              </w:rPr>
            </w:pPr>
            <w:r w:rsidRPr="00B24652">
              <w:rPr>
                <w:color w:val="000000"/>
                <w:sz w:val="20"/>
                <w:szCs w:val="20"/>
              </w:rPr>
              <w:t>BlackWood Pub &amp; Dublin Pub</w:t>
            </w:r>
          </w:p>
        </w:tc>
        <w:tc>
          <w:tcPr>
            <w:tcW w:w="1920" w:type="dxa"/>
            <w:tcBorders>
              <w:top w:val="nil"/>
              <w:left w:val="nil"/>
              <w:bottom w:val="single" w:sz="4" w:space="0" w:color="auto"/>
              <w:right w:val="single" w:sz="4" w:space="0" w:color="auto"/>
            </w:tcBorders>
            <w:shd w:val="clear" w:color="auto" w:fill="auto"/>
            <w:noWrap/>
            <w:vAlign w:val="center"/>
            <w:hideMark/>
          </w:tcPr>
          <w:p w14:paraId="3C51FBB2" w14:textId="77777777" w:rsidR="00B24652" w:rsidRPr="00B24652" w:rsidRDefault="00B24652" w:rsidP="00B24652">
            <w:pPr>
              <w:spacing w:line="240" w:lineRule="auto"/>
              <w:rPr>
                <w:sz w:val="20"/>
                <w:szCs w:val="20"/>
              </w:rPr>
            </w:pPr>
            <w:r w:rsidRPr="00B24652">
              <w:rPr>
                <w:sz w:val="20"/>
                <w:szCs w:val="20"/>
              </w:rPr>
              <w:t>8</w:t>
            </w:r>
          </w:p>
        </w:tc>
        <w:tc>
          <w:tcPr>
            <w:tcW w:w="2680" w:type="dxa"/>
            <w:tcBorders>
              <w:top w:val="nil"/>
              <w:left w:val="nil"/>
              <w:bottom w:val="single" w:sz="4" w:space="0" w:color="auto"/>
              <w:right w:val="single" w:sz="4" w:space="0" w:color="auto"/>
            </w:tcBorders>
            <w:shd w:val="clear" w:color="auto" w:fill="auto"/>
            <w:noWrap/>
            <w:vAlign w:val="center"/>
            <w:hideMark/>
          </w:tcPr>
          <w:p w14:paraId="3031A159" w14:textId="77777777" w:rsidR="00B24652" w:rsidRPr="00B24652" w:rsidRDefault="00B24652" w:rsidP="00B24652">
            <w:pPr>
              <w:spacing w:line="240" w:lineRule="auto"/>
              <w:rPr>
                <w:color w:val="000000"/>
                <w:sz w:val="20"/>
                <w:szCs w:val="20"/>
              </w:rPr>
            </w:pPr>
            <w:r w:rsidRPr="00B24652">
              <w:rPr>
                <w:color w:val="000000"/>
                <w:sz w:val="20"/>
                <w:szCs w:val="20"/>
              </w:rPr>
              <w:t>0,5%</w:t>
            </w:r>
          </w:p>
        </w:tc>
        <w:tc>
          <w:tcPr>
            <w:tcW w:w="2680" w:type="dxa"/>
            <w:tcBorders>
              <w:top w:val="nil"/>
              <w:left w:val="nil"/>
              <w:bottom w:val="single" w:sz="4" w:space="0" w:color="auto"/>
              <w:right w:val="single" w:sz="4" w:space="0" w:color="auto"/>
            </w:tcBorders>
            <w:shd w:val="clear" w:color="auto" w:fill="auto"/>
            <w:noWrap/>
            <w:vAlign w:val="center"/>
            <w:hideMark/>
          </w:tcPr>
          <w:p w14:paraId="7B07AA52" w14:textId="77777777" w:rsidR="00B24652" w:rsidRPr="00B24652" w:rsidRDefault="00B24652" w:rsidP="00B24652">
            <w:pPr>
              <w:spacing w:line="240" w:lineRule="auto"/>
              <w:rPr>
                <w:color w:val="000000"/>
                <w:sz w:val="20"/>
                <w:szCs w:val="20"/>
              </w:rPr>
            </w:pPr>
            <w:r w:rsidRPr="00B24652">
              <w:rPr>
                <w:color w:val="000000"/>
                <w:sz w:val="20"/>
                <w:szCs w:val="20"/>
              </w:rPr>
              <w:t>4,1%</w:t>
            </w:r>
          </w:p>
        </w:tc>
      </w:tr>
      <w:tr w:rsidR="00B24652" w:rsidRPr="00B24652" w14:paraId="325A7BE1"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B154893" w14:textId="77777777" w:rsidR="00B24652" w:rsidRPr="00B24652" w:rsidRDefault="00B24652" w:rsidP="00B24652">
            <w:pPr>
              <w:spacing w:line="240" w:lineRule="auto"/>
              <w:rPr>
                <w:color w:val="000000"/>
                <w:sz w:val="20"/>
                <w:szCs w:val="20"/>
              </w:rPr>
            </w:pPr>
            <w:r w:rsidRPr="00B24652">
              <w:rPr>
                <w:color w:val="000000"/>
                <w:sz w:val="20"/>
                <w:szCs w:val="20"/>
              </w:rPr>
              <w:t>Tangiers lounge</w:t>
            </w:r>
          </w:p>
        </w:tc>
        <w:tc>
          <w:tcPr>
            <w:tcW w:w="1920" w:type="dxa"/>
            <w:tcBorders>
              <w:top w:val="nil"/>
              <w:left w:val="nil"/>
              <w:bottom w:val="single" w:sz="4" w:space="0" w:color="auto"/>
              <w:right w:val="single" w:sz="4" w:space="0" w:color="auto"/>
            </w:tcBorders>
            <w:shd w:val="clear" w:color="auto" w:fill="auto"/>
            <w:noWrap/>
            <w:vAlign w:val="center"/>
            <w:hideMark/>
          </w:tcPr>
          <w:p w14:paraId="0A8E15D5" w14:textId="77777777" w:rsidR="00B24652" w:rsidRPr="00B24652" w:rsidRDefault="00B24652" w:rsidP="00B24652">
            <w:pPr>
              <w:spacing w:line="240" w:lineRule="auto"/>
              <w:rPr>
                <w:sz w:val="20"/>
                <w:szCs w:val="20"/>
              </w:rPr>
            </w:pPr>
            <w:r w:rsidRPr="00B24652">
              <w:rPr>
                <w:sz w:val="20"/>
                <w:szCs w:val="20"/>
              </w:rPr>
              <w:t>8</w:t>
            </w:r>
          </w:p>
        </w:tc>
        <w:tc>
          <w:tcPr>
            <w:tcW w:w="2680" w:type="dxa"/>
            <w:tcBorders>
              <w:top w:val="nil"/>
              <w:left w:val="nil"/>
              <w:bottom w:val="single" w:sz="4" w:space="0" w:color="auto"/>
              <w:right w:val="single" w:sz="4" w:space="0" w:color="auto"/>
            </w:tcBorders>
            <w:shd w:val="clear" w:color="auto" w:fill="auto"/>
            <w:noWrap/>
            <w:vAlign w:val="center"/>
            <w:hideMark/>
          </w:tcPr>
          <w:p w14:paraId="07E84B79" w14:textId="77777777" w:rsidR="00B24652" w:rsidRPr="00B24652" w:rsidRDefault="00B24652" w:rsidP="00B24652">
            <w:pPr>
              <w:spacing w:line="240" w:lineRule="auto"/>
              <w:rPr>
                <w:color w:val="000000"/>
                <w:sz w:val="20"/>
                <w:szCs w:val="20"/>
              </w:rPr>
            </w:pPr>
            <w:r w:rsidRPr="00B24652">
              <w:rPr>
                <w:color w:val="000000"/>
                <w:sz w:val="20"/>
                <w:szCs w:val="20"/>
              </w:rPr>
              <w:t>0,5%</w:t>
            </w:r>
          </w:p>
        </w:tc>
        <w:tc>
          <w:tcPr>
            <w:tcW w:w="2680" w:type="dxa"/>
            <w:tcBorders>
              <w:top w:val="nil"/>
              <w:left w:val="nil"/>
              <w:bottom w:val="single" w:sz="4" w:space="0" w:color="auto"/>
              <w:right w:val="single" w:sz="4" w:space="0" w:color="auto"/>
            </w:tcBorders>
            <w:shd w:val="clear" w:color="auto" w:fill="auto"/>
            <w:noWrap/>
            <w:vAlign w:val="center"/>
            <w:hideMark/>
          </w:tcPr>
          <w:p w14:paraId="75A4122F" w14:textId="77777777" w:rsidR="00B24652" w:rsidRPr="00B24652" w:rsidRDefault="00B24652" w:rsidP="00B24652">
            <w:pPr>
              <w:spacing w:line="240" w:lineRule="auto"/>
              <w:rPr>
                <w:color w:val="000000"/>
                <w:sz w:val="20"/>
                <w:szCs w:val="20"/>
              </w:rPr>
            </w:pPr>
            <w:r w:rsidRPr="00B24652">
              <w:rPr>
                <w:color w:val="000000"/>
                <w:sz w:val="20"/>
                <w:szCs w:val="20"/>
              </w:rPr>
              <w:t>4,1%</w:t>
            </w:r>
          </w:p>
        </w:tc>
      </w:tr>
      <w:tr w:rsidR="00B24652" w:rsidRPr="00B24652" w14:paraId="1EB29253"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44F224E" w14:textId="77777777" w:rsidR="00B24652" w:rsidRPr="00B24652" w:rsidRDefault="00B24652" w:rsidP="00B24652">
            <w:pPr>
              <w:spacing w:line="240" w:lineRule="auto"/>
              <w:rPr>
                <w:color w:val="000000"/>
                <w:sz w:val="20"/>
                <w:szCs w:val="20"/>
              </w:rPr>
            </w:pPr>
            <w:r w:rsidRPr="00B24652">
              <w:rPr>
                <w:color w:val="000000"/>
                <w:sz w:val="20"/>
                <w:szCs w:val="20"/>
              </w:rPr>
              <w:t>Zavist bar</w:t>
            </w:r>
          </w:p>
        </w:tc>
        <w:tc>
          <w:tcPr>
            <w:tcW w:w="1920" w:type="dxa"/>
            <w:tcBorders>
              <w:top w:val="nil"/>
              <w:left w:val="nil"/>
              <w:bottom w:val="single" w:sz="4" w:space="0" w:color="auto"/>
              <w:right w:val="single" w:sz="4" w:space="0" w:color="auto"/>
            </w:tcBorders>
            <w:shd w:val="clear" w:color="auto" w:fill="auto"/>
            <w:noWrap/>
            <w:vAlign w:val="center"/>
            <w:hideMark/>
          </w:tcPr>
          <w:p w14:paraId="7AE3F3AF" w14:textId="77777777" w:rsidR="00B24652" w:rsidRPr="00B24652" w:rsidRDefault="00B24652" w:rsidP="00B24652">
            <w:pPr>
              <w:spacing w:line="240" w:lineRule="auto"/>
              <w:rPr>
                <w:sz w:val="20"/>
                <w:szCs w:val="20"/>
              </w:rPr>
            </w:pPr>
            <w:r w:rsidRPr="00B24652">
              <w:rPr>
                <w:sz w:val="20"/>
                <w:szCs w:val="20"/>
              </w:rPr>
              <w:t>7</w:t>
            </w:r>
          </w:p>
        </w:tc>
        <w:tc>
          <w:tcPr>
            <w:tcW w:w="2680" w:type="dxa"/>
            <w:tcBorders>
              <w:top w:val="nil"/>
              <w:left w:val="nil"/>
              <w:bottom w:val="single" w:sz="4" w:space="0" w:color="auto"/>
              <w:right w:val="single" w:sz="4" w:space="0" w:color="auto"/>
            </w:tcBorders>
            <w:shd w:val="clear" w:color="auto" w:fill="auto"/>
            <w:noWrap/>
            <w:vAlign w:val="center"/>
            <w:hideMark/>
          </w:tcPr>
          <w:p w14:paraId="16086940" w14:textId="77777777" w:rsidR="00B24652" w:rsidRPr="00B24652" w:rsidRDefault="00B24652" w:rsidP="00B24652">
            <w:pPr>
              <w:spacing w:line="240" w:lineRule="auto"/>
              <w:rPr>
                <w:color w:val="000000"/>
                <w:sz w:val="20"/>
                <w:szCs w:val="20"/>
              </w:rPr>
            </w:pPr>
            <w:r w:rsidRPr="00B24652">
              <w:rPr>
                <w:color w:val="000000"/>
                <w:sz w:val="20"/>
                <w:szCs w:val="20"/>
              </w:rPr>
              <w:t>0,5%</w:t>
            </w:r>
          </w:p>
        </w:tc>
        <w:tc>
          <w:tcPr>
            <w:tcW w:w="2680" w:type="dxa"/>
            <w:tcBorders>
              <w:top w:val="nil"/>
              <w:left w:val="nil"/>
              <w:bottom w:val="single" w:sz="4" w:space="0" w:color="auto"/>
              <w:right w:val="single" w:sz="4" w:space="0" w:color="auto"/>
            </w:tcBorders>
            <w:shd w:val="clear" w:color="auto" w:fill="auto"/>
            <w:noWrap/>
            <w:vAlign w:val="center"/>
            <w:hideMark/>
          </w:tcPr>
          <w:p w14:paraId="5BBA8CA6" w14:textId="77777777" w:rsidR="00B24652" w:rsidRPr="00B24652" w:rsidRDefault="00B24652" w:rsidP="00B24652">
            <w:pPr>
              <w:spacing w:line="240" w:lineRule="auto"/>
              <w:rPr>
                <w:color w:val="000000"/>
                <w:sz w:val="20"/>
                <w:szCs w:val="20"/>
              </w:rPr>
            </w:pPr>
            <w:r w:rsidRPr="00B24652">
              <w:rPr>
                <w:color w:val="000000"/>
                <w:sz w:val="20"/>
                <w:szCs w:val="20"/>
              </w:rPr>
              <w:t>3,6%</w:t>
            </w:r>
          </w:p>
        </w:tc>
      </w:tr>
      <w:tr w:rsidR="00B24652" w:rsidRPr="00B24652" w14:paraId="74BACD07"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3A441B5" w14:textId="77777777" w:rsidR="00B24652" w:rsidRPr="00B24652" w:rsidRDefault="00B24652" w:rsidP="00B24652">
            <w:pPr>
              <w:spacing w:line="240" w:lineRule="auto"/>
              <w:rPr>
                <w:color w:val="000000"/>
                <w:sz w:val="20"/>
                <w:szCs w:val="20"/>
              </w:rPr>
            </w:pPr>
            <w:r w:rsidRPr="00B24652">
              <w:rPr>
                <w:color w:val="000000"/>
                <w:sz w:val="20"/>
                <w:szCs w:val="20"/>
              </w:rPr>
              <w:t>КИDO</w:t>
            </w:r>
          </w:p>
        </w:tc>
        <w:tc>
          <w:tcPr>
            <w:tcW w:w="1920" w:type="dxa"/>
            <w:tcBorders>
              <w:top w:val="nil"/>
              <w:left w:val="nil"/>
              <w:bottom w:val="single" w:sz="4" w:space="0" w:color="auto"/>
              <w:right w:val="single" w:sz="4" w:space="0" w:color="auto"/>
            </w:tcBorders>
            <w:shd w:val="clear" w:color="auto" w:fill="auto"/>
            <w:noWrap/>
            <w:vAlign w:val="center"/>
            <w:hideMark/>
          </w:tcPr>
          <w:p w14:paraId="0F79A881" w14:textId="77777777" w:rsidR="00B24652" w:rsidRPr="00B24652" w:rsidRDefault="00B24652" w:rsidP="00B24652">
            <w:pPr>
              <w:spacing w:line="240" w:lineRule="auto"/>
              <w:rPr>
                <w:sz w:val="20"/>
                <w:szCs w:val="20"/>
              </w:rPr>
            </w:pPr>
            <w:r w:rsidRPr="00B24652">
              <w:rPr>
                <w:sz w:val="20"/>
                <w:szCs w:val="20"/>
              </w:rPr>
              <w:t>7</w:t>
            </w:r>
          </w:p>
        </w:tc>
        <w:tc>
          <w:tcPr>
            <w:tcW w:w="2680" w:type="dxa"/>
            <w:tcBorders>
              <w:top w:val="nil"/>
              <w:left w:val="nil"/>
              <w:bottom w:val="single" w:sz="4" w:space="0" w:color="auto"/>
              <w:right w:val="single" w:sz="4" w:space="0" w:color="auto"/>
            </w:tcBorders>
            <w:shd w:val="clear" w:color="auto" w:fill="auto"/>
            <w:noWrap/>
            <w:vAlign w:val="center"/>
            <w:hideMark/>
          </w:tcPr>
          <w:p w14:paraId="494217FB" w14:textId="77777777" w:rsidR="00B24652" w:rsidRPr="00B24652" w:rsidRDefault="00B24652" w:rsidP="00B24652">
            <w:pPr>
              <w:spacing w:line="240" w:lineRule="auto"/>
              <w:rPr>
                <w:color w:val="000000"/>
                <w:sz w:val="20"/>
                <w:szCs w:val="20"/>
              </w:rPr>
            </w:pPr>
            <w:r w:rsidRPr="00B24652">
              <w:rPr>
                <w:color w:val="000000"/>
                <w:sz w:val="20"/>
                <w:szCs w:val="20"/>
              </w:rPr>
              <w:t>0,5%</w:t>
            </w:r>
          </w:p>
        </w:tc>
        <w:tc>
          <w:tcPr>
            <w:tcW w:w="2680" w:type="dxa"/>
            <w:tcBorders>
              <w:top w:val="nil"/>
              <w:left w:val="nil"/>
              <w:bottom w:val="single" w:sz="4" w:space="0" w:color="auto"/>
              <w:right w:val="single" w:sz="4" w:space="0" w:color="auto"/>
            </w:tcBorders>
            <w:shd w:val="clear" w:color="auto" w:fill="auto"/>
            <w:noWrap/>
            <w:vAlign w:val="center"/>
            <w:hideMark/>
          </w:tcPr>
          <w:p w14:paraId="079EDE17" w14:textId="77777777" w:rsidR="00B24652" w:rsidRPr="00B24652" w:rsidRDefault="00B24652" w:rsidP="00B24652">
            <w:pPr>
              <w:spacing w:line="240" w:lineRule="auto"/>
              <w:rPr>
                <w:color w:val="000000"/>
                <w:sz w:val="20"/>
                <w:szCs w:val="20"/>
              </w:rPr>
            </w:pPr>
            <w:r w:rsidRPr="00B24652">
              <w:rPr>
                <w:color w:val="000000"/>
                <w:sz w:val="20"/>
                <w:szCs w:val="20"/>
              </w:rPr>
              <w:t>3,6%</w:t>
            </w:r>
          </w:p>
        </w:tc>
      </w:tr>
      <w:tr w:rsidR="00B24652" w:rsidRPr="00B24652" w14:paraId="48BDE41B"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D5879FB" w14:textId="77777777" w:rsidR="00B24652" w:rsidRPr="00B24652" w:rsidRDefault="00B24652" w:rsidP="00B24652">
            <w:pPr>
              <w:spacing w:line="240" w:lineRule="auto"/>
              <w:rPr>
                <w:color w:val="000000"/>
                <w:sz w:val="20"/>
                <w:szCs w:val="20"/>
              </w:rPr>
            </w:pPr>
            <w:r w:rsidRPr="00B24652">
              <w:rPr>
                <w:color w:val="000000"/>
                <w:sz w:val="20"/>
                <w:szCs w:val="20"/>
              </w:rPr>
              <w:t>Manneken Pis</w:t>
            </w:r>
          </w:p>
        </w:tc>
        <w:tc>
          <w:tcPr>
            <w:tcW w:w="1920" w:type="dxa"/>
            <w:tcBorders>
              <w:top w:val="nil"/>
              <w:left w:val="nil"/>
              <w:bottom w:val="single" w:sz="4" w:space="0" w:color="auto"/>
              <w:right w:val="single" w:sz="4" w:space="0" w:color="auto"/>
            </w:tcBorders>
            <w:shd w:val="clear" w:color="auto" w:fill="auto"/>
            <w:noWrap/>
            <w:vAlign w:val="center"/>
            <w:hideMark/>
          </w:tcPr>
          <w:p w14:paraId="064C7684" w14:textId="77777777" w:rsidR="00B24652" w:rsidRPr="00B24652" w:rsidRDefault="00B24652" w:rsidP="00B24652">
            <w:pPr>
              <w:spacing w:line="240" w:lineRule="auto"/>
              <w:rPr>
                <w:sz w:val="20"/>
                <w:szCs w:val="20"/>
              </w:rPr>
            </w:pPr>
            <w:r w:rsidRPr="00B24652">
              <w:rPr>
                <w:sz w:val="20"/>
                <w:szCs w:val="20"/>
              </w:rPr>
              <w:t>6</w:t>
            </w:r>
          </w:p>
        </w:tc>
        <w:tc>
          <w:tcPr>
            <w:tcW w:w="2680" w:type="dxa"/>
            <w:tcBorders>
              <w:top w:val="nil"/>
              <w:left w:val="nil"/>
              <w:bottom w:val="single" w:sz="4" w:space="0" w:color="auto"/>
              <w:right w:val="single" w:sz="4" w:space="0" w:color="auto"/>
            </w:tcBorders>
            <w:shd w:val="clear" w:color="auto" w:fill="auto"/>
            <w:noWrap/>
            <w:vAlign w:val="center"/>
            <w:hideMark/>
          </w:tcPr>
          <w:p w14:paraId="3E6B61BF" w14:textId="77777777" w:rsidR="00B24652" w:rsidRPr="00B24652" w:rsidRDefault="00B24652" w:rsidP="00B24652">
            <w:pPr>
              <w:spacing w:line="240" w:lineRule="auto"/>
              <w:rPr>
                <w:color w:val="000000"/>
                <w:sz w:val="20"/>
                <w:szCs w:val="20"/>
              </w:rPr>
            </w:pPr>
            <w:r w:rsidRPr="00B24652">
              <w:rPr>
                <w:color w:val="000000"/>
                <w:sz w:val="20"/>
                <w:szCs w:val="20"/>
              </w:rPr>
              <w:t>0,4%</w:t>
            </w:r>
          </w:p>
        </w:tc>
        <w:tc>
          <w:tcPr>
            <w:tcW w:w="2680" w:type="dxa"/>
            <w:tcBorders>
              <w:top w:val="nil"/>
              <w:left w:val="nil"/>
              <w:bottom w:val="single" w:sz="4" w:space="0" w:color="auto"/>
              <w:right w:val="single" w:sz="4" w:space="0" w:color="auto"/>
            </w:tcBorders>
            <w:shd w:val="clear" w:color="auto" w:fill="auto"/>
            <w:noWrap/>
            <w:vAlign w:val="center"/>
            <w:hideMark/>
          </w:tcPr>
          <w:p w14:paraId="3891B447" w14:textId="77777777" w:rsidR="00B24652" w:rsidRPr="00B24652" w:rsidRDefault="00B24652" w:rsidP="00B24652">
            <w:pPr>
              <w:spacing w:line="240" w:lineRule="auto"/>
              <w:rPr>
                <w:color w:val="000000"/>
                <w:sz w:val="20"/>
                <w:szCs w:val="20"/>
              </w:rPr>
            </w:pPr>
            <w:r w:rsidRPr="00B24652">
              <w:rPr>
                <w:color w:val="000000"/>
                <w:sz w:val="20"/>
                <w:szCs w:val="20"/>
              </w:rPr>
              <w:t>3,1%</w:t>
            </w:r>
          </w:p>
        </w:tc>
      </w:tr>
      <w:tr w:rsidR="00B24652" w:rsidRPr="00B24652" w14:paraId="7A236FE4"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7E4B142" w14:textId="77777777" w:rsidR="00B24652" w:rsidRPr="00B24652" w:rsidRDefault="00B24652" w:rsidP="00B24652">
            <w:pPr>
              <w:spacing w:line="240" w:lineRule="auto"/>
              <w:rPr>
                <w:color w:val="000000"/>
                <w:sz w:val="20"/>
                <w:szCs w:val="20"/>
              </w:rPr>
            </w:pPr>
            <w:r w:rsidRPr="00B24652">
              <w:rPr>
                <w:color w:val="000000"/>
                <w:sz w:val="20"/>
                <w:szCs w:val="20"/>
              </w:rPr>
              <w:t>Толстый Фраер</w:t>
            </w:r>
          </w:p>
        </w:tc>
        <w:tc>
          <w:tcPr>
            <w:tcW w:w="1920" w:type="dxa"/>
            <w:tcBorders>
              <w:top w:val="nil"/>
              <w:left w:val="nil"/>
              <w:bottom w:val="single" w:sz="4" w:space="0" w:color="auto"/>
              <w:right w:val="single" w:sz="4" w:space="0" w:color="auto"/>
            </w:tcBorders>
            <w:shd w:val="clear" w:color="auto" w:fill="auto"/>
            <w:noWrap/>
            <w:vAlign w:val="center"/>
            <w:hideMark/>
          </w:tcPr>
          <w:p w14:paraId="5B70F576" w14:textId="77777777" w:rsidR="00B24652" w:rsidRPr="00B24652" w:rsidRDefault="00B24652" w:rsidP="00B24652">
            <w:pPr>
              <w:spacing w:line="240" w:lineRule="auto"/>
              <w:rPr>
                <w:sz w:val="20"/>
                <w:szCs w:val="20"/>
              </w:rPr>
            </w:pPr>
            <w:r w:rsidRPr="00B24652">
              <w:rPr>
                <w:sz w:val="20"/>
                <w:szCs w:val="20"/>
              </w:rPr>
              <w:t>6</w:t>
            </w:r>
          </w:p>
        </w:tc>
        <w:tc>
          <w:tcPr>
            <w:tcW w:w="2680" w:type="dxa"/>
            <w:tcBorders>
              <w:top w:val="nil"/>
              <w:left w:val="nil"/>
              <w:bottom w:val="single" w:sz="4" w:space="0" w:color="auto"/>
              <w:right w:val="single" w:sz="4" w:space="0" w:color="auto"/>
            </w:tcBorders>
            <w:shd w:val="clear" w:color="auto" w:fill="auto"/>
            <w:noWrap/>
            <w:vAlign w:val="center"/>
            <w:hideMark/>
          </w:tcPr>
          <w:p w14:paraId="17858A75" w14:textId="77777777" w:rsidR="00B24652" w:rsidRPr="00B24652" w:rsidRDefault="00B24652" w:rsidP="00B24652">
            <w:pPr>
              <w:spacing w:line="240" w:lineRule="auto"/>
              <w:rPr>
                <w:color w:val="000000"/>
                <w:sz w:val="20"/>
                <w:szCs w:val="20"/>
              </w:rPr>
            </w:pPr>
            <w:r w:rsidRPr="00B24652">
              <w:rPr>
                <w:color w:val="000000"/>
                <w:sz w:val="20"/>
                <w:szCs w:val="20"/>
              </w:rPr>
              <w:t>0,4%</w:t>
            </w:r>
          </w:p>
        </w:tc>
        <w:tc>
          <w:tcPr>
            <w:tcW w:w="2680" w:type="dxa"/>
            <w:tcBorders>
              <w:top w:val="nil"/>
              <w:left w:val="nil"/>
              <w:bottom w:val="single" w:sz="4" w:space="0" w:color="auto"/>
              <w:right w:val="single" w:sz="4" w:space="0" w:color="auto"/>
            </w:tcBorders>
            <w:shd w:val="clear" w:color="auto" w:fill="auto"/>
            <w:noWrap/>
            <w:vAlign w:val="center"/>
            <w:hideMark/>
          </w:tcPr>
          <w:p w14:paraId="791D7521" w14:textId="77777777" w:rsidR="00B24652" w:rsidRPr="00B24652" w:rsidRDefault="00B24652" w:rsidP="00B24652">
            <w:pPr>
              <w:spacing w:line="240" w:lineRule="auto"/>
              <w:rPr>
                <w:color w:val="000000"/>
                <w:sz w:val="20"/>
                <w:szCs w:val="20"/>
              </w:rPr>
            </w:pPr>
            <w:r w:rsidRPr="00B24652">
              <w:rPr>
                <w:color w:val="000000"/>
                <w:sz w:val="20"/>
                <w:szCs w:val="20"/>
              </w:rPr>
              <w:t>3,1%</w:t>
            </w:r>
          </w:p>
        </w:tc>
      </w:tr>
      <w:tr w:rsidR="00B24652" w:rsidRPr="00B24652" w14:paraId="4D6D3D0E" w14:textId="77777777" w:rsidTr="00BA1E3E">
        <w:trPr>
          <w:trHeight w:val="31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C88763D" w14:textId="77777777" w:rsidR="00B24652" w:rsidRPr="00B24652" w:rsidRDefault="00B24652" w:rsidP="00B24652">
            <w:pPr>
              <w:spacing w:line="240" w:lineRule="auto"/>
              <w:rPr>
                <w:color w:val="000000"/>
                <w:sz w:val="20"/>
                <w:szCs w:val="20"/>
              </w:rPr>
            </w:pPr>
            <w:r w:rsidRPr="00B24652">
              <w:rPr>
                <w:color w:val="000000"/>
                <w:sz w:val="20"/>
                <w:szCs w:val="20"/>
              </w:rPr>
              <w:t>Остальное</w:t>
            </w:r>
          </w:p>
        </w:tc>
        <w:tc>
          <w:tcPr>
            <w:tcW w:w="1920" w:type="dxa"/>
            <w:tcBorders>
              <w:top w:val="nil"/>
              <w:left w:val="nil"/>
              <w:bottom w:val="single" w:sz="4" w:space="0" w:color="auto"/>
              <w:right w:val="single" w:sz="4" w:space="0" w:color="auto"/>
            </w:tcBorders>
            <w:shd w:val="clear" w:color="auto" w:fill="auto"/>
            <w:noWrap/>
            <w:vAlign w:val="center"/>
            <w:hideMark/>
          </w:tcPr>
          <w:p w14:paraId="5A2CD81A" w14:textId="77777777" w:rsidR="00B24652" w:rsidRPr="00B24652" w:rsidRDefault="00B24652" w:rsidP="00B24652">
            <w:pPr>
              <w:spacing w:line="240" w:lineRule="auto"/>
              <w:rPr>
                <w:color w:val="000000"/>
                <w:sz w:val="20"/>
                <w:szCs w:val="20"/>
              </w:rPr>
            </w:pPr>
            <w:r w:rsidRPr="00B24652">
              <w:rPr>
                <w:color w:val="000000"/>
                <w:sz w:val="20"/>
                <w:szCs w:val="20"/>
              </w:rPr>
              <w:t>75</w:t>
            </w:r>
          </w:p>
        </w:tc>
        <w:tc>
          <w:tcPr>
            <w:tcW w:w="2680" w:type="dxa"/>
            <w:tcBorders>
              <w:top w:val="nil"/>
              <w:left w:val="nil"/>
              <w:bottom w:val="single" w:sz="4" w:space="0" w:color="auto"/>
              <w:right w:val="single" w:sz="4" w:space="0" w:color="auto"/>
            </w:tcBorders>
            <w:shd w:val="clear" w:color="auto" w:fill="auto"/>
            <w:noWrap/>
            <w:vAlign w:val="center"/>
            <w:hideMark/>
          </w:tcPr>
          <w:p w14:paraId="056B4467" w14:textId="77777777" w:rsidR="00B24652" w:rsidRPr="00B24652" w:rsidRDefault="00B24652" w:rsidP="00B24652">
            <w:pPr>
              <w:spacing w:line="240" w:lineRule="auto"/>
              <w:rPr>
                <w:color w:val="000000"/>
                <w:sz w:val="22"/>
              </w:rPr>
            </w:pPr>
            <w:r w:rsidRPr="00B24652">
              <w:rPr>
                <w:color w:val="000000"/>
                <w:sz w:val="22"/>
                <w:szCs w:val="22"/>
              </w:rPr>
              <w:t>5,1%</w:t>
            </w:r>
          </w:p>
        </w:tc>
        <w:tc>
          <w:tcPr>
            <w:tcW w:w="2680" w:type="dxa"/>
            <w:tcBorders>
              <w:top w:val="nil"/>
              <w:left w:val="nil"/>
              <w:bottom w:val="single" w:sz="4" w:space="0" w:color="auto"/>
              <w:right w:val="single" w:sz="4" w:space="0" w:color="auto"/>
            </w:tcBorders>
            <w:shd w:val="clear" w:color="auto" w:fill="auto"/>
            <w:noWrap/>
            <w:vAlign w:val="center"/>
            <w:hideMark/>
          </w:tcPr>
          <w:p w14:paraId="7F2BC68E" w14:textId="77777777" w:rsidR="00B24652" w:rsidRPr="00B24652" w:rsidRDefault="00B24652" w:rsidP="00B24652">
            <w:pPr>
              <w:spacing w:line="240" w:lineRule="auto"/>
              <w:rPr>
                <w:color w:val="000000"/>
                <w:sz w:val="22"/>
              </w:rPr>
            </w:pPr>
            <w:r w:rsidRPr="00B24652">
              <w:rPr>
                <w:color w:val="000000"/>
                <w:sz w:val="22"/>
                <w:szCs w:val="22"/>
              </w:rPr>
              <w:t>38,3%</w:t>
            </w:r>
          </w:p>
        </w:tc>
      </w:tr>
    </w:tbl>
    <w:p w14:paraId="72CC2B82" w14:textId="77777777" w:rsidR="00B24652" w:rsidRPr="00B24652" w:rsidRDefault="00B24652" w:rsidP="00B24652">
      <w:pPr>
        <w:spacing w:after="160"/>
        <w:rPr>
          <w:rFonts w:eastAsiaTheme="minorHAnsi"/>
          <w:szCs w:val="22"/>
          <w:lang w:eastAsia="en-US"/>
        </w:rPr>
      </w:pPr>
      <w:r w:rsidRPr="00B24652">
        <w:rPr>
          <w:rFonts w:eastAsiaTheme="minorHAnsi"/>
          <w:szCs w:val="22"/>
          <w:lang w:eastAsia="en-US"/>
        </w:rPr>
        <w:t xml:space="preserve">* </w:t>
      </w:r>
      <w:r w:rsidRPr="00B24652">
        <w:rPr>
          <w:rFonts w:eastAsiaTheme="minorHAnsi"/>
          <w:sz w:val="22"/>
          <w:szCs w:val="20"/>
          <w:lang w:eastAsia="en-US"/>
        </w:rPr>
        <w:t>Составлено автором на основе данных 2ГИС</w:t>
      </w:r>
    </w:p>
    <w:p w14:paraId="1DAE09DF" w14:textId="48EC87DA"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Аналогично анализу рынка алкогольной розницы, был</w:t>
      </w:r>
      <w:r w:rsidR="00EF545E">
        <w:rPr>
          <w:rFonts w:eastAsiaTheme="minorHAnsi"/>
          <w:szCs w:val="22"/>
          <w:lang w:eastAsia="en-US"/>
        </w:rPr>
        <w:t>а</w:t>
      </w:r>
      <w:r w:rsidRPr="00B24652">
        <w:rPr>
          <w:rFonts w:eastAsiaTheme="minorHAnsi"/>
          <w:szCs w:val="22"/>
          <w:lang w:eastAsia="en-US"/>
        </w:rPr>
        <w:t xml:space="preserve"> рассмотрена дифференциация заведений по принадлежности к сети, графикам работы, структура круглосуточных объектов общественного питания.</w:t>
      </w:r>
    </w:p>
    <w:p w14:paraId="38BD7C5D" w14:textId="1618D9C6"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К «сетевым» питейным заведениям были отнесены, как и при анализе алкогольных магазинов, те, число филиалов которых составляет 4 торговых объекта и более. В результате было выделено 196 объектов, относящихся к сетям, что составило 13% от общего числа объектов данной отрасли Санкт-Петербурга (Рисунок </w:t>
      </w:r>
      <w:r w:rsidR="003948EE">
        <w:rPr>
          <w:rFonts w:eastAsiaTheme="minorHAnsi"/>
          <w:szCs w:val="22"/>
          <w:lang w:eastAsia="en-US"/>
        </w:rPr>
        <w:t>13</w:t>
      </w:r>
      <w:r w:rsidRPr="00B24652">
        <w:rPr>
          <w:rFonts w:eastAsiaTheme="minorHAnsi"/>
          <w:szCs w:val="22"/>
          <w:lang w:eastAsia="en-US"/>
        </w:rPr>
        <w:t xml:space="preserve">). </w:t>
      </w:r>
    </w:p>
    <w:p w14:paraId="5858D925"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lastRenderedPageBreak/>
        <w:drawing>
          <wp:inline distT="0" distB="0" distL="0" distR="0" wp14:anchorId="3A68C1ED" wp14:editId="5FE4849A">
            <wp:extent cx="3502946" cy="2381062"/>
            <wp:effectExtent l="0" t="0" r="2540" b="635"/>
            <wp:docPr id="5" name="Picture 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pie char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1866" cy="2407517"/>
                    </a:xfrm>
                    <a:prstGeom prst="rect">
                      <a:avLst/>
                    </a:prstGeom>
                    <a:noFill/>
                  </pic:spPr>
                </pic:pic>
              </a:graphicData>
            </a:graphic>
          </wp:inline>
        </w:drawing>
      </w:r>
    </w:p>
    <w:p w14:paraId="638F46B7" w14:textId="6CCA58CC" w:rsidR="00B24652" w:rsidRPr="00B24652" w:rsidRDefault="00B24652" w:rsidP="00B24652">
      <w:pPr>
        <w:spacing w:line="240" w:lineRule="auto"/>
        <w:rPr>
          <w:rFonts w:eastAsiaTheme="minorHAnsi"/>
          <w:bCs/>
          <w:iCs/>
          <w:lang w:eastAsia="en-US"/>
        </w:rPr>
      </w:pPr>
      <w:r w:rsidRPr="00B24652">
        <w:rPr>
          <w:rFonts w:eastAsiaTheme="minorHAnsi"/>
          <w:lang w:eastAsia="en-US"/>
        </w:rPr>
        <w:t>Рисунок 1</w:t>
      </w:r>
      <w:r w:rsidR="003948EE">
        <w:rPr>
          <w:rFonts w:eastAsiaTheme="minorHAnsi"/>
          <w:lang w:eastAsia="en-US"/>
        </w:rPr>
        <w:t>3</w:t>
      </w:r>
      <w:r w:rsidRPr="00B24652">
        <w:rPr>
          <w:rFonts w:eastAsiaTheme="minorHAnsi"/>
          <w:lang w:eastAsia="en-US"/>
        </w:rPr>
        <w:t xml:space="preserve">. </w:t>
      </w:r>
      <w:r w:rsidRPr="00B24652">
        <w:rPr>
          <w:rFonts w:eastAsiaTheme="minorHAnsi"/>
          <w:bCs/>
          <w:iCs/>
          <w:lang w:eastAsia="en-US"/>
        </w:rPr>
        <w:t>Структура рынка питейных заведений Санкт-Петербурга</w:t>
      </w:r>
    </w:p>
    <w:p w14:paraId="0A98D85D"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24B12142" w14:textId="7AB94B63"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Таким образом, сравнительно с рынком алкогольной розницы, для рынка питейных заведений доля сетей в общей структуре торговых точек значительно ниже (13% против 73%). На Рисунке </w:t>
      </w:r>
      <w:r w:rsidR="003948EE">
        <w:rPr>
          <w:rFonts w:eastAsiaTheme="minorHAnsi"/>
          <w:szCs w:val="22"/>
          <w:lang w:eastAsia="en-US"/>
        </w:rPr>
        <w:t>14</w:t>
      </w:r>
      <w:r w:rsidRPr="00B24652">
        <w:rPr>
          <w:rFonts w:eastAsiaTheme="minorHAnsi"/>
          <w:szCs w:val="22"/>
          <w:lang w:eastAsia="en-US"/>
        </w:rPr>
        <w:t xml:space="preserve"> представлены крупнейшие сети питейных заведений Санкт-Петербурга.</w:t>
      </w:r>
    </w:p>
    <w:p w14:paraId="3A55A0AB"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5CBFEA2D" wp14:editId="56A155B5">
            <wp:extent cx="3848432" cy="3072701"/>
            <wp:effectExtent l="0" t="0" r="0" b="0"/>
            <wp:docPr id="10" name="Picture 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pie char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74419" cy="3093450"/>
                    </a:xfrm>
                    <a:prstGeom prst="rect">
                      <a:avLst/>
                    </a:prstGeom>
                    <a:noFill/>
                  </pic:spPr>
                </pic:pic>
              </a:graphicData>
            </a:graphic>
          </wp:inline>
        </w:drawing>
      </w:r>
    </w:p>
    <w:p w14:paraId="020182BD" w14:textId="58D8A168"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14</w:t>
      </w:r>
      <w:r w:rsidRPr="00B24652">
        <w:rPr>
          <w:rFonts w:eastAsiaTheme="minorHAnsi"/>
          <w:lang w:eastAsia="en-US"/>
        </w:rPr>
        <w:t xml:space="preserve">. </w:t>
      </w:r>
      <w:r w:rsidRPr="00B24652">
        <w:rPr>
          <w:rFonts w:eastAsiaTheme="minorHAnsi"/>
          <w:bCs/>
          <w:iCs/>
          <w:lang w:eastAsia="en-US"/>
        </w:rPr>
        <w:t>Крупнейшие сети питейных заведений Санкт-Петербурга</w:t>
      </w:r>
    </w:p>
    <w:p w14:paraId="0F012C22"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3B06D2EB" w14:textId="627B28C0"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В структуре графиков работы питейных заведений было выделено 11 категорий (Рисунок </w:t>
      </w:r>
      <w:r w:rsidR="003948EE">
        <w:rPr>
          <w:rFonts w:eastAsiaTheme="minorHAnsi"/>
          <w:szCs w:val="22"/>
          <w:lang w:eastAsia="en-US"/>
        </w:rPr>
        <w:t>1</w:t>
      </w:r>
      <w:r w:rsidRPr="00B24652">
        <w:rPr>
          <w:rFonts w:eastAsiaTheme="minorHAnsi"/>
          <w:szCs w:val="22"/>
          <w:lang w:eastAsia="en-US"/>
        </w:rPr>
        <w:t>5). Основными рабочими часами для питейных заведений является график с 12:00 до 23:00 (215 объектов). Также значительное количество заведений работает с 11:00 до 23:00 (118) и с 12:00 до 02:00 (84). Особенностью структуры графиков работы является сильная их дифференциация, о чем говорит численность заведений, отнесенных к категории «Остальное» (760 штук).</w:t>
      </w:r>
    </w:p>
    <w:p w14:paraId="0FD6658E"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lastRenderedPageBreak/>
        <w:drawing>
          <wp:inline distT="0" distB="0" distL="0" distR="0" wp14:anchorId="72F38C71" wp14:editId="0A3B7A36">
            <wp:extent cx="5009321" cy="2385889"/>
            <wp:effectExtent l="0" t="0" r="0" b="0"/>
            <wp:docPr id="11" name="Picture 1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54730" cy="2407517"/>
                    </a:xfrm>
                    <a:prstGeom prst="rect">
                      <a:avLst/>
                    </a:prstGeom>
                    <a:noFill/>
                  </pic:spPr>
                </pic:pic>
              </a:graphicData>
            </a:graphic>
          </wp:inline>
        </w:drawing>
      </w:r>
    </w:p>
    <w:p w14:paraId="2F02A672" w14:textId="2EE7AB43" w:rsidR="00B24652" w:rsidRPr="00B24652" w:rsidRDefault="00B24652" w:rsidP="00B24652">
      <w:pPr>
        <w:spacing w:line="240" w:lineRule="auto"/>
        <w:rPr>
          <w:rFonts w:eastAsiaTheme="minorHAnsi"/>
          <w:bCs/>
          <w:iCs/>
          <w:sz w:val="22"/>
          <w:szCs w:val="22"/>
          <w:lang w:eastAsia="en-US"/>
        </w:rPr>
      </w:pPr>
      <w:r w:rsidRPr="00B24652">
        <w:rPr>
          <w:rFonts w:eastAsiaTheme="minorHAnsi"/>
          <w:lang w:eastAsia="en-US"/>
        </w:rPr>
        <w:t xml:space="preserve">Рисунок </w:t>
      </w:r>
      <w:r w:rsidR="003948EE">
        <w:rPr>
          <w:rFonts w:eastAsiaTheme="minorHAnsi"/>
          <w:lang w:eastAsia="en-US"/>
        </w:rPr>
        <w:t>1</w:t>
      </w:r>
      <w:r w:rsidRPr="00B24652">
        <w:rPr>
          <w:rFonts w:eastAsiaTheme="minorHAnsi"/>
          <w:lang w:eastAsia="en-US"/>
        </w:rPr>
        <w:t xml:space="preserve">5. </w:t>
      </w:r>
      <w:r w:rsidRPr="00B24652">
        <w:rPr>
          <w:rFonts w:eastAsiaTheme="minorHAnsi"/>
          <w:bCs/>
          <w:iCs/>
          <w:lang w:eastAsia="en-US"/>
        </w:rPr>
        <w:t>Графики работы питейных заведений Санкт-Петербурга</w:t>
      </w:r>
    </w:p>
    <w:p w14:paraId="13B81D30"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*Составлено автором на основе данных 2ГИС</w:t>
      </w:r>
    </w:p>
    <w:p w14:paraId="19446FA4" w14:textId="5130C099" w:rsidR="00B24652" w:rsidRPr="00B24652" w:rsidRDefault="00B24652" w:rsidP="00B24652">
      <w:pPr>
        <w:tabs>
          <w:tab w:val="left" w:pos="2937"/>
        </w:tabs>
        <w:ind w:firstLine="851"/>
        <w:jc w:val="both"/>
        <w:rPr>
          <w:rFonts w:eastAsiaTheme="minorHAnsi"/>
          <w:szCs w:val="22"/>
          <w:lang w:eastAsia="en-US"/>
        </w:rPr>
      </w:pPr>
      <w:r w:rsidRPr="00B24652">
        <w:rPr>
          <w:rFonts w:eastAsiaTheme="minorHAnsi"/>
          <w:szCs w:val="22"/>
          <w:lang w:eastAsia="en-US"/>
        </w:rPr>
        <w:t>К круглосуточным питейным заведениям было отнесено 62 объекта. Из этой совокупности к «сетевым» было отнесено лишь 5 филиалов «Feromon Group» и по одному филиалу сетей «Жигули», «Пинта», «Del Mar» и «Хачапури». Остальные объекты являются несетевыми питейными заведениями</w:t>
      </w:r>
      <w:r w:rsidRPr="00B24652">
        <w:rPr>
          <w:rFonts w:eastAsiaTheme="minorHAnsi"/>
          <w:szCs w:val="22"/>
          <w:lang w:val="en-US" w:eastAsia="en-US"/>
        </w:rPr>
        <w:t xml:space="preserve"> (</w:t>
      </w:r>
      <w:r w:rsidRPr="00B24652">
        <w:rPr>
          <w:rFonts w:eastAsiaTheme="minorHAnsi"/>
          <w:szCs w:val="22"/>
          <w:lang w:eastAsia="en-US"/>
        </w:rPr>
        <w:t xml:space="preserve">Рисунок </w:t>
      </w:r>
      <w:r w:rsidR="003948EE">
        <w:rPr>
          <w:rFonts w:eastAsiaTheme="minorHAnsi"/>
          <w:szCs w:val="22"/>
          <w:lang w:eastAsia="en-US"/>
        </w:rPr>
        <w:t>16</w:t>
      </w:r>
      <w:r w:rsidRPr="00B24652">
        <w:rPr>
          <w:rFonts w:eastAsiaTheme="minorHAnsi"/>
          <w:szCs w:val="22"/>
          <w:lang w:eastAsia="en-US"/>
        </w:rPr>
        <w:t>).</w:t>
      </w:r>
    </w:p>
    <w:p w14:paraId="717B98B4" w14:textId="77777777" w:rsidR="00B24652" w:rsidRPr="00B24652" w:rsidRDefault="00B24652" w:rsidP="00B24652">
      <w:pPr>
        <w:tabs>
          <w:tab w:val="left" w:pos="2937"/>
        </w:tabs>
        <w:spacing w:before="160"/>
        <w:rPr>
          <w:rFonts w:eastAsiaTheme="minorHAnsi"/>
          <w:szCs w:val="22"/>
          <w:lang w:eastAsia="en-US"/>
        </w:rPr>
      </w:pPr>
      <w:r w:rsidRPr="00B24652">
        <w:rPr>
          <w:rFonts w:eastAsiaTheme="minorHAnsi"/>
          <w:noProof/>
          <w:szCs w:val="22"/>
          <w:lang w:eastAsia="en-US"/>
        </w:rPr>
        <w:drawing>
          <wp:inline distT="0" distB="0" distL="0" distR="0" wp14:anchorId="68D1BC1F" wp14:editId="3C126C73">
            <wp:extent cx="2782956" cy="1855305"/>
            <wp:effectExtent l="0" t="0" r="0" b="0"/>
            <wp:docPr id="18" name="Picture 1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pie chart&#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370" t="11734" r="5623" b="15181"/>
                    <a:stretch/>
                  </pic:blipFill>
                  <pic:spPr bwMode="auto">
                    <a:xfrm>
                      <a:off x="0" y="0"/>
                      <a:ext cx="2814676" cy="1876451"/>
                    </a:xfrm>
                    <a:prstGeom prst="rect">
                      <a:avLst/>
                    </a:prstGeom>
                    <a:noFill/>
                    <a:ln>
                      <a:noFill/>
                    </a:ln>
                    <a:extLst>
                      <a:ext uri="{53640926-AAD7-44D8-BBD7-CCE9431645EC}">
                        <a14:shadowObscured xmlns:a14="http://schemas.microsoft.com/office/drawing/2010/main"/>
                      </a:ext>
                    </a:extLst>
                  </pic:spPr>
                </pic:pic>
              </a:graphicData>
            </a:graphic>
          </wp:inline>
        </w:drawing>
      </w:r>
    </w:p>
    <w:p w14:paraId="2D9E1F16" w14:textId="0808EB8E"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16</w:t>
      </w:r>
      <w:r w:rsidRPr="00B24652">
        <w:rPr>
          <w:rFonts w:eastAsiaTheme="minorHAnsi"/>
          <w:lang w:eastAsia="en-US"/>
        </w:rPr>
        <w:t xml:space="preserve">. </w:t>
      </w:r>
      <w:r w:rsidRPr="00B24652">
        <w:rPr>
          <w:rFonts w:eastAsiaTheme="minorHAnsi"/>
          <w:bCs/>
          <w:iCs/>
          <w:lang w:eastAsia="en-US"/>
        </w:rPr>
        <w:t>Структура круглосуточные питейных заведений Санкт-Петербурга</w:t>
      </w:r>
    </w:p>
    <w:p w14:paraId="261B65D6" w14:textId="77777777" w:rsidR="00B24652" w:rsidRPr="00B24652" w:rsidRDefault="00B24652" w:rsidP="00B24652">
      <w:pPr>
        <w:rPr>
          <w:rFonts w:eastAsiaTheme="minorHAnsi"/>
          <w:lang w:eastAsia="en-US"/>
        </w:rPr>
      </w:pPr>
      <w:r w:rsidRPr="00B24652">
        <w:rPr>
          <w:rFonts w:eastAsiaTheme="minorHAnsi"/>
          <w:bCs/>
          <w:iCs/>
          <w:sz w:val="22"/>
          <w:szCs w:val="20"/>
          <w:lang w:eastAsia="en-US"/>
        </w:rPr>
        <w:t>* Составлено автором на основе данных 2ГИС</w:t>
      </w:r>
    </w:p>
    <w:p w14:paraId="041E8A3A" w14:textId="0EC67FA9" w:rsidR="00B24652" w:rsidRPr="00B24652" w:rsidRDefault="00B24652" w:rsidP="00B24652">
      <w:pPr>
        <w:keepNext/>
        <w:keepLines/>
        <w:spacing w:before="160" w:after="160"/>
        <w:outlineLvl w:val="2"/>
        <w:rPr>
          <w:rFonts w:eastAsiaTheme="majorEastAsia"/>
          <w:b/>
          <w:bCs/>
          <w:color w:val="1F3763" w:themeColor="accent1" w:themeShade="7F"/>
          <w:lang w:eastAsia="en-US"/>
        </w:rPr>
      </w:pPr>
      <w:bookmarkStart w:id="17" w:name="_Toc103641029"/>
      <w:r w:rsidRPr="00B24652">
        <w:rPr>
          <w:rFonts w:eastAsiaTheme="majorEastAsia"/>
          <w:b/>
          <w:bCs/>
          <w:lang w:eastAsia="en-US"/>
        </w:rPr>
        <w:t>2.</w:t>
      </w:r>
      <w:r w:rsidR="008447A6">
        <w:rPr>
          <w:rFonts w:eastAsiaTheme="majorEastAsia"/>
          <w:b/>
          <w:bCs/>
          <w:lang w:eastAsia="en-US"/>
        </w:rPr>
        <w:t>4</w:t>
      </w:r>
      <w:r w:rsidRPr="00B24652">
        <w:rPr>
          <w:rFonts w:eastAsiaTheme="majorEastAsia"/>
          <w:b/>
          <w:bCs/>
          <w:lang w:eastAsia="en-US"/>
        </w:rPr>
        <w:t>.3</w:t>
      </w:r>
      <w:r w:rsidR="005A72AE" w:rsidRPr="003948EE">
        <w:rPr>
          <w:rFonts w:eastAsiaTheme="majorEastAsia"/>
          <w:b/>
          <w:bCs/>
          <w:lang w:eastAsia="en-US"/>
        </w:rPr>
        <w:t>.</w:t>
      </w:r>
      <w:r w:rsidRPr="00B24652">
        <w:rPr>
          <w:rFonts w:eastAsiaTheme="majorEastAsia"/>
          <w:b/>
          <w:bCs/>
          <w:lang w:eastAsia="en-US"/>
        </w:rPr>
        <w:t xml:space="preserve"> Состояние рынка пекарен</w:t>
      </w:r>
      <w:bookmarkEnd w:id="17"/>
    </w:p>
    <w:p w14:paraId="22A9917D" w14:textId="46FC06DD" w:rsidR="00B24652" w:rsidRPr="00B24652" w:rsidRDefault="00B24652" w:rsidP="00B24652">
      <w:pPr>
        <w:spacing w:before="160"/>
        <w:ind w:firstLine="851"/>
        <w:jc w:val="both"/>
        <w:rPr>
          <w:rFonts w:eastAsiaTheme="minorHAnsi"/>
          <w:lang w:eastAsia="en-US"/>
        </w:rPr>
      </w:pPr>
      <w:r w:rsidRPr="00B24652">
        <w:rPr>
          <w:rFonts w:eastAsiaTheme="minorHAnsi"/>
          <w:lang w:eastAsia="en-US"/>
        </w:rPr>
        <w:t>Начиная с 2010 года в России идет последовательное снижение потребления хлеба (</w:t>
      </w:r>
      <w:r w:rsidR="003948EE">
        <w:rPr>
          <w:rFonts w:eastAsiaTheme="minorHAnsi"/>
          <w:lang w:eastAsia="en-US"/>
        </w:rPr>
        <w:t>Рисунок 17</w:t>
      </w:r>
      <w:r w:rsidRPr="00B24652">
        <w:rPr>
          <w:rFonts w:eastAsiaTheme="minorHAnsi"/>
          <w:lang w:eastAsia="en-US"/>
        </w:rPr>
        <w:t xml:space="preserve">), что обусловлено как расширением рациона питания среди населения, так и популяризацией здорового, легкого и диетического питания. </w:t>
      </w:r>
      <w:r w:rsidR="00465D12" w:rsidRPr="00465D12">
        <w:rPr>
          <w:rFonts w:eastAsiaTheme="minorHAnsi"/>
          <w:lang w:eastAsia="en-US"/>
        </w:rPr>
        <w:t>В 2017-2019гг.  на рынке наблюдалась стагнация потребления хлебобулочной продукции, смещение спроса в более дешевый сегмент, снижение спроса на дорогие сорта хлеба и сдобные изделия</w:t>
      </w:r>
      <w:r w:rsidR="00465D12">
        <w:rPr>
          <w:rFonts w:eastAsiaTheme="minorHAnsi"/>
          <w:lang w:eastAsia="en-US"/>
        </w:rPr>
        <w:t xml:space="preserve"> (</w:t>
      </w:r>
      <w:r w:rsidR="00465D12">
        <w:rPr>
          <w:rFonts w:eastAsiaTheme="minorHAnsi"/>
          <w:lang w:val="en-US" w:eastAsia="en-US"/>
        </w:rPr>
        <w:t>Neoanalytics</w:t>
      </w:r>
      <w:r w:rsidR="00465D12">
        <w:rPr>
          <w:rFonts w:eastAsiaTheme="minorHAnsi"/>
          <w:lang w:eastAsia="en-US"/>
        </w:rPr>
        <w:t>, 2020)</w:t>
      </w:r>
      <w:r w:rsidR="00465D12" w:rsidRPr="00465D12">
        <w:rPr>
          <w:rFonts w:eastAsiaTheme="minorHAnsi"/>
          <w:lang w:eastAsia="en-US"/>
        </w:rPr>
        <w:t>.</w:t>
      </w:r>
      <w:r w:rsidR="00465D12">
        <w:rPr>
          <w:rFonts w:eastAsiaTheme="minorHAnsi"/>
          <w:lang w:eastAsia="en-US"/>
        </w:rPr>
        <w:t xml:space="preserve"> </w:t>
      </w:r>
      <w:r w:rsidRPr="00B24652">
        <w:rPr>
          <w:rFonts w:eastAsiaTheme="minorHAnsi"/>
          <w:lang w:eastAsia="en-US"/>
        </w:rPr>
        <w:t>Вследствие снижения потребления хлебных продуктов уменьшаются объемы производства (</w:t>
      </w:r>
      <w:r w:rsidR="003948EE">
        <w:rPr>
          <w:rFonts w:eastAsiaTheme="minorHAnsi"/>
          <w:lang w:eastAsia="en-US"/>
        </w:rPr>
        <w:t>Рисунки 18-19</w:t>
      </w:r>
      <w:r w:rsidRPr="00B24652">
        <w:rPr>
          <w:rFonts w:eastAsiaTheme="minorHAnsi"/>
          <w:lang w:eastAsia="en-US"/>
        </w:rPr>
        <w:t xml:space="preserve">). С 2010 года объем выпуска мучных изделий снизился на 23,7%. Согласно Росстату, объем потребления хлебобулочных изделий в Санкт-Петербурге за период с 2010 по 2020 годы подвергался колебаниям. На конец 2020 года потребление </w:t>
      </w:r>
      <w:r w:rsidRPr="00B24652">
        <w:rPr>
          <w:rFonts w:eastAsiaTheme="minorHAnsi"/>
          <w:lang w:eastAsia="en-US"/>
        </w:rPr>
        <w:lastRenderedPageBreak/>
        <w:t xml:space="preserve">хлеба среднестатистическим петербуржцем составило 87 кг, что на 25% меньше, чем в среднем по России (116 </w:t>
      </w:r>
      <w:proofErr w:type="gramStart"/>
      <w:r w:rsidRPr="00B24652">
        <w:rPr>
          <w:rFonts w:eastAsiaTheme="minorHAnsi"/>
          <w:lang w:eastAsia="en-US"/>
        </w:rPr>
        <w:t>кг.</w:t>
      </w:r>
      <w:proofErr w:type="gramEnd"/>
      <w:r w:rsidRPr="00B24652">
        <w:rPr>
          <w:rFonts w:eastAsiaTheme="minorHAnsi"/>
          <w:lang w:eastAsia="en-US"/>
        </w:rPr>
        <w:t>).</w:t>
      </w:r>
    </w:p>
    <w:p w14:paraId="5E3F27A6" w14:textId="77777777" w:rsidR="00B24652" w:rsidRPr="00B24652" w:rsidRDefault="00B24652" w:rsidP="00B24652">
      <w:pPr>
        <w:rPr>
          <w:rFonts w:eastAsiaTheme="minorHAnsi"/>
          <w:lang w:eastAsia="en-US"/>
        </w:rPr>
      </w:pPr>
      <w:r w:rsidRPr="00B24652">
        <w:rPr>
          <w:rFonts w:eastAsiaTheme="minorHAnsi"/>
          <w:noProof/>
          <w:szCs w:val="22"/>
          <w:lang w:eastAsia="en-US"/>
        </w:rPr>
        <w:drawing>
          <wp:inline distT="0" distB="0" distL="0" distR="0" wp14:anchorId="7484762C" wp14:editId="7A3C576E">
            <wp:extent cx="5164206" cy="2981739"/>
            <wp:effectExtent l="0" t="0" r="0" b="0"/>
            <wp:docPr id="9" name="Chart 9">
              <a:extLst xmlns:a="http://schemas.openxmlformats.org/drawingml/2006/main">
                <a:ext uri="{FF2B5EF4-FFF2-40B4-BE49-F238E27FC236}">
                  <a16:creationId xmlns:a16="http://schemas.microsoft.com/office/drawing/2014/main" id="{A3E2786A-3C9F-434B-9D68-8567E9FB6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7E0F0D5" w14:textId="146A6D9B" w:rsidR="00B24652" w:rsidRPr="00B24652" w:rsidRDefault="00B24652" w:rsidP="00B24652">
      <w:pPr>
        <w:spacing w:line="240" w:lineRule="auto"/>
        <w:rPr>
          <w:rFonts w:eastAsiaTheme="minorHAnsi"/>
          <w:bCs/>
          <w:iCs/>
          <w:lang w:eastAsia="en-US"/>
        </w:rPr>
      </w:pPr>
      <w:r w:rsidRPr="00B24652">
        <w:rPr>
          <w:rFonts w:eastAsiaTheme="minorHAnsi"/>
          <w:bCs/>
          <w:iCs/>
          <w:lang w:eastAsia="en-US"/>
        </w:rPr>
        <w:t xml:space="preserve">Рисунок </w:t>
      </w:r>
      <w:r w:rsidR="003948EE">
        <w:rPr>
          <w:rFonts w:eastAsiaTheme="minorHAnsi"/>
          <w:bCs/>
          <w:iCs/>
          <w:lang w:eastAsia="en-US"/>
        </w:rPr>
        <w:t>17</w:t>
      </w:r>
      <w:r w:rsidRPr="00B24652">
        <w:rPr>
          <w:rFonts w:eastAsiaTheme="minorHAnsi"/>
          <w:bCs/>
          <w:iCs/>
          <w:lang w:eastAsia="en-US"/>
        </w:rPr>
        <w:t>. Потребление хлебобулочных изделий на душу населения, кг в год</w:t>
      </w:r>
    </w:p>
    <w:p w14:paraId="4B83F9F0" w14:textId="77777777" w:rsidR="00B24652" w:rsidRPr="00B24652" w:rsidRDefault="00B24652" w:rsidP="00B24652">
      <w:pPr>
        <w:spacing w:line="240" w:lineRule="auto"/>
        <w:rPr>
          <w:rFonts w:eastAsiaTheme="minorHAnsi"/>
          <w:bCs/>
          <w:iCs/>
          <w:noProof/>
          <w:szCs w:val="22"/>
          <w:lang w:eastAsia="en-US"/>
        </w:rPr>
      </w:pPr>
      <w:r w:rsidRPr="00B24652">
        <w:rPr>
          <w:rFonts w:eastAsiaTheme="minorHAnsi"/>
          <w:bCs/>
          <w:iCs/>
          <w:szCs w:val="22"/>
          <w:lang w:eastAsia="en-US"/>
        </w:rPr>
        <w:t>*Составлено автором на основе данных ЕМИСС, Росста</w:t>
      </w:r>
      <w:r w:rsidRPr="00B24652">
        <w:rPr>
          <w:rFonts w:eastAsiaTheme="minorHAnsi"/>
          <w:bCs/>
          <w:iCs/>
          <w:noProof/>
          <w:szCs w:val="22"/>
          <w:lang w:eastAsia="en-US"/>
        </w:rPr>
        <w:t>та</w:t>
      </w:r>
    </w:p>
    <w:p w14:paraId="21184EDF" w14:textId="77777777" w:rsidR="00B24652" w:rsidRPr="00B24652" w:rsidRDefault="00B24652" w:rsidP="00B24652">
      <w:pPr>
        <w:spacing w:before="160" w:line="240" w:lineRule="auto"/>
        <w:rPr>
          <w:rFonts w:eastAsiaTheme="minorHAnsi"/>
          <w:bCs/>
          <w:iCs/>
          <w:noProof/>
          <w:szCs w:val="22"/>
          <w:lang w:eastAsia="en-US"/>
        </w:rPr>
      </w:pPr>
      <w:r w:rsidRPr="00B24652">
        <w:rPr>
          <w:rFonts w:eastAsiaTheme="minorHAnsi"/>
          <w:noProof/>
          <w:szCs w:val="22"/>
          <w:lang w:eastAsia="en-US"/>
        </w:rPr>
        <w:drawing>
          <wp:inline distT="0" distB="0" distL="0" distR="0" wp14:anchorId="27BEE531" wp14:editId="616B6111">
            <wp:extent cx="4910667" cy="2997200"/>
            <wp:effectExtent l="0" t="0" r="4445" b="0"/>
            <wp:docPr id="16" name="Chart 16">
              <a:extLst xmlns:a="http://schemas.openxmlformats.org/drawingml/2006/main">
                <a:ext uri="{FF2B5EF4-FFF2-40B4-BE49-F238E27FC236}">
                  <a16:creationId xmlns:a16="http://schemas.microsoft.com/office/drawing/2014/main" id="{C850EFB7-406D-4AAB-86D3-F979E918D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967CF4" w14:textId="28524902" w:rsidR="00B24652" w:rsidRPr="00B24652" w:rsidRDefault="00B24652" w:rsidP="00B24652">
      <w:pPr>
        <w:spacing w:line="240" w:lineRule="auto"/>
        <w:rPr>
          <w:rFonts w:eastAsiaTheme="minorHAnsi"/>
          <w:bCs/>
          <w:iCs/>
          <w:noProof/>
          <w:szCs w:val="22"/>
          <w:lang w:eastAsia="en-US"/>
        </w:rPr>
      </w:pPr>
      <w:r w:rsidRPr="00B24652">
        <w:rPr>
          <w:rFonts w:eastAsiaTheme="minorHAnsi"/>
          <w:bCs/>
          <w:iCs/>
          <w:noProof/>
          <w:szCs w:val="22"/>
          <w:lang w:eastAsia="en-US"/>
        </w:rPr>
        <w:t>Рисунок</w:t>
      </w:r>
      <w:r w:rsidR="003948EE">
        <w:rPr>
          <w:rFonts w:eastAsiaTheme="minorHAnsi"/>
          <w:bCs/>
          <w:iCs/>
          <w:noProof/>
          <w:szCs w:val="22"/>
          <w:lang w:eastAsia="en-US"/>
        </w:rPr>
        <w:t xml:space="preserve"> 18</w:t>
      </w:r>
      <w:r w:rsidRPr="00B24652">
        <w:rPr>
          <w:rFonts w:eastAsiaTheme="minorHAnsi"/>
          <w:bCs/>
          <w:iCs/>
          <w:noProof/>
          <w:szCs w:val="22"/>
          <w:lang w:eastAsia="en-US"/>
        </w:rPr>
        <w:t xml:space="preserve">. Динамика производства хлебобулочных изделий в России, млн.тонн </w:t>
      </w:r>
    </w:p>
    <w:p w14:paraId="74448277" w14:textId="77777777" w:rsidR="00B24652" w:rsidRPr="00B24652" w:rsidRDefault="00B24652" w:rsidP="00B24652">
      <w:pPr>
        <w:spacing w:line="240" w:lineRule="auto"/>
        <w:rPr>
          <w:rFonts w:eastAsiaTheme="minorHAnsi"/>
          <w:bCs/>
          <w:iCs/>
          <w:noProof/>
          <w:szCs w:val="22"/>
          <w:lang w:eastAsia="en-US"/>
        </w:rPr>
      </w:pPr>
      <w:r w:rsidRPr="00B24652">
        <w:rPr>
          <w:rFonts w:eastAsiaTheme="minorHAnsi"/>
          <w:bCs/>
          <w:iCs/>
          <w:noProof/>
          <w:szCs w:val="22"/>
          <w:lang w:eastAsia="en-US"/>
        </w:rPr>
        <w:t>*Составлено автором на основе данных ЕМИСС, Росстат</w:t>
      </w:r>
    </w:p>
    <w:p w14:paraId="034E09AB" w14:textId="77777777" w:rsidR="00B24652" w:rsidRPr="00B24652" w:rsidRDefault="00B24652" w:rsidP="00B24652">
      <w:pPr>
        <w:spacing w:before="160" w:line="240" w:lineRule="auto"/>
        <w:rPr>
          <w:rFonts w:eastAsiaTheme="minorHAnsi"/>
          <w:bCs/>
          <w:iCs/>
          <w:szCs w:val="22"/>
          <w:lang w:eastAsia="en-US"/>
        </w:rPr>
      </w:pPr>
      <w:r w:rsidRPr="00B24652">
        <w:rPr>
          <w:rFonts w:eastAsiaTheme="minorHAnsi"/>
          <w:noProof/>
          <w:szCs w:val="22"/>
          <w:lang w:eastAsia="en-US"/>
        </w:rPr>
        <w:lastRenderedPageBreak/>
        <w:drawing>
          <wp:inline distT="0" distB="0" distL="0" distR="0" wp14:anchorId="6F77A1F7" wp14:editId="5B8D63EF">
            <wp:extent cx="5015620" cy="2869949"/>
            <wp:effectExtent l="0" t="0" r="0" b="6985"/>
            <wp:docPr id="15" name="Chart 15">
              <a:extLst xmlns:a="http://schemas.openxmlformats.org/drawingml/2006/main">
                <a:ext uri="{FF2B5EF4-FFF2-40B4-BE49-F238E27FC236}">
                  <a16:creationId xmlns:a16="http://schemas.microsoft.com/office/drawing/2014/main" id="{054D67EC-5FC5-4369-A0CD-992623D42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3D5911A" w14:textId="1A7EDDFE"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3948EE">
        <w:rPr>
          <w:rFonts w:eastAsiaTheme="minorHAnsi"/>
          <w:lang w:eastAsia="en-US"/>
        </w:rPr>
        <w:t>19</w:t>
      </w:r>
      <w:r w:rsidRPr="00B24652">
        <w:rPr>
          <w:rFonts w:eastAsiaTheme="minorHAnsi"/>
          <w:lang w:eastAsia="en-US"/>
        </w:rPr>
        <w:t xml:space="preserve">. </w:t>
      </w:r>
      <w:r w:rsidRPr="00B24652">
        <w:rPr>
          <w:rFonts w:eastAsiaTheme="minorHAnsi"/>
          <w:bCs/>
          <w:iCs/>
          <w:lang w:eastAsia="en-US"/>
        </w:rPr>
        <w:t xml:space="preserve">Динамика производства хлебобулочных изделий в Санкт-Петербурге, </w:t>
      </w:r>
      <w:proofErr w:type="gramStart"/>
      <w:r w:rsidRPr="00B24652">
        <w:rPr>
          <w:rFonts w:eastAsiaTheme="minorHAnsi"/>
          <w:bCs/>
          <w:iCs/>
          <w:lang w:eastAsia="en-US"/>
        </w:rPr>
        <w:t>тыс.тонн</w:t>
      </w:r>
      <w:proofErr w:type="gramEnd"/>
      <w:r w:rsidRPr="00B24652">
        <w:rPr>
          <w:rFonts w:eastAsiaTheme="minorHAnsi"/>
          <w:bCs/>
          <w:iCs/>
          <w:lang w:eastAsia="en-US"/>
        </w:rPr>
        <w:t xml:space="preserve"> </w:t>
      </w:r>
    </w:p>
    <w:p w14:paraId="132C8431" w14:textId="77777777" w:rsidR="00B24652" w:rsidRPr="00B24652" w:rsidRDefault="00B24652" w:rsidP="00B24652">
      <w:pPr>
        <w:spacing w:line="240" w:lineRule="auto"/>
        <w:rPr>
          <w:rFonts w:eastAsiaTheme="minorHAnsi"/>
          <w:bCs/>
          <w:iCs/>
          <w:szCs w:val="22"/>
          <w:lang w:eastAsia="en-US"/>
        </w:rPr>
      </w:pPr>
      <w:r w:rsidRPr="00B24652">
        <w:rPr>
          <w:rFonts w:eastAsiaTheme="minorHAnsi"/>
          <w:bCs/>
          <w:iCs/>
          <w:sz w:val="22"/>
          <w:szCs w:val="20"/>
          <w:lang w:eastAsia="en-US"/>
        </w:rPr>
        <w:t>*Составлено автором на основе данных Росстата</w:t>
      </w:r>
    </w:p>
    <w:p w14:paraId="2DD80BF1" w14:textId="77777777" w:rsidR="00B24652" w:rsidRPr="00B24652" w:rsidRDefault="00B24652" w:rsidP="00B24652">
      <w:pPr>
        <w:spacing w:line="240" w:lineRule="auto"/>
        <w:rPr>
          <w:rFonts w:eastAsiaTheme="minorHAnsi"/>
          <w:bCs/>
          <w:iCs/>
          <w:szCs w:val="22"/>
          <w:lang w:eastAsia="en-US"/>
        </w:rPr>
      </w:pPr>
    </w:p>
    <w:p w14:paraId="544EE29C" w14:textId="77777777" w:rsidR="00B24652" w:rsidRPr="00B24652" w:rsidRDefault="00B24652" w:rsidP="00B24652">
      <w:pPr>
        <w:ind w:firstLine="851"/>
        <w:jc w:val="both"/>
        <w:rPr>
          <w:rFonts w:eastAsiaTheme="minorHAnsi"/>
          <w:lang w:eastAsia="en-US"/>
        </w:rPr>
      </w:pPr>
      <w:r w:rsidRPr="00B24652">
        <w:rPr>
          <w:rFonts w:eastAsiaTheme="minorHAnsi"/>
          <w:lang w:eastAsia="en-US"/>
        </w:rPr>
        <w:t>В производстве хлебобулочной продукции в разрезе всей страны и Санкт-Петербурга, в частности, наблюдаются существенные различия. Если в целом по стране наблюдается динамика к сокращению производства хлебобулочных изделий, то в Санкт-Петербурге, напротив, тенденция положительна и наблюдается рост производства (за исключением «провалов» в 2014, 2017 и 2020 годах).</w:t>
      </w:r>
    </w:p>
    <w:p w14:paraId="71584E24" w14:textId="150ABF3A" w:rsidR="00B24652" w:rsidRPr="00B24652" w:rsidRDefault="00B24652" w:rsidP="00B24652">
      <w:pPr>
        <w:ind w:firstLine="851"/>
        <w:jc w:val="both"/>
        <w:rPr>
          <w:rFonts w:eastAsiaTheme="minorHAnsi"/>
          <w:lang w:eastAsia="en-US"/>
        </w:rPr>
      </w:pPr>
      <w:r w:rsidRPr="00B24652">
        <w:rPr>
          <w:rFonts w:eastAsiaTheme="minorHAnsi"/>
          <w:lang w:eastAsia="en-US"/>
        </w:rPr>
        <w:t>В общей структуре общественного питания пекарни являются одним из самых популярных форматов как в целом по России, так и в Санкт-Петербурге. Согласно РБК исследованиям, в последние годы (за исключением 2020) рынок пекарен Санкт-Петербурга переживает бурный рост. По мнению экспертов, в ближайшие пару лет особенности рынка будут способствовать его дальнейшему развитию</w:t>
      </w:r>
      <w:r w:rsidR="007F0FE7">
        <w:rPr>
          <w:rFonts w:eastAsiaTheme="minorHAnsi"/>
          <w:lang w:eastAsia="en-US"/>
        </w:rPr>
        <w:t xml:space="preserve"> (</w:t>
      </w:r>
      <w:r w:rsidR="007F0FE7" w:rsidRPr="007F0FE7">
        <w:rPr>
          <w:rFonts w:eastAsiaTheme="minorHAnsi"/>
          <w:lang w:eastAsia="en-US"/>
        </w:rPr>
        <w:t>Коварская</w:t>
      </w:r>
      <w:r w:rsidR="007F0FE7">
        <w:rPr>
          <w:rFonts w:eastAsiaTheme="minorHAnsi"/>
          <w:lang w:eastAsia="en-US"/>
        </w:rPr>
        <w:t>, 2019)</w:t>
      </w:r>
      <w:r w:rsidRPr="00B24652">
        <w:rPr>
          <w:rFonts w:eastAsiaTheme="minorHAnsi"/>
          <w:lang w:eastAsia="en-US"/>
        </w:rPr>
        <w:t xml:space="preserve">. </w:t>
      </w:r>
    </w:p>
    <w:p w14:paraId="63BAA241" w14:textId="5DB60B3D" w:rsidR="00B24652" w:rsidRPr="00B24652" w:rsidRDefault="00B24652" w:rsidP="00B24652">
      <w:pPr>
        <w:ind w:firstLine="851"/>
        <w:jc w:val="both"/>
        <w:rPr>
          <w:rFonts w:eastAsiaTheme="minorHAnsi"/>
          <w:lang w:eastAsia="en-US"/>
        </w:rPr>
      </w:pPr>
      <w:r w:rsidRPr="00B24652">
        <w:rPr>
          <w:rFonts w:eastAsiaTheme="minorHAnsi"/>
          <w:szCs w:val="22"/>
          <w:lang w:eastAsia="en-US"/>
        </w:rPr>
        <w:t xml:space="preserve">По состоянию на август 2021 года, число пекарен на территории Санкт-Петербурга составило 1480 торговых объектов. Крупнейшие сети представлены в Таблице 6. </w:t>
      </w:r>
      <w:r w:rsidRPr="00B24652">
        <w:rPr>
          <w:rFonts w:eastAsiaTheme="minorHAnsi"/>
          <w:lang w:eastAsia="en-US"/>
        </w:rPr>
        <w:t xml:space="preserve">Основные лидеры по числу торговых объектов – это непосредственно петербуржские пекарни. </w:t>
      </w:r>
    </w:p>
    <w:p w14:paraId="09EF761A" w14:textId="19B8B26E" w:rsidR="00B24652" w:rsidRPr="00B24652" w:rsidRDefault="00B24652" w:rsidP="00B24652">
      <w:pPr>
        <w:spacing w:before="160"/>
        <w:rPr>
          <w:rFonts w:eastAsiaTheme="minorHAnsi"/>
          <w:szCs w:val="22"/>
          <w:lang w:eastAsia="en-US"/>
        </w:rPr>
      </w:pPr>
      <w:r w:rsidRPr="00B24652">
        <w:rPr>
          <w:rFonts w:eastAsiaTheme="minorHAnsi"/>
          <w:szCs w:val="22"/>
          <w:lang w:eastAsia="en-US"/>
        </w:rPr>
        <w:t>Таблица 6. Крупнейшие сети пекарен Санкт-Петербурга</w:t>
      </w:r>
    </w:p>
    <w:tbl>
      <w:tblPr>
        <w:tblW w:w="9080" w:type="dxa"/>
        <w:jc w:val="center"/>
        <w:tblLook w:val="04A0" w:firstRow="1" w:lastRow="0" w:firstColumn="1" w:lastColumn="0" w:noHBand="0" w:noVBand="1"/>
      </w:tblPr>
      <w:tblGrid>
        <w:gridCol w:w="2960"/>
        <w:gridCol w:w="2120"/>
        <w:gridCol w:w="1840"/>
        <w:gridCol w:w="2160"/>
      </w:tblGrid>
      <w:tr w:rsidR="00B24652" w:rsidRPr="00B24652" w14:paraId="00F56199" w14:textId="77777777" w:rsidTr="00BA1E3E">
        <w:trPr>
          <w:trHeight w:val="984"/>
          <w:jc w:val="center"/>
        </w:trPr>
        <w:tc>
          <w:tcPr>
            <w:tcW w:w="2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278CB" w14:textId="77777777" w:rsidR="00B24652" w:rsidRPr="00B24652" w:rsidRDefault="00B24652" w:rsidP="00B24652">
            <w:pPr>
              <w:spacing w:line="240" w:lineRule="auto"/>
              <w:rPr>
                <w:b/>
                <w:bCs/>
                <w:sz w:val="20"/>
                <w:szCs w:val="20"/>
              </w:rPr>
            </w:pPr>
            <w:r w:rsidRPr="00B24652">
              <w:rPr>
                <w:b/>
                <w:bCs/>
                <w:sz w:val="20"/>
                <w:szCs w:val="20"/>
              </w:rPr>
              <w:t>Название</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0830EA2D" w14:textId="77777777" w:rsidR="00B24652" w:rsidRPr="00B24652" w:rsidRDefault="00B24652" w:rsidP="00B24652">
            <w:pPr>
              <w:spacing w:line="240" w:lineRule="auto"/>
              <w:rPr>
                <w:b/>
                <w:bCs/>
                <w:sz w:val="20"/>
                <w:szCs w:val="20"/>
              </w:rPr>
            </w:pPr>
            <w:r w:rsidRPr="00B24652">
              <w:rPr>
                <w:b/>
                <w:bCs/>
                <w:sz w:val="20"/>
                <w:szCs w:val="20"/>
              </w:rPr>
              <w:t>Количество филиалов сети</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57947F70" w14:textId="77777777" w:rsidR="00B24652" w:rsidRPr="00B24652" w:rsidRDefault="00B24652" w:rsidP="00B24652">
            <w:pPr>
              <w:spacing w:line="240" w:lineRule="auto"/>
              <w:rPr>
                <w:b/>
                <w:bCs/>
                <w:sz w:val="20"/>
                <w:szCs w:val="20"/>
              </w:rPr>
            </w:pPr>
            <w:r w:rsidRPr="00B24652">
              <w:rPr>
                <w:b/>
                <w:bCs/>
                <w:sz w:val="20"/>
                <w:szCs w:val="20"/>
              </w:rPr>
              <w:t>Доля сети в общем количестве пекарен</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76E9C347" w14:textId="77777777" w:rsidR="00B24652" w:rsidRPr="00B24652" w:rsidRDefault="00B24652" w:rsidP="00B24652">
            <w:pPr>
              <w:spacing w:line="240" w:lineRule="auto"/>
              <w:rPr>
                <w:b/>
                <w:bCs/>
                <w:sz w:val="20"/>
                <w:szCs w:val="20"/>
              </w:rPr>
            </w:pPr>
            <w:r w:rsidRPr="00B24652">
              <w:rPr>
                <w:b/>
                <w:bCs/>
                <w:sz w:val="20"/>
                <w:szCs w:val="20"/>
              </w:rPr>
              <w:t>Доля сети в общем количестве сетевых пекарен</w:t>
            </w:r>
          </w:p>
        </w:tc>
      </w:tr>
      <w:tr w:rsidR="00B24652" w:rsidRPr="00B24652" w14:paraId="67EEC711"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60ADE626" w14:textId="77777777" w:rsidR="00B24652" w:rsidRPr="00B24652" w:rsidRDefault="00B24652" w:rsidP="00B24652">
            <w:pPr>
              <w:spacing w:line="240" w:lineRule="auto"/>
              <w:rPr>
                <w:sz w:val="20"/>
                <w:szCs w:val="20"/>
              </w:rPr>
            </w:pPr>
            <w:r w:rsidRPr="00B24652">
              <w:rPr>
                <w:sz w:val="20"/>
                <w:szCs w:val="20"/>
              </w:rPr>
              <w:t>Булочные Ф. Вольчека</w:t>
            </w:r>
          </w:p>
        </w:tc>
        <w:tc>
          <w:tcPr>
            <w:tcW w:w="2120" w:type="dxa"/>
            <w:tcBorders>
              <w:top w:val="nil"/>
              <w:left w:val="nil"/>
              <w:bottom w:val="single" w:sz="4" w:space="0" w:color="auto"/>
              <w:right w:val="single" w:sz="4" w:space="0" w:color="auto"/>
            </w:tcBorders>
            <w:shd w:val="clear" w:color="auto" w:fill="auto"/>
            <w:noWrap/>
            <w:vAlign w:val="center"/>
            <w:hideMark/>
          </w:tcPr>
          <w:p w14:paraId="0A632929" w14:textId="77777777" w:rsidR="00B24652" w:rsidRPr="00B24652" w:rsidRDefault="00B24652" w:rsidP="00B24652">
            <w:pPr>
              <w:spacing w:line="240" w:lineRule="auto"/>
              <w:rPr>
                <w:sz w:val="20"/>
                <w:szCs w:val="20"/>
              </w:rPr>
            </w:pPr>
            <w:r w:rsidRPr="00B24652">
              <w:rPr>
                <w:sz w:val="20"/>
                <w:szCs w:val="20"/>
              </w:rPr>
              <w:t>110</w:t>
            </w:r>
          </w:p>
        </w:tc>
        <w:tc>
          <w:tcPr>
            <w:tcW w:w="1840" w:type="dxa"/>
            <w:tcBorders>
              <w:top w:val="nil"/>
              <w:left w:val="nil"/>
              <w:bottom w:val="single" w:sz="4" w:space="0" w:color="auto"/>
              <w:right w:val="single" w:sz="4" w:space="0" w:color="auto"/>
            </w:tcBorders>
            <w:shd w:val="clear" w:color="auto" w:fill="auto"/>
            <w:noWrap/>
            <w:vAlign w:val="center"/>
            <w:hideMark/>
          </w:tcPr>
          <w:p w14:paraId="192EB14F" w14:textId="77777777" w:rsidR="00B24652" w:rsidRPr="00B24652" w:rsidRDefault="00B24652" w:rsidP="00B24652">
            <w:pPr>
              <w:spacing w:line="240" w:lineRule="auto"/>
              <w:rPr>
                <w:sz w:val="20"/>
                <w:szCs w:val="20"/>
              </w:rPr>
            </w:pPr>
            <w:r w:rsidRPr="00B24652">
              <w:rPr>
                <w:sz w:val="20"/>
                <w:szCs w:val="20"/>
              </w:rPr>
              <w:t>7%</w:t>
            </w:r>
          </w:p>
        </w:tc>
        <w:tc>
          <w:tcPr>
            <w:tcW w:w="2160" w:type="dxa"/>
            <w:tcBorders>
              <w:top w:val="nil"/>
              <w:left w:val="nil"/>
              <w:bottom w:val="single" w:sz="4" w:space="0" w:color="auto"/>
              <w:right w:val="single" w:sz="4" w:space="0" w:color="auto"/>
            </w:tcBorders>
            <w:shd w:val="clear" w:color="auto" w:fill="auto"/>
            <w:noWrap/>
            <w:vAlign w:val="center"/>
            <w:hideMark/>
          </w:tcPr>
          <w:p w14:paraId="2F54EC02" w14:textId="77777777" w:rsidR="00B24652" w:rsidRPr="00B24652" w:rsidRDefault="00B24652" w:rsidP="00B24652">
            <w:pPr>
              <w:spacing w:line="240" w:lineRule="auto"/>
              <w:rPr>
                <w:sz w:val="20"/>
                <w:szCs w:val="20"/>
              </w:rPr>
            </w:pPr>
            <w:r w:rsidRPr="00B24652">
              <w:rPr>
                <w:sz w:val="20"/>
                <w:szCs w:val="20"/>
              </w:rPr>
              <w:t>11%</w:t>
            </w:r>
          </w:p>
        </w:tc>
      </w:tr>
      <w:tr w:rsidR="00B24652" w:rsidRPr="00B24652" w14:paraId="08DA4695"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4E57B5CF" w14:textId="77777777" w:rsidR="00B24652" w:rsidRPr="00B24652" w:rsidRDefault="00B24652" w:rsidP="00B24652">
            <w:pPr>
              <w:spacing w:line="240" w:lineRule="auto"/>
              <w:rPr>
                <w:sz w:val="20"/>
                <w:szCs w:val="20"/>
              </w:rPr>
            </w:pPr>
            <w:r w:rsidRPr="00B24652">
              <w:rPr>
                <w:sz w:val="20"/>
                <w:szCs w:val="20"/>
              </w:rPr>
              <w:t>ЦЕХ85</w:t>
            </w:r>
          </w:p>
        </w:tc>
        <w:tc>
          <w:tcPr>
            <w:tcW w:w="2120" w:type="dxa"/>
            <w:tcBorders>
              <w:top w:val="nil"/>
              <w:left w:val="nil"/>
              <w:bottom w:val="single" w:sz="4" w:space="0" w:color="auto"/>
              <w:right w:val="single" w:sz="4" w:space="0" w:color="auto"/>
            </w:tcBorders>
            <w:shd w:val="clear" w:color="auto" w:fill="auto"/>
            <w:noWrap/>
            <w:vAlign w:val="center"/>
            <w:hideMark/>
          </w:tcPr>
          <w:p w14:paraId="15E6AFDA" w14:textId="77777777" w:rsidR="00B24652" w:rsidRPr="00B24652" w:rsidRDefault="00B24652" w:rsidP="00B24652">
            <w:pPr>
              <w:spacing w:line="240" w:lineRule="auto"/>
              <w:rPr>
                <w:sz w:val="20"/>
                <w:szCs w:val="20"/>
              </w:rPr>
            </w:pPr>
            <w:r w:rsidRPr="00B24652">
              <w:rPr>
                <w:sz w:val="20"/>
                <w:szCs w:val="20"/>
              </w:rPr>
              <w:t>83</w:t>
            </w:r>
          </w:p>
        </w:tc>
        <w:tc>
          <w:tcPr>
            <w:tcW w:w="1840" w:type="dxa"/>
            <w:tcBorders>
              <w:top w:val="nil"/>
              <w:left w:val="nil"/>
              <w:bottom w:val="single" w:sz="4" w:space="0" w:color="auto"/>
              <w:right w:val="single" w:sz="4" w:space="0" w:color="auto"/>
            </w:tcBorders>
            <w:shd w:val="clear" w:color="auto" w:fill="auto"/>
            <w:noWrap/>
            <w:vAlign w:val="center"/>
            <w:hideMark/>
          </w:tcPr>
          <w:p w14:paraId="4DF4F604" w14:textId="77777777" w:rsidR="00B24652" w:rsidRPr="00B24652" w:rsidRDefault="00B24652" w:rsidP="00B24652">
            <w:pPr>
              <w:spacing w:line="240" w:lineRule="auto"/>
              <w:rPr>
                <w:sz w:val="20"/>
                <w:szCs w:val="20"/>
              </w:rPr>
            </w:pPr>
            <w:r w:rsidRPr="00B24652">
              <w:rPr>
                <w:sz w:val="20"/>
                <w:szCs w:val="20"/>
              </w:rPr>
              <w:t>5%</w:t>
            </w:r>
          </w:p>
        </w:tc>
        <w:tc>
          <w:tcPr>
            <w:tcW w:w="2160" w:type="dxa"/>
            <w:tcBorders>
              <w:top w:val="nil"/>
              <w:left w:val="nil"/>
              <w:bottom w:val="single" w:sz="4" w:space="0" w:color="auto"/>
              <w:right w:val="single" w:sz="4" w:space="0" w:color="auto"/>
            </w:tcBorders>
            <w:shd w:val="clear" w:color="auto" w:fill="auto"/>
            <w:noWrap/>
            <w:vAlign w:val="center"/>
            <w:hideMark/>
          </w:tcPr>
          <w:p w14:paraId="498EDDA8" w14:textId="77777777" w:rsidR="00B24652" w:rsidRPr="00B24652" w:rsidRDefault="00B24652" w:rsidP="00B24652">
            <w:pPr>
              <w:spacing w:line="240" w:lineRule="auto"/>
              <w:rPr>
                <w:sz w:val="20"/>
                <w:szCs w:val="20"/>
              </w:rPr>
            </w:pPr>
            <w:r w:rsidRPr="00B24652">
              <w:rPr>
                <w:sz w:val="20"/>
                <w:szCs w:val="20"/>
              </w:rPr>
              <w:t>9%</w:t>
            </w:r>
          </w:p>
        </w:tc>
      </w:tr>
      <w:tr w:rsidR="00B24652" w:rsidRPr="00B24652" w14:paraId="3929420E"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38D27FB9" w14:textId="77777777" w:rsidR="00B24652" w:rsidRPr="00B24652" w:rsidRDefault="00B24652" w:rsidP="00B24652">
            <w:pPr>
              <w:spacing w:line="240" w:lineRule="auto"/>
              <w:rPr>
                <w:sz w:val="20"/>
                <w:szCs w:val="20"/>
              </w:rPr>
            </w:pPr>
            <w:r w:rsidRPr="00B24652">
              <w:rPr>
                <w:sz w:val="20"/>
                <w:szCs w:val="20"/>
              </w:rPr>
              <w:t>Лавка пекаря</w:t>
            </w:r>
          </w:p>
        </w:tc>
        <w:tc>
          <w:tcPr>
            <w:tcW w:w="2120" w:type="dxa"/>
            <w:tcBorders>
              <w:top w:val="nil"/>
              <w:left w:val="nil"/>
              <w:bottom w:val="single" w:sz="4" w:space="0" w:color="auto"/>
              <w:right w:val="single" w:sz="4" w:space="0" w:color="auto"/>
            </w:tcBorders>
            <w:shd w:val="clear" w:color="auto" w:fill="auto"/>
            <w:noWrap/>
            <w:vAlign w:val="center"/>
            <w:hideMark/>
          </w:tcPr>
          <w:p w14:paraId="7E7A9B85" w14:textId="77777777" w:rsidR="00B24652" w:rsidRPr="00B24652" w:rsidRDefault="00B24652" w:rsidP="00B24652">
            <w:pPr>
              <w:spacing w:line="240" w:lineRule="auto"/>
              <w:rPr>
                <w:sz w:val="20"/>
                <w:szCs w:val="20"/>
              </w:rPr>
            </w:pPr>
            <w:r w:rsidRPr="00B24652">
              <w:rPr>
                <w:sz w:val="20"/>
                <w:szCs w:val="20"/>
              </w:rPr>
              <w:t>73</w:t>
            </w:r>
          </w:p>
        </w:tc>
        <w:tc>
          <w:tcPr>
            <w:tcW w:w="1840" w:type="dxa"/>
            <w:tcBorders>
              <w:top w:val="nil"/>
              <w:left w:val="nil"/>
              <w:bottom w:val="single" w:sz="4" w:space="0" w:color="auto"/>
              <w:right w:val="single" w:sz="4" w:space="0" w:color="auto"/>
            </w:tcBorders>
            <w:shd w:val="clear" w:color="auto" w:fill="auto"/>
            <w:noWrap/>
            <w:vAlign w:val="center"/>
            <w:hideMark/>
          </w:tcPr>
          <w:p w14:paraId="40AD29D0" w14:textId="77777777" w:rsidR="00B24652" w:rsidRPr="00B24652" w:rsidRDefault="00B24652" w:rsidP="00B24652">
            <w:pPr>
              <w:spacing w:line="240" w:lineRule="auto"/>
              <w:rPr>
                <w:sz w:val="20"/>
                <w:szCs w:val="20"/>
              </w:rPr>
            </w:pPr>
            <w:r w:rsidRPr="00B24652">
              <w:rPr>
                <w:sz w:val="20"/>
                <w:szCs w:val="20"/>
              </w:rPr>
              <w:t>4%</w:t>
            </w:r>
          </w:p>
        </w:tc>
        <w:tc>
          <w:tcPr>
            <w:tcW w:w="2160" w:type="dxa"/>
            <w:tcBorders>
              <w:top w:val="nil"/>
              <w:left w:val="nil"/>
              <w:bottom w:val="single" w:sz="4" w:space="0" w:color="auto"/>
              <w:right w:val="single" w:sz="4" w:space="0" w:color="auto"/>
            </w:tcBorders>
            <w:shd w:val="clear" w:color="auto" w:fill="auto"/>
            <w:noWrap/>
            <w:vAlign w:val="center"/>
            <w:hideMark/>
          </w:tcPr>
          <w:p w14:paraId="4E29EB00" w14:textId="77777777" w:rsidR="00B24652" w:rsidRPr="00B24652" w:rsidRDefault="00B24652" w:rsidP="00B24652">
            <w:pPr>
              <w:spacing w:line="240" w:lineRule="auto"/>
              <w:rPr>
                <w:sz w:val="20"/>
                <w:szCs w:val="20"/>
              </w:rPr>
            </w:pPr>
            <w:r w:rsidRPr="00B24652">
              <w:rPr>
                <w:sz w:val="20"/>
                <w:szCs w:val="20"/>
              </w:rPr>
              <w:t>8%</w:t>
            </w:r>
          </w:p>
        </w:tc>
      </w:tr>
      <w:tr w:rsidR="00B24652" w:rsidRPr="00B24652" w14:paraId="10879D8B"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ED7F1DE" w14:textId="77777777" w:rsidR="00B24652" w:rsidRPr="00B24652" w:rsidRDefault="00B24652" w:rsidP="00B24652">
            <w:pPr>
              <w:spacing w:line="240" w:lineRule="auto"/>
              <w:rPr>
                <w:sz w:val="20"/>
                <w:szCs w:val="20"/>
              </w:rPr>
            </w:pPr>
            <w:r w:rsidRPr="00B24652">
              <w:rPr>
                <w:sz w:val="20"/>
                <w:szCs w:val="20"/>
              </w:rPr>
              <w:t>Тили-тесто</w:t>
            </w:r>
          </w:p>
        </w:tc>
        <w:tc>
          <w:tcPr>
            <w:tcW w:w="2120" w:type="dxa"/>
            <w:tcBorders>
              <w:top w:val="nil"/>
              <w:left w:val="nil"/>
              <w:bottom w:val="single" w:sz="4" w:space="0" w:color="auto"/>
              <w:right w:val="single" w:sz="4" w:space="0" w:color="auto"/>
            </w:tcBorders>
            <w:shd w:val="clear" w:color="auto" w:fill="auto"/>
            <w:noWrap/>
            <w:vAlign w:val="center"/>
            <w:hideMark/>
          </w:tcPr>
          <w:p w14:paraId="3D66C93C" w14:textId="77777777" w:rsidR="00B24652" w:rsidRPr="00B24652" w:rsidRDefault="00B24652" w:rsidP="00B24652">
            <w:pPr>
              <w:spacing w:line="240" w:lineRule="auto"/>
              <w:rPr>
                <w:sz w:val="20"/>
                <w:szCs w:val="20"/>
              </w:rPr>
            </w:pPr>
            <w:r w:rsidRPr="00B24652">
              <w:rPr>
                <w:sz w:val="20"/>
                <w:szCs w:val="20"/>
              </w:rPr>
              <w:t>45</w:t>
            </w:r>
          </w:p>
        </w:tc>
        <w:tc>
          <w:tcPr>
            <w:tcW w:w="1840" w:type="dxa"/>
            <w:tcBorders>
              <w:top w:val="nil"/>
              <w:left w:val="nil"/>
              <w:bottom w:val="single" w:sz="4" w:space="0" w:color="auto"/>
              <w:right w:val="single" w:sz="4" w:space="0" w:color="auto"/>
            </w:tcBorders>
            <w:shd w:val="clear" w:color="auto" w:fill="auto"/>
            <w:noWrap/>
            <w:vAlign w:val="center"/>
            <w:hideMark/>
          </w:tcPr>
          <w:p w14:paraId="2B42D8BE" w14:textId="77777777" w:rsidR="00B24652" w:rsidRPr="00B24652" w:rsidRDefault="00B24652" w:rsidP="00B24652">
            <w:pPr>
              <w:spacing w:line="240" w:lineRule="auto"/>
              <w:rPr>
                <w:sz w:val="20"/>
                <w:szCs w:val="20"/>
              </w:rPr>
            </w:pPr>
            <w:r w:rsidRPr="00B24652">
              <w:rPr>
                <w:sz w:val="20"/>
                <w:szCs w:val="20"/>
              </w:rPr>
              <w:t>3%</w:t>
            </w:r>
          </w:p>
        </w:tc>
        <w:tc>
          <w:tcPr>
            <w:tcW w:w="2160" w:type="dxa"/>
            <w:tcBorders>
              <w:top w:val="nil"/>
              <w:left w:val="nil"/>
              <w:bottom w:val="single" w:sz="4" w:space="0" w:color="auto"/>
              <w:right w:val="single" w:sz="4" w:space="0" w:color="auto"/>
            </w:tcBorders>
            <w:shd w:val="clear" w:color="auto" w:fill="auto"/>
            <w:noWrap/>
            <w:vAlign w:val="center"/>
            <w:hideMark/>
          </w:tcPr>
          <w:p w14:paraId="3E81B19D" w14:textId="77777777" w:rsidR="00B24652" w:rsidRPr="00B24652" w:rsidRDefault="00B24652" w:rsidP="00B24652">
            <w:pPr>
              <w:spacing w:line="240" w:lineRule="auto"/>
              <w:rPr>
                <w:sz w:val="20"/>
                <w:szCs w:val="20"/>
              </w:rPr>
            </w:pPr>
            <w:r w:rsidRPr="00B24652">
              <w:rPr>
                <w:sz w:val="20"/>
                <w:szCs w:val="20"/>
              </w:rPr>
              <w:t>5%</w:t>
            </w:r>
          </w:p>
        </w:tc>
      </w:tr>
      <w:tr w:rsidR="00B24652" w:rsidRPr="00B24652" w14:paraId="35D373C7"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3DB3983E" w14:textId="77777777" w:rsidR="00B24652" w:rsidRPr="00B24652" w:rsidRDefault="00B24652" w:rsidP="00B24652">
            <w:pPr>
              <w:spacing w:line="240" w:lineRule="auto"/>
              <w:rPr>
                <w:sz w:val="20"/>
                <w:szCs w:val="20"/>
              </w:rPr>
            </w:pPr>
            <w:r w:rsidRPr="00B24652">
              <w:rPr>
                <w:sz w:val="20"/>
                <w:szCs w:val="20"/>
              </w:rPr>
              <w:t>Буше</w:t>
            </w:r>
          </w:p>
        </w:tc>
        <w:tc>
          <w:tcPr>
            <w:tcW w:w="2120" w:type="dxa"/>
            <w:tcBorders>
              <w:top w:val="nil"/>
              <w:left w:val="nil"/>
              <w:bottom w:val="single" w:sz="4" w:space="0" w:color="auto"/>
              <w:right w:val="single" w:sz="4" w:space="0" w:color="auto"/>
            </w:tcBorders>
            <w:shd w:val="clear" w:color="auto" w:fill="auto"/>
            <w:noWrap/>
            <w:vAlign w:val="center"/>
            <w:hideMark/>
          </w:tcPr>
          <w:p w14:paraId="2DE44596" w14:textId="77777777" w:rsidR="00B24652" w:rsidRPr="00B24652" w:rsidRDefault="00B24652" w:rsidP="00B24652">
            <w:pPr>
              <w:spacing w:line="240" w:lineRule="auto"/>
              <w:rPr>
                <w:sz w:val="20"/>
                <w:szCs w:val="20"/>
              </w:rPr>
            </w:pPr>
            <w:r w:rsidRPr="00B24652">
              <w:rPr>
                <w:sz w:val="20"/>
                <w:szCs w:val="20"/>
              </w:rPr>
              <w:t>43</w:t>
            </w:r>
          </w:p>
        </w:tc>
        <w:tc>
          <w:tcPr>
            <w:tcW w:w="1840" w:type="dxa"/>
            <w:tcBorders>
              <w:top w:val="nil"/>
              <w:left w:val="nil"/>
              <w:bottom w:val="single" w:sz="4" w:space="0" w:color="auto"/>
              <w:right w:val="single" w:sz="4" w:space="0" w:color="auto"/>
            </w:tcBorders>
            <w:shd w:val="clear" w:color="auto" w:fill="auto"/>
            <w:noWrap/>
            <w:vAlign w:val="center"/>
            <w:hideMark/>
          </w:tcPr>
          <w:p w14:paraId="294E54C6" w14:textId="77777777" w:rsidR="00B24652" w:rsidRPr="00B24652" w:rsidRDefault="00B24652" w:rsidP="00B24652">
            <w:pPr>
              <w:spacing w:line="240" w:lineRule="auto"/>
              <w:rPr>
                <w:sz w:val="20"/>
                <w:szCs w:val="20"/>
              </w:rPr>
            </w:pPr>
            <w:r w:rsidRPr="00B24652">
              <w:rPr>
                <w:sz w:val="20"/>
                <w:szCs w:val="20"/>
              </w:rPr>
              <w:t>3%</w:t>
            </w:r>
          </w:p>
        </w:tc>
        <w:tc>
          <w:tcPr>
            <w:tcW w:w="2160" w:type="dxa"/>
            <w:tcBorders>
              <w:top w:val="nil"/>
              <w:left w:val="nil"/>
              <w:bottom w:val="single" w:sz="4" w:space="0" w:color="auto"/>
              <w:right w:val="single" w:sz="4" w:space="0" w:color="auto"/>
            </w:tcBorders>
            <w:shd w:val="clear" w:color="auto" w:fill="auto"/>
            <w:noWrap/>
            <w:vAlign w:val="center"/>
            <w:hideMark/>
          </w:tcPr>
          <w:p w14:paraId="3D16FC22" w14:textId="77777777" w:rsidR="00B24652" w:rsidRPr="00B24652" w:rsidRDefault="00B24652" w:rsidP="00B24652">
            <w:pPr>
              <w:spacing w:line="240" w:lineRule="auto"/>
              <w:rPr>
                <w:sz w:val="20"/>
                <w:szCs w:val="20"/>
              </w:rPr>
            </w:pPr>
            <w:r w:rsidRPr="00B24652">
              <w:rPr>
                <w:sz w:val="20"/>
                <w:szCs w:val="20"/>
              </w:rPr>
              <w:t>4%</w:t>
            </w:r>
          </w:p>
        </w:tc>
      </w:tr>
      <w:tr w:rsidR="00B24652" w:rsidRPr="00B24652" w14:paraId="699E503E"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0C0D6174" w14:textId="77777777" w:rsidR="00B24652" w:rsidRPr="00B24652" w:rsidRDefault="00B24652" w:rsidP="00B24652">
            <w:pPr>
              <w:spacing w:line="240" w:lineRule="auto"/>
              <w:rPr>
                <w:sz w:val="20"/>
                <w:szCs w:val="20"/>
              </w:rPr>
            </w:pPr>
            <w:r w:rsidRPr="00B24652">
              <w:rPr>
                <w:sz w:val="20"/>
                <w:szCs w:val="20"/>
              </w:rPr>
              <w:t>Хлебник</w:t>
            </w:r>
          </w:p>
        </w:tc>
        <w:tc>
          <w:tcPr>
            <w:tcW w:w="2120" w:type="dxa"/>
            <w:tcBorders>
              <w:top w:val="nil"/>
              <w:left w:val="nil"/>
              <w:bottom w:val="single" w:sz="4" w:space="0" w:color="auto"/>
              <w:right w:val="single" w:sz="4" w:space="0" w:color="auto"/>
            </w:tcBorders>
            <w:shd w:val="clear" w:color="auto" w:fill="auto"/>
            <w:noWrap/>
            <w:vAlign w:val="center"/>
            <w:hideMark/>
          </w:tcPr>
          <w:p w14:paraId="78604F8B" w14:textId="77777777" w:rsidR="00B24652" w:rsidRPr="00B24652" w:rsidRDefault="00B24652" w:rsidP="00B24652">
            <w:pPr>
              <w:spacing w:line="240" w:lineRule="auto"/>
              <w:rPr>
                <w:sz w:val="20"/>
                <w:szCs w:val="20"/>
              </w:rPr>
            </w:pPr>
            <w:r w:rsidRPr="00B24652">
              <w:rPr>
                <w:sz w:val="20"/>
                <w:szCs w:val="20"/>
              </w:rPr>
              <w:t>41</w:t>
            </w:r>
          </w:p>
        </w:tc>
        <w:tc>
          <w:tcPr>
            <w:tcW w:w="1840" w:type="dxa"/>
            <w:tcBorders>
              <w:top w:val="nil"/>
              <w:left w:val="nil"/>
              <w:bottom w:val="single" w:sz="4" w:space="0" w:color="auto"/>
              <w:right w:val="single" w:sz="4" w:space="0" w:color="auto"/>
            </w:tcBorders>
            <w:shd w:val="clear" w:color="auto" w:fill="auto"/>
            <w:noWrap/>
            <w:vAlign w:val="center"/>
            <w:hideMark/>
          </w:tcPr>
          <w:p w14:paraId="21D86E60" w14:textId="77777777" w:rsidR="00B24652" w:rsidRPr="00B24652" w:rsidRDefault="00B24652" w:rsidP="00B24652">
            <w:pPr>
              <w:spacing w:line="240" w:lineRule="auto"/>
              <w:rPr>
                <w:sz w:val="20"/>
                <w:szCs w:val="20"/>
              </w:rPr>
            </w:pPr>
            <w:r w:rsidRPr="00B24652">
              <w:rPr>
                <w:sz w:val="20"/>
                <w:szCs w:val="20"/>
              </w:rPr>
              <w:t>2%</w:t>
            </w:r>
          </w:p>
        </w:tc>
        <w:tc>
          <w:tcPr>
            <w:tcW w:w="2160" w:type="dxa"/>
            <w:tcBorders>
              <w:top w:val="nil"/>
              <w:left w:val="nil"/>
              <w:bottom w:val="single" w:sz="4" w:space="0" w:color="auto"/>
              <w:right w:val="single" w:sz="4" w:space="0" w:color="auto"/>
            </w:tcBorders>
            <w:shd w:val="clear" w:color="auto" w:fill="auto"/>
            <w:noWrap/>
            <w:vAlign w:val="center"/>
            <w:hideMark/>
          </w:tcPr>
          <w:p w14:paraId="070F1B7D" w14:textId="77777777" w:rsidR="00B24652" w:rsidRPr="00B24652" w:rsidRDefault="00B24652" w:rsidP="00B24652">
            <w:pPr>
              <w:spacing w:line="240" w:lineRule="auto"/>
              <w:rPr>
                <w:sz w:val="20"/>
                <w:szCs w:val="20"/>
              </w:rPr>
            </w:pPr>
            <w:r w:rsidRPr="00B24652">
              <w:rPr>
                <w:sz w:val="20"/>
                <w:szCs w:val="20"/>
              </w:rPr>
              <w:t>4%</w:t>
            </w:r>
          </w:p>
        </w:tc>
      </w:tr>
      <w:tr w:rsidR="00B24652" w:rsidRPr="00B24652" w14:paraId="3402D004"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9793F73" w14:textId="77777777" w:rsidR="00B24652" w:rsidRPr="00B24652" w:rsidRDefault="00B24652" w:rsidP="00B24652">
            <w:pPr>
              <w:spacing w:line="240" w:lineRule="auto"/>
              <w:rPr>
                <w:sz w:val="20"/>
                <w:szCs w:val="20"/>
              </w:rPr>
            </w:pPr>
            <w:proofErr w:type="gramStart"/>
            <w:r w:rsidRPr="00B24652">
              <w:rPr>
                <w:sz w:val="20"/>
                <w:szCs w:val="20"/>
              </w:rPr>
              <w:t>Люди Любят</w:t>
            </w:r>
            <w:proofErr w:type="gramEnd"/>
          </w:p>
        </w:tc>
        <w:tc>
          <w:tcPr>
            <w:tcW w:w="2120" w:type="dxa"/>
            <w:tcBorders>
              <w:top w:val="nil"/>
              <w:left w:val="nil"/>
              <w:bottom w:val="single" w:sz="4" w:space="0" w:color="auto"/>
              <w:right w:val="single" w:sz="4" w:space="0" w:color="auto"/>
            </w:tcBorders>
            <w:shd w:val="clear" w:color="auto" w:fill="auto"/>
            <w:noWrap/>
            <w:vAlign w:val="center"/>
            <w:hideMark/>
          </w:tcPr>
          <w:p w14:paraId="3B841251" w14:textId="77777777" w:rsidR="00B24652" w:rsidRPr="00B24652" w:rsidRDefault="00B24652" w:rsidP="00B24652">
            <w:pPr>
              <w:spacing w:line="240" w:lineRule="auto"/>
              <w:rPr>
                <w:sz w:val="20"/>
                <w:szCs w:val="20"/>
              </w:rPr>
            </w:pPr>
            <w:r w:rsidRPr="00B24652">
              <w:rPr>
                <w:sz w:val="20"/>
                <w:szCs w:val="20"/>
              </w:rPr>
              <w:t>35</w:t>
            </w:r>
          </w:p>
        </w:tc>
        <w:tc>
          <w:tcPr>
            <w:tcW w:w="1840" w:type="dxa"/>
            <w:tcBorders>
              <w:top w:val="nil"/>
              <w:left w:val="nil"/>
              <w:bottom w:val="single" w:sz="4" w:space="0" w:color="auto"/>
              <w:right w:val="single" w:sz="4" w:space="0" w:color="auto"/>
            </w:tcBorders>
            <w:shd w:val="clear" w:color="auto" w:fill="auto"/>
            <w:noWrap/>
            <w:vAlign w:val="center"/>
            <w:hideMark/>
          </w:tcPr>
          <w:p w14:paraId="54BF8ADC" w14:textId="77777777" w:rsidR="00B24652" w:rsidRPr="00B24652" w:rsidRDefault="00B24652" w:rsidP="00B24652">
            <w:pPr>
              <w:spacing w:line="240" w:lineRule="auto"/>
              <w:rPr>
                <w:sz w:val="20"/>
                <w:szCs w:val="20"/>
              </w:rPr>
            </w:pPr>
            <w:r w:rsidRPr="00B24652">
              <w:rPr>
                <w:sz w:val="20"/>
                <w:szCs w:val="20"/>
              </w:rPr>
              <w:t>2%</w:t>
            </w:r>
          </w:p>
        </w:tc>
        <w:tc>
          <w:tcPr>
            <w:tcW w:w="2160" w:type="dxa"/>
            <w:tcBorders>
              <w:top w:val="nil"/>
              <w:left w:val="nil"/>
              <w:bottom w:val="single" w:sz="4" w:space="0" w:color="auto"/>
              <w:right w:val="single" w:sz="4" w:space="0" w:color="auto"/>
            </w:tcBorders>
            <w:shd w:val="clear" w:color="auto" w:fill="auto"/>
            <w:noWrap/>
            <w:vAlign w:val="center"/>
            <w:hideMark/>
          </w:tcPr>
          <w:p w14:paraId="533F072B" w14:textId="77777777" w:rsidR="00B24652" w:rsidRPr="00B24652" w:rsidRDefault="00B24652" w:rsidP="00B24652">
            <w:pPr>
              <w:spacing w:line="240" w:lineRule="auto"/>
              <w:rPr>
                <w:sz w:val="20"/>
                <w:szCs w:val="20"/>
              </w:rPr>
            </w:pPr>
            <w:r w:rsidRPr="00B24652">
              <w:rPr>
                <w:sz w:val="20"/>
                <w:szCs w:val="20"/>
              </w:rPr>
              <w:t>4%</w:t>
            </w:r>
          </w:p>
        </w:tc>
      </w:tr>
      <w:tr w:rsidR="00B24652" w:rsidRPr="00B24652" w14:paraId="6F9B182E"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6AF309A9" w14:textId="77777777" w:rsidR="00B24652" w:rsidRPr="00B24652" w:rsidRDefault="00B24652" w:rsidP="00B24652">
            <w:pPr>
              <w:spacing w:line="240" w:lineRule="auto"/>
              <w:rPr>
                <w:sz w:val="20"/>
                <w:szCs w:val="20"/>
              </w:rPr>
            </w:pPr>
            <w:r w:rsidRPr="00B24652">
              <w:rPr>
                <w:sz w:val="20"/>
                <w:szCs w:val="20"/>
              </w:rPr>
              <w:t>Буханка</w:t>
            </w:r>
          </w:p>
        </w:tc>
        <w:tc>
          <w:tcPr>
            <w:tcW w:w="2120" w:type="dxa"/>
            <w:tcBorders>
              <w:top w:val="nil"/>
              <w:left w:val="nil"/>
              <w:bottom w:val="single" w:sz="4" w:space="0" w:color="auto"/>
              <w:right w:val="single" w:sz="4" w:space="0" w:color="auto"/>
            </w:tcBorders>
            <w:shd w:val="clear" w:color="auto" w:fill="auto"/>
            <w:noWrap/>
            <w:vAlign w:val="center"/>
            <w:hideMark/>
          </w:tcPr>
          <w:p w14:paraId="08C67AEE" w14:textId="77777777" w:rsidR="00B24652" w:rsidRPr="00B24652" w:rsidRDefault="00B24652" w:rsidP="00B24652">
            <w:pPr>
              <w:spacing w:line="240" w:lineRule="auto"/>
              <w:rPr>
                <w:sz w:val="20"/>
                <w:szCs w:val="20"/>
              </w:rPr>
            </w:pPr>
            <w:r w:rsidRPr="00B24652">
              <w:rPr>
                <w:sz w:val="20"/>
                <w:szCs w:val="20"/>
              </w:rPr>
              <w:t>31</w:t>
            </w:r>
          </w:p>
        </w:tc>
        <w:tc>
          <w:tcPr>
            <w:tcW w:w="1840" w:type="dxa"/>
            <w:tcBorders>
              <w:top w:val="nil"/>
              <w:left w:val="nil"/>
              <w:bottom w:val="single" w:sz="4" w:space="0" w:color="auto"/>
              <w:right w:val="single" w:sz="4" w:space="0" w:color="auto"/>
            </w:tcBorders>
            <w:shd w:val="clear" w:color="auto" w:fill="auto"/>
            <w:noWrap/>
            <w:vAlign w:val="center"/>
            <w:hideMark/>
          </w:tcPr>
          <w:p w14:paraId="4166AA8B" w14:textId="77777777" w:rsidR="00B24652" w:rsidRPr="00B24652" w:rsidRDefault="00B24652" w:rsidP="00B24652">
            <w:pPr>
              <w:spacing w:line="240" w:lineRule="auto"/>
              <w:rPr>
                <w:sz w:val="20"/>
                <w:szCs w:val="20"/>
              </w:rPr>
            </w:pPr>
            <w:r w:rsidRPr="00B24652">
              <w:rPr>
                <w:sz w:val="20"/>
                <w:szCs w:val="20"/>
              </w:rPr>
              <w:t>2%</w:t>
            </w:r>
          </w:p>
        </w:tc>
        <w:tc>
          <w:tcPr>
            <w:tcW w:w="2160" w:type="dxa"/>
            <w:tcBorders>
              <w:top w:val="nil"/>
              <w:left w:val="nil"/>
              <w:bottom w:val="single" w:sz="4" w:space="0" w:color="auto"/>
              <w:right w:val="single" w:sz="4" w:space="0" w:color="auto"/>
            </w:tcBorders>
            <w:shd w:val="clear" w:color="auto" w:fill="auto"/>
            <w:noWrap/>
            <w:vAlign w:val="center"/>
            <w:hideMark/>
          </w:tcPr>
          <w:p w14:paraId="1AA9652C" w14:textId="77777777" w:rsidR="00B24652" w:rsidRPr="00B24652" w:rsidRDefault="00B24652" w:rsidP="00B24652">
            <w:pPr>
              <w:spacing w:line="240" w:lineRule="auto"/>
              <w:rPr>
                <w:sz w:val="20"/>
                <w:szCs w:val="20"/>
              </w:rPr>
            </w:pPr>
            <w:r w:rsidRPr="00B24652">
              <w:rPr>
                <w:sz w:val="20"/>
                <w:szCs w:val="20"/>
              </w:rPr>
              <w:t>3%</w:t>
            </w:r>
          </w:p>
        </w:tc>
      </w:tr>
      <w:tr w:rsidR="00B24652" w:rsidRPr="00B24652" w14:paraId="3344C973" w14:textId="77777777" w:rsidTr="00BA1E3E">
        <w:trPr>
          <w:trHeight w:val="504"/>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2BFB9CB1" w14:textId="77777777" w:rsidR="00B24652" w:rsidRPr="00B24652" w:rsidRDefault="00B24652" w:rsidP="00B24652">
            <w:pPr>
              <w:spacing w:line="240" w:lineRule="auto"/>
              <w:rPr>
                <w:sz w:val="20"/>
                <w:szCs w:val="20"/>
              </w:rPr>
            </w:pPr>
            <w:r w:rsidRPr="00B24652">
              <w:rPr>
                <w:sz w:val="20"/>
                <w:szCs w:val="20"/>
              </w:rPr>
              <w:lastRenderedPageBreak/>
              <w:t>Киоск по продаже хлебобулочных изделий</w:t>
            </w:r>
          </w:p>
        </w:tc>
        <w:tc>
          <w:tcPr>
            <w:tcW w:w="2120" w:type="dxa"/>
            <w:tcBorders>
              <w:top w:val="nil"/>
              <w:left w:val="nil"/>
              <w:bottom w:val="single" w:sz="4" w:space="0" w:color="auto"/>
              <w:right w:val="single" w:sz="4" w:space="0" w:color="auto"/>
            </w:tcBorders>
            <w:shd w:val="clear" w:color="auto" w:fill="auto"/>
            <w:noWrap/>
            <w:vAlign w:val="center"/>
            <w:hideMark/>
          </w:tcPr>
          <w:p w14:paraId="6EB6EF11" w14:textId="77777777" w:rsidR="00B24652" w:rsidRPr="00B24652" w:rsidRDefault="00B24652" w:rsidP="00B24652">
            <w:pPr>
              <w:spacing w:line="240" w:lineRule="auto"/>
              <w:rPr>
                <w:sz w:val="20"/>
                <w:szCs w:val="20"/>
              </w:rPr>
            </w:pPr>
            <w:r w:rsidRPr="00B24652">
              <w:rPr>
                <w:sz w:val="20"/>
                <w:szCs w:val="20"/>
              </w:rPr>
              <w:t>24</w:t>
            </w:r>
          </w:p>
        </w:tc>
        <w:tc>
          <w:tcPr>
            <w:tcW w:w="1840" w:type="dxa"/>
            <w:tcBorders>
              <w:top w:val="nil"/>
              <w:left w:val="nil"/>
              <w:bottom w:val="single" w:sz="4" w:space="0" w:color="auto"/>
              <w:right w:val="single" w:sz="4" w:space="0" w:color="auto"/>
            </w:tcBorders>
            <w:shd w:val="clear" w:color="auto" w:fill="auto"/>
            <w:noWrap/>
            <w:vAlign w:val="center"/>
            <w:hideMark/>
          </w:tcPr>
          <w:p w14:paraId="7AFE44ED"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07A72BB7"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55F5AA9D"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0F0FC91" w14:textId="77777777" w:rsidR="00B24652" w:rsidRPr="00B24652" w:rsidRDefault="00B24652" w:rsidP="00B24652">
            <w:pPr>
              <w:spacing w:line="240" w:lineRule="auto"/>
              <w:rPr>
                <w:sz w:val="20"/>
                <w:szCs w:val="20"/>
              </w:rPr>
            </w:pPr>
            <w:r w:rsidRPr="00B24652">
              <w:rPr>
                <w:sz w:val="20"/>
                <w:szCs w:val="20"/>
              </w:rPr>
              <w:t>Хлебная усадьба</w:t>
            </w:r>
          </w:p>
        </w:tc>
        <w:tc>
          <w:tcPr>
            <w:tcW w:w="2120" w:type="dxa"/>
            <w:tcBorders>
              <w:top w:val="nil"/>
              <w:left w:val="nil"/>
              <w:bottom w:val="single" w:sz="4" w:space="0" w:color="auto"/>
              <w:right w:val="single" w:sz="4" w:space="0" w:color="auto"/>
            </w:tcBorders>
            <w:shd w:val="clear" w:color="auto" w:fill="auto"/>
            <w:noWrap/>
            <w:vAlign w:val="center"/>
            <w:hideMark/>
          </w:tcPr>
          <w:p w14:paraId="681644EE" w14:textId="77777777" w:rsidR="00B24652" w:rsidRPr="00B24652" w:rsidRDefault="00B24652" w:rsidP="00B24652">
            <w:pPr>
              <w:spacing w:line="240" w:lineRule="auto"/>
              <w:rPr>
                <w:sz w:val="20"/>
                <w:szCs w:val="20"/>
              </w:rPr>
            </w:pPr>
            <w:r w:rsidRPr="00B24652">
              <w:rPr>
                <w:sz w:val="20"/>
                <w:szCs w:val="20"/>
              </w:rPr>
              <w:t>24</w:t>
            </w:r>
          </w:p>
        </w:tc>
        <w:tc>
          <w:tcPr>
            <w:tcW w:w="1840" w:type="dxa"/>
            <w:tcBorders>
              <w:top w:val="nil"/>
              <w:left w:val="nil"/>
              <w:bottom w:val="single" w:sz="4" w:space="0" w:color="auto"/>
              <w:right w:val="single" w:sz="4" w:space="0" w:color="auto"/>
            </w:tcBorders>
            <w:shd w:val="clear" w:color="auto" w:fill="auto"/>
            <w:noWrap/>
            <w:vAlign w:val="center"/>
            <w:hideMark/>
          </w:tcPr>
          <w:p w14:paraId="395F3AD9"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15616F40"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64B4861B"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4C9F23FF" w14:textId="77777777" w:rsidR="00B24652" w:rsidRPr="00B24652" w:rsidRDefault="00B24652" w:rsidP="00B24652">
            <w:pPr>
              <w:spacing w:line="240" w:lineRule="auto"/>
              <w:rPr>
                <w:sz w:val="20"/>
                <w:szCs w:val="20"/>
              </w:rPr>
            </w:pPr>
            <w:r w:rsidRPr="00B24652">
              <w:rPr>
                <w:sz w:val="20"/>
                <w:szCs w:val="20"/>
              </w:rPr>
              <w:t>Мишка Bakery</w:t>
            </w:r>
          </w:p>
        </w:tc>
        <w:tc>
          <w:tcPr>
            <w:tcW w:w="2120" w:type="dxa"/>
            <w:tcBorders>
              <w:top w:val="nil"/>
              <w:left w:val="nil"/>
              <w:bottom w:val="single" w:sz="4" w:space="0" w:color="auto"/>
              <w:right w:val="single" w:sz="4" w:space="0" w:color="auto"/>
            </w:tcBorders>
            <w:shd w:val="clear" w:color="auto" w:fill="auto"/>
            <w:noWrap/>
            <w:vAlign w:val="center"/>
            <w:hideMark/>
          </w:tcPr>
          <w:p w14:paraId="1034DB1C" w14:textId="77777777" w:rsidR="00B24652" w:rsidRPr="00B24652" w:rsidRDefault="00B24652" w:rsidP="00B24652">
            <w:pPr>
              <w:spacing w:line="240" w:lineRule="auto"/>
              <w:rPr>
                <w:sz w:val="20"/>
                <w:szCs w:val="20"/>
              </w:rPr>
            </w:pPr>
            <w:r w:rsidRPr="00B24652">
              <w:rPr>
                <w:sz w:val="20"/>
                <w:szCs w:val="20"/>
              </w:rPr>
              <w:t>22</w:t>
            </w:r>
          </w:p>
        </w:tc>
        <w:tc>
          <w:tcPr>
            <w:tcW w:w="1840" w:type="dxa"/>
            <w:tcBorders>
              <w:top w:val="nil"/>
              <w:left w:val="nil"/>
              <w:bottom w:val="single" w:sz="4" w:space="0" w:color="auto"/>
              <w:right w:val="single" w:sz="4" w:space="0" w:color="auto"/>
            </w:tcBorders>
            <w:shd w:val="clear" w:color="auto" w:fill="auto"/>
            <w:noWrap/>
            <w:vAlign w:val="center"/>
            <w:hideMark/>
          </w:tcPr>
          <w:p w14:paraId="56C6831C"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18A09D05"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36085755"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C89A9F9" w14:textId="77777777" w:rsidR="00B24652" w:rsidRPr="00B24652" w:rsidRDefault="00B24652" w:rsidP="00B24652">
            <w:pPr>
              <w:spacing w:line="240" w:lineRule="auto"/>
              <w:rPr>
                <w:sz w:val="20"/>
                <w:szCs w:val="20"/>
              </w:rPr>
            </w:pPr>
            <w:r w:rsidRPr="00B24652">
              <w:rPr>
                <w:sz w:val="20"/>
                <w:szCs w:val="20"/>
              </w:rPr>
              <w:t>Британские Пекарни</w:t>
            </w:r>
          </w:p>
        </w:tc>
        <w:tc>
          <w:tcPr>
            <w:tcW w:w="2120" w:type="dxa"/>
            <w:tcBorders>
              <w:top w:val="nil"/>
              <w:left w:val="nil"/>
              <w:bottom w:val="single" w:sz="4" w:space="0" w:color="auto"/>
              <w:right w:val="single" w:sz="4" w:space="0" w:color="auto"/>
            </w:tcBorders>
            <w:shd w:val="clear" w:color="auto" w:fill="auto"/>
            <w:noWrap/>
            <w:vAlign w:val="center"/>
            <w:hideMark/>
          </w:tcPr>
          <w:p w14:paraId="484AB270" w14:textId="77777777" w:rsidR="00B24652" w:rsidRPr="00B24652" w:rsidRDefault="00B24652" w:rsidP="00B24652">
            <w:pPr>
              <w:spacing w:line="240" w:lineRule="auto"/>
              <w:rPr>
                <w:sz w:val="20"/>
                <w:szCs w:val="20"/>
              </w:rPr>
            </w:pPr>
            <w:r w:rsidRPr="00B24652">
              <w:rPr>
                <w:sz w:val="20"/>
                <w:szCs w:val="20"/>
              </w:rPr>
              <w:t>20</w:t>
            </w:r>
          </w:p>
        </w:tc>
        <w:tc>
          <w:tcPr>
            <w:tcW w:w="1840" w:type="dxa"/>
            <w:tcBorders>
              <w:top w:val="nil"/>
              <w:left w:val="nil"/>
              <w:bottom w:val="single" w:sz="4" w:space="0" w:color="auto"/>
              <w:right w:val="single" w:sz="4" w:space="0" w:color="auto"/>
            </w:tcBorders>
            <w:shd w:val="clear" w:color="auto" w:fill="auto"/>
            <w:noWrap/>
            <w:vAlign w:val="center"/>
            <w:hideMark/>
          </w:tcPr>
          <w:p w14:paraId="74AC4BA0"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10DE2A45"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7486F21A"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90B2F8B" w14:textId="77777777" w:rsidR="00B24652" w:rsidRPr="00B24652" w:rsidRDefault="00B24652" w:rsidP="00B24652">
            <w:pPr>
              <w:spacing w:line="240" w:lineRule="auto"/>
              <w:rPr>
                <w:sz w:val="20"/>
                <w:szCs w:val="20"/>
              </w:rPr>
            </w:pPr>
            <w:r w:rsidRPr="00B24652">
              <w:rPr>
                <w:sz w:val="20"/>
                <w:szCs w:val="20"/>
              </w:rPr>
              <w:t>Пироговый Дворик</w:t>
            </w:r>
          </w:p>
        </w:tc>
        <w:tc>
          <w:tcPr>
            <w:tcW w:w="2120" w:type="dxa"/>
            <w:tcBorders>
              <w:top w:val="nil"/>
              <w:left w:val="nil"/>
              <w:bottom w:val="single" w:sz="4" w:space="0" w:color="auto"/>
              <w:right w:val="single" w:sz="4" w:space="0" w:color="auto"/>
            </w:tcBorders>
            <w:shd w:val="clear" w:color="auto" w:fill="auto"/>
            <w:noWrap/>
            <w:vAlign w:val="center"/>
            <w:hideMark/>
          </w:tcPr>
          <w:p w14:paraId="3D2BD544" w14:textId="77777777" w:rsidR="00B24652" w:rsidRPr="00B24652" w:rsidRDefault="00B24652" w:rsidP="00B24652">
            <w:pPr>
              <w:spacing w:line="240" w:lineRule="auto"/>
              <w:rPr>
                <w:sz w:val="20"/>
                <w:szCs w:val="20"/>
              </w:rPr>
            </w:pPr>
            <w:r w:rsidRPr="00B24652">
              <w:rPr>
                <w:sz w:val="20"/>
                <w:szCs w:val="20"/>
              </w:rPr>
              <w:t>20</w:t>
            </w:r>
          </w:p>
        </w:tc>
        <w:tc>
          <w:tcPr>
            <w:tcW w:w="1840" w:type="dxa"/>
            <w:tcBorders>
              <w:top w:val="nil"/>
              <w:left w:val="nil"/>
              <w:bottom w:val="single" w:sz="4" w:space="0" w:color="auto"/>
              <w:right w:val="single" w:sz="4" w:space="0" w:color="auto"/>
            </w:tcBorders>
            <w:shd w:val="clear" w:color="auto" w:fill="auto"/>
            <w:noWrap/>
            <w:vAlign w:val="center"/>
            <w:hideMark/>
          </w:tcPr>
          <w:p w14:paraId="55A16F96"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2D42BE30"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030B68F5" w14:textId="77777777" w:rsidTr="00BA1E3E">
        <w:trPr>
          <w:trHeight w:val="252"/>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7802D843" w14:textId="77777777" w:rsidR="00B24652" w:rsidRPr="00B24652" w:rsidRDefault="00B24652" w:rsidP="00B24652">
            <w:pPr>
              <w:spacing w:line="240" w:lineRule="auto"/>
              <w:rPr>
                <w:sz w:val="20"/>
                <w:szCs w:val="20"/>
              </w:rPr>
            </w:pPr>
            <w:r w:rsidRPr="00B24652">
              <w:rPr>
                <w:sz w:val="20"/>
                <w:szCs w:val="20"/>
              </w:rPr>
              <w:t>Выпечка АМ!</w:t>
            </w:r>
          </w:p>
        </w:tc>
        <w:tc>
          <w:tcPr>
            <w:tcW w:w="2120" w:type="dxa"/>
            <w:tcBorders>
              <w:top w:val="nil"/>
              <w:left w:val="nil"/>
              <w:bottom w:val="single" w:sz="4" w:space="0" w:color="auto"/>
              <w:right w:val="single" w:sz="4" w:space="0" w:color="auto"/>
            </w:tcBorders>
            <w:shd w:val="clear" w:color="auto" w:fill="auto"/>
            <w:noWrap/>
            <w:vAlign w:val="center"/>
            <w:hideMark/>
          </w:tcPr>
          <w:p w14:paraId="202F7642" w14:textId="77777777" w:rsidR="00B24652" w:rsidRPr="00B24652" w:rsidRDefault="00B24652" w:rsidP="00B24652">
            <w:pPr>
              <w:spacing w:line="240" w:lineRule="auto"/>
              <w:rPr>
                <w:sz w:val="20"/>
                <w:szCs w:val="20"/>
              </w:rPr>
            </w:pPr>
            <w:r w:rsidRPr="00B24652">
              <w:rPr>
                <w:sz w:val="20"/>
                <w:szCs w:val="20"/>
              </w:rPr>
              <w:t>19</w:t>
            </w:r>
          </w:p>
        </w:tc>
        <w:tc>
          <w:tcPr>
            <w:tcW w:w="1840" w:type="dxa"/>
            <w:tcBorders>
              <w:top w:val="nil"/>
              <w:left w:val="nil"/>
              <w:bottom w:val="single" w:sz="4" w:space="0" w:color="auto"/>
              <w:right w:val="single" w:sz="4" w:space="0" w:color="auto"/>
            </w:tcBorders>
            <w:shd w:val="clear" w:color="auto" w:fill="auto"/>
            <w:noWrap/>
            <w:vAlign w:val="center"/>
            <w:hideMark/>
          </w:tcPr>
          <w:p w14:paraId="57D87574"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261EB4D0" w14:textId="77777777" w:rsidR="00B24652" w:rsidRPr="00B24652" w:rsidRDefault="00B24652" w:rsidP="00B24652">
            <w:pPr>
              <w:spacing w:line="240" w:lineRule="auto"/>
              <w:rPr>
                <w:sz w:val="20"/>
                <w:szCs w:val="20"/>
              </w:rPr>
            </w:pPr>
            <w:r w:rsidRPr="00B24652">
              <w:rPr>
                <w:sz w:val="20"/>
                <w:szCs w:val="20"/>
              </w:rPr>
              <w:t>2%</w:t>
            </w:r>
          </w:p>
        </w:tc>
      </w:tr>
      <w:tr w:rsidR="00B24652" w:rsidRPr="00B24652" w14:paraId="6761985A" w14:textId="77777777" w:rsidTr="00BA1E3E">
        <w:trPr>
          <w:trHeight w:val="258"/>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14:paraId="67C626DD" w14:textId="77777777" w:rsidR="00B24652" w:rsidRPr="00B24652" w:rsidRDefault="00B24652" w:rsidP="00B24652">
            <w:pPr>
              <w:spacing w:line="240" w:lineRule="auto"/>
              <w:rPr>
                <w:sz w:val="20"/>
                <w:szCs w:val="20"/>
              </w:rPr>
            </w:pPr>
            <w:r w:rsidRPr="00B24652">
              <w:rPr>
                <w:sz w:val="20"/>
                <w:szCs w:val="20"/>
              </w:rPr>
              <w:t>Теплого Хлеба и Под Одеяло</w:t>
            </w:r>
          </w:p>
        </w:tc>
        <w:tc>
          <w:tcPr>
            <w:tcW w:w="2120" w:type="dxa"/>
            <w:tcBorders>
              <w:top w:val="nil"/>
              <w:left w:val="nil"/>
              <w:bottom w:val="single" w:sz="4" w:space="0" w:color="auto"/>
              <w:right w:val="single" w:sz="4" w:space="0" w:color="auto"/>
            </w:tcBorders>
            <w:shd w:val="clear" w:color="auto" w:fill="auto"/>
            <w:noWrap/>
            <w:vAlign w:val="center"/>
            <w:hideMark/>
          </w:tcPr>
          <w:p w14:paraId="37CDDE67" w14:textId="77777777" w:rsidR="00B24652" w:rsidRPr="00B24652" w:rsidRDefault="00B24652" w:rsidP="00B24652">
            <w:pPr>
              <w:spacing w:line="240" w:lineRule="auto"/>
              <w:rPr>
                <w:sz w:val="20"/>
                <w:szCs w:val="20"/>
              </w:rPr>
            </w:pPr>
            <w:r w:rsidRPr="00B24652">
              <w:rPr>
                <w:sz w:val="20"/>
                <w:szCs w:val="20"/>
              </w:rPr>
              <w:t>16</w:t>
            </w:r>
          </w:p>
        </w:tc>
        <w:tc>
          <w:tcPr>
            <w:tcW w:w="1840" w:type="dxa"/>
            <w:tcBorders>
              <w:top w:val="nil"/>
              <w:left w:val="nil"/>
              <w:bottom w:val="single" w:sz="4" w:space="0" w:color="auto"/>
              <w:right w:val="single" w:sz="4" w:space="0" w:color="auto"/>
            </w:tcBorders>
            <w:shd w:val="clear" w:color="auto" w:fill="auto"/>
            <w:noWrap/>
            <w:vAlign w:val="center"/>
            <w:hideMark/>
          </w:tcPr>
          <w:p w14:paraId="6FD9F865" w14:textId="77777777" w:rsidR="00B24652" w:rsidRPr="00B24652" w:rsidRDefault="00B24652" w:rsidP="00B24652">
            <w:pPr>
              <w:spacing w:line="240" w:lineRule="auto"/>
              <w:rPr>
                <w:sz w:val="20"/>
                <w:szCs w:val="20"/>
              </w:rPr>
            </w:pPr>
            <w:r w:rsidRPr="00B24652">
              <w:rPr>
                <w:sz w:val="20"/>
                <w:szCs w:val="20"/>
              </w:rPr>
              <w:t>1%</w:t>
            </w:r>
          </w:p>
        </w:tc>
        <w:tc>
          <w:tcPr>
            <w:tcW w:w="2160" w:type="dxa"/>
            <w:tcBorders>
              <w:top w:val="nil"/>
              <w:left w:val="nil"/>
              <w:bottom w:val="single" w:sz="4" w:space="0" w:color="auto"/>
              <w:right w:val="single" w:sz="4" w:space="0" w:color="auto"/>
            </w:tcBorders>
            <w:shd w:val="clear" w:color="auto" w:fill="auto"/>
            <w:noWrap/>
            <w:vAlign w:val="center"/>
            <w:hideMark/>
          </w:tcPr>
          <w:p w14:paraId="181B38E0" w14:textId="77777777" w:rsidR="00B24652" w:rsidRPr="00B24652" w:rsidRDefault="00B24652" w:rsidP="00B24652">
            <w:pPr>
              <w:spacing w:line="240" w:lineRule="auto"/>
              <w:rPr>
                <w:sz w:val="20"/>
                <w:szCs w:val="20"/>
              </w:rPr>
            </w:pPr>
            <w:r w:rsidRPr="00B24652">
              <w:rPr>
                <w:sz w:val="20"/>
                <w:szCs w:val="20"/>
              </w:rPr>
              <w:t>2%</w:t>
            </w:r>
          </w:p>
        </w:tc>
      </w:tr>
    </w:tbl>
    <w:p w14:paraId="261EB0A1" w14:textId="77777777" w:rsidR="00B24652" w:rsidRPr="00B24652" w:rsidRDefault="00B24652" w:rsidP="00B24652">
      <w:pPr>
        <w:spacing w:after="160"/>
        <w:rPr>
          <w:rFonts w:eastAsiaTheme="minorHAnsi"/>
          <w:bCs/>
          <w:iCs/>
          <w:sz w:val="22"/>
          <w:lang w:eastAsia="en-US"/>
        </w:rPr>
      </w:pPr>
      <w:r w:rsidRPr="00B24652">
        <w:rPr>
          <w:rFonts w:eastAsiaTheme="minorHAnsi"/>
          <w:bCs/>
          <w:iCs/>
          <w:sz w:val="22"/>
          <w:lang w:eastAsia="en-US"/>
        </w:rPr>
        <w:t>*Составлено автором на основе данных 2ГИС</w:t>
      </w:r>
    </w:p>
    <w:p w14:paraId="026AD49A" w14:textId="77777777" w:rsidR="00B24652" w:rsidRPr="00B24652" w:rsidRDefault="00B24652" w:rsidP="00B24652">
      <w:pPr>
        <w:ind w:firstLine="851"/>
        <w:jc w:val="both"/>
        <w:rPr>
          <w:rFonts w:eastAsiaTheme="minorHAnsi"/>
          <w:lang w:eastAsia="en-US"/>
        </w:rPr>
      </w:pPr>
      <w:r w:rsidRPr="00B24652">
        <w:rPr>
          <w:rFonts w:eastAsiaTheme="minorHAnsi"/>
          <w:lang w:eastAsia="en-US"/>
        </w:rPr>
        <w:t>В ходе исследования были проанализированы показатели, характеризующие пекарни: структура сетевых и круглосуточных магазинов, дифференциация по графикам работы.</w:t>
      </w:r>
    </w:p>
    <w:p w14:paraId="576ACFB1" w14:textId="6C5E9064" w:rsidR="00B24652" w:rsidRPr="00B24652" w:rsidRDefault="00B24652" w:rsidP="00B24652">
      <w:pPr>
        <w:ind w:firstLine="851"/>
        <w:jc w:val="both"/>
        <w:rPr>
          <w:rFonts w:eastAsiaTheme="minorHAnsi"/>
          <w:lang w:eastAsia="en-US"/>
        </w:rPr>
      </w:pPr>
      <w:r w:rsidRPr="00B24652">
        <w:rPr>
          <w:rFonts w:eastAsiaTheme="minorHAnsi"/>
          <w:lang w:eastAsia="en-US"/>
        </w:rPr>
        <w:t xml:space="preserve">К «сетевым» пекарным были отнесены те, число филиалов которых было больше или равно 5 торговым точкам. На этой основе было выделено 962 объекта, что составило 65% от суммарного числа пекарен на территории Санкт-Петербурга (Рисунок </w:t>
      </w:r>
      <w:r w:rsidR="003948EE">
        <w:rPr>
          <w:rFonts w:eastAsiaTheme="minorHAnsi"/>
          <w:lang w:eastAsia="en-US"/>
        </w:rPr>
        <w:t>20</w:t>
      </w:r>
      <w:r w:rsidRPr="00B24652">
        <w:rPr>
          <w:rFonts w:eastAsiaTheme="minorHAnsi"/>
          <w:lang w:eastAsia="en-US"/>
        </w:rPr>
        <w:t>). Таким образом, абсолютное большинство рынка пекарен занимает сетевая торговля, представленная 57 сетями.</w:t>
      </w:r>
    </w:p>
    <w:p w14:paraId="37AE988A" w14:textId="77777777" w:rsidR="00B24652" w:rsidRPr="00B24652" w:rsidRDefault="00B24652" w:rsidP="00B24652">
      <w:pPr>
        <w:spacing w:before="160"/>
        <w:rPr>
          <w:rFonts w:eastAsiaTheme="minorHAnsi"/>
          <w:lang w:eastAsia="en-US"/>
        </w:rPr>
      </w:pPr>
      <w:r w:rsidRPr="00B24652">
        <w:rPr>
          <w:rFonts w:eastAsiaTheme="minorHAnsi"/>
          <w:noProof/>
        </w:rPr>
        <w:drawing>
          <wp:inline distT="0" distB="0" distL="0" distR="0" wp14:anchorId="5A3FB48B" wp14:editId="58FE27D7">
            <wp:extent cx="3816626" cy="1860919"/>
            <wp:effectExtent l="0" t="0" r="0" b="6350"/>
            <wp:docPr id="17" name="Рисунок 51"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hart, pie char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53653" cy="1878973"/>
                    </a:xfrm>
                    <a:prstGeom prst="rect">
                      <a:avLst/>
                    </a:prstGeom>
                    <a:noFill/>
                  </pic:spPr>
                </pic:pic>
              </a:graphicData>
            </a:graphic>
          </wp:inline>
        </w:drawing>
      </w:r>
    </w:p>
    <w:p w14:paraId="401EAB71" w14:textId="2F71D4AE" w:rsidR="00B24652" w:rsidRPr="00B24652" w:rsidRDefault="00B24652" w:rsidP="00B24652">
      <w:pPr>
        <w:spacing w:line="240" w:lineRule="auto"/>
        <w:rPr>
          <w:rFonts w:eastAsiaTheme="minorHAnsi"/>
          <w:bCs/>
          <w:iCs/>
          <w:lang w:eastAsia="en-US"/>
        </w:rPr>
      </w:pPr>
      <w:r w:rsidRPr="00B24652">
        <w:rPr>
          <w:rFonts w:eastAsiaTheme="minorHAnsi"/>
          <w:lang w:eastAsia="en-US"/>
        </w:rPr>
        <w:t>Рисунок 2</w:t>
      </w:r>
      <w:r w:rsidR="003948EE">
        <w:rPr>
          <w:rFonts w:eastAsiaTheme="minorHAnsi"/>
          <w:lang w:eastAsia="en-US"/>
        </w:rPr>
        <w:t>0</w:t>
      </w:r>
      <w:r w:rsidRPr="00B24652">
        <w:rPr>
          <w:rFonts w:eastAsiaTheme="minorHAnsi"/>
          <w:lang w:eastAsia="en-US"/>
        </w:rPr>
        <w:t xml:space="preserve">. </w:t>
      </w:r>
      <w:r w:rsidRPr="00B24652">
        <w:rPr>
          <w:rFonts w:eastAsiaTheme="minorHAnsi"/>
          <w:bCs/>
          <w:iCs/>
          <w:lang w:eastAsia="en-US"/>
        </w:rPr>
        <w:t>Структура рынка пекарен Санкт-Петербурга</w:t>
      </w:r>
    </w:p>
    <w:p w14:paraId="73A3E890" w14:textId="77777777" w:rsidR="00B24652" w:rsidRPr="00B24652" w:rsidRDefault="00B24652" w:rsidP="00B24652">
      <w:pPr>
        <w:spacing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721DC655" w14:textId="77777777" w:rsidR="00B24652" w:rsidRPr="00B24652" w:rsidRDefault="00B24652" w:rsidP="00B24652">
      <w:pPr>
        <w:spacing w:line="240" w:lineRule="auto"/>
        <w:jc w:val="both"/>
        <w:rPr>
          <w:rFonts w:eastAsiaTheme="minorHAnsi"/>
          <w:lang w:eastAsia="en-US"/>
        </w:rPr>
      </w:pPr>
    </w:p>
    <w:p w14:paraId="7B4EABFA" w14:textId="59B53F64" w:rsidR="00B24652" w:rsidRPr="00B24652" w:rsidRDefault="00B24652" w:rsidP="00B24652">
      <w:pPr>
        <w:ind w:firstLine="851"/>
        <w:jc w:val="both"/>
        <w:rPr>
          <w:rFonts w:eastAsiaTheme="minorHAnsi"/>
          <w:lang w:eastAsia="en-US"/>
        </w:rPr>
      </w:pPr>
      <w:r w:rsidRPr="00B24652">
        <w:rPr>
          <w:rFonts w:eastAsiaTheme="minorHAnsi"/>
          <w:lang w:eastAsia="en-US"/>
        </w:rPr>
        <w:t>Анализ совокупности круглосуточных пекарен Санкт-Петербурга позволил выделить на территории города 68 таких торговых точек, что составило 4,6% от общего числа объектов данной отрасли. К крупнейшим сетям постоянного обслуживания были отнесены: мини-пекарни в супермаркете «Азбука Вкуса», «Лэнд», «Магазин свежей выпечки», «Тили-тесто», «</w:t>
      </w:r>
      <w:r w:rsidRPr="00B24652">
        <w:rPr>
          <w:rFonts w:eastAsiaTheme="minorHAnsi"/>
          <w:lang w:val="en-US" w:eastAsia="en-US"/>
        </w:rPr>
        <w:t>AB</w:t>
      </w:r>
      <w:r w:rsidRPr="00B24652">
        <w:rPr>
          <w:rFonts w:eastAsiaTheme="minorHAnsi"/>
          <w:lang w:eastAsia="en-US"/>
        </w:rPr>
        <w:t xml:space="preserve"> </w:t>
      </w:r>
      <w:r w:rsidRPr="00B24652">
        <w:rPr>
          <w:rFonts w:eastAsiaTheme="minorHAnsi"/>
          <w:lang w:val="en-US" w:eastAsia="en-US"/>
        </w:rPr>
        <w:t>Daily</w:t>
      </w:r>
      <w:r w:rsidRPr="00B24652">
        <w:rPr>
          <w:rFonts w:eastAsiaTheme="minorHAnsi"/>
          <w:lang w:eastAsia="en-US"/>
        </w:rPr>
        <w:t>», «Грузинская пекарня» и др. (Рисунок 2</w:t>
      </w:r>
      <w:r w:rsidR="003948EE">
        <w:rPr>
          <w:rFonts w:eastAsiaTheme="minorHAnsi"/>
          <w:lang w:eastAsia="en-US"/>
        </w:rPr>
        <w:t>1</w:t>
      </w:r>
      <w:r w:rsidRPr="00B24652">
        <w:rPr>
          <w:rFonts w:eastAsiaTheme="minorHAnsi"/>
          <w:lang w:eastAsia="en-US"/>
        </w:rPr>
        <w:t>).</w:t>
      </w:r>
    </w:p>
    <w:p w14:paraId="142894D4" w14:textId="77777777" w:rsidR="00B24652" w:rsidRPr="00B24652" w:rsidRDefault="00B24652" w:rsidP="00B24652">
      <w:pPr>
        <w:spacing w:before="160"/>
        <w:rPr>
          <w:rFonts w:eastAsiaTheme="minorHAnsi"/>
          <w:szCs w:val="22"/>
          <w:lang w:eastAsia="en-US"/>
        </w:rPr>
      </w:pPr>
      <w:r w:rsidRPr="00B24652">
        <w:rPr>
          <w:rFonts w:eastAsiaTheme="minorHAnsi"/>
          <w:noProof/>
          <w:szCs w:val="22"/>
        </w:rPr>
        <w:lastRenderedPageBreak/>
        <w:drawing>
          <wp:inline distT="0" distB="0" distL="0" distR="0" wp14:anchorId="294B39CD" wp14:editId="45F52704">
            <wp:extent cx="4826442" cy="2284010"/>
            <wp:effectExtent l="0" t="0" r="0" b="2540"/>
            <wp:docPr id="53" name="Рисунок 53" descr="Chart, pie 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Chart, pie chart, sunburst chart&#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t="11857"/>
                    <a:stretch/>
                  </pic:blipFill>
                  <pic:spPr bwMode="auto">
                    <a:xfrm>
                      <a:off x="0" y="0"/>
                      <a:ext cx="4863484" cy="2301539"/>
                    </a:xfrm>
                    <a:prstGeom prst="rect">
                      <a:avLst/>
                    </a:prstGeom>
                    <a:noFill/>
                    <a:ln>
                      <a:noFill/>
                    </a:ln>
                    <a:extLst>
                      <a:ext uri="{53640926-AAD7-44D8-BBD7-CCE9431645EC}">
                        <a14:shadowObscured xmlns:a14="http://schemas.microsoft.com/office/drawing/2010/main"/>
                      </a:ext>
                    </a:extLst>
                  </pic:spPr>
                </pic:pic>
              </a:graphicData>
            </a:graphic>
          </wp:inline>
        </w:drawing>
      </w:r>
    </w:p>
    <w:p w14:paraId="73E237FE" w14:textId="02F11196" w:rsidR="00B24652" w:rsidRPr="00B24652" w:rsidRDefault="00B24652" w:rsidP="00B24652">
      <w:pPr>
        <w:spacing w:line="240" w:lineRule="auto"/>
        <w:rPr>
          <w:rFonts w:eastAsiaTheme="minorHAnsi"/>
          <w:bCs/>
          <w:iCs/>
          <w:lang w:eastAsia="en-US"/>
        </w:rPr>
      </w:pPr>
      <w:r w:rsidRPr="00B24652">
        <w:rPr>
          <w:rFonts w:eastAsiaTheme="minorHAnsi"/>
          <w:lang w:eastAsia="en-US"/>
        </w:rPr>
        <w:t>Рисунок 2</w:t>
      </w:r>
      <w:r w:rsidR="003948EE">
        <w:rPr>
          <w:rFonts w:eastAsiaTheme="minorHAnsi"/>
          <w:lang w:eastAsia="en-US"/>
        </w:rPr>
        <w:t>1</w:t>
      </w:r>
      <w:r w:rsidRPr="00B24652">
        <w:rPr>
          <w:rFonts w:eastAsiaTheme="minorHAnsi"/>
          <w:lang w:eastAsia="en-US"/>
        </w:rPr>
        <w:t xml:space="preserve">. </w:t>
      </w:r>
      <w:r w:rsidRPr="00B24652">
        <w:rPr>
          <w:rFonts w:eastAsiaTheme="minorHAnsi"/>
          <w:bCs/>
          <w:iCs/>
          <w:lang w:eastAsia="en-US"/>
        </w:rPr>
        <w:t>Крупнейшие сети круглосуточных пекарен Санкт-Петербурга</w:t>
      </w:r>
    </w:p>
    <w:p w14:paraId="488B0734"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18A04084" w14:textId="75D28FCA" w:rsidR="00B24652" w:rsidRPr="00B24652" w:rsidRDefault="00B24652" w:rsidP="00B24652">
      <w:pPr>
        <w:ind w:firstLine="851"/>
        <w:jc w:val="both"/>
        <w:rPr>
          <w:rFonts w:eastAsiaTheme="minorHAnsi"/>
          <w:lang w:eastAsia="en-US"/>
        </w:rPr>
      </w:pPr>
      <w:r w:rsidRPr="00B24652">
        <w:rPr>
          <w:rFonts w:eastAsiaTheme="minorHAnsi"/>
          <w:lang w:eastAsia="en-US"/>
        </w:rPr>
        <w:t>Также была рассмотрена дифференциация пекарен по графикам работы. Было выделено 13 групп (Рисунок 2</w:t>
      </w:r>
      <w:r w:rsidR="003948EE">
        <w:rPr>
          <w:rFonts w:eastAsiaTheme="minorHAnsi"/>
          <w:lang w:eastAsia="en-US"/>
        </w:rPr>
        <w:t>2</w:t>
      </w:r>
      <w:r w:rsidRPr="00B24652">
        <w:rPr>
          <w:rFonts w:eastAsiaTheme="minorHAnsi"/>
          <w:lang w:eastAsia="en-US"/>
        </w:rPr>
        <w:t>). Наибольшая доля объектов имеет часы работы с 8:00 до 22:00, значительную часть составляют объекты с рабочими расписаниями с 8:00 до 21:00 и с 9:00 до 21:00. Высокая составляющая группы «Остальное» может говорить о сильной дифференциации в графиках работы данной отрасли рынка.</w:t>
      </w:r>
    </w:p>
    <w:p w14:paraId="56D7CDA3" w14:textId="77777777" w:rsidR="00B24652" w:rsidRPr="00B24652" w:rsidRDefault="00B24652" w:rsidP="00B24652">
      <w:pPr>
        <w:spacing w:before="160" w:line="240" w:lineRule="auto"/>
        <w:rPr>
          <w:rFonts w:eastAsiaTheme="minorHAnsi"/>
          <w:sz w:val="28"/>
          <w:szCs w:val="28"/>
          <w:lang w:eastAsia="en-US"/>
        </w:rPr>
      </w:pPr>
      <w:r w:rsidRPr="00B24652">
        <w:rPr>
          <w:rFonts w:eastAsiaTheme="minorHAnsi"/>
          <w:noProof/>
          <w:sz w:val="28"/>
          <w:szCs w:val="28"/>
        </w:rPr>
        <w:drawing>
          <wp:inline distT="0" distB="0" distL="0" distR="0" wp14:anchorId="68E6B179" wp14:editId="753353CF">
            <wp:extent cx="4516341" cy="2677576"/>
            <wp:effectExtent l="0" t="0" r="0" b="8890"/>
            <wp:docPr id="54" name="Рисунок 5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A picture containing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0333" cy="2685871"/>
                    </a:xfrm>
                    <a:prstGeom prst="rect">
                      <a:avLst/>
                    </a:prstGeom>
                    <a:noFill/>
                  </pic:spPr>
                </pic:pic>
              </a:graphicData>
            </a:graphic>
          </wp:inline>
        </w:drawing>
      </w:r>
    </w:p>
    <w:p w14:paraId="2FF8BD35" w14:textId="46CD296E" w:rsidR="00B24652" w:rsidRPr="00B24652" w:rsidRDefault="00B24652" w:rsidP="00B24652">
      <w:pPr>
        <w:spacing w:line="240" w:lineRule="auto"/>
        <w:rPr>
          <w:rFonts w:eastAsiaTheme="minorHAnsi"/>
          <w:bCs/>
          <w:iCs/>
          <w:sz w:val="22"/>
          <w:szCs w:val="22"/>
          <w:lang w:eastAsia="en-US"/>
        </w:rPr>
      </w:pPr>
      <w:r w:rsidRPr="00B24652">
        <w:rPr>
          <w:rFonts w:eastAsiaTheme="minorHAnsi"/>
          <w:lang w:eastAsia="en-US"/>
        </w:rPr>
        <w:t xml:space="preserve">Рисунок </w:t>
      </w:r>
      <w:r w:rsidR="003948EE">
        <w:rPr>
          <w:rFonts w:eastAsiaTheme="minorHAnsi"/>
          <w:lang w:eastAsia="en-US"/>
        </w:rPr>
        <w:t>22</w:t>
      </w:r>
      <w:r w:rsidRPr="00B24652">
        <w:rPr>
          <w:rFonts w:eastAsiaTheme="minorHAnsi"/>
          <w:lang w:eastAsia="en-US"/>
        </w:rPr>
        <w:t xml:space="preserve">. </w:t>
      </w:r>
      <w:r w:rsidRPr="00B24652">
        <w:rPr>
          <w:rFonts w:eastAsiaTheme="minorHAnsi"/>
          <w:bCs/>
          <w:iCs/>
          <w:lang w:eastAsia="en-US"/>
        </w:rPr>
        <w:t>Графики работы пекарен Санкт-Петербурга</w:t>
      </w:r>
    </w:p>
    <w:p w14:paraId="747F6FAB" w14:textId="77777777" w:rsidR="00B24652" w:rsidRPr="00B24652" w:rsidRDefault="00B24652" w:rsidP="00B24652">
      <w:pPr>
        <w:spacing w:after="160"/>
        <w:rPr>
          <w:rFonts w:eastAsiaTheme="minorHAnsi"/>
          <w:bCs/>
          <w:iCs/>
          <w:sz w:val="22"/>
          <w:szCs w:val="20"/>
          <w:lang w:eastAsia="en-US"/>
        </w:rPr>
      </w:pPr>
      <w:r w:rsidRPr="00B24652">
        <w:rPr>
          <w:rFonts w:eastAsiaTheme="minorHAnsi"/>
          <w:bCs/>
          <w:iCs/>
          <w:sz w:val="22"/>
          <w:szCs w:val="20"/>
          <w:lang w:eastAsia="en-US"/>
        </w:rPr>
        <w:t>*Составлено автором на основе данных 2ГИС</w:t>
      </w:r>
    </w:p>
    <w:p w14:paraId="57EBF605" w14:textId="5D810A9F" w:rsidR="00B24652" w:rsidRPr="00B24652" w:rsidRDefault="00B24652" w:rsidP="00B24652">
      <w:pPr>
        <w:keepNext/>
        <w:keepLines/>
        <w:spacing w:before="160" w:after="160"/>
        <w:outlineLvl w:val="2"/>
        <w:rPr>
          <w:rFonts w:eastAsiaTheme="majorEastAsia"/>
          <w:b/>
          <w:bCs/>
          <w:lang w:eastAsia="en-US"/>
        </w:rPr>
      </w:pPr>
      <w:bookmarkStart w:id="18" w:name="_Toc103641030"/>
      <w:r w:rsidRPr="00B24652">
        <w:rPr>
          <w:rFonts w:eastAsiaTheme="majorEastAsia"/>
          <w:b/>
          <w:bCs/>
          <w:lang w:eastAsia="en-US"/>
        </w:rPr>
        <w:t>2.</w:t>
      </w:r>
      <w:r w:rsidR="008447A6">
        <w:rPr>
          <w:rFonts w:eastAsiaTheme="majorEastAsia"/>
          <w:b/>
          <w:bCs/>
          <w:lang w:eastAsia="en-US"/>
        </w:rPr>
        <w:t>4</w:t>
      </w:r>
      <w:r w:rsidRPr="00B24652">
        <w:rPr>
          <w:rFonts w:eastAsiaTheme="majorEastAsia"/>
          <w:b/>
          <w:bCs/>
          <w:lang w:eastAsia="en-US"/>
        </w:rPr>
        <w:t>.4</w:t>
      </w:r>
      <w:r w:rsidR="005A72AE" w:rsidRPr="00474BFD">
        <w:rPr>
          <w:rFonts w:eastAsiaTheme="majorEastAsia"/>
          <w:b/>
          <w:bCs/>
          <w:lang w:eastAsia="en-US"/>
        </w:rPr>
        <w:t>.</w:t>
      </w:r>
      <w:r w:rsidRPr="00B24652">
        <w:rPr>
          <w:rFonts w:eastAsiaTheme="majorEastAsia"/>
          <w:b/>
          <w:bCs/>
          <w:lang w:eastAsia="en-US"/>
        </w:rPr>
        <w:t xml:space="preserve"> Состояние рынка кофеен</w:t>
      </w:r>
      <w:bookmarkEnd w:id="18"/>
    </w:p>
    <w:p w14:paraId="124A043F" w14:textId="3CAA0C53"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Рынок кофеен является одной из наиболее интенсивно развивающейся отраслью общественного питания как в целом в России, так и в Санкт-Петербурге в частности. По данным экспертов, в 2020 году было открыто более 10 тысяч кофеен по всей России. В России на сегодняшний день наблюдается интенсивный рост данной отрасли общественного </w:t>
      </w:r>
      <w:r w:rsidRPr="00B24652">
        <w:rPr>
          <w:rFonts w:eastAsiaTheme="minorHAnsi"/>
          <w:szCs w:val="22"/>
          <w:lang w:eastAsia="en-US"/>
        </w:rPr>
        <w:lastRenderedPageBreak/>
        <w:t>питания (</w:t>
      </w:r>
      <w:r w:rsidR="003948EE">
        <w:rPr>
          <w:rFonts w:eastAsiaTheme="minorHAnsi"/>
          <w:szCs w:val="22"/>
          <w:lang w:eastAsia="en-US"/>
        </w:rPr>
        <w:t>Рисунок</w:t>
      </w:r>
      <w:r w:rsidRPr="00B24652">
        <w:rPr>
          <w:rFonts w:eastAsiaTheme="minorHAnsi"/>
          <w:szCs w:val="22"/>
          <w:lang w:eastAsia="en-US"/>
        </w:rPr>
        <w:t xml:space="preserve"> 2</w:t>
      </w:r>
      <w:r w:rsidR="003948EE">
        <w:rPr>
          <w:rFonts w:eastAsiaTheme="minorHAnsi"/>
          <w:szCs w:val="22"/>
          <w:lang w:eastAsia="en-US"/>
        </w:rPr>
        <w:t>3</w:t>
      </w:r>
      <w:r w:rsidRPr="00B24652">
        <w:rPr>
          <w:rFonts w:eastAsiaTheme="minorHAnsi"/>
          <w:szCs w:val="22"/>
          <w:lang w:eastAsia="en-US"/>
        </w:rPr>
        <w:t>). Согласно данным РБК Исследованиям, потребление кофе с каждым годом растет на 7-10%, при этом также увеличивается и его импорт.</w:t>
      </w:r>
    </w:p>
    <w:p w14:paraId="3C91A3FA"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4D2318C5" wp14:editId="567A1F0C">
            <wp:extent cx="5503659" cy="2910177"/>
            <wp:effectExtent l="0" t="0" r="1905" b="5080"/>
            <wp:docPr id="19" name="Picture 1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pic:cNvPicPr/>
                  </pic:nvPicPr>
                  <pic:blipFill>
                    <a:blip r:embed="rId36"/>
                    <a:stretch>
                      <a:fillRect/>
                    </a:stretch>
                  </pic:blipFill>
                  <pic:spPr>
                    <a:xfrm>
                      <a:off x="0" y="0"/>
                      <a:ext cx="5550186" cy="2934779"/>
                    </a:xfrm>
                    <a:prstGeom prst="rect">
                      <a:avLst/>
                    </a:prstGeom>
                  </pic:spPr>
                </pic:pic>
              </a:graphicData>
            </a:graphic>
          </wp:inline>
        </w:drawing>
      </w:r>
    </w:p>
    <w:p w14:paraId="3A4C856A" w14:textId="1F98BF87" w:rsidR="00B24652" w:rsidRPr="00B24652" w:rsidRDefault="00B24652" w:rsidP="00B24652">
      <w:pPr>
        <w:spacing w:line="240" w:lineRule="auto"/>
        <w:rPr>
          <w:rFonts w:eastAsiaTheme="minorHAnsi"/>
          <w:szCs w:val="22"/>
          <w:lang w:eastAsia="en-US"/>
        </w:rPr>
      </w:pPr>
      <w:r w:rsidRPr="00B24652">
        <w:rPr>
          <w:rFonts w:eastAsiaTheme="minorHAnsi"/>
          <w:szCs w:val="22"/>
          <w:lang w:eastAsia="en-US"/>
        </w:rPr>
        <w:t>Рисунок 2</w:t>
      </w:r>
      <w:r w:rsidR="003948EE">
        <w:rPr>
          <w:rFonts w:eastAsiaTheme="minorHAnsi"/>
          <w:szCs w:val="22"/>
          <w:lang w:eastAsia="en-US"/>
        </w:rPr>
        <w:t>3</w:t>
      </w:r>
      <w:r w:rsidRPr="00B24652">
        <w:rPr>
          <w:rFonts w:eastAsiaTheme="minorHAnsi"/>
          <w:szCs w:val="22"/>
          <w:lang w:eastAsia="en-US"/>
        </w:rPr>
        <w:t>. Динамика количества кофеен и кафе-кондитерских, работающих на российском рынке, май 2014 года – сентябрь 2021 года</w:t>
      </w:r>
    </w:p>
    <w:p w14:paraId="24A6F3F3" w14:textId="77777777" w:rsidR="00B24652" w:rsidRPr="00B24652" w:rsidRDefault="00B24652" w:rsidP="00B24652">
      <w:pPr>
        <w:rPr>
          <w:rFonts w:eastAsiaTheme="minorHAnsi"/>
          <w:szCs w:val="22"/>
          <w:lang w:eastAsia="en-US"/>
        </w:rPr>
      </w:pPr>
      <w:r w:rsidRPr="00B24652">
        <w:rPr>
          <w:rFonts w:eastAsiaTheme="minorHAnsi"/>
          <w:szCs w:val="22"/>
          <w:lang w:eastAsia="en-US"/>
        </w:rPr>
        <w:t>*Источник: РБК Исследования рынков</w:t>
      </w:r>
    </w:p>
    <w:p w14:paraId="33E96CD9"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2605F544" wp14:editId="4D9EE661">
            <wp:extent cx="5216056" cy="3013544"/>
            <wp:effectExtent l="0" t="0" r="3810" b="0"/>
            <wp:docPr id="20" name="Chart 20">
              <a:extLst xmlns:a="http://schemas.openxmlformats.org/drawingml/2006/main">
                <a:ext uri="{FF2B5EF4-FFF2-40B4-BE49-F238E27FC236}">
                  <a16:creationId xmlns:a16="http://schemas.microsoft.com/office/drawing/2014/main" id="{B514BED9-60E8-431E-99C1-948581AC3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D0183D2" w14:textId="1246A8D8" w:rsidR="00B24652" w:rsidRPr="00B24652" w:rsidRDefault="00B24652" w:rsidP="00B24652">
      <w:pPr>
        <w:spacing w:line="240" w:lineRule="auto"/>
        <w:rPr>
          <w:rFonts w:eastAsiaTheme="minorHAnsi"/>
          <w:szCs w:val="22"/>
          <w:lang w:eastAsia="en-US"/>
        </w:rPr>
      </w:pPr>
      <w:r w:rsidRPr="00B24652">
        <w:rPr>
          <w:rFonts w:eastAsiaTheme="minorHAnsi"/>
          <w:szCs w:val="22"/>
          <w:lang w:eastAsia="en-US"/>
        </w:rPr>
        <w:t>Рисунок 2</w:t>
      </w:r>
      <w:r w:rsidR="003948EE">
        <w:rPr>
          <w:rFonts w:eastAsiaTheme="minorHAnsi"/>
          <w:szCs w:val="22"/>
          <w:lang w:eastAsia="en-US"/>
        </w:rPr>
        <w:t>4</w:t>
      </w:r>
      <w:r w:rsidRPr="00B24652">
        <w:rPr>
          <w:rFonts w:eastAsiaTheme="minorHAnsi"/>
          <w:szCs w:val="22"/>
          <w:lang w:eastAsia="en-US"/>
        </w:rPr>
        <w:t>. Динамика импорта кофе в Российскую Федерацию за 2000-2020 гг., тонн</w:t>
      </w:r>
    </w:p>
    <w:p w14:paraId="5E2AD199" w14:textId="77777777" w:rsidR="00B24652" w:rsidRPr="00B24652" w:rsidRDefault="00B24652" w:rsidP="00B24652">
      <w:pPr>
        <w:rPr>
          <w:rFonts w:eastAsiaTheme="minorHAnsi"/>
          <w:sz w:val="22"/>
          <w:szCs w:val="20"/>
          <w:lang w:eastAsia="en-US"/>
        </w:rPr>
      </w:pPr>
      <w:r w:rsidRPr="00B24652">
        <w:rPr>
          <w:rFonts w:eastAsiaTheme="minorHAnsi"/>
          <w:sz w:val="22"/>
          <w:szCs w:val="20"/>
          <w:lang w:eastAsia="en-US"/>
        </w:rPr>
        <w:t>*Составлено автором на основе данных ЕМИСС</w:t>
      </w:r>
    </w:p>
    <w:p w14:paraId="2BB7D145" w14:textId="77777777"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Рост рынка приводит к появлению новых тенденций, одними из которых является экологичность и забота об окружающей среде. Кофейни отказываются от использования пластиковых трубочек и стаканчиков. Некоторые заведения делают скидки, если покупатели приходят со своими многоразовыми стаканами. Также набирают популярность кофейни «на вынос», когда покупатель не имеет возможности попить кофе в самом заведении, а берет </w:t>
      </w:r>
      <w:r w:rsidRPr="00B24652">
        <w:rPr>
          <w:rFonts w:eastAsiaTheme="minorHAnsi"/>
          <w:szCs w:val="22"/>
          <w:lang w:eastAsia="en-US"/>
        </w:rPr>
        <w:lastRenderedPageBreak/>
        <w:t>напитки навынос. Среди потребителей отмечается смена вкусовых предпочтений с растворимого на зерновой кофе.</w:t>
      </w:r>
    </w:p>
    <w:p w14:paraId="45E4131E" w14:textId="0DCE98B8"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 xml:space="preserve">В рамках исследования </w:t>
      </w:r>
      <w:r w:rsidR="00BE10CD">
        <w:rPr>
          <w:rFonts w:eastAsiaTheme="minorHAnsi"/>
          <w:szCs w:val="22"/>
          <w:lang w:eastAsia="en-US"/>
        </w:rPr>
        <w:t>рынок кофен</w:t>
      </w:r>
      <w:r w:rsidR="00BE10CD" w:rsidRPr="00B24652">
        <w:rPr>
          <w:rFonts w:eastAsiaTheme="minorHAnsi"/>
          <w:szCs w:val="22"/>
          <w:lang w:eastAsia="en-US"/>
        </w:rPr>
        <w:t xml:space="preserve"> </w:t>
      </w:r>
      <w:r w:rsidRPr="00B24652">
        <w:rPr>
          <w:rFonts w:eastAsiaTheme="minorHAnsi"/>
          <w:szCs w:val="22"/>
          <w:lang w:eastAsia="en-US"/>
        </w:rPr>
        <w:t xml:space="preserve">был рассмотрен с целью выявления взаимосвязей </w:t>
      </w:r>
      <w:r w:rsidR="00BE10CD">
        <w:rPr>
          <w:rFonts w:eastAsiaTheme="minorHAnsi"/>
          <w:szCs w:val="22"/>
          <w:lang w:eastAsia="en-US"/>
        </w:rPr>
        <w:t>и</w:t>
      </w:r>
      <w:r w:rsidRPr="00B24652">
        <w:rPr>
          <w:rFonts w:eastAsiaTheme="minorHAnsi"/>
          <w:szCs w:val="22"/>
          <w:lang w:eastAsia="en-US"/>
        </w:rPr>
        <w:t xml:space="preserve"> особенност</w:t>
      </w:r>
      <w:r w:rsidR="00BE10CD">
        <w:rPr>
          <w:rFonts w:eastAsiaTheme="minorHAnsi"/>
          <w:szCs w:val="22"/>
          <w:lang w:eastAsia="en-US"/>
        </w:rPr>
        <w:t>ей</w:t>
      </w:r>
      <w:r w:rsidRPr="00B24652">
        <w:rPr>
          <w:rFonts w:eastAsiaTheme="minorHAnsi"/>
          <w:szCs w:val="22"/>
          <w:lang w:eastAsia="en-US"/>
        </w:rPr>
        <w:t xml:space="preserve"> размещения объектов данного рынка на территории Санкт-Петербурга, а также анализа размещения кофеен относительно рассмотренных ранее пекарен. По состоянию на февраль 2022 года на территории города было зарегистрировано 2152 кофеен. Крупнейшие из них представлены в Таблице 7.</w:t>
      </w:r>
    </w:p>
    <w:p w14:paraId="59BE3193" w14:textId="6BABD1C3" w:rsidR="00B24652" w:rsidRPr="00B24652" w:rsidRDefault="00B24652" w:rsidP="00B24652">
      <w:pPr>
        <w:spacing w:before="160"/>
        <w:rPr>
          <w:rFonts w:eastAsiaTheme="minorHAnsi"/>
          <w:szCs w:val="22"/>
          <w:lang w:eastAsia="en-US"/>
        </w:rPr>
      </w:pPr>
      <w:r w:rsidRPr="00B24652">
        <w:rPr>
          <w:rFonts w:eastAsiaTheme="minorHAnsi"/>
          <w:szCs w:val="22"/>
          <w:lang w:eastAsia="en-US"/>
        </w:rPr>
        <w:t>Таблица 7. Крупнейшие сети кофеен-пекарен Санкт-Петербурга</w:t>
      </w:r>
    </w:p>
    <w:tbl>
      <w:tblPr>
        <w:tblW w:w="9564" w:type="dxa"/>
        <w:tblLook w:val="04A0" w:firstRow="1" w:lastRow="0" w:firstColumn="1" w:lastColumn="0" w:noHBand="0" w:noVBand="1"/>
      </w:tblPr>
      <w:tblGrid>
        <w:gridCol w:w="3544"/>
        <w:gridCol w:w="1446"/>
        <w:gridCol w:w="1916"/>
        <w:gridCol w:w="2658"/>
      </w:tblGrid>
      <w:tr w:rsidR="00B24652" w:rsidRPr="00B24652" w14:paraId="05425DAA" w14:textId="77777777" w:rsidTr="00BA1E3E">
        <w:trPr>
          <w:trHeight w:val="76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0BFC6" w14:textId="77777777" w:rsidR="00B24652" w:rsidRPr="00B24652" w:rsidRDefault="00B24652" w:rsidP="00B24652">
            <w:pPr>
              <w:spacing w:line="240" w:lineRule="auto"/>
              <w:rPr>
                <w:b/>
                <w:bCs/>
                <w:color w:val="000000"/>
                <w:sz w:val="20"/>
                <w:szCs w:val="20"/>
              </w:rPr>
            </w:pPr>
            <w:r w:rsidRPr="00B24652">
              <w:rPr>
                <w:b/>
                <w:bCs/>
                <w:color w:val="000000"/>
                <w:sz w:val="20"/>
                <w:szCs w:val="20"/>
              </w:rPr>
              <w:t>Название</w:t>
            </w:r>
          </w:p>
        </w:tc>
        <w:tc>
          <w:tcPr>
            <w:tcW w:w="1446" w:type="dxa"/>
            <w:tcBorders>
              <w:top w:val="single" w:sz="4" w:space="0" w:color="auto"/>
              <w:left w:val="nil"/>
              <w:bottom w:val="single" w:sz="4" w:space="0" w:color="auto"/>
              <w:right w:val="single" w:sz="4" w:space="0" w:color="auto"/>
            </w:tcBorders>
            <w:shd w:val="clear" w:color="auto" w:fill="auto"/>
            <w:vAlign w:val="center"/>
            <w:hideMark/>
          </w:tcPr>
          <w:p w14:paraId="1649F3F0" w14:textId="77777777" w:rsidR="00B24652" w:rsidRPr="00B24652" w:rsidRDefault="00B24652" w:rsidP="00B24652">
            <w:pPr>
              <w:spacing w:line="240" w:lineRule="auto"/>
              <w:rPr>
                <w:b/>
                <w:bCs/>
                <w:color w:val="000000"/>
                <w:sz w:val="20"/>
                <w:szCs w:val="20"/>
              </w:rPr>
            </w:pPr>
            <w:r w:rsidRPr="00B24652">
              <w:rPr>
                <w:b/>
                <w:bCs/>
                <w:color w:val="000000"/>
                <w:sz w:val="20"/>
                <w:szCs w:val="20"/>
              </w:rPr>
              <w:t>Количество филиалов сети</w:t>
            </w:r>
          </w:p>
        </w:tc>
        <w:tc>
          <w:tcPr>
            <w:tcW w:w="1916" w:type="dxa"/>
            <w:tcBorders>
              <w:top w:val="single" w:sz="4" w:space="0" w:color="auto"/>
              <w:left w:val="nil"/>
              <w:bottom w:val="single" w:sz="4" w:space="0" w:color="auto"/>
              <w:right w:val="single" w:sz="4" w:space="0" w:color="auto"/>
            </w:tcBorders>
            <w:shd w:val="clear" w:color="auto" w:fill="auto"/>
            <w:vAlign w:val="center"/>
            <w:hideMark/>
          </w:tcPr>
          <w:p w14:paraId="2E1FEBF8"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пекарен</w:t>
            </w:r>
          </w:p>
        </w:tc>
        <w:tc>
          <w:tcPr>
            <w:tcW w:w="2658" w:type="dxa"/>
            <w:tcBorders>
              <w:top w:val="single" w:sz="4" w:space="0" w:color="auto"/>
              <w:left w:val="nil"/>
              <w:bottom w:val="single" w:sz="4" w:space="0" w:color="auto"/>
              <w:right w:val="single" w:sz="4" w:space="0" w:color="auto"/>
            </w:tcBorders>
            <w:shd w:val="clear" w:color="auto" w:fill="auto"/>
            <w:vAlign w:val="center"/>
            <w:hideMark/>
          </w:tcPr>
          <w:p w14:paraId="19AC6243"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сетевых пекарен</w:t>
            </w:r>
          </w:p>
        </w:tc>
      </w:tr>
      <w:tr w:rsidR="00B24652" w:rsidRPr="00B24652" w14:paraId="447B2045"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E0FF482" w14:textId="77777777" w:rsidR="00B24652" w:rsidRPr="00B24652" w:rsidRDefault="00B24652" w:rsidP="00B24652">
            <w:pPr>
              <w:spacing w:line="240" w:lineRule="auto"/>
              <w:rPr>
                <w:color w:val="000000"/>
                <w:sz w:val="22"/>
              </w:rPr>
            </w:pPr>
            <w:r w:rsidRPr="00B24652">
              <w:rPr>
                <w:color w:val="000000"/>
                <w:sz w:val="22"/>
                <w:szCs w:val="22"/>
              </w:rPr>
              <w:t>BAGGINS COFFEE</w:t>
            </w:r>
          </w:p>
        </w:tc>
        <w:tc>
          <w:tcPr>
            <w:tcW w:w="1446" w:type="dxa"/>
            <w:tcBorders>
              <w:top w:val="nil"/>
              <w:left w:val="nil"/>
              <w:bottom w:val="single" w:sz="4" w:space="0" w:color="auto"/>
              <w:right w:val="single" w:sz="4" w:space="0" w:color="auto"/>
            </w:tcBorders>
            <w:shd w:val="clear" w:color="auto" w:fill="auto"/>
            <w:noWrap/>
            <w:vAlign w:val="center"/>
            <w:hideMark/>
          </w:tcPr>
          <w:p w14:paraId="25241072" w14:textId="77777777" w:rsidR="00B24652" w:rsidRPr="00B24652" w:rsidRDefault="00B24652" w:rsidP="00B24652">
            <w:pPr>
              <w:spacing w:line="240" w:lineRule="auto"/>
              <w:rPr>
                <w:color w:val="000000"/>
                <w:sz w:val="22"/>
              </w:rPr>
            </w:pPr>
            <w:r w:rsidRPr="00B24652">
              <w:rPr>
                <w:color w:val="000000"/>
                <w:sz w:val="22"/>
                <w:szCs w:val="22"/>
              </w:rPr>
              <w:t>100</w:t>
            </w:r>
          </w:p>
        </w:tc>
        <w:tc>
          <w:tcPr>
            <w:tcW w:w="1916" w:type="dxa"/>
            <w:tcBorders>
              <w:top w:val="nil"/>
              <w:left w:val="nil"/>
              <w:bottom w:val="single" w:sz="4" w:space="0" w:color="auto"/>
              <w:right w:val="single" w:sz="4" w:space="0" w:color="auto"/>
            </w:tcBorders>
            <w:shd w:val="clear" w:color="auto" w:fill="auto"/>
            <w:noWrap/>
            <w:vAlign w:val="center"/>
            <w:hideMark/>
          </w:tcPr>
          <w:p w14:paraId="7397AA7F" w14:textId="77777777" w:rsidR="00B24652" w:rsidRPr="00B24652" w:rsidRDefault="00B24652" w:rsidP="00B24652">
            <w:pPr>
              <w:spacing w:line="240" w:lineRule="auto"/>
              <w:rPr>
                <w:color w:val="000000"/>
                <w:sz w:val="22"/>
              </w:rPr>
            </w:pPr>
            <w:r w:rsidRPr="00B24652">
              <w:rPr>
                <w:color w:val="000000"/>
                <w:sz w:val="22"/>
                <w:szCs w:val="22"/>
              </w:rPr>
              <w:t>4,6%</w:t>
            </w:r>
          </w:p>
        </w:tc>
        <w:tc>
          <w:tcPr>
            <w:tcW w:w="2658" w:type="dxa"/>
            <w:tcBorders>
              <w:top w:val="nil"/>
              <w:left w:val="nil"/>
              <w:bottom w:val="single" w:sz="4" w:space="0" w:color="auto"/>
              <w:right w:val="single" w:sz="4" w:space="0" w:color="auto"/>
            </w:tcBorders>
            <w:shd w:val="clear" w:color="auto" w:fill="auto"/>
            <w:noWrap/>
            <w:vAlign w:val="center"/>
            <w:hideMark/>
          </w:tcPr>
          <w:p w14:paraId="1C74B61C" w14:textId="77777777" w:rsidR="00B24652" w:rsidRPr="00B24652" w:rsidRDefault="00B24652" w:rsidP="00B24652">
            <w:pPr>
              <w:spacing w:line="240" w:lineRule="auto"/>
              <w:rPr>
                <w:color w:val="000000"/>
                <w:sz w:val="22"/>
              </w:rPr>
            </w:pPr>
            <w:r w:rsidRPr="00B24652">
              <w:rPr>
                <w:color w:val="000000"/>
                <w:sz w:val="22"/>
                <w:szCs w:val="22"/>
              </w:rPr>
              <w:t>9,6%</w:t>
            </w:r>
          </w:p>
        </w:tc>
      </w:tr>
      <w:tr w:rsidR="00B24652" w:rsidRPr="00B24652" w14:paraId="435DD3C3"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291D793" w14:textId="77777777" w:rsidR="00B24652" w:rsidRPr="00B24652" w:rsidRDefault="00B24652" w:rsidP="00B24652">
            <w:pPr>
              <w:spacing w:line="240" w:lineRule="auto"/>
              <w:rPr>
                <w:color w:val="000000"/>
                <w:sz w:val="22"/>
              </w:rPr>
            </w:pPr>
            <w:r w:rsidRPr="00B24652">
              <w:rPr>
                <w:color w:val="000000"/>
                <w:sz w:val="22"/>
                <w:szCs w:val="22"/>
              </w:rPr>
              <w:t>Булочные Ф. Вольчека</w:t>
            </w:r>
          </w:p>
        </w:tc>
        <w:tc>
          <w:tcPr>
            <w:tcW w:w="1446" w:type="dxa"/>
            <w:tcBorders>
              <w:top w:val="nil"/>
              <w:left w:val="nil"/>
              <w:bottom w:val="single" w:sz="4" w:space="0" w:color="auto"/>
              <w:right w:val="single" w:sz="4" w:space="0" w:color="auto"/>
            </w:tcBorders>
            <w:shd w:val="clear" w:color="auto" w:fill="auto"/>
            <w:noWrap/>
            <w:vAlign w:val="center"/>
            <w:hideMark/>
          </w:tcPr>
          <w:p w14:paraId="7007FA71" w14:textId="77777777" w:rsidR="00B24652" w:rsidRPr="00B24652" w:rsidRDefault="00B24652" w:rsidP="00B24652">
            <w:pPr>
              <w:spacing w:line="240" w:lineRule="auto"/>
              <w:rPr>
                <w:color w:val="000000"/>
                <w:sz w:val="22"/>
              </w:rPr>
            </w:pPr>
            <w:r w:rsidRPr="00B24652">
              <w:rPr>
                <w:color w:val="000000"/>
                <w:sz w:val="22"/>
                <w:szCs w:val="22"/>
              </w:rPr>
              <w:t>99</w:t>
            </w:r>
          </w:p>
        </w:tc>
        <w:tc>
          <w:tcPr>
            <w:tcW w:w="1916" w:type="dxa"/>
            <w:tcBorders>
              <w:top w:val="nil"/>
              <w:left w:val="nil"/>
              <w:bottom w:val="single" w:sz="4" w:space="0" w:color="auto"/>
              <w:right w:val="single" w:sz="4" w:space="0" w:color="auto"/>
            </w:tcBorders>
            <w:shd w:val="clear" w:color="auto" w:fill="auto"/>
            <w:noWrap/>
            <w:vAlign w:val="center"/>
            <w:hideMark/>
          </w:tcPr>
          <w:p w14:paraId="7D1FAB4C" w14:textId="77777777" w:rsidR="00B24652" w:rsidRPr="00B24652" w:rsidRDefault="00B24652" w:rsidP="00B24652">
            <w:pPr>
              <w:spacing w:line="240" w:lineRule="auto"/>
              <w:rPr>
                <w:color w:val="000000"/>
                <w:sz w:val="22"/>
              </w:rPr>
            </w:pPr>
            <w:r w:rsidRPr="00B24652">
              <w:rPr>
                <w:color w:val="000000"/>
                <w:sz w:val="22"/>
                <w:szCs w:val="22"/>
              </w:rPr>
              <w:t>4,6%</w:t>
            </w:r>
          </w:p>
        </w:tc>
        <w:tc>
          <w:tcPr>
            <w:tcW w:w="2658" w:type="dxa"/>
            <w:tcBorders>
              <w:top w:val="nil"/>
              <w:left w:val="nil"/>
              <w:bottom w:val="single" w:sz="4" w:space="0" w:color="auto"/>
              <w:right w:val="single" w:sz="4" w:space="0" w:color="auto"/>
            </w:tcBorders>
            <w:shd w:val="clear" w:color="auto" w:fill="auto"/>
            <w:noWrap/>
            <w:vAlign w:val="center"/>
            <w:hideMark/>
          </w:tcPr>
          <w:p w14:paraId="42FB7254" w14:textId="77777777" w:rsidR="00B24652" w:rsidRPr="00B24652" w:rsidRDefault="00B24652" w:rsidP="00B24652">
            <w:pPr>
              <w:spacing w:line="240" w:lineRule="auto"/>
              <w:rPr>
                <w:color w:val="000000"/>
                <w:sz w:val="22"/>
              </w:rPr>
            </w:pPr>
            <w:r w:rsidRPr="00B24652">
              <w:rPr>
                <w:color w:val="000000"/>
                <w:sz w:val="22"/>
                <w:szCs w:val="22"/>
              </w:rPr>
              <w:t>9,5%</w:t>
            </w:r>
          </w:p>
        </w:tc>
      </w:tr>
      <w:tr w:rsidR="00B24652" w:rsidRPr="00B24652" w14:paraId="4B04BBB2"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191B21E" w14:textId="77777777" w:rsidR="00B24652" w:rsidRPr="00B24652" w:rsidRDefault="00B24652" w:rsidP="00B24652">
            <w:pPr>
              <w:spacing w:line="240" w:lineRule="auto"/>
              <w:rPr>
                <w:color w:val="000000"/>
                <w:sz w:val="22"/>
              </w:rPr>
            </w:pPr>
            <w:r w:rsidRPr="00B24652">
              <w:rPr>
                <w:color w:val="000000"/>
                <w:sz w:val="22"/>
                <w:szCs w:val="22"/>
              </w:rPr>
              <w:t>Север-Метрополь</w:t>
            </w:r>
          </w:p>
        </w:tc>
        <w:tc>
          <w:tcPr>
            <w:tcW w:w="1446" w:type="dxa"/>
            <w:tcBorders>
              <w:top w:val="nil"/>
              <w:left w:val="nil"/>
              <w:bottom w:val="single" w:sz="4" w:space="0" w:color="auto"/>
              <w:right w:val="single" w:sz="4" w:space="0" w:color="auto"/>
            </w:tcBorders>
            <w:shd w:val="clear" w:color="auto" w:fill="auto"/>
            <w:noWrap/>
            <w:vAlign w:val="center"/>
            <w:hideMark/>
          </w:tcPr>
          <w:p w14:paraId="4D6AC6F2" w14:textId="77777777" w:rsidR="00B24652" w:rsidRPr="00B24652" w:rsidRDefault="00B24652" w:rsidP="00B24652">
            <w:pPr>
              <w:spacing w:line="240" w:lineRule="auto"/>
              <w:rPr>
                <w:color w:val="000000"/>
                <w:sz w:val="22"/>
              </w:rPr>
            </w:pPr>
            <w:r w:rsidRPr="00B24652">
              <w:rPr>
                <w:color w:val="000000"/>
                <w:sz w:val="22"/>
                <w:szCs w:val="22"/>
              </w:rPr>
              <w:t>90</w:t>
            </w:r>
          </w:p>
        </w:tc>
        <w:tc>
          <w:tcPr>
            <w:tcW w:w="1916" w:type="dxa"/>
            <w:tcBorders>
              <w:top w:val="nil"/>
              <w:left w:val="nil"/>
              <w:bottom w:val="single" w:sz="4" w:space="0" w:color="auto"/>
              <w:right w:val="single" w:sz="4" w:space="0" w:color="auto"/>
            </w:tcBorders>
            <w:shd w:val="clear" w:color="auto" w:fill="auto"/>
            <w:noWrap/>
            <w:vAlign w:val="center"/>
            <w:hideMark/>
          </w:tcPr>
          <w:p w14:paraId="145F058A" w14:textId="77777777" w:rsidR="00B24652" w:rsidRPr="00B24652" w:rsidRDefault="00B24652" w:rsidP="00B24652">
            <w:pPr>
              <w:spacing w:line="240" w:lineRule="auto"/>
              <w:rPr>
                <w:color w:val="000000"/>
                <w:sz w:val="22"/>
              </w:rPr>
            </w:pPr>
            <w:r w:rsidRPr="00B24652">
              <w:rPr>
                <w:color w:val="000000"/>
                <w:sz w:val="22"/>
                <w:szCs w:val="22"/>
              </w:rPr>
              <w:t>4,2%</w:t>
            </w:r>
          </w:p>
        </w:tc>
        <w:tc>
          <w:tcPr>
            <w:tcW w:w="2658" w:type="dxa"/>
            <w:tcBorders>
              <w:top w:val="nil"/>
              <w:left w:val="nil"/>
              <w:bottom w:val="single" w:sz="4" w:space="0" w:color="auto"/>
              <w:right w:val="single" w:sz="4" w:space="0" w:color="auto"/>
            </w:tcBorders>
            <w:shd w:val="clear" w:color="auto" w:fill="auto"/>
            <w:noWrap/>
            <w:vAlign w:val="center"/>
            <w:hideMark/>
          </w:tcPr>
          <w:p w14:paraId="1C6432FC" w14:textId="77777777" w:rsidR="00B24652" w:rsidRPr="00B24652" w:rsidRDefault="00B24652" w:rsidP="00B24652">
            <w:pPr>
              <w:spacing w:line="240" w:lineRule="auto"/>
              <w:rPr>
                <w:color w:val="000000"/>
                <w:sz w:val="22"/>
              </w:rPr>
            </w:pPr>
            <w:r w:rsidRPr="00B24652">
              <w:rPr>
                <w:color w:val="000000"/>
                <w:sz w:val="22"/>
                <w:szCs w:val="22"/>
              </w:rPr>
              <w:t>8,7%</w:t>
            </w:r>
          </w:p>
        </w:tc>
      </w:tr>
      <w:tr w:rsidR="00B24652" w:rsidRPr="00B24652" w14:paraId="5D2E7A40"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FA186D1" w14:textId="77777777" w:rsidR="00B24652" w:rsidRPr="00B24652" w:rsidRDefault="00B24652" w:rsidP="00B24652">
            <w:pPr>
              <w:spacing w:line="240" w:lineRule="auto"/>
              <w:rPr>
                <w:color w:val="000000"/>
                <w:sz w:val="22"/>
              </w:rPr>
            </w:pPr>
            <w:r w:rsidRPr="00B24652">
              <w:rPr>
                <w:color w:val="000000"/>
                <w:sz w:val="22"/>
                <w:szCs w:val="22"/>
              </w:rPr>
              <w:t>Цех85</w:t>
            </w:r>
          </w:p>
        </w:tc>
        <w:tc>
          <w:tcPr>
            <w:tcW w:w="1446" w:type="dxa"/>
            <w:tcBorders>
              <w:top w:val="nil"/>
              <w:left w:val="nil"/>
              <w:bottom w:val="single" w:sz="4" w:space="0" w:color="auto"/>
              <w:right w:val="single" w:sz="4" w:space="0" w:color="auto"/>
            </w:tcBorders>
            <w:shd w:val="clear" w:color="auto" w:fill="auto"/>
            <w:noWrap/>
            <w:vAlign w:val="center"/>
            <w:hideMark/>
          </w:tcPr>
          <w:p w14:paraId="42BDA9A9" w14:textId="77777777" w:rsidR="00B24652" w:rsidRPr="00B24652" w:rsidRDefault="00B24652" w:rsidP="00B24652">
            <w:pPr>
              <w:spacing w:line="240" w:lineRule="auto"/>
              <w:rPr>
                <w:color w:val="000000"/>
                <w:sz w:val="22"/>
              </w:rPr>
            </w:pPr>
            <w:r w:rsidRPr="00B24652">
              <w:rPr>
                <w:color w:val="000000"/>
                <w:sz w:val="22"/>
                <w:szCs w:val="22"/>
              </w:rPr>
              <w:t>65</w:t>
            </w:r>
          </w:p>
        </w:tc>
        <w:tc>
          <w:tcPr>
            <w:tcW w:w="1916" w:type="dxa"/>
            <w:tcBorders>
              <w:top w:val="nil"/>
              <w:left w:val="nil"/>
              <w:bottom w:val="single" w:sz="4" w:space="0" w:color="auto"/>
              <w:right w:val="single" w:sz="4" w:space="0" w:color="auto"/>
            </w:tcBorders>
            <w:shd w:val="clear" w:color="auto" w:fill="auto"/>
            <w:noWrap/>
            <w:vAlign w:val="center"/>
            <w:hideMark/>
          </w:tcPr>
          <w:p w14:paraId="012298E8" w14:textId="77777777" w:rsidR="00B24652" w:rsidRPr="00B24652" w:rsidRDefault="00B24652" w:rsidP="00B24652">
            <w:pPr>
              <w:spacing w:line="240" w:lineRule="auto"/>
              <w:rPr>
                <w:color w:val="000000"/>
                <w:sz w:val="22"/>
              </w:rPr>
            </w:pPr>
            <w:r w:rsidRPr="00B24652">
              <w:rPr>
                <w:color w:val="000000"/>
                <w:sz w:val="22"/>
                <w:szCs w:val="22"/>
              </w:rPr>
              <w:t>3,0%</w:t>
            </w:r>
          </w:p>
        </w:tc>
        <w:tc>
          <w:tcPr>
            <w:tcW w:w="2658" w:type="dxa"/>
            <w:tcBorders>
              <w:top w:val="nil"/>
              <w:left w:val="nil"/>
              <w:bottom w:val="single" w:sz="4" w:space="0" w:color="auto"/>
              <w:right w:val="single" w:sz="4" w:space="0" w:color="auto"/>
            </w:tcBorders>
            <w:shd w:val="clear" w:color="auto" w:fill="auto"/>
            <w:noWrap/>
            <w:vAlign w:val="center"/>
            <w:hideMark/>
          </w:tcPr>
          <w:p w14:paraId="2750ADF6" w14:textId="77777777" w:rsidR="00B24652" w:rsidRPr="00B24652" w:rsidRDefault="00B24652" w:rsidP="00B24652">
            <w:pPr>
              <w:spacing w:line="240" w:lineRule="auto"/>
              <w:rPr>
                <w:color w:val="000000"/>
                <w:sz w:val="22"/>
              </w:rPr>
            </w:pPr>
            <w:r w:rsidRPr="00B24652">
              <w:rPr>
                <w:color w:val="000000"/>
                <w:sz w:val="22"/>
                <w:szCs w:val="22"/>
              </w:rPr>
              <w:t>6,3%</w:t>
            </w:r>
          </w:p>
        </w:tc>
      </w:tr>
      <w:tr w:rsidR="00B24652" w:rsidRPr="00B24652" w14:paraId="2A7119BA"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B14E452" w14:textId="77777777" w:rsidR="00B24652" w:rsidRPr="00B24652" w:rsidRDefault="00B24652" w:rsidP="00B24652">
            <w:pPr>
              <w:spacing w:line="240" w:lineRule="auto"/>
              <w:rPr>
                <w:color w:val="000000"/>
                <w:sz w:val="22"/>
              </w:rPr>
            </w:pPr>
            <w:r w:rsidRPr="00B24652">
              <w:rPr>
                <w:color w:val="000000"/>
                <w:sz w:val="22"/>
                <w:szCs w:val="22"/>
              </w:rPr>
              <w:t>Лавка пекаря</w:t>
            </w:r>
          </w:p>
        </w:tc>
        <w:tc>
          <w:tcPr>
            <w:tcW w:w="1446" w:type="dxa"/>
            <w:tcBorders>
              <w:top w:val="nil"/>
              <w:left w:val="nil"/>
              <w:bottom w:val="single" w:sz="4" w:space="0" w:color="auto"/>
              <w:right w:val="single" w:sz="4" w:space="0" w:color="auto"/>
            </w:tcBorders>
            <w:shd w:val="clear" w:color="auto" w:fill="auto"/>
            <w:noWrap/>
            <w:vAlign w:val="center"/>
            <w:hideMark/>
          </w:tcPr>
          <w:p w14:paraId="4B87F1B5" w14:textId="77777777" w:rsidR="00B24652" w:rsidRPr="00B24652" w:rsidRDefault="00B24652" w:rsidP="00B24652">
            <w:pPr>
              <w:spacing w:line="240" w:lineRule="auto"/>
              <w:rPr>
                <w:color w:val="000000"/>
                <w:sz w:val="22"/>
              </w:rPr>
            </w:pPr>
            <w:r w:rsidRPr="00B24652">
              <w:rPr>
                <w:color w:val="000000"/>
                <w:sz w:val="22"/>
                <w:szCs w:val="22"/>
              </w:rPr>
              <w:t>55</w:t>
            </w:r>
          </w:p>
        </w:tc>
        <w:tc>
          <w:tcPr>
            <w:tcW w:w="1916" w:type="dxa"/>
            <w:tcBorders>
              <w:top w:val="nil"/>
              <w:left w:val="nil"/>
              <w:bottom w:val="single" w:sz="4" w:space="0" w:color="auto"/>
              <w:right w:val="single" w:sz="4" w:space="0" w:color="auto"/>
            </w:tcBorders>
            <w:shd w:val="clear" w:color="auto" w:fill="auto"/>
            <w:noWrap/>
            <w:vAlign w:val="center"/>
            <w:hideMark/>
          </w:tcPr>
          <w:p w14:paraId="39509761" w14:textId="77777777" w:rsidR="00B24652" w:rsidRPr="00B24652" w:rsidRDefault="00B24652" w:rsidP="00B24652">
            <w:pPr>
              <w:spacing w:line="240" w:lineRule="auto"/>
              <w:rPr>
                <w:color w:val="000000"/>
                <w:sz w:val="22"/>
              </w:rPr>
            </w:pPr>
            <w:r w:rsidRPr="00B24652">
              <w:rPr>
                <w:color w:val="000000"/>
                <w:sz w:val="22"/>
                <w:szCs w:val="22"/>
              </w:rPr>
              <w:t>2,6%</w:t>
            </w:r>
          </w:p>
        </w:tc>
        <w:tc>
          <w:tcPr>
            <w:tcW w:w="2658" w:type="dxa"/>
            <w:tcBorders>
              <w:top w:val="nil"/>
              <w:left w:val="nil"/>
              <w:bottom w:val="single" w:sz="4" w:space="0" w:color="auto"/>
              <w:right w:val="single" w:sz="4" w:space="0" w:color="auto"/>
            </w:tcBorders>
            <w:shd w:val="clear" w:color="auto" w:fill="auto"/>
            <w:noWrap/>
            <w:vAlign w:val="center"/>
            <w:hideMark/>
          </w:tcPr>
          <w:p w14:paraId="63CC29EB" w14:textId="77777777" w:rsidR="00B24652" w:rsidRPr="00B24652" w:rsidRDefault="00B24652" w:rsidP="00B24652">
            <w:pPr>
              <w:spacing w:line="240" w:lineRule="auto"/>
              <w:rPr>
                <w:color w:val="000000"/>
                <w:sz w:val="22"/>
              </w:rPr>
            </w:pPr>
            <w:r w:rsidRPr="00B24652">
              <w:rPr>
                <w:color w:val="000000"/>
                <w:sz w:val="22"/>
                <w:szCs w:val="22"/>
              </w:rPr>
              <w:t>5,3%</w:t>
            </w:r>
          </w:p>
        </w:tc>
      </w:tr>
      <w:tr w:rsidR="00B24652" w:rsidRPr="00B24652" w14:paraId="38D12E77"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FF4C9FD" w14:textId="77777777" w:rsidR="00B24652" w:rsidRPr="00B24652" w:rsidRDefault="00B24652" w:rsidP="00B24652">
            <w:pPr>
              <w:spacing w:line="240" w:lineRule="auto"/>
              <w:rPr>
                <w:color w:val="000000"/>
                <w:sz w:val="22"/>
              </w:rPr>
            </w:pPr>
            <w:r w:rsidRPr="00B24652">
              <w:rPr>
                <w:color w:val="000000"/>
                <w:sz w:val="22"/>
                <w:szCs w:val="22"/>
              </w:rPr>
              <w:t>МакКафе</w:t>
            </w:r>
          </w:p>
        </w:tc>
        <w:tc>
          <w:tcPr>
            <w:tcW w:w="1446" w:type="dxa"/>
            <w:tcBorders>
              <w:top w:val="nil"/>
              <w:left w:val="nil"/>
              <w:bottom w:val="single" w:sz="4" w:space="0" w:color="auto"/>
              <w:right w:val="single" w:sz="4" w:space="0" w:color="auto"/>
            </w:tcBorders>
            <w:shd w:val="clear" w:color="auto" w:fill="auto"/>
            <w:noWrap/>
            <w:vAlign w:val="center"/>
            <w:hideMark/>
          </w:tcPr>
          <w:p w14:paraId="7CF5CB71" w14:textId="77777777" w:rsidR="00B24652" w:rsidRPr="00B24652" w:rsidRDefault="00B24652" w:rsidP="00B24652">
            <w:pPr>
              <w:spacing w:line="240" w:lineRule="auto"/>
              <w:rPr>
                <w:color w:val="000000"/>
                <w:sz w:val="22"/>
              </w:rPr>
            </w:pPr>
            <w:r w:rsidRPr="00B24652">
              <w:rPr>
                <w:color w:val="000000"/>
                <w:sz w:val="22"/>
                <w:szCs w:val="22"/>
              </w:rPr>
              <w:t>38</w:t>
            </w:r>
          </w:p>
        </w:tc>
        <w:tc>
          <w:tcPr>
            <w:tcW w:w="1916" w:type="dxa"/>
            <w:tcBorders>
              <w:top w:val="nil"/>
              <w:left w:val="nil"/>
              <w:bottom w:val="single" w:sz="4" w:space="0" w:color="auto"/>
              <w:right w:val="single" w:sz="4" w:space="0" w:color="auto"/>
            </w:tcBorders>
            <w:shd w:val="clear" w:color="auto" w:fill="auto"/>
            <w:noWrap/>
            <w:vAlign w:val="center"/>
            <w:hideMark/>
          </w:tcPr>
          <w:p w14:paraId="7C8ABAC3" w14:textId="77777777" w:rsidR="00B24652" w:rsidRPr="00B24652" w:rsidRDefault="00B24652" w:rsidP="00B24652">
            <w:pPr>
              <w:spacing w:line="240" w:lineRule="auto"/>
              <w:rPr>
                <w:color w:val="000000"/>
                <w:sz w:val="22"/>
              </w:rPr>
            </w:pPr>
            <w:r w:rsidRPr="00B24652">
              <w:rPr>
                <w:color w:val="000000"/>
                <w:sz w:val="22"/>
                <w:szCs w:val="22"/>
              </w:rPr>
              <w:t>1,8%</w:t>
            </w:r>
          </w:p>
        </w:tc>
        <w:tc>
          <w:tcPr>
            <w:tcW w:w="2658" w:type="dxa"/>
            <w:tcBorders>
              <w:top w:val="nil"/>
              <w:left w:val="nil"/>
              <w:bottom w:val="single" w:sz="4" w:space="0" w:color="auto"/>
              <w:right w:val="single" w:sz="4" w:space="0" w:color="auto"/>
            </w:tcBorders>
            <w:shd w:val="clear" w:color="auto" w:fill="auto"/>
            <w:noWrap/>
            <w:vAlign w:val="center"/>
            <w:hideMark/>
          </w:tcPr>
          <w:p w14:paraId="712BCFD6" w14:textId="77777777" w:rsidR="00B24652" w:rsidRPr="00B24652" w:rsidRDefault="00B24652" w:rsidP="00B24652">
            <w:pPr>
              <w:spacing w:line="240" w:lineRule="auto"/>
              <w:rPr>
                <w:color w:val="000000"/>
                <w:sz w:val="22"/>
              </w:rPr>
            </w:pPr>
            <w:r w:rsidRPr="00B24652">
              <w:rPr>
                <w:color w:val="000000"/>
                <w:sz w:val="22"/>
                <w:szCs w:val="22"/>
              </w:rPr>
              <w:t>3,7%</w:t>
            </w:r>
          </w:p>
        </w:tc>
      </w:tr>
      <w:tr w:rsidR="00B24652" w:rsidRPr="00B24652" w14:paraId="2300F07C"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BF07075" w14:textId="77777777" w:rsidR="00B24652" w:rsidRPr="00B24652" w:rsidRDefault="00B24652" w:rsidP="00B24652">
            <w:pPr>
              <w:spacing w:line="240" w:lineRule="auto"/>
              <w:rPr>
                <w:color w:val="000000"/>
                <w:sz w:val="22"/>
              </w:rPr>
            </w:pPr>
            <w:r w:rsidRPr="00B24652">
              <w:rPr>
                <w:color w:val="000000"/>
                <w:sz w:val="22"/>
                <w:szCs w:val="22"/>
              </w:rPr>
              <w:t>Люди любят</w:t>
            </w:r>
          </w:p>
        </w:tc>
        <w:tc>
          <w:tcPr>
            <w:tcW w:w="1446" w:type="dxa"/>
            <w:tcBorders>
              <w:top w:val="nil"/>
              <w:left w:val="nil"/>
              <w:bottom w:val="single" w:sz="4" w:space="0" w:color="auto"/>
              <w:right w:val="single" w:sz="4" w:space="0" w:color="auto"/>
            </w:tcBorders>
            <w:shd w:val="clear" w:color="auto" w:fill="auto"/>
            <w:noWrap/>
            <w:vAlign w:val="center"/>
            <w:hideMark/>
          </w:tcPr>
          <w:p w14:paraId="6217218D" w14:textId="77777777" w:rsidR="00B24652" w:rsidRPr="00B24652" w:rsidRDefault="00B24652" w:rsidP="00B24652">
            <w:pPr>
              <w:spacing w:line="240" w:lineRule="auto"/>
              <w:rPr>
                <w:color w:val="000000"/>
                <w:sz w:val="22"/>
              </w:rPr>
            </w:pPr>
            <w:r w:rsidRPr="00B24652">
              <w:rPr>
                <w:color w:val="000000"/>
                <w:sz w:val="22"/>
                <w:szCs w:val="22"/>
              </w:rPr>
              <w:t>34</w:t>
            </w:r>
          </w:p>
        </w:tc>
        <w:tc>
          <w:tcPr>
            <w:tcW w:w="1916" w:type="dxa"/>
            <w:tcBorders>
              <w:top w:val="nil"/>
              <w:left w:val="nil"/>
              <w:bottom w:val="single" w:sz="4" w:space="0" w:color="auto"/>
              <w:right w:val="single" w:sz="4" w:space="0" w:color="auto"/>
            </w:tcBorders>
            <w:shd w:val="clear" w:color="auto" w:fill="auto"/>
            <w:noWrap/>
            <w:vAlign w:val="center"/>
            <w:hideMark/>
          </w:tcPr>
          <w:p w14:paraId="2C6F1164" w14:textId="77777777" w:rsidR="00B24652" w:rsidRPr="00B24652" w:rsidRDefault="00B24652" w:rsidP="00B24652">
            <w:pPr>
              <w:spacing w:line="240" w:lineRule="auto"/>
              <w:rPr>
                <w:color w:val="000000"/>
                <w:sz w:val="22"/>
              </w:rPr>
            </w:pPr>
            <w:r w:rsidRPr="00B24652">
              <w:rPr>
                <w:color w:val="000000"/>
                <w:sz w:val="22"/>
                <w:szCs w:val="22"/>
              </w:rPr>
              <w:t>1,6%</w:t>
            </w:r>
          </w:p>
        </w:tc>
        <w:tc>
          <w:tcPr>
            <w:tcW w:w="2658" w:type="dxa"/>
            <w:tcBorders>
              <w:top w:val="nil"/>
              <w:left w:val="nil"/>
              <w:bottom w:val="single" w:sz="4" w:space="0" w:color="auto"/>
              <w:right w:val="single" w:sz="4" w:space="0" w:color="auto"/>
            </w:tcBorders>
            <w:shd w:val="clear" w:color="auto" w:fill="auto"/>
            <w:noWrap/>
            <w:vAlign w:val="center"/>
            <w:hideMark/>
          </w:tcPr>
          <w:p w14:paraId="3BFAE3C6" w14:textId="77777777" w:rsidR="00B24652" w:rsidRPr="00B24652" w:rsidRDefault="00B24652" w:rsidP="00B24652">
            <w:pPr>
              <w:spacing w:line="240" w:lineRule="auto"/>
              <w:rPr>
                <w:color w:val="000000"/>
                <w:sz w:val="22"/>
              </w:rPr>
            </w:pPr>
            <w:r w:rsidRPr="00B24652">
              <w:rPr>
                <w:color w:val="000000"/>
                <w:sz w:val="22"/>
                <w:szCs w:val="22"/>
              </w:rPr>
              <w:t>3,3%</w:t>
            </w:r>
          </w:p>
        </w:tc>
      </w:tr>
      <w:tr w:rsidR="00B24652" w:rsidRPr="00B24652" w14:paraId="5E90309E"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6167872" w14:textId="77777777" w:rsidR="00B24652" w:rsidRPr="00B24652" w:rsidRDefault="00B24652" w:rsidP="00B24652">
            <w:pPr>
              <w:spacing w:line="240" w:lineRule="auto"/>
              <w:rPr>
                <w:color w:val="000000"/>
                <w:sz w:val="22"/>
              </w:rPr>
            </w:pPr>
            <w:r w:rsidRPr="00B24652">
              <w:rPr>
                <w:color w:val="000000"/>
                <w:sz w:val="22"/>
                <w:szCs w:val="22"/>
              </w:rPr>
              <w:t>Хлебник</w:t>
            </w:r>
          </w:p>
        </w:tc>
        <w:tc>
          <w:tcPr>
            <w:tcW w:w="1446" w:type="dxa"/>
            <w:tcBorders>
              <w:top w:val="nil"/>
              <w:left w:val="nil"/>
              <w:bottom w:val="single" w:sz="4" w:space="0" w:color="auto"/>
              <w:right w:val="single" w:sz="4" w:space="0" w:color="auto"/>
            </w:tcBorders>
            <w:shd w:val="clear" w:color="auto" w:fill="auto"/>
            <w:noWrap/>
            <w:vAlign w:val="center"/>
            <w:hideMark/>
          </w:tcPr>
          <w:p w14:paraId="57179E7B" w14:textId="77777777" w:rsidR="00B24652" w:rsidRPr="00B24652" w:rsidRDefault="00B24652" w:rsidP="00B24652">
            <w:pPr>
              <w:spacing w:line="240" w:lineRule="auto"/>
              <w:rPr>
                <w:color w:val="000000"/>
                <w:sz w:val="22"/>
              </w:rPr>
            </w:pPr>
            <w:r w:rsidRPr="00B24652">
              <w:rPr>
                <w:color w:val="000000"/>
                <w:sz w:val="22"/>
                <w:szCs w:val="22"/>
              </w:rPr>
              <w:t>33</w:t>
            </w:r>
          </w:p>
        </w:tc>
        <w:tc>
          <w:tcPr>
            <w:tcW w:w="1916" w:type="dxa"/>
            <w:tcBorders>
              <w:top w:val="nil"/>
              <w:left w:val="nil"/>
              <w:bottom w:val="single" w:sz="4" w:space="0" w:color="auto"/>
              <w:right w:val="single" w:sz="4" w:space="0" w:color="auto"/>
            </w:tcBorders>
            <w:shd w:val="clear" w:color="auto" w:fill="auto"/>
            <w:noWrap/>
            <w:vAlign w:val="center"/>
            <w:hideMark/>
          </w:tcPr>
          <w:p w14:paraId="4027B245" w14:textId="77777777" w:rsidR="00B24652" w:rsidRPr="00B24652" w:rsidRDefault="00B24652" w:rsidP="00B24652">
            <w:pPr>
              <w:spacing w:line="240" w:lineRule="auto"/>
              <w:rPr>
                <w:color w:val="000000"/>
                <w:sz w:val="22"/>
              </w:rPr>
            </w:pPr>
            <w:r w:rsidRPr="00B24652">
              <w:rPr>
                <w:color w:val="000000"/>
                <w:sz w:val="22"/>
                <w:szCs w:val="22"/>
              </w:rPr>
              <w:t>1,5%</w:t>
            </w:r>
          </w:p>
        </w:tc>
        <w:tc>
          <w:tcPr>
            <w:tcW w:w="2658" w:type="dxa"/>
            <w:tcBorders>
              <w:top w:val="nil"/>
              <w:left w:val="nil"/>
              <w:bottom w:val="single" w:sz="4" w:space="0" w:color="auto"/>
              <w:right w:val="single" w:sz="4" w:space="0" w:color="auto"/>
            </w:tcBorders>
            <w:shd w:val="clear" w:color="auto" w:fill="auto"/>
            <w:noWrap/>
            <w:vAlign w:val="center"/>
            <w:hideMark/>
          </w:tcPr>
          <w:p w14:paraId="4DEED5E2" w14:textId="77777777" w:rsidR="00B24652" w:rsidRPr="00B24652" w:rsidRDefault="00B24652" w:rsidP="00B24652">
            <w:pPr>
              <w:spacing w:line="240" w:lineRule="auto"/>
              <w:rPr>
                <w:color w:val="000000"/>
                <w:sz w:val="22"/>
              </w:rPr>
            </w:pPr>
            <w:r w:rsidRPr="00B24652">
              <w:rPr>
                <w:color w:val="000000"/>
                <w:sz w:val="22"/>
                <w:szCs w:val="22"/>
              </w:rPr>
              <w:t>3,2%</w:t>
            </w:r>
          </w:p>
        </w:tc>
      </w:tr>
      <w:tr w:rsidR="00B24652" w:rsidRPr="00B24652" w14:paraId="3E1C9E8E"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CA5FE5B" w14:textId="77777777" w:rsidR="00B24652" w:rsidRPr="00B24652" w:rsidRDefault="00B24652" w:rsidP="00B24652">
            <w:pPr>
              <w:spacing w:line="240" w:lineRule="auto"/>
              <w:rPr>
                <w:color w:val="000000"/>
                <w:sz w:val="22"/>
              </w:rPr>
            </w:pPr>
            <w:r w:rsidRPr="00B24652">
              <w:rPr>
                <w:color w:val="000000"/>
                <w:sz w:val="22"/>
                <w:szCs w:val="22"/>
              </w:rPr>
              <w:t>Теремок</w:t>
            </w:r>
          </w:p>
        </w:tc>
        <w:tc>
          <w:tcPr>
            <w:tcW w:w="1446" w:type="dxa"/>
            <w:tcBorders>
              <w:top w:val="nil"/>
              <w:left w:val="nil"/>
              <w:bottom w:val="single" w:sz="4" w:space="0" w:color="auto"/>
              <w:right w:val="single" w:sz="4" w:space="0" w:color="auto"/>
            </w:tcBorders>
            <w:shd w:val="clear" w:color="auto" w:fill="auto"/>
            <w:noWrap/>
            <w:vAlign w:val="center"/>
            <w:hideMark/>
          </w:tcPr>
          <w:p w14:paraId="671BC48B" w14:textId="77777777" w:rsidR="00B24652" w:rsidRPr="00B24652" w:rsidRDefault="00B24652" w:rsidP="00B24652">
            <w:pPr>
              <w:spacing w:line="240" w:lineRule="auto"/>
              <w:rPr>
                <w:color w:val="000000"/>
                <w:sz w:val="22"/>
              </w:rPr>
            </w:pPr>
            <w:r w:rsidRPr="00B24652">
              <w:rPr>
                <w:color w:val="000000"/>
                <w:sz w:val="22"/>
                <w:szCs w:val="22"/>
              </w:rPr>
              <w:t>31</w:t>
            </w:r>
          </w:p>
        </w:tc>
        <w:tc>
          <w:tcPr>
            <w:tcW w:w="1916" w:type="dxa"/>
            <w:tcBorders>
              <w:top w:val="nil"/>
              <w:left w:val="nil"/>
              <w:bottom w:val="single" w:sz="4" w:space="0" w:color="auto"/>
              <w:right w:val="single" w:sz="4" w:space="0" w:color="auto"/>
            </w:tcBorders>
            <w:shd w:val="clear" w:color="auto" w:fill="auto"/>
            <w:noWrap/>
            <w:vAlign w:val="center"/>
            <w:hideMark/>
          </w:tcPr>
          <w:p w14:paraId="2F500062" w14:textId="77777777" w:rsidR="00B24652" w:rsidRPr="00B24652" w:rsidRDefault="00B24652" w:rsidP="00B24652">
            <w:pPr>
              <w:spacing w:line="240" w:lineRule="auto"/>
              <w:rPr>
                <w:color w:val="000000"/>
                <w:sz w:val="22"/>
              </w:rPr>
            </w:pPr>
            <w:r w:rsidRPr="00B24652">
              <w:rPr>
                <w:color w:val="000000"/>
                <w:sz w:val="22"/>
                <w:szCs w:val="22"/>
              </w:rPr>
              <w:t>1,4%</w:t>
            </w:r>
          </w:p>
        </w:tc>
        <w:tc>
          <w:tcPr>
            <w:tcW w:w="2658" w:type="dxa"/>
            <w:tcBorders>
              <w:top w:val="nil"/>
              <w:left w:val="nil"/>
              <w:bottom w:val="single" w:sz="4" w:space="0" w:color="auto"/>
              <w:right w:val="single" w:sz="4" w:space="0" w:color="auto"/>
            </w:tcBorders>
            <w:shd w:val="clear" w:color="auto" w:fill="auto"/>
            <w:noWrap/>
            <w:vAlign w:val="center"/>
            <w:hideMark/>
          </w:tcPr>
          <w:p w14:paraId="2B2B7B0E" w14:textId="77777777" w:rsidR="00B24652" w:rsidRPr="00B24652" w:rsidRDefault="00B24652" w:rsidP="00B24652">
            <w:pPr>
              <w:spacing w:line="240" w:lineRule="auto"/>
              <w:rPr>
                <w:color w:val="000000"/>
                <w:sz w:val="22"/>
              </w:rPr>
            </w:pPr>
            <w:r w:rsidRPr="00B24652">
              <w:rPr>
                <w:color w:val="000000"/>
                <w:sz w:val="22"/>
                <w:szCs w:val="22"/>
              </w:rPr>
              <w:t>3,0%</w:t>
            </w:r>
          </w:p>
        </w:tc>
      </w:tr>
      <w:tr w:rsidR="00B24652" w:rsidRPr="00B24652" w14:paraId="66E4269F"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AFB7896" w14:textId="77777777" w:rsidR="00B24652" w:rsidRPr="00B24652" w:rsidRDefault="00B24652" w:rsidP="00B24652">
            <w:pPr>
              <w:spacing w:line="240" w:lineRule="auto"/>
              <w:rPr>
                <w:color w:val="000000"/>
                <w:sz w:val="22"/>
              </w:rPr>
            </w:pPr>
            <w:r w:rsidRPr="00B24652">
              <w:rPr>
                <w:color w:val="000000"/>
                <w:sz w:val="22"/>
                <w:szCs w:val="22"/>
              </w:rPr>
              <w:t>КофеБон</w:t>
            </w:r>
          </w:p>
        </w:tc>
        <w:tc>
          <w:tcPr>
            <w:tcW w:w="1446" w:type="dxa"/>
            <w:tcBorders>
              <w:top w:val="nil"/>
              <w:left w:val="nil"/>
              <w:bottom w:val="single" w:sz="4" w:space="0" w:color="auto"/>
              <w:right w:val="single" w:sz="4" w:space="0" w:color="auto"/>
            </w:tcBorders>
            <w:shd w:val="clear" w:color="auto" w:fill="auto"/>
            <w:noWrap/>
            <w:vAlign w:val="center"/>
            <w:hideMark/>
          </w:tcPr>
          <w:p w14:paraId="4C4E0BE0" w14:textId="77777777" w:rsidR="00B24652" w:rsidRPr="00B24652" w:rsidRDefault="00B24652" w:rsidP="00B24652">
            <w:pPr>
              <w:spacing w:line="240" w:lineRule="auto"/>
              <w:rPr>
                <w:color w:val="000000"/>
                <w:sz w:val="22"/>
              </w:rPr>
            </w:pPr>
            <w:r w:rsidRPr="00B24652">
              <w:rPr>
                <w:color w:val="000000"/>
                <w:sz w:val="22"/>
                <w:szCs w:val="22"/>
              </w:rPr>
              <w:t>26</w:t>
            </w:r>
          </w:p>
        </w:tc>
        <w:tc>
          <w:tcPr>
            <w:tcW w:w="1916" w:type="dxa"/>
            <w:tcBorders>
              <w:top w:val="nil"/>
              <w:left w:val="nil"/>
              <w:bottom w:val="single" w:sz="4" w:space="0" w:color="auto"/>
              <w:right w:val="single" w:sz="4" w:space="0" w:color="auto"/>
            </w:tcBorders>
            <w:shd w:val="clear" w:color="auto" w:fill="auto"/>
            <w:noWrap/>
            <w:vAlign w:val="center"/>
            <w:hideMark/>
          </w:tcPr>
          <w:p w14:paraId="692A741A" w14:textId="77777777" w:rsidR="00B24652" w:rsidRPr="00B24652" w:rsidRDefault="00B24652" w:rsidP="00B24652">
            <w:pPr>
              <w:spacing w:line="240" w:lineRule="auto"/>
              <w:rPr>
                <w:color w:val="000000"/>
                <w:sz w:val="22"/>
              </w:rPr>
            </w:pPr>
            <w:r w:rsidRPr="00B24652">
              <w:rPr>
                <w:color w:val="000000"/>
                <w:sz w:val="22"/>
                <w:szCs w:val="22"/>
              </w:rPr>
              <w:t>1,2%</w:t>
            </w:r>
          </w:p>
        </w:tc>
        <w:tc>
          <w:tcPr>
            <w:tcW w:w="2658" w:type="dxa"/>
            <w:tcBorders>
              <w:top w:val="nil"/>
              <w:left w:val="nil"/>
              <w:bottom w:val="single" w:sz="4" w:space="0" w:color="auto"/>
              <w:right w:val="single" w:sz="4" w:space="0" w:color="auto"/>
            </w:tcBorders>
            <w:shd w:val="clear" w:color="auto" w:fill="auto"/>
            <w:noWrap/>
            <w:vAlign w:val="center"/>
            <w:hideMark/>
          </w:tcPr>
          <w:p w14:paraId="1CB50095" w14:textId="77777777" w:rsidR="00B24652" w:rsidRPr="00B24652" w:rsidRDefault="00B24652" w:rsidP="00B24652">
            <w:pPr>
              <w:spacing w:line="240" w:lineRule="auto"/>
              <w:rPr>
                <w:color w:val="000000"/>
                <w:sz w:val="22"/>
              </w:rPr>
            </w:pPr>
            <w:r w:rsidRPr="00B24652">
              <w:rPr>
                <w:color w:val="000000"/>
                <w:sz w:val="22"/>
                <w:szCs w:val="22"/>
              </w:rPr>
              <w:t>2,5%</w:t>
            </w:r>
          </w:p>
        </w:tc>
      </w:tr>
      <w:tr w:rsidR="00B24652" w:rsidRPr="00B24652" w14:paraId="2FC71DC6"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9AAA170" w14:textId="77777777" w:rsidR="00B24652" w:rsidRPr="00B24652" w:rsidRDefault="00B24652" w:rsidP="00B24652">
            <w:pPr>
              <w:spacing w:line="240" w:lineRule="auto"/>
              <w:rPr>
                <w:color w:val="000000"/>
                <w:sz w:val="22"/>
              </w:rPr>
            </w:pPr>
            <w:r w:rsidRPr="00B24652">
              <w:rPr>
                <w:color w:val="000000"/>
                <w:sz w:val="22"/>
                <w:szCs w:val="22"/>
              </w:rPr>
              <w:t>Мишка Bakery</w:t>
            </w:r>
          </w:p>
        </w:tc>
        <w:tc>
          <w:tcPr>
            <w:tcW w:w="1446" w:type="dxa"/>
            <w:tcBorders>
              <w:top w:val="nil"/>
              <w:left w:val="nil"/>
              <w:bottom w:val="single" w:sz="4" w:space="0" w:color="auto"/>
              <w:right w:val="single" w:sz="4" w:space="0" w:color="auto"/>
            </w:tcBorders>
            <w:shd w:val="clear" w:color="auto" w:fill="auto"/>
            <w:noWrap/>
            <w:vAlign w:val="center"/>
            <w:hideMark/>
          </w:tcPr>
          <w:p w14:paraId="02003350" w14:textId="77777777" w:rsidR="00B24652" w:rsidRPr="00B24652" w:rsidRDefault="00B24652" w:rsidP="00B24652">
            <w:pPr>
              <w:spacing w:line="240" w:lineRule="auto"/>
              <w:rPr>
                <w:color w:val="000000"/>
                <w:sz w:val="22"/>
              </w:rPr>
            </w:pPr>
            <w:r w:rsidRPr="00B24652">
              <w:rPr>
                <w:color w:val="000000"/>
                <w:sz w:val="22"/>
                <w:szCs w:val="22"/>
              </w:rPr>
              <w:t>22</w:t>
            </w:r>
          </w:p>
        </w:tc>
        <w:tc>
          <w:tcPr>
            <w:tcW w:w="1916" w:type="dxa"/>
            <w:tcBorders>
              <w:top w:val="nil"/>
              <w:left w:val="nil"/>
              <w:bottom w:val="single" w:sz="4" w:space="0" w:color="auto"/>
              <w:right w:val="single" w:sz="4" w:space="0" w:color="auto"/>
            </w:tcBorders>
            <w:shd w:val="clear" w:color="auto" w:fill="auto"/>
            <w:noWrap/>
            <w:vAlign w:val="center"/>
            <w:hideMark/>
          </w:tcPr>
          <w:p w14:paraId="5CBD2D92" w14:textId="77777777" w:rsidR="00B24652" w:rsidRPr="00B24652" w:rsidRDefault="00B24652" w:rsidP="00B24652">
            <w:pPr>
              <w:spacing w:line="240" w:lineRule="auto"/>
              <w:rPr>
                <w:color w:val="000000"/>
                <w:sz w:val="22"/>
              </w:rPr>
            </w:pPr>
            <w:r w:rsidRPr="00B24652">
              <w:rPr>
                <w:color w:val="000000"/>
                <w:sz w:val="22"/>
                <w:szCs w:val="22"/>
              </w:rPr>
              <w:t>1,0%</w:t>
            </w:r>
          </w:p>
        </w:tc>
        <w:tc>
          <w:tcPr>
            <w:tcW w:w="2658" w:type="dxa"/>
            <w:tcBorders>
              <w:top w:val="nil"/>
              <w:left w:val="nil"/>
              <w:bottom w:val="single" w:sz="4" w:space="0" w:color="auto"/>
              <w:right w:val="single" w:sz="4" w:space="0" w:color="auto"/>
            </w:tcBorders>
            <w:shd w:val="clear" w:color="auto" w:fill="auto"/>
            <w:noWrap/>
            <w:vAlign w:val="center"/>
            <w:hideMark/>
          </w:tcPr>
          <w:p w14:paraId="608A2C01" w14:textId="77777777" w:rsidR="00B24652" w:rsidRPr="00B24652" w:rsidRDefault="00B24652" w:rsidP="00B24652">
            <w:pPr>
              <w:spacing w:line="240" w:lineRule="auto"/>
              <w:rPr>
                <w:color w:val="000000"/>
                <w:sz w:val="22"/>
              </w:rPr>
            </w:pPr>
            <w:r w:rsidRPr="00B24652">
              <w:rPr>
                <w:color w:val="000000"/>
                <w:sz w:val="22"/>
                <w:szCs w:val="22"/>
              </w:rPr>
              <w:t>2,1%</w:t>
            </w:r>
          </w:p>
        </w:tc>
      </w:tr>
      <w:tr w:rsidR="00B24652" w:rsidRPr="00B24652" w14:paraId="0C16B73C"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4CDEEA1" w14:textId="77777777" w:rsidR="00B24652" w:rsidRPr="00B24652" w:rsidRDefault="00B24652" w:rsidP="00B24652">
            <w:pPr>
              <w:spacing w:line="240" w:lineRule="auto"/>
              <w:rPr>
                <w:color w:val="000000"/>
                <w:sz w:val="22"/>
              </w:rPr>
            </w:pPr>
            <w:r w:rsidRPr="00B24652">
              <w:rPr>
                <w:color w:val="000000"/>
                <w:sz w:val="22"/>
                <w:szCs w:val="22"/>
              </w:rPr>
              <w:t>Все дома</w:t>
            </w:r>
          </w:p>
        </w:tc>
        <w:tc>
          <w:tcPr>
            <w:tcW w:w="1446" w:type="dxa"/>
            <w:tcBorders>
              <w:top w:val="nil"/>
              <w:left w:val="nil"/>
              <w:bottom w:val="single" w:sz="4" w:space="0" w:color="auto"/>
              <w:right w:val="single" w:sz="4" w:space="0" w:color="auto"/>
            </w:tcBorders>
            <w:shd w:val="clear" w:color="auto" w:fill="auto"/>
            <w:noWrap/>
            <w:vAlign w:val="center"/>
            <w:hideMark/>
          </w:tcPr>
          <w:p w14:paraId="6B4844B7" w14:textId="77777777" w:rsidR="00B24652" w:rsidRPr="00B24652" w:rsidRDefault="00B24652" w:rsidP="00B24652">
            <w:pPr>
              <w:spacing w:line="240" w:lineRule="auto"/>
              <w:rPr>
                <w:color w:val="000000"/>
                <w:sz w:val="22"/>
              </w:rPr>
            </w:pPr>
            <w:r w:rsidRPr="00B24652">
              <w:rPr>
                <w:color w:val="000000"/>
                <w:sz w:val="22"/>
                <w:szCs w:val="22"/>
              </w:rPr>
              <w:t>22</w:t>
            </w:r>
          </w:p>
        </w:tc>
        <w:tc>
          <w:tcPr>
            <w:tcW w:w="1916" w:type="dxa"/>
            <w:tcBorders>
              <w:top w:val="nil"/>
              <w:left w:val="nil"/>
              <w:bottom w:val="single" w:sz="4" w:space="0" w:color="auto"/>
              <w:right w:val="single" w:sz="4" w:space="0" w:color="auto"/>
            </w:tcBorders>
            <w:shd w:val="clear" w:color="auto" w:fill="auto"/>
            <w:noWrap/>
            <w:vAlign w:val="center"/>
            <w:hideMark/>
          </w:tcPr>
          <w:p w14:paraId="4E812374" w14:textId="77777777" w:rsidR="00B24652" w:rsidRPr="00B24652" w:rsidRDefault="00B24652" w:rsidP="00B24652">
            <w:pPr>
              <w:spacing w:line="240" w:lineRule="auto"/>
              <w:rPr>
                <w:color w:val="000000"/>
                <w:sz w:val="22"/>
              </w:rPr>
            </w:pPr>
            <w:r w:rsidRPr="00B24652">
              <w:rPr>
                <w:color w:val="000000"/>
                <w:sz w:val="22"/>
                <w:szCs w:val="22"/>
              </w:rPr>
              <w:t>1,0%</w:t>
            </w:r>
          </w:p>
        </w:tc>
        <w:tc>
          <w:tcPr>
            <w:tcW w:w="2658" w:type="dxa"/>
            <w:tcBorders>
              <w:top w:val="nil"/>
              <w:left w:val="nil"/>
              <w:bottom w:val="single" w:sz="4" w:space="0" w:color="auto"/>
              <w:right w:val="single" w:sz="4" w:space="0" w:color="auto"/>
            </w:tcBorders>
            <w:shd w:val="clear" w:color="auto" w:fill="auto"/>
            <w:noWrap/>
            <w:vAlign w:val="center"/>
            <w:hideMark/>
          </w:tcPr>
          <w:p w14:paraId="4B3A0676" w14:textId="77777777" w:rsidR="00B24652" w:rsidRPr="00B24652" w:rsidRDefault="00B24652" w:rsidP="00B24652">
            <w:pPr>
              <w:spacing w:line="240" w:lineRule="auto"/>
              <w:rPr>
                <w:color w:val="000000"/>
                <w:sz w:val="22"/>
              </w:rPr>
            </w:pPr>
            <w:r w:rsidRPr="00B24652">
              <w:rPr>
                <w:color w:val="000000"/>
                <w:sz w:val="22"/>
                <w:szCs w:val="22"/>
              </w:rPr>
              <w:t>2,1%</w:t>
            </w:r>
          </w:p>
        </w:tc>
      </w:tr>
      <w:tr w:rsidR="00B24652" w:rsidRPr="00B24652" w14:paraId="5B64BADC"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E802E85" w14:textId="77777777" w:rsidR="00B24652" w:rsidRPr="00B24652" w:rsidRDefault="00B24652" w:rsidP="00B24652">
            <w:pPr>
              <w:spacing w:line="240" w:lineRule="auto"/>
              <w:rPr>
                <w:color w:val="000000"/>
                <w:sz w:val="22"/>
              </w:rPr>
            </w:pPr>
            <w:r w:rsidRPr="00B24652">
              <w:rPr>
                <w:color w:val="000000"/>
                <w:sz w:val="22"/>
                <w:szCs w:val="22"/>
              </w:rPr>
              <w:t>Британские Пекарни</w:t>
            </w:r>
          </w:p>
        </w:tc>
        <w:tc>
          <w:tcPr>
            <w:tcW w:w="1446" w:type="dxa"/>
            <w:tcBorders>
              <w:top w:val="nil"/>
              <w:left w:val="nil"/>
              <w:bottom w:val="single" w:sz="4" w:space="0" w:color="auto"/>
              <w:right w:val="single" w:sz="4" w:space="0" w:color="auto"/>
            </w:tcBorders>
            <w:shd w:val="clear" w:color="auto" w:fill="auto"/>
            <w:noWrap/>
            <w:vAlign w:val="center"/>
            <w:hideMark/>
          </w:tcPr>
          <w:p w14:paraId="76858738" w14:textId="77777777" w:rsidR="00B24652" w:rsidRPr="00B24652" w:rsidRDefault="00B24652" w:rsidP="00B24652">
            <w:pPr>
              <w:spacing w:line="240" w:lineRule="auto"/>
              <w:rPr>
                <w:color w:val="000000"/>
                <w:sz w:val="22"/>
              </w:rPr>
            </w:pPr>
            <w:r w:rsidRPr="00B24652">
              <w:rPr>
                <w:color w:val="000000"/>
                <w:sz w:val="22"/>
                <w:szCs w:val="22"/>
              </w:rPr>
              <w:t>21</w:t>
            </w:r>
          </w:p>
        </w:tc>
        <w:tc>
          <w:tcPr>
            <w:tcW w:w="1916" w:type="dxa"/>
            <w:tcBorders>
              <w:top w:val="nil"/>
              <w:left w:val="nil"/>
              <w:bottom w:val="single" w:sz="4" w:space="0" w:color="auto"/>
              <w:right w:val="single" w:sz="4" w:space="0" w:color="auto"/>
            </w:tcBorders>
            <w:shd w:val="clear" w:color="auto" w:fill="auto"/>
            <w:noWrap/>
            <w:vAlign w:val="center"/>
            <w:hideMark/>
          </w:tcPr>
          <w:p w14:paraId="7BA1668D" w14:textId="77777777" w:rsidR="00B24652" w:rsidRPr="00B24652" w:rsidRDefault="00B24652" w:rsidP="00B24652">
            <w:pPr>
              <w:spacing w:line="240" w:lineRule="auto"/>
              <w:rPr>
                <w:color w:val="000000"/>
                <w:sz w:val="22"/>
              </w:rPr>
            </w:pPr>
            <w:r w:rsidRPr="00B24652">
              <w:rPr>
                <w:color w:val="000000"/>
                <w:sz w:val="22"/>
                <w:szCs w:val="22"/>
              </w:rPr>
              <w:t>1,0%</w:t>
            </w:r>
          </w:p>
        </w:tc>
        <w:tc>
          <w:tcPr>
            <w:tcW w:w="2658" w:type="dxa"/>
            <w:tcBorders>
              <w:top w:val="nil"/>
              <w:left w:val="nil"/>
              <w:bottom w:val="single" w:sz="4" w:space="0" w:color="auto"/>
              <w:right w:val="single" w:sz="4" w:space="0" w:color="auto"/>
            </w:tcBorders>
            <w:shd w:val="clear" w:color="auto" w:fill="auto"/>
            <w:noWrap/>
            <w:vAlign w:val="center"/>
            <w:hideMark/>
          </w:tcPr>
          <w:p w14:paraId="79E82F1F" w14:textId="77777777" w:rsidR="00B24652" w:rsidRPr="00B24652" w:rsidRDefault="00B24652" w:rsidP="00B24652">
            <w:pPr>
              <w:spacing w:line="240" w:lineRule="auto"/>
              <w:rPr>
                <w:color w:val="000000"/>
                <w:sz w:val="22"/>
              </w:rPr>
            </w:pPr>
            <w:r w:rsidRPr="00B24652">
              <w:rPr>
                <w:color w:val="000000"/>
                <w:sz w:val="22"/>
                <w:szCs w:val="22"/>
              </w:rPr>
              <w:t>2,0%</w:t>
            </w:r>
          </w:p>
        </w:tc>
      </w:tr>
      <w:tr w:rsidR="00B24652" w:rsidRPr="00B24652" w14:paraId="1C5D538D"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2617AD7" w14:textId="77777777" w:rsidR="00B24652" w:rsidRPr="00B24652" w:rsidRDefault="00B24652" w:rsidP="00B24652">
            <w:pPr>
              <w:spacing w:line="240" w:lineRule="auto"/>
              <w:rPr>
                <w:color w:val="000000"/>
                <w:sz w:val="22"/>
              </w:rPr>
            </w:pPr>
            <w:r w:rsidRPr="00B24652">
              <w:rPr>
                <w:color w:val="000000"/>
                <w:sz w:val="22"/>
                <w:szCs w:val="22"/>
              </w:rPr>
              <w:t>Буше</w:t>
            </w:r>
          </w:p>
        </w:tc>
        <w:tc>
          <w:tcPr>
            <w:tcW w:w="1446" w:type="dxa"/>
            <w:tcBorders>
              <w:top w:val="nil"/>
              <w:left w:val="nil"/>
              <w:bottom w:val="single" w:sz="4" w:space="0" w:color="auto"/>
              <w:right w:val="single" w:sz="4" w:space="0" w:color="auto"/>
            </w:tcBorders>
            <w:shd w:val="clear" w:color="auto" w:fill="auto"/>
            <w:noWrap/>
            <w:vAlign w:val="center"/>
            <w:hideMark/>
          </w:tcPr>
          <w:p w14:paraId="30B259AE" w14:textId="77777777" w:rsidR="00B24652" w:rsidRPr="00B24652" w:rsidRDefault="00B24652" w:rsidP="00B24652">
            <w:pPr>
              <w:spacing w:line="240" w:lineRule="auto"/>
              <w:rPr>
                <w:color w:val="000000"/>
                <w:sz w:val="22"/>
              </w:rPr>
            </w:pPr>
            <w:r w:rsidRPr="00B24652">
              <w:rPr>
                <w:color w:val="000000"/>
                <w:sz w:val="22"/>
                <w:szCs w:val="22"/>
              </w:rPr>
              <w:t>18</w:t>
            </w:r>
          </w:p>
        </w:tc>
        <w:tc>
          <w:tcPr>
            <w:tcW w:w="1916" w:type="dxa"/>
            <w:tcBorders>
              <w:top w:val="nil"/>
              <w:left w:val="nil"/>
              <w:bottom w:val="single" w:sz="4" w:space="0" w:color="auto"/>
              <w:right w:val="single" w:sz="4" w:space="0" w:color="auto"/>
            </w:tcBorders>
            <w:shd w:val="clear" w:color="auto" w:fill="auto"/>
            <w:noWrap/>
            <w:vAlign w:val="center"/>
            <w:hideMark/>
          </w:tcPr>
          <w:p w14:paraId="45273E4E" w14:textId="77777777" w:rsidR="00B24652" w:rsidRPr="00B24652" w:rsidRDefault="00B24652" w:rsidP="00B24652">
            <w:pPr>
              <w:spacing w:line="240" w:lineRule="auto"/>
              <w:rPr>
                <w:color w:val="000000"/>
                <w:sz w:val="22"/>
              </w:rPr>
            </w:pPr>
            <w:r w:rsidRPr="00B24652">
              <w:rPr>
                <w:color w:val="000000"/>
                <w:sz w:val="22"/>
                <w:szCs w:val="22"/>
              </w:rPr>
              <w:t>0,8%</w:t>
            </w:r>
          </w:p>
        </w:tc>
        <w:tc>
          <w:tcPr>
            <w:tcW w:w="2658" w:type="dxa"/>
            <w:tcBorders>
              <w:top w:val="nil"/>
              <w:left w:val="nil"/>
              <w:bottom w:val="single" w:sz="4" w:space="0" w:color="auto"/>
              <w:right w:val="single" w:sz="4" w:space="0" w:color="auto"/>
            </w:tcBorders>
            <w:shd w:val="clear" w:color="auto" w:fill="auto"/>
            <w:noWrap/>
            <w:vAlign w:val="center"/>
            <w:hideMark/>
          </w:tcPr>
          <w:p w14:paraId="0D8E04DD" w14:textId="77777777" w:rsidR="00B24652" w:rsidRPr="00B24652" w:rsidRDefault="00B24652" w:rsidP="00B24652">
            <w:pPr>
              <w:spacing w:line="240" w:lineRule="auto"/>
              <w:rPr>
                <w:color w:val="000000"/>
                <w:sz w:val="22"/>
              </w:rPr>
            </w:pPr>
            <w:r w:rsidRPr="00B24652">
              <w:rPr>
                <w:color w:val="000000"/>
                <w:sz w:val="22"/>
                <w:szCs w:val="22"/>
              </w:rPr>
              <w:t>1,7%</w:t>
            </w:r>
          </w:p>
        </w:tc>
      </w:tr>
      <w:tr w:rsidR="00B24652" w:rsidRPr="00B24652" w14:paraId="15FAD552"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35B03B7" w14:textId="77777777" w:rsidR="00B24652" w:rsidRPr="00B24652" w:rsidRDefault="00B24652" w:rsidP="00B24652">
            <w:pPr>
              <w:spacing w:line="240" w:lineRule="auto"/>
              <w:rPr>
                <w:color w:val="000000"/>
                <w:sz w:val="22"/>
              </w:rPr>
            </w:pPr>
            <w:r w:rsidRPr="00B24652">
              <w:rPr>
                <w:color w:val="000000"/>
                <w:sz w:val="22"/>
                <w:szCs w:val="22"/>
              </w:rPr>
              <w:t>Тёплого хлеба</w:t>
            </w:r>
          </w:p>
        </w:tc>
        <w:tc>
          <w:tcPr>
            <w:tcW w:w="1446" w:type="dxa"/>
            <w:tcBorders>
              <w:top w:val="nil"/>
              <w:left w:val="nil"/>
              <w:bottom w:val="single" w:sz="4" w:space="0" w:color="auto"/>
              <w:right w:val="single" w:sz="4" w:space="0" w:color="auto"/>
            </w:tcBorders>
            <w:shd w:val="clear" w:color="auto" w:fill="auto"/>
            <w:noWrap/>
            <w:vAlign w:val="center"/>
            <w:hideMark/>
          </w:tcPr>
          <w:p w14:paraId="15AA65DD" w14:textId="77777777" w:rsidR="00B24652" w:rsidRPr="00B24652" w:rsidRDefault="00B24652" w:rsidP="00B24652">
            <w:pPr>
              <w:spacing w:line="240" w:lineRule="auto"/>
              <w:rPr>
                <w:color w:val="000000"/>
                <w:sz w:val="22"/>
              </w:rPr>
            </w:pPr>
            <w:r w:rsidRPr="00B24652">
              <w:rPr>
                <w:color w:val="000000"/>
                <w:sz w:val="22"/>
                <w:szCs w:val="22"/>
              </w:rPr>
              <w:t>17</w:t>
            </w:r>
          </w:p>
        </w:tc>
        <w:tc>
          <w:tcPr>
            <w:tcW w:w="1916" w:type="dxa"/>
            <w:tcBorders>
              <w:top w:val="nil"/>
              <w:left w:val="nil"/>
              <w:bottom w:val="single" w:sz="4" w:space="0" w:color="auto"/>
              <w:right w:val="single" w:sz="4" w:space="0" w:color="auto"/>
            </w:tcBorders>
            <w:shd w:val="clear" w:color="auto" w:fill="auto"/>
            <w:noWrap/>
            <w:vAlign w:val="center"/>
            <w:hideMark/>
          </w:tcPr>
          <w:p w14:paraId="451295B8" w14:textId="77777777" w:rsidR="00B24652" w:rsidRPr="00B24652" w:rsidRDefault="00B24652" w:rsidP="00B24652">
            <w:pPr>
              <w:spacing w:line="240" w:lineRule="auto"/>
              <w:rPr>
                <w:color w:val="000000"/>
                <w:sz w:val="22"/>
              </w:rPr>
            </w:pPr>
            <w:r w:rsidRPr="00B24652">
              <w:rPr>
                <w:color w:val="000000"/>
                <w:sz w:val="22"/>
                <w:szCs w:val="22"/>
              </w:rPr>
              <w:t>0,8%</w:t>
            </w:r>
          </w:p>
        </w:tc>
        <w:tc>
          <w:tcPr>
            <w:tcW w:w="2658" w:type="dxa"/>
            <w:tcBorders>
              <w:top w:val="nil"/>
              <w:left w:val="nil"/>
              <w:bottom w:val="single" w:sz="4" w:space="0" w:color="auto"/>
              <w:right w:val="single" w:sz="4" w:space="0" w:color="auto"/>
            </w:tcBorders>
            <w:shd w:val="clear" w:color="auto" w:fill="auto"/>
            <w:noWrap/>
            <w:vAlign w:val="center"/>
            <w:hideMark/>
          </w:tcPr>
          <w:p w14:paraId="750683CA" w14:textId="77777777" w:rsidR="00B24652" w:rsidRPr="00B24652" w:rsidRDefault="00B24652" w:rsidP="00B24652">
            <w:pPr>
              <w:spacing w:line="240" w:lineRule="auto"/>
              <w:rPr>
                <w:color w:val="000000"/>
                <w:sz w:val="22"/>
              </w:rPr>
            </w:pPr>
            <w:r w:rsidRPr="00B24652">
              <w:rPr>
                <w:color w:val="000000"/>
                <w:sz w:val="22"/>
                <w:szCs w:val="22"/>
              </w:rPr>
              <w:t>1,6%</w:t>
            </w:r>
          </w:p>
        </w:tc>
      </w:tr>
      <w:tr w:rsidR="00B24652" w:rsidRPr="00B24652" w14:paraId="130EA8B0"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2D664DC" w14:textId="77777777" w:rsidR="00B24652" w:rsidRPr="00B24652" w:rsidRDefault="00B24652" w:rsidP="00B24652">
            <w:pPr>
              <w:spacing w:line="240" w:lineRule="auto"/>
              <w:rPr>
                <w:color w:val="000000"/>
                <w:sz w:val="22"/>
              </w:rPr>
            </w:pPr>
            <w:r w:rsidRPr="00B24652">
              <w:rPr>
                <w:color w:val="000000"/>
                <w:sz w:val="22"/>
                <w:szCs w:val="22"/>
              </w:rPr>
              <w:t>Etlon coffee</w:t>
            </w:r>
          </w:p>
        </w:tc>
        <w:tc>
          <w:tcPr>
            <w:tcW w:w="1446" w:type="dxa"/>
            <w:tcBorders>
              <w:top w:val="nil"/>
              <w:left w:val="nil"/>
              <w:bottom w:val="single" w:sz="4" w:space="0" w:color="auto"/>
              <w:right w:val="single" w:sz="4" w:space="0" w:color="auto"/>
            </w:tcBorders>
            <w:shd w:val="clear" w:color="auto" w:fill="auto"/>
            <w:noWrap/>
            <w:vAlign w:val="center"/>
            <w:hideMark/>
          </w:tcPr>
          <w:p w14:paraId="05E81D00" w14:textId="77777777" w:rsidR="00B24652" w:rsidRPr="00B24652" w:rsidRDefault="00B24652" w:rsidP="00B24652">
            <w:pPr>
              <w:spacing w:line="240" w:lineRule="auto"/>
              <w:rPr>
                <w:color w:val="000000"/>
                <w:sz w:val="22"/>
              </w:rPr>
            </w:pPr>
            <w:r w:rsidRPr="00B24652">
              <w:rPr>
                <w:color w:val="000000"/>
                <w:sz w:val="22"/>
                <w:szCs w:val="22"/>
              </w:rPr>
              <w:t>16</w:t>
            </w:r>
          </w:p>
        </w:tc>
        <w:tc>
          <w:tcPr>
            <w:tcW w:w="1916" w:type="dxa"/>
            <w:tcBorders>
              <w:top w:val="nil"/>
              <w:left w:val="nil"/>
              <w:bottom w:val="single" w:sz="4" w:space="0" w:color="auto"/>
              <w:right w:val="single" w:sz="4" w:space="0" w:color="auto"/>
            </w:tcBorders>
            <w:shd w:val="clear" w:color="auto" w:fill="auto"/>
            <w:noWrap/>
            <w:vAlign w:val="center"/>
            <w:hideMark/>
          </w:tcPr>
          <w:p w14:paraId="34AD2AA5" w14:textId="77777777" w:rsidR="00B24652" w:rsidRPr="00B24652" w:rsidRDefault="00B24652" w:rsidP="00B24652">
            <w:pPr>
              <w:spacing w:line="240" w:lineRule="auto"/>
              <w:rPr>
                <w:color w:val="000000"/>
                <w:sz w:val="22"/>
              </w:rPr>
            </w:pPr>
            <w:r w:rsidRPr="00B24652">
              <w:rPr>
                <w:color w:val="000000"/>
                <w:sz w:val="22"/>
                <w:szCs w:val="22"/>
              </w:rPr>
              <w:t>0,7%</w:t>
            </w:r>
          </w:p>
        </w:tc>
        <w:tc>
          <w:tcPr>
            <w:tcW w:w="2658" w:type="dxa"/>
            <w:tcBorders>
              <w:top w:val="nil"/>
              <w:left w:val="nil"/>
              <w:bottom w:val="single" w:sz="4" w:space="0" w:color="auto"/>
              <w:right w:val="single" w:sz="4" w:space="0" w:color="auto"/>
            </w:tcBorders>
            <w:shd w:val="clear" w:color="auto" w:fill="auto"/>
            <w:noWrap/>
            <w:vAlign w:val="center"/>
            <w:hideMark/>
          </w:tcPr>
          <w:p w14:paraId="7249C4C5" w14:textId="77777777" w:rsidR="00B24652" w:rsidRPr="00B24652" w:rsidRDefault="00B24652" w:rsidP="00B24652">
            <w:pPr>
              <w:spacing w:line="240" w:lineRule="auto"/>
              <w:rPr>
                <w:color w:val="000000"/>
                <w:sz w:val="22"/>
              </w:rPr>
            </w:pPr>
            <w:r w:rsidRPr="00B24652">
              <w:rPr>
                <w:color w:val="000000"/>
                <w:sz w:val="22"/>
                <w:szCs w:val="22"/>
              </w:rPr>
              <w:t>1,5%</w:t>
            </w:r>
          </w:p>
        </w:tc>
      </w:tr>
      <w:tr w:rsidR="00B24652" w:rsidRPr="00B24652" w14:paraId="26DDDD16"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46A29CD" w14:textId="77777777" w:rsidR="00B24652" w:rsidRPr="00B24652" w:rsidRDefault="00B24652" w:rsidP="00B24652">
            <w:pPr>
              <w:spacing w:line="240" w:lineRule="auto"/>
              <w:rPr>
                <w:color w:val="000000"/>
                <w:sz w:val="22"/>
              </w:rPr>
            </w:pPr>
            <w:r w:rsidRPr="00B24652">
              <w:rPr>
                <w:color w:val="000000"/>
                <w:sz w:val="22"/>
                <w:szCs w:val="22"/>
              </w:rPr>
              <w:t>One Price Coffee</w:t>
            </w:r>
          </w:p>
        </w:tc>
        <w:tc>
          <w:tcPr>
            <w:tcW w:w="1446" w:type="dxa"/>
            <w:tcBorders>
              <w:top w:val="nil"/>
              <w:left w:val="nil"/>
              <w:bottom w:val="single" w:sz="4" w:space="0" w:color="auto"/>
              <w:right w:val="single" w:sz="4" w:space="0" w:color="auto"/>
            </w:tcBorders>
            <w:shd w:val="clear" w:color="auto" w:fill="auto"/>
            <w:noWrap/>
            <w:vAlign w:val="center"/>
            <w:hideMark/>
          </w:tcPr>
          <w:p w14:paraId="67D26A59" w14:textId="77777777" w:rsidR="00B24652" w:rsidRPr="00B24652" w:rsidRDefault="00B24652" w:rsidP="00B24652">
            <w:pPr>
              <w:spacing w:line="240" w:lineRule="auto"/>
              <w:rPr>
                <w:color w:val="000000"/>
                <w:sz w:val="22"/>
              </w:rPr>
            </w:pPr>
            <w:r w:rsidRPr="00B24652">
              <w:rPr>
                <w:color w:val="000000"/>
                <w:sz w:val="22"/>
                <w:szCs w:val="22"/>
              </w:rPr>
              <w:t>16</w:t>
            </w:r>
          </w:p>
        </w:tc>
        <w:tc>
          <w:tcPr>
            <w:tcW w:w="1916" w:type="dxa"/>
            <w:tcBorders>
              <w:top w:val="nil"/>
              <w:left w:val="nil"/>
              <w:bottom w:val="single" w:sz="4" w:space="0" w:color="auto"/>
              <w:right w:val="single" w:sz="4" w:space="0" w:color="auto"/>
            </w:tcBorders>
            <w:shd w:val="clear" w:color="auto" w:fill="auto"/>
            <w:noWrap/>
            <w:vAlign w:val="center"/>
            <w:hideMark/>
          </w:tcPr>
          <w:p w14:paraId="0E46C01C" w14:textId="77777777" w:rsidR="00B24652" w:rsidRPr="00B24652" w:rsidRDefault="00B24652" w:rsidP="00B24652">
            <w:pPr>
              <w:spacing w:line="240" w:lineRule="auto"/>
              <w:rPr>
                <w:color w:val="000000"/>
                <w:sz w:val="22"/>
              </w:rPr>
            </w:pPr>
            <w:r w:rsidRPr="00B24652">
              <w:rPr>
                <w:color w:val="000000"/>
                <w:sz w:val="22"/>
                <w:szCs w:val="22"/>
              </w:rPr>
              <w:t>0,7%</w:t>
            </w:r>
          </w:p>
        </w:tc>
        <w:tc>
          <w:tcPr>
            <w:tcW w:w="2658" w:type="dxa"/>
            <w:tcBorders>
              <w:top w:val="nil"/>
              <w:left w:val="nil"/>
              <w:bottom w:val="single" w:sz="4" w:space="0" w:color="auto"/>
              <w:right w:val="single" w:sz="4" w:space="0" w:color="auto"/>
            </w:tcBorders>
            <w:shd w:val="clear" w:color="auto" w:fill="auto"/>
            <w:noWrap/>
            <w:vAlign w:val="center"/>
            <w:hideMark/>
          </w:tcPr>
          <w:p w14:paraId="4B44BB9A" w14:textId="77777777" w:rsidR="00B24652" w:rsidRPr="00B24652" w:rsidRDefault="00B24652" w:rsidP="00B24652">
            <w:pPr>
              <w:spacing w:line="240" w:lineRule="auto"/>
              <w:rPr>
                <w:color w:val="000000"/>
                <w:sz w:val="22"/>
              </w:rPr>
            </w:pPr>
            <w:r w:rsidRPr="00B24652">
              <w:rPr>
                <w:color w:val="000000"/>
                <w:sz w:val="22"/>
                <w:szCs w:val="22"/>
              </w:rPr>
              <w:t>1,5%</w:t>
            </w:r>
          </w:p>
        </w:tc>
      </w:tr>
      <w:tr w:rsidR="00B24652" w:rsidRPr="00B24652" w14:paraId="021C02B7"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8775C2D" w14:textId="77777777" w:rsidR="00B24652" w:rsidRPr="00B24652" w:rsidRDefault="00B24652" w:rsidP="00B24652">
            <w:pPr>
              <w:spacing w:line="240" w:lineRule="auto"/>
              <w:rPr>
                <w:color w:val="000000"/>
                <w:sz w:val="22"/>
              </w:rPr>
            </w:pPr>
            <w:r w:rsidRPr="00B24652">
              <w:rPr>
                <w:color w:val="000000"/>
                <w:sz w:val="22"/>
                <w:szCs w:val="22"/>
              </w:rPr>
              <w:t>Starbucks</w:t>
            </w:r>
          </w:p>
        </w:tc>
        <w:tc>
          <w:tcPr>
            <w:tcW w:w="1446" w:type="dxa"/>
            <w:tcBorders>
              <w:top w:val="nil"/>
              <w:left w:val="nil"/>
              <w:bottom w:val="single" w:sz="4" w:space="0" w:color="auto"/>
              <w:right w:val="single" w:sz="4" w:space="0" w:color="auto"/>
            </w:tcBorders>
            <w:shd w:val="clear" w:color="auto" w:fill="auto"/>
            <w:noWrap/>
            <w:vAlign w:val="center"/>
            <w:hideMark/>
          </w:tcPr>
          <w:p w14:paraId="0617F342" w14:textId="77777777" w:rsidR="00B24652" w:rsidRPr="00B24652" w:rsidRDefault="00B24652" w:rsidP="00B24652">
            <w:pPr>
              <w:spacing w:line="240" w:lineRule="auto"/>
              <w:rPr>
                <w:color w:val="000000"/>
                <w:sz w:val="22"/>
              </w:rPr>
            </w:pPr>
            <w:r w:rsidRPr="00B24652">
              <w:rPr>
                <w:color w:val="000000"/>
                <w:sz w:val="22"/>
                <w:szCs w:val="22"/>
              </w:rPr>
              <w:t>15</w:t>
            </w:r>
          </w:p>
        </w:tc>
        <w:tc>
          <w:tcPr>
            <w:tcW w:w="1916" w:type="dxa"/>
            <w:tcBorders>
              <w:top w:val="nil"/>
              <w:left w:val="nil"/>
              <w:bottom w:val="single" w:sz="4" w:space="0" w:color="auto"/>
              <w:right w:val="single" w:sz="4" w:space="0" w:color="auto"/>
            </w:tcBorders>
            <w:shd w:val="clear" w:color="auto" w:fill="auto"/>
            <w:noWrap/>
            <w:vAlign w:val="center"/>
            <w:hideMark/>
          </w:tcPr>
          <w:p w14:paraId="5FDBD456" w14:textId="77777777" w:rsidR="00B24652" w:rsidRPr="00B24652" w:rsidRDefault="00B24652" w:rsidP="00B24652">
            <w:pPr>
              <w:spacing w:line="240" w:lineRule="auto"/>
              <w:rPr>
                <w:color w:val="000000"/>
                <w:sz w:val="22"/>
              </w:rPr>
            </w:pPr>
            <w:r w:rsidRPr="00B24652">
              <w:rPr>
                <w:color w:val="000000"/>
                <w:sz w:val="22"/>
                <w:szCs w:val="22"/>
              </w:rPr>
              <w:t>0,7%</w:t>
            </w:r>
          </w:p>
        </w:tc>
        <w:tc>
          <w:tcPr>
            <w:tcW w:w="2658" w:type="dxa"/>
            <w:tcBorders>
              <w:top w:val="nil"/>
              <w:left w:val="nil"/>
              <w:bottom w:val="single" w:sz="4" w:space="0" w:color="auto"/>
              <w:right w:val="single" w:sz="4" w:space="0" w:color="auto"/>
            </w:tcBorders>
            <w:shd w:val="clear" w:color="auto" w:fill="auto"/>
            <w:noWrap/>
            <w:vAlign w:val="center"/>
            <w:hideMark/>
          </w:tcPr>
          <w:p w14:paraId="0F6DCB46" w14:textId="77777777" w:rsidR="00B24652" w:rsidRPr="00B24652" w:rsidRDefault="00B24652" w:rsidP="00B24652">
            <w:pPr>
              <w:spacing w:line="240" w:lineRule="auto"/>
              <w:rPr>
                <w:color w:val="000000"/>
                <w:sz w:val="22"/>
              </w:rPr>
            </w:pPr>
            <w:r w:rsidRPr="00B24652">
              <w:rPr>
                <w:color w:val="000000"/>
                <w:sz w:val="22"/>
                <w:szCs w:val="22"/>
              </w:rPr>
              <w:t>1,4%</w:t>
            </w:r>
          </w:p>
        </w:tc>
      </w:tr>
      <w:tr w:rsidR="00B24652" w:rsidRPr="00B24652" w14:paraId="7A02238C"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7A0E87F" w14:textId="77777777" w:rsidR="00B24652" w:rsidRPr="00B24652" w:rsidRDefault="00B24652" w:rsidP="00B24652">
            <w:pPr>
              <w:spacing w:line="240" w:lineRule="auto"/>
              <w:rPr>
                <w:color w:val="000000"/>
                <w:sz w:val="22"/>
              </w:rPr>
            </w:pPr>
            <w:r w:rsidRPr="00B24652">
              <w:rPr>
                <w:color w:val="000000"/>
                <w:sz w:val="22"/>
                <w:szCs w:val="22"/>
              </w:rPr>
              <w:t>Cofix</w:t>
            </w:r>
          </w:p>
        </w:tc>
        <w:tc>
          <w:tcPr>
            <w:tcW w:w="1446" w:type="dxa"/>
            <w:tcBorders>
              <w:top w:val="nil"/>
              <w:left w:val="nil"/>
              <w:bottom w:val="single" w:sz="4" w:space="0" w:color="auto"/>
              <w:right w:val="single" w:sz="4" w:space="0" w:color="auto"/>
            </w:tcBorders>
            <w:shd w:val="clear" w:color="auto" w:fill="auto"/>
            <w:noWrap/>
            <w:vAlign w:val="center"/>
            <w:hideMark/>
          </w:tcPr>
          <w:p w14:paraId="43040497" w14:textId="77777777" w:rsidR="00B24652" w:rsidRPr="00B24652" w:rsidRDefault="00B24652" w:rsidP="00B24652">
            <w:pPr>
              <w:spacing w:line="240" w:lineRule="auto"/>
              <w:rPr>
                <w:color w:val="000000"/>
                <w:sz w:val="22"/>
              </w:rPr>
            </w:pPr>
            <w:r w:rsidRPr="00B24652">
              <w:rPr>
                <w:color w:val="000000"/>
                <w:sz w:val="22"/>
                <w:szCs w:val="22"/>
              </w:rPr>
              <w:t>14</w:t>
            </w:r>
          </w:p>
        </w:tc>
        <w:tc>
          <w:tcPr>
            <w:tcW w:w="1916" w:type="dxa"/>
            <w:tcBorders>
              <w:top w:val="nil"/>
              <w:left w:val="nil"/>
              <w:bottom w:val="single" w:sz="4" w:space="0" w:color="auto"/>
              <w:right w:val="single" w:sz="4" w:space="0" w:color="auto"/>
            </w:tcBorders>
            <w:shd w:val="clear" w:color="auto" w:fill="auto"/>
            <w:noWrap/>
            <w:vAlign w:val="center"/>
            <w:hideMark/>
          </w:tcPr>
          <w:p w14:paraId="0C30E506" w14:textId="77777777" w:rsidR="00B24652" w:rsidRPr="00B24652" w:rsidRDefault="00B24652" w:rsidP="00B24652">
            <w:pPr>
              <w:spacing w:line="240" w:lineRule="auto"/>
              <w:rPr>
                <w:color w:val="000000"/>
                <w:sz w:val="22"/>
              </w:rPr>
            </w:pPr>
            <w:r w:rsidRPr="00B24652">
              <w:rPr>
                <w:color w:val="000000"/>
                <w:sz w:val="22"/>
                <w:szCs w:val="22"/>
              </w:rPr>
              <w:t>0,7%</w:t>
            </w:r>
          </w:p>
        </w:tc>
        <w:tc>
          <w:tcPr>
            <w:tcW w:w="2658" w:type="dxa"/>
            <w:tcBorders>
              <w:top w:val="nil"/>
              <w:left w:val="nil"/>
              <w:bottom w:val="single" w:sz="4" w:space="0" w:color="auto"/>
              <w:right w:val="single" w:sz="4" w:space="0" w:color="auto"/>
            </w:tcBorders>
            <w:shd w:val="clear" w:color="auto" w:fill="auto"/>
            <w:noWrap/>
            <w:vAlign w:val="center"/>
            <w:hideMark/>
          </w:tcPr>
          <w:p w14:paraId="4ACEC902" w14:textId="77777777" w:rsidR="00B24652" w:rsidRPr="00B24652" w:rsidRDefault="00B24652" w:rsidP="00B24652">
            <w:pPr>
              <w:spacing w:line="240" w:lineRule="auto"/>
              <w:rPr>
                <w:color w:val="000000"/>
                <w:sz w:val="22"/>
              </w:rPr>
            </w:pPr>
            <w:r w:rsidRPr="00B24652">
              <w:rPr>
                <w:color w:val="000000"/>
                <w:sz w:val="22"/>
                <w:szCs w:val="22"/>
              </w:rPr>
              <w:t>1,3%</w:t>
            </w:r>
          </w:p>
        </w:tc>
      </w:tr>
      <w:tr w:rsidR="00B24652" w:rsidRPr="00B24652" w14:paraId="177EDF33" w14:textId="77777777" w:rsidTr="00BA1E3E">
        <w:trPr>
          <w:trHeight w:val="273"/>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F1A9930" w14:textId="77777777" w:rsidR="00B24652" w:rsidRPr="00B24652" w:rsidRDefault="00B24652" w:rsidP="00B24652">
            <w:pPr>
              <w:spacing w:line="240" w:lineRule="auto"/>
              <w:rPr>
                <w:color w:val="000000"/>
                <w:sz w:val="22"/>
              </w:rPr>
            </w:pPr>
            <w:r w:rsidRPr="00B24652">
              <w:rPr>
                <w:color w:val="000000"/>
                <w:sz w:val="22"/>
                <w:szCs w:val="22"/>
              </w:rPr>
              <w:t>UPPETIT</w:t>
            </w:r>
          </w:p>
        </w:tc>
        <w:tc>
          <w:tcPr>
            <w:tcW w:w="1446" w:type="dxa"/>
            <w:tcBorders>
              <w:top w:val="nil"/>
              <w:left w:val="nil"/>
              <w:bottom w:val="single" w:sz="4" w:space="0" w:color="auto"/>
              <w:right w:val="single" w:sz="4" w:space="0" w:color="auto"/>
            </w:tcBorders>
            <w:shd w:val="clear" w:color="auto" w:fill="auto"/>
            <w:noWrap/>
            <w:vAlign w:val="center"/>
            <w:hideMark/>
          </w:tcPr>
          <w:p w14:paraId="7A738C7E" w14:textId="77777777" w:rsidR="00B24652" w:rsidRPr="00B24652" w:rsidRDefault="00B24652" w:rsidP="00B24652">
            <w:pPr>
              <w:spacing w:line="240" w:lineRule="auto"/>
              <w:rPr>
                <w:color w:val="000000"/>
                <w:sz w:val="22"/>
              </w:rPr>
            </w:pPr>
            <w:r w:rsidRPr="00B24652">
              <w:rPr>
                <w:color w:val="000000"/>
                <w:sz w:val="22"/>
                <w:szCs w:val="22"/>
              </w:rPr>
              <w:t>14</w:t>
            </w:r>
          </w:p>
        </w:tc>
        <w:tc>
          <w:tcPr>
            <w:tcW w:w="1916" w:type="dxa"/>
            <w:tcBorders>
              <w:top w:val="nil"/>
              <w:left w:val="nil"/>
              <w:bottom w:val="single" w:sz="4" w:space="0" w:color="auto"/>
              <w:right w:val="single" w:sz="4" w:space="0" w:color="auto"/>
            </w:tcBorders>
            <w:shd w:val="clear" w:color="auto" w:fill="auto"/>
            <w:noWrap/>
            <w:vAlign w:val="center"/>
            <w:hideMark/>
          </w:tcPr>
          <w:p w14:paraId="3DE1B79B" w14:textId="77777777" w:rsidR="00B24652" w:rsidRPr="00B24652" w:rsidRDefault="00B24652" w:rsidP="00B24652">
            <w:pPr>
              <w:spacing w:line="240" w:lineRule="auto"/>
              <w:rPr>
                <w:color w:val="000000"/>
                <w:sz w:val="22"/>
              </w:rPr>
            </w:pPr>
            <w:r w:rsidRPr="00B24652">
              <w:rPr>
                <w:color w:val="000000"/>
                <w:sz w:val="22"/>
                <w:szCs w:val="22"/>
              </w:rPr>
              <w:t>0,7%</w:t>
            </w:r>
          </w:p>
        </w:tc>
        <w:tc>
          <w:tcPr>
            <w:tcW w:w="2658" w:type="dxa"/>
            <w:tcBorders>
              <w:top w:val="nil"/>
              <w:left w:val="nil"/>
              <w:bottom w:val="single" w:sz="4" w:space="0" w:color="auto"/>
              <w:right w:val="single" w:sz="4" w:space="0" w:color="auto"/>
            </w:tcBorders>
            <w:shd w:val="clear" w:color="auto" w:fill="auto"/>
            <w:noWrap/>
            <w:vAlign w:val="center"/>
            <w:hideMark/>
          </w:tcPr>
          <w:p w14:paraId="174D9CA3" w14:textId="77777777" w:rsidR="00B24652" w:rsidRPr="00B24652" w:rsidRDefault="00B24652" w:rsidP="00B24652">
            <w:pPr>
              <w:spacing w:line="240" w:lineRule="auto"/>
              <w:rPr>
                <w:color w:val="000000"/>
                <w:sz w:val="22"/>
              </w:rPr>
            </w:pPr>
            <w:r w:rsidRPr="00B24652">
              <w:rPr>
                <w:color w:val="000000"/>
                <w:sz w:val="22"/>
                <w:szCs w:val="22"/>
              </w:rPr>
              <w:t>1,3%</w:t>
            </w:r>
          </w:p>
        </w:tc>
      </w:tr>
    </w:tbl>
    <w:p w14:paraId="79457407" w14:textId="77777777" w:rsidR="00B24652" w:rsidRPr="00B24652" w:rsidRDefault="00B24652" w:rsidP="00B24652">
      <w:pPr>
        <w:spacing w:after="160"/>
        <w:rPr>
          <w:rFonts w:eastAsiaTheme="minorHAnsi"/>
          <w:szCs w:val="22"/>
          <w:lang w:eastAsia="en-US"/>
        </w:rPr>
      </w:pPr>
      <w:r w:rsidRPr="00B24652">
        <w:rPr>
          <w:rFonts w:eastAsiaTheme="minorHAnsi"/>
          <w:sz w:val="22"/>
          <w:szCs w:val="20"/>
          <w:lang w:eastAsia="en-US"/>
        </w:rPr>
        <w:t>*Составлено автором на основе данных 2ГИС</w:t>
      </w:r>
    </w:p>
    <w:p w14:paraId="6E905B4A" w14:textId="6F132387" w:rsidR="00BE10CD" w:rsidRPr="00B24652" w:rsidRDefault="00B24652" w:rsidP="00E56DE6">
      <w:pPr>
        <w:ind w:firstLine="851"/>
        <w:jc w:val="both"/>
        <w:rPr>
          <w:rFonts w:eastAsiaTheme="minorHAnsi"/>
          <w:szCs w:val="22"/>
          <w:lang w:eastAsia="en-US"/>
        </w:rPr>
      </w:pPr>
      <w:r w:rsidRPr="00B24652">
        <w:rPr>
          <w:rFonts w:eastAsiaTheme="minorHAnsi"/>
          <w:szCs w:val="22"/>
          <w:lang w:eastAsia="en-US"/>
        </w:rPr>
        <w:t>Как можно видеть из таблицы, к крупнейшим кофейням Санкт-Петербурга были отнесены те сети, которые ранее упоминались при рассмотрении рынка пекарен («</w:t>
      </w:r>
      <w:r w:rsidRPr="00B24652">
        <w:rPr>
          <w:color w:val="000000"/>
          <w:sz w:val="22"/>
          <w:szCs w:val="22"/>
        </w:rPr>
        <w:t>Булочные Ф. Вольчека», «Север-Метрополь», «Цех85», «Лавка пекаря», «Люди любят» и др.)</w:t>
      </w:r>
      <w:r w:rsidRPr="00B24652">
        <w:rPr>
          <w:rFonts w:eastAsiaTheme="minorHAnsi"/>
          <w:szCs w:val="22"/>
          <w:lang w:eastAsia="en-US"/>
        </w:rPr>
        <w:t xml:space="preserve">. Это связано с тем, что данные объекты, являясь кофейнями, предлагающими своим посетителям широкий ассортимент кофе, также торгуют хлебобулочными изделиями. В связи с этим была составлена отдельная таблица крупнейших сетей исключительно кофеен (Таблица </w:t>
      </w:r>
      <w:r w:rsidR="00E56DE6">
        <w:rPr>
          <w:rFonts w:eastAsiaTheme="minorHAnsi"/>
          <w:szCs w:val="22"/>
          <w:lang w:eastAsia="en-US"/>
        </w:rPr>
        <w:t>8</w:t>
      </w:r>
      <w:r w:rsidRPr="00B24652">
        <w:rPr>
          <w:rFonts w:eastAsiaTheme="minorHAnsi"/>
          <w:szCs w:val="22"/>
          <w:lang w:eastAsia="en-US"/>
        </w:rPr>
        <w:t>).</w:t>
      </w:r>
    </w:p>
    <w:p w14:paraId="44E34B63" w14:textId="77777777" w:rsidR="00981817" w:rsidRDefault="00981817" w:rsidP="00B24652">
      <w:pPr>
        <w:spacing w:before="160"/>
        <w:rPr>
          <w:rFonts w:eastAsiaTheme="minorHAnsi"/>
          <w:szCs w:val="22"/>
          <w:lang w:eastAsia="en-US"/>
        </w:rPr>
      </w:pPr>
    </w:p>
    <w:p w14:paraId="6790C2F5" w14:textId="77777777" w:rsidR="00981817" w:rsidRDefault="00981817" w:rsidP="00B24652">
      <w:pPr>
        <w:spacing w:before="160"/>
        <w:rPr>
          <w:rFonts w:eastAsiaTheme="minorHAnsi"/>
          <w:szCs w:val="22"/>
          <w:lang w:eastAsia="en-US"/>
        </w:rPr>
      </w:pPr>
    </w:p>
    <w:p w14:paraId="0C15E525" w14:textId="5ECFDE51" w:rsidR="00B24652" w:rsidRPr="00B24652" w:rsidRDefault="00B24652" w:rsidP="00B24652">
      <w:pPr>
        <w:spacing w:before="160"/>
        <w:rPr>
          <w:rFonts w:eastAsiaTheme="minorHAnsi"/>
          <w:szCs w:val="22"/>
          <w:lang w:eastAsia="en-US"/>
        </w:rPr>
      </w:pPr>
      <w:r w:rsidRPr="00B24652">
        <w:rPr>
          <w:rFonts w:eastAsiaTheme="minorHAnsi"/>
          <w:szCs w:val="22"/>
          <w:lang w:eastAsia="en-US"/>
        </w:rPr>
        <w:lastRenderedPageBreak/>
        <w:t xml:space="preserve">Таблица </w:t>
      </w:r>
      <w:r w:rsidR="00E56DE6">
        <w:rPr>
          <w:rFonts w:eastAsiaTheme="minorHAnsi"/>
          <w:szCs w:val="22"/>
          <w:lang w:eastAsia="en-US"/>
        </w:rPr>
        <w:t>8</w:t>
      </w:r>
      <w:r w:rsidRPr="00B24652">
        <w:rPr>
          <w:rFonts w:eastAsiaTheme="minorHAnsi"/>
          <w:szCs w:val="22"/>
          <w:lang w:eastAsia="en-US"/>
        </w:rPr>
        <w:t>. Крупнейшие сети кофеен Санкт-Петербурга</w:t>
      </w:r>
    </w:p>
    <w:tbl>
      <w:tblPr>
        <w:tblW w:w="9595" w:type="dxa"/>
        <w:tblLook w:val="04A0" w:firstRow="1" w:lastRow="0" w:firstColumn="1" w:lastColumn="0" w:noHBand="0" w:noVBand="1"/>
      </w:tblPr>
      <w:tblGrid>
        <w:gridCol w:w="3555"/>
        <w:gridCol w:w="1451"/>
        <w:gridCol w:w="1923"/>
        <w:gridCol w:w="2666"/>
      </w:tblGrid>
      <w:tr w:rsidR="00B24652" w:rsidRPr="00B24652" w14:paraId="524A672C" w14:textId="77777777" w:rsidTr="00BA1E3E">
        <w:trPr>
          <w:trHeight w:val="754"/>
        </w:trPr>
        <w:tc>
          <w:tcPr>
            <w:tcW w:w="3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46E6B" w14:textId="77777777" w:rsidR="00B24652" w:rsidRPr="00B24652" w:rsidRDefault="00B24652" w:rsidP="00B24652">
            <w:pPr>
              <w:spacing w:line="240" w:lineRule="auto"/>
              <w:rPr>
                <w:b/>
                <w:bCs/>
                <w:color w:val="000000"/>
                <w:sz w:val="20"/>
                <w:szCs w:val="20"/>
              </w:rPr>
            </w:pPr>
            <w:r w:rsidRPr="00B24652">
              <w:rPr>
                <w:b/>
                <w:bCs/>
                <w:color w:val="000000"/>
                <w:sz w:val="20"/>
                <w:szCs w:val="20"/>
              </w:rPr>
              <w:t>Название</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14:paraId="280CDEA2" w14:textId="77777777" w:rsidR="00B24652" w:rsidRPr="00B24652" w:rsidRDefault="00B24652" w:rsidP="00B24652">
            <w:pPr>
              <w:spacing w:line="240" w:lineRule="auto"/>
              <w:rPr>
                <w:b/>
                <w:bCs/>
                <w:color w:val="000000"/>
                <w:sz w:val="20"/>
                <w:szCs w:val="20"/>
              </w:rPr>
            </w:pPr>
            <w:r w:rsidRPr="00B24652">
              <w:rPr>
                <w:b/>
                <w:bCs/>
                <w:color w:val="000000"/>
                <w:sz w:val="20"/>
                <w:szCs w:val="20"/>
              </w:rPr>
              <w:t>Количество филиалов сети</w:t>
            </w:r>
          </w:p>
        </w:tc>
        <w:tc>
          <w:tcPr>
            <w:tcW w:w="1923" w:type="dxa"/>
            <w:tcBorders>
              <w:top w:val="single" w:sz="4" w:space="0" w:color="auto"/>
              <w:left w:val="nil"/>
              <w:bottom w:val="single" w:sz="4" w:space="0" w:color="auto"/>
              <w:right w:val="single" w:sz="4" w:space="0" w:color="auto"/>
            </w:tcBorders>
            <w:shd w:val="clear" w:color="auto" w:fill="auto"/>
            <w:vAlign w:val="center"/>
            <w:hideMark/>
          </w:tcPr>
          <w:p w14:paraId="10C5A593"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пекарен</w:t>
            </w:r>
          </w:p>
        </w:tc>
        <w:tc>
          <w:tcPr>
            <w:tcW w:w="2666" w:type="dxa"/>
            <w:tcBorders>
              <w:top w:val="single" w:sz="4" w:space="0" w:color="auto"/>
              <w:left w:val="nil"/>
              <w:bottom w:val="single" w:sz="4" w:space="0" w:color="auto"/>
              <w:right w:val="single" w:sz="4" w:space="0" w:color="auto"/>
            </w:tcBorders>
            <w:shd w:val="clear" w:color="auto" w:fill="auto"/>
            <w:vAlign w:val="center"/>
            <w:hideMark/>
          </w:tcPr>
          <w:p w14:paraId="096DBF23" w14:textId="77777777" w:rsidR="00B24652" w:rsidRPr="00B24652" w:rsidRDefault="00B24652" w:rsidP="00B24652">
            <w:pPr>
              <w:spacing w:line="240" w:lineRule="auto"/>
              <w:rPr>
                <w:b/>
                <w:bCs/>
                <w:color w:val="000000"/>
                <w:sz w:val="20"/>
                <w:szCs w:val="20"/>
              </w:rPr>
            </w:pPr>
            <w:r w:rsidRPr="00B24652">
              <w:rPr>
                <w:b/>
                <w:bCs/>
                <w:color w:val="000000"/>
                <w:sz w:val="20"/>
                <w:szCs w:val="20"/>
              </w:rPr>
              <w:t>Доля сети в общем количестве сетевых пекарен</w:t>
            </w:r>
          </w:p>
        </w:tc>
      </w:tr>
      <w:tr w:rsidR="00B24652" w:rsidRPr="00B24652" w14:paraId="5AE988EA"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0B64EB70" w14:textId="77777777" w:rsidR="00B24652" w:rsidRPr="00B24652" w:rsidRDefault="00B24652" w:rsidP="00B24652">
            <w:pPr>
              <w:spacing w:line="240" w:lineRule="auto"/>
              <w:rPr>
                <w:color w:val="000000"/>
                <w:sz w:val="22"/>
              </w:rPr>
            </w:pPr>
            <w:r w:rsidRPr="00B24652">
              <w:rPr>
                <w:color w:val="000000"/>
                <w:sz w:val="22"/>
                <w:szCs w:val="22"/>
              </w:rPr>
              <w:t>BAGGINS COFFEE</w:t>
            </w:r>
          </w:p>
        </w:tc>
        <w:tc>
          <w:tcPr>
            <w:tcW w:w="1451" w:type="dxa"/>
            <w:tcBorders>
              <w:top w:val="nil"/>
              <w:left w:val="nil"/>
              <w:bottom w:val="single" w:sz="4" w:space="0" w:color="auto"/>
              <w:right w:val="single" w:sz="4" w:space="0" w:color="auto"/>
            </w:tcBorders>
            <w:shd w:val="clear" w:color="auto" w:fill="auto"/>
            <w:noWrap/>
            <w:vAlign w:val="center"/>
            <w:hideMark/>
          </w:tcPr>
          <w:p w14:paraId="39A8E31B" w14:textId="77777777" w:rsidR="00B24652" w:rsidRPr="00B24652" w:rsidRDefault="00B24652" w:rsidP="00B24652">
            <w:pPr>
              <w:spacing w:line="240" w:lineRule="auto"/>
              <w:rPr>
                <w:color w:val="000000"/>
                <w:sz w:val="22"/>
              </w:rPr>
            </w:pPr>
            <w:r w:rsidRPr="00B24652">
              <w:rPr>
                <w:color w:val="000000"/>
                <w:sz w:val="22"/>
                <w:szCs w:val="22"/>
              </w:rPr>
              <w:t>100</w:t>
            </w:r>
          </w:p>
        </w:tc>
        <w:tc>
          <w:tcPr>
            <w:tcW w:w="1923" w:type="dxa"/>
            <w:tcBorders>
              <w:top w:val="nil"/>
              <w:left w:val="nil"/>
              <w:bottom w:val="single" w:sz="4" w:space="0" w:color="auto"/>
              <w:right w:val="single" w:sz="4" w:space="0" w:color="auto"/>
            </w:tcBorders>
            <w:shd w:val="clear" w:color="auto" w:fill="auto"/>
            <w:noWrap/>
            <w:vAlign w:val="center"/>
            <w:hideMark/>
          </w:tcPr>
          <w:p w14:paraId="1F1D5E39" w14:textId="77777777" w:rsidR="00B24652" w:rsidRPr="00B24652" w:rsidRDefault="00B24652" w:rsidP="00B24652">
            <w:pPr>
              <w:spacing w:line="240" w:lineRule="auto"/>
              <w:rPr>
                <w:color w:val="000000"/>
                <w:sz w:val="22"/>
              </w:rPr>
            </w:pPr>
            <w:r w:rsidRPr="00B24652">
              <w:rPr>
                <w:color w:val="000000"/>
                <w:sz w:val="22"/>
                <w:szCs w:val="22"/>
              </w:rPr>
              <w:t>4,6%</w:t>
            </w:r>
          </w:p>
        </w:tc>
        <w:tc>
          <w:tcPr>
            <w:tcW w:w="2666" w:type="dxa"/>
            <w:tcBorders>
              <w:top w:val="nil"/>
              <w:left w:val="nil"/>
              <w:bottom w:val="single" w:sz="4" w:space="0" w:color="auto"/>
              <w:right w:val="single" w:sz="4" w:space="0" w:color="auto"/>
            </w:tcBorders>
            <w:shd w:val="clear" w:color="auto" w:fill="auto"/>
            <w:noWrap/>
            <w:vAlign w:val="center"/>
            <w:hideMark/>
          </w:tcPr>
          <w:p w14:paraId="44B47B43" w14:textId="77777777" w:rsidR="00B24652" w:rsidRPr="00B24652" w:rsidRDefault="00B24652" w:rsidP="00B24652">
            <w:pPr>
              <w:spacing w:line="240" w:lineRule="auto"/>
              <w:rPr>
                <w:color w:val="000000"/>
                <w:sz w:val="22"/>
              </w:rPr>
            </w:pPr>
            <w:r w:rsidRPr="00B24652">
              <w:rPr>
                <w:color w:val="000000"/>
                <w:sz w:val="22"/>
                <w:szCs w:val="22"/>
              </w:rPr>
              <w:t>9,6%</w:t>
            </w:r>
          </w:p>
        </w:tc>
      </w:tr>
      <w:tr w:rsidR="00B24652" w:rsidRPr="00B24652" w14:paraId="08393069"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4C364F1A" w14:textId="77777777" w:rsidR="00B24652" w:rsidRPr="00B24652" w:rsidRDefault="00B24652" w:rsidP="00B24652">
            <w:pPr>
              <w:spacing w:line="240" w:lineRule="auto"/>
              <w:rPr>
                <w:color w:val="000000"/>
                <w:sz w:val="22"/>
              </w:rPr>
            </w:pPr>
            <w:r w:rsidRPr="00B24652">
              <w:rPr>
                <w:color w:val="000000"/>
                <w:sz w:val="22"/>
                <w:szCs w:val="22"/>
              </w:rPr>
              <w:t>МакКафе</w:t>
            </w:r>
          </w:p>
        </w:tc>
        <w:tc>
          <w:tcPr>
            <w:tcW w:w="1451" w:type="dxa"/>
            <w:tcBorders>
              <w:top w:val="nil"/>
              <w:left w:val="nil"/>
              <w:bottom w:val="single" w:sz="4" w:space="0" w:color="auto"/>
              <w:right w:val="single" w:sz="4" w:space="0" w:color="auto"/>
            </w:tcBorders>
            <w:shd w:val="clear" w:color="auto" w:fill="auto"/>
            <w:noWrap/>
            <w:vAlign w:val="center"/>
            <w:hideMark/>
          </w:tcPr>
          <w:p w14:paraId="5A8566F8" w14:textId="77777777" w:rsidR="00B24652" w:rsidRPr="00B24652" w:rsidRDefault="00B24652" w:rsidP="00B24652">
            <w:pPr>
              <w:spacing w:line="240" w:lineRule="auto"/>
              <w:rPr>
                <w:color w:val="000000"/>
                <w:sz w:val="22"/>
              </w:rPr>
            </w:pPr>
            <w:r w:rsidRPr="00B24652">
              <w:rPr>
                <w:color w:val="000000"/>
                <w:sz w:val="22"/>
                <w:szCs w:val="22"/>
              </w:rPr>
              <w:t>38</w:t>
            </w:r>
          </w:p>
        </w:tc>
        <w:tc>
          <w:tcPr>
            <w:tcW w:w="1923" w:type="dxa"/>
            <w:tcBorders>
              <w:top w:val="nil"/>
              <w:left w:val="nil"/>
              <w:bottom w:val="single" w:sz="4" w:space="0" w:color="auto"/>
              <w:right w:val="single" w:sz="4" w:space="0" w:color="auto"/>
            </w:tcBorders>
            <w:shd w:val="clear" w:color="auto" w:fill="auto"/>
            <w:noWrap/>
            <w:vAlign w:val="center"/>
            <w:hideMark/>
          </w:tcPr>
          <w:p w14:paraId="4ACC1FB8" w14:textId="77777777" w:rsidR="00B24652" w:rsidRPr="00B24652" w:rsidRDefault="00B24652" w:rsidP="00B24652">
            <w:pPr>
              <w:spacing w:line="240" w:lineRule="auto"/>
              <w:rPr>
                <w:color w:val="000000"/>
                <w:sz w:val="22"/>
              </w:rPr>
            </w:pPr>
            <w:r w:rsidRPr="00B24652">
              <w:rPr>
                <w:color w:val="000000"/>
                <w:sz w:val="22"/>
                <w:szCs w:val="22"/>
              </w:rPr>
              <w:t>1,8%</w:t>
            </w:r>
          </w:p>
        </w:tc>
        <w:tc>
          <w:tcPr>
            <w:tcW w:w="2666" w:type="dxa"/>
            <w:tcBorders>
              <w:top w:val="nil"/>
              <w:left w:val="nil"/>
              <w:bottom w:val="single" w:sz="4" w:space="0" w:color="auto"/>
              <w:right w:val="single" w:sz="4" w:space="0" w:color="auto"/>
            </w:tcBorders>
            <w:shd w:val="clear" w:color="auto" w:fill="auto"/>
            <w:noWrap/>
            <w:vAlign w:val="center"/>
            <w:hideMark/>
          </w:tcPr>
          <w:p w14:paraId="13E9B7B4" w14:textId="77777777" w:rsidR="00B24652" w:rsidRPr="00B24652" w:rsidRDefault="00B24652" w:rsidP="00B24652">
            <w:pPr>
              <w:spacing w:line="240" w:lineRule="auto"/>
              <w:rPr>
                <w:color w:val="000000"/>
                <w:sz w:val="22"/>
              </w:rPr>
            </w:pPr>
            <w:r w:rsidRPr="00B24652">
              <w:rPr>
                <w:color w:val="000000"/>
                <w:sz w:val="22"/>
                <w:szCs w:val="22"/>
              </w:rPr>
              <w:t>3,7%</w:t>
            </w:r>
          </w:p>
        </w:tc>
      </w:tr>
      <w:tr w:rsidR="00B24652" w:rsidRPr="00B24652" w14:paraId="27FAB0DD"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1502F294" w14:textId="77777777" w:rsidR="00B24652" w:rsidRPr="00B24652" w:rsidRDefault="00B24652" w:rsidP="00B24652">
            <w:pPr>
              <w:spacing w:line="240" w:lineRule="auto"/>
              <w:rPr>
                <w:color w:val="000000"/>
                <w:sz w:val="22"/>
              </w:rPr>
            </w:pPr>
            <w:r w:rsidRPr="00B24652">
              <w:rPr>
                <w:color w:val="000000"/>
                <w:sz w:val="22"/>
                <w:szCs w:val="22"/>
              </w:rPr>
              <w:t>КофеБон</w:t>
            </w:r>
          </w:p>
        </w:tc>
        <w:tc>
          <w:tcPr>
            <w:tcW w:w="1451" w:type="dxa"/>
            <w:tcBorders>
              <w:top w:val="nil"/>
              <w:left w:val="nil"/>
              <w:bottom w:val="single" w:sz="4" w:space="0" w:color="auto"/>
              <w:right w:val="single" w:sz="4" w:space="0" w:color="auto"/>
            </w:tcBorders>
            <w:shd w:val="clear" w:color="auto" w:fill="auto"/>
            <w:noWrap/>
            <w:vAlign w:val="center"/>
            <w:hideMark/>
          </w:tcPr>
          <w:p w14:paraId="2D20E7B7" w14:textId="77777777" w:rsidR="00B24652" w:rsidRPr="00B24652" w:rsidRDefault="00B24652" w:rsidP="00B24652">
            <w:pPr>
              <w:spacing w:line="240" w:lineRule="auto"/>
              <w:rPr>
                <w:color w:val="000000"/>
                <w:sz w:val="22"/>
              </w:rPr>
            </w:pPr>
            <w:r w:rsidRPr="00B24652">
              <w:rPr>
                <w:color w:val="000000"/>
                <w:sz w:val="22"/>
                <w:szCs w:val="22"/>
              </w:rPr>
              <w:t>26</w:t>
            </w:r>
          </w:p>
        </w:tc>
        <w:tc>
          <w:tcPr>
            <w:tcW w:w="1923" w:type="dxa"/>
            <w:tcBorders>
              <w:top w:val="nil"/>
              <w:left w:val="nil"/>
              <w:bottom w:val="single" w:sz="4" w:space="0" w:color="auto"/>
              <w:right w:val="single" w:sz="4" w:space="0" w:color="auto"/>
            </w:tcBorders>
            <w:shd w:val="clear" w:color="auto" w:fill="auto"/>
            <w:noWrap/>
            <w:vAlign w:val="center"/>
            <w:hideMark/>
          </w:tcPr>
          <w:p w14:paraId="62662A0D" w14:textId="77777777" w:rsidR="00B24652" w:rsidRPr="00B24652" w:rsidRDefault="00B24652" w:rsidP="00B24652">
            <w:pPr>
              <w:spacing w:line="240" w:lineRule="auto"/>
              <w:rPr>
                <w:color w:val="000000"/>
                <w:sz w:val="22"/>
              </w:rPr>
            </w:pPr>
            <w:r w:rsidRPr="00B24652">
              <w:rPr>
                <w:color w:val="000000"/>
                <w:sz w:val="22"/>
                <w:szCs w:val="22"/>
              </w:rPr>
              <w:t>1,2%</w:t>
            </w:r>
          </w:p>
        </w:tc>
        <w:tc>
          <w:tcPr>
            <w:tcW w:w="2666" w:type="dxa"/>
            <w:tcBorders>
              <w:top w:val="nil"/>
              <w:left w:val="nil"/>
              <w:bottom w:val="single" w:sz="4" w:space="0" w:color="auto"/>
              <w:right w:val="single" w:sz="4" w:space="0" w:color="auto"/>
            </w:tcBorders>
            <w:shd w:val="clear" w:color="auto" w:fill="auto"/>
            <w:noWrap/>
            <w:vAlign w:val="center"/>
            <w:hideMark/>
          </w:tcPr>
          <w:p w14:paraId="04681502" w14:textId="77777777" w:rsidR="00B24652" w:rsidRPr="00B24652" w:rsidRDefault="00B24652" w:rsidP="00B24652">
            <w:pPr>
              <w:spacing w:line="240" w:lineRule="auto"/>
              <w:rPr>
                <w:color w:val="000000"/>
                <w:sz w:val="22"/>
              </w:rPr>
            </w:pPr>
            <w:r w:rsidRPr="00B24652">
              <w:rPr>
                <w:color w:val="000000"/>
                <w:sz w:val="22"/>
                <w:szCs w:val="22"/>
              </w:rPr>
              <w:t>2,5%</w:t>
            </w:r>
          </w:p>
        </w:tc>
      </w:tr>
      <w:tr w:rsidR="00B24652" w:rsidRPr="00B24652" w14:paraId="4F9A0197"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575FDE88" w14:textId="77777777" w:rsidR="00B24652" w:rsidRPr="00B24652" w:rsidRDefault="00B24652" w:rsidP="00B24652">
            <w:pPr>
              <w:spacing w:line="240" w:lineRule="auto"/>
              <w:rPr>
                <w:color w:val="000000"/>
                <w:sz w:val="22"/>
              </w:rPr>
            </w:pPr>
            <w:r w:rsidRPr="00B24652">
              <w:rPr>
                <w:color w:val="000000"/>
                <w:sz w:val="22"/>
                <w:szCs w:val="22"/>
              </w:rPr>
              <w:t>Все дома</w:t>
            </w:r>
          </w:p>
        </w:tc>
        <w:tc>
          <w:tcPr>
            <w:tcW w:w="1451" w:type="dxa"/>
            <w:tcBorders>
              <w:top w:val="nil"/>
              <w:left w:val="nil"/>
              <w:bottom w:val="single" w:sz="4" w:space="0" w:color="auto"/>
              <w:right w:val="single" w:sz="4" w:space="0" w:color="auto"/>
            </w:tcBorders>
            <w:shd w:val="clear" w:color="auto" w:fill="auto"/>
            <w:noWrap/>
            <w:vAlign w:val="center"/>
            <w:hideMark/>
          </w:tcPr>
          <w:p w14:paraId="13E8F5DB" w14:textId="77777777" w:rsidR="00B24652" w:rsidRPr="00B24652" w:rsidRDefault="00B24652" w:rsidP="00B24652">
            <w:pPr>
              <w:spacing w:line="240" w:lineRule="auto"/>
              <w:rPr>
                <w:color w:val="000000"/>
                <w:sz w:val="22"/>
              </w:rPr>
            </w:pPr>
            <w:r w:rsidRPr="00B24652">
              <w:rPr>
                <w:color w:val="000000"/>
                <w:sz w:val="22"/>
                <w:szCs w:val="22"/>
              </w:rPr>
              <w:t>22</w:t>
            </w:r>
          </w:p>
        </w:tc>
        <w:tc>
          <w:tcPr>
            <w:tcW w:w="1923" w:type="dxa"/>
            <w:tcBorders>
              <w:top w:val="nil"/>
              <w:left w:val="nil"/>
              <w:bottom w:val="single" w:sz="4" w:space="0" w:color="auto"/>
              <w:right w:val="single" w:sz="4" w:space="0" w:color="auto"/>
            </w:tcBorders>
            <w:shd w:val="clear" w:color="auto" w:fill="auto"/>
            <w:noWrap/>
            <w:vAlign w:val="center"/>
            <w:hideMark/>
          </w:tcPr>
          <w:p w14:paraId="6B2C7BFE" w14:textId="77777777" w:rsidR="00B24652" w:rsidRPr="00B24652" w:rsidRDefault="00B24652" w:rsidP="00B24652">
            <w:pPr>
              <w:spacing w:line="240" w:lineRule="auto"/>
              <w:rPr>
                <w:color w:val="000000"/>
                <w:sz w:val="22"/>
              </w:rPr>
            </w:pPr>
            <w:r w:rsidRPr="00B24652">
              <w:rPr>
                <w:color w:val="000000"/>
                <w:sz w:val="22"/>
                <w:szCs w:val="22"/>
              </w:rPr>
              <w:t>1,0%</w:t>
            </w:r>
          </w:p>
        </w:tc>
        <w:tc>
          <w:tcPr>
            <w:tcW w:w="2666" w:type="dxa"/>
            <w:tcBorders>
              <w:top w:val="nil"/>
              <w:left w:val="nil"/>
              <w:bottom w:val="single" w:sz="4" w:space="0" w:color="auto"/>
              <w:right w:val="single" w:sz="4" w:space="0" w:color="auto"/>
            </w:tcBorders>
            <w:shd w:val="clear" w:color="auto" w:fill="auto"/>
            <w:noWrap/>
            <w:vAlign w:val="center"/>
            <w:hideMark/>
          </w:tcPr>
          <w:p w14:paraId="249DAA46" w14:textId="77777777" w:rsidR="00B24652" w:rsidRPr="00B24652" w:rsidRDefault="00B24652" w:rsidP="00B24652">
            <w:pPr>
              <w:spacing w:line="240" w:lineRule="auto"/>
              <w:rPr>
                <w:color w:val="000000"/>
                <w:sz w:val="22"/>
              </w:rPr>
            </w:pPr>
            <w:r w:rsidRPr="00B24652">
              <w:rPr>
                <w:color w:val="000000"/>
                <w:sz w:val="22"/>
                <w:szCs w:val="22"/>
              </w:rPr>
              <w:t>2,1%</w:t>
            </w:r>
          </w:p>
        </w:tc>
      </w:tr>
      <w:tr w:rsidR="00B24652" w:rsidRPr="00B24652" w14:paraId="0D3F6F74"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623BE69A" w14:textId="77777777" w:rsidR="00B24652" w:rsidRPr="00B24652" w:rsidRDefault="00B24652" w:rsidP="00B24652">
            <w:pPr>
              <w:spacing w:line="240" w:lineRule="auto"/>
              <w:rPr>
                <w:color w:val="000000"/>
                <w:sz w:val="22"/>
              </w:rPr>
            </w:pPr>
            <w:r w:rsidRPr="00B24652">
              <w:rPr>
                <w:color w:val="000000"/>
                <w:sz w:val="22"/>
                <w:szCs w:val="22"/>
              </w:rPr>
              <w:t>Etlon coffee</w:t>
            </w:r>
          </w:p>
        </w:tc>
        <w:tc>
          <w:tcPr>
            <w:tcW w:w="1451" w:type="dxa"/>
            <w:tcBorders>
              <w:top w:val="nil"/>
              <w:left w:val="nil"/>
              <w:bottom w:val="single" w:sz="4" w:space="0" w:color="auto"/>
              <w:right w:val="single" w:sz="4" w:space="0" w:color="auto"/>
            </w:tcBorders>
            <w:shd w:val="clear" w:color="auto" w:fill="auto"/>
            <w:noWrap/>
            <w:vAlign w:val="center"/>
            <w:hideMark/>
          </w:tcPr>
          <w:p w14:paraId="2F0A9F9A" w14:textId="77777777" w:rsidR="00B24652" w:rsidRPr="00B24652" w:rsidRDefault="00B24652" w:rsidP="00B24652">
            <w:pPr>
              <w:spacing w:line="240" w:lineRule="auto"/>
              <w:rPr>
                <w:color w:val="000000"/>
                <w:sz w:val="22"/>
              </w:rPr>
            </w:pPr>
            <w:r w:rsidRPr="00B24652">
              <w:rPr>
                <w:color w:val="000000"/>
                <w:sz w:val="22"/>
                <w:szCs w:val="22"/>
              </w:rPr>
              <w:t>17</w:t>
            </w:r>
          </w:p>
        </w:tc>
        <w:tc>
          <w:tcPr>
            <w:tcW w:w="1923" w:type="dxa"/>
            <w:tcBorders>
              <w:top w:val="nil"/>
              <w:left w:val="nil"/>
              <w:bottom w:val="single" w:sz="4" w:space="0" w:color="auto"/>
              <w:right w:val="single" w:sz="4" w:space="0" w:color="auto"/>
            </w:tcBorders>
            <w:shd w:val="clear" w:color="auto" w:fill="auto"/>
            <w:noWrap/>
            <w:vAlign w:val="center"/>
            <w:hideMark/>
          </w:tcPr>
          <w:p w14:paraId="4599A1E0" w14:textId="77777777" w:rsidR="00B24652" w:rsidRPr="00B24652" w:rsidRDefault="00B24652" w:rsidP="00B24652">
            <w:pPr>
              <w:spacing w:line="240" w:lineRule="auto"/>
              <w:rPr>
                <w:color w:val="000000"/>
                <w:sz w:val="22"/>
              </w:rPr>
            </w:pPr>
            <w:r w:rsidRPr="00B24652">
              <w:rPr>
                <w:color w:val="000000"/>
                <w:sz w:val="22"/>
                <w:szCs w:val="22"/>
              </w:rPr>
              <w:t>0,8%</w:t>
            </w:r>
          </w:p>
        </w:tc>
        <w:tc>
          <w:tcPr>
            <w:tcW w:w="2666" w:type="dxa"/>
            <w:tcBorders>
              <w:top w:val="nil"/>
              <w:left w:val="nil"/>
              <w:bottom w:val="single" w:sz="4" w:space="0" w:color="auto"/>
              <w:right w:val="single" w:sz="4" w:space="0" w:color="auto"/>
            </w:tcBorders>
            <w:shd w:val="clear" w:color="auto" w:fill="auto"/>
            <w:noWrap/>
            <w:vAlign w:val="center"/>
            <w:hideMark/>
          </w:tcPr>
          <w:p w14:paraId="31E3DA6E" w14:textId="77777777" w:rsidR="00B24652" w:rsidRPr="00B24652" w:rsidRDefault="00B24652" w:rsidP="00B24652">
            <w:pPr>
              <w:spacing w:line="240" w:lineRule="auto"/>
              <w:rPr>
                <w:color w:val="000000"/>
                <w:sz w:val="22"/>
              </w:rPr>
            </w:pPr>
            <w:r w:rsidRPr="00B24652">
              <w:rPr>
                <w:color w:val="000000"/>
                <w:sz w:val="22"/>
                <w:szCs w:val="22"/>
              </w:rPr>
              <w:t>1,6%</w:t>
            </w:r>
          </w:p>
        </w:tc>
      </w:tr>
      <w:tr w:rsidR="00B24652" w:rsidRPr="00B24652" w14:paraId="396D2911"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55A35F2D" w14:textId="77777777" w:rsidR="00B24652" w:rsidRPr="00B24652" w:rsidRDefault="00B24652" w:rsidP="00B24652">
            <w:pPr>
              <w:spacing w:line="240" w:lineRule="auto"/>
              <w:rPr>
                <w:color w:val="000000"/>
                <w:sz w:val="22"/>
              </w:rPr>
            </w:pPr>
            <w:r w:rsidRPr="00B24652">
              <w:rPr>
                <w:color w:val="000000"/>
                <w:sz w:val="22"/>
                <w:szCs w:val="22"/>
              </w:rPr>
              <w:t>One Price Coffee</w:t>
            </w:r>
          </w:p>
        </w:tc>
        <w:tc>
          <w:tcPr>
            <w:tcW w:w="1451" w:type="dxa"/>
            <w:tcBorders>
              <w:top w:val="nil"/>
              <w:left w:val="nil"/>
              <w:bottom w:val="single" w:sz="4" w:space="0" w:color="auto"/>
              <w:right w:val="single" w:sz="4" w:space="0" w:color="auto"/>
            </w:tcBorders>
            <w:shd w:val="clear" w:color="auto" w:fill="auto"/>
            <w:noWrap/>
            <w:vAlign w:val="center"/>
            <w:hideMark/>
          </w:tcPr>
          <w:p w14:paraId="7787175D" w14:textId="77777777" w:rsidR="00B24652" w:rsidRPr="00B24652" w:rsidRDefault="00B24652" w:rsidP="00B24652">
            <w:pPr>
              <w:spacing w:line="240" w:lineRule="auto"/>
              <w:rPr>
                <w:color w:val="000000"/>
                <w:sz w:val="22"/>
              </w:rPr>
            </w:pPr>
            <w:r w:rsidRPr="00B24652">
              <w:rPr>
                <w:color w:val="000000"/>
                <w:sz w:val="22"/>
                <w:szCs w:val="22"/>
              </w:rPr>
              <w:t>16</w:t>
            </w:r>
          </w:p>
        </w:tc>
        <w:tc>
          <w:tcPr>
            <w:tcW w:w="1923" w:type="dxa"/>
            <w:tcBorders>
              <w:top w:val="nil"/>
              <w:left w:val="nil"/>
              <w:bottom w:val="single" w:sz="4" w:space="0" w:color="auto"/>
              <w:right w:val="single" w:sz="4" w:space="0" w:color="auto"/>
            </w:tcBorders>
            <w:shd w:val="clear" w:color="auto" w:fill="auto"/>
            <w:noWrap/>
            <w:vAlign w:val="center"/>
            <w:hideMark/>
          </w:tcPr>
          <w:p w14:paraId="149838B5" w14:textId="77777777" w:rsidR="00B24652" w:rsidRPr="00B24652" w:rsidRDefault="00B24652" w:rsidP="00B24652">
            <w:pPr>
              <w:spacing w:line="240" w:lineRule="auto"/>
              <w:rPr>
                <w:color w:val="000000"/>
                <w:sz w:val="22"/>
              </w:rPr>
            </w:pPr>
            <w:r w:rsidRPr="00B24652">
              <w:rPr>
                <w:color w:val="000000"/>
                <w:sz w:val="22"/>
                <w:szCs w:val="22"/>
              </w:rPr>
              <w:t>0,7%</w:t>
            </w:r>
          </w:p>
        </w:tc>
        <w:tc>
          <w:tcPr>
            <w:tcW w:w="2666" w:type="dxa"/>
            <w:tcBorders>
              <w:top w:val="nil"/>
              <w:left w:val="nil"/>
              <w:bottom w:val="single" w:sz="4" w:space="0" w:color="auto"/>
              <w:right w:val="single" w:sz="4" w:space="0" w:color="auto"/>
            </w:tcBorders>
            <w:shd w:val="clear" w:color="auto" w:fill="auto"/>
            <w:noWrap/>
            <w:vAlign w:val="center"/>
            <w:hideMark/>
          </w:tcPr>
          <w:p w14:paraId="2EC43D37" w14:textId="77777777" w:rsidR="00B24652" w:rsidRPr="00B24652" w:rsidRDefault="00B24652" w:rsidP="00B24652">
            <w:pPr>
              <w:spacing w:line="240" w:lineRule="auto"/>
              <w:rPr>
                <w:color w:val="000000"/>
                <w:sz w:val="22"/>
              </w:rPr>
            </w:pPr>
            <w:r w:rsidRPr="00B24652">
              <w:rPr>
                <w:color w:val="000000"/>
                <w:sz w:val="22"/>
                <w:szCs w:val="22"/>
              </w:rPr>
              <w:t>1,5%</w:t>
            </w:r>
          </w:p>
        </w:tc>
      </w:tr>
      <w:tr w:rsidR="00B24652" w:rsidRPr="00B24652" w14:paraId="7D393605"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2BCD52F5" w14:textId="77777777" w:rsidR="00B24652" w:rsidRPr="00B24652" w:rsidRDefault="00B24652" w:rsidP="00B24652">
            <w:pPr>
              <w:spacing w:line="240" w:lineRule="auto"/>
              <w:rPr>
                <w:color w:val="000000"/>
                <w:sz w:val="22"/>
              </w:rPr>
            </w:pPr>
            <w:r w:rsidRPr="00B24652">
              <w:rPr>
                <w:color w:val="000000"/>
                <w:sz w:val="22"/>
                <w:szCs w:val="22"/>
              </w:rPr>
              <w:t>Starbucks</w:t>
            </w:r>
          </w:p>
        </w:tc>
        <w:tc>
          <w:tcPr>
            <w:tcW w:w="1451" w:type="dxa"/>
            <w:tcBorders>
              <w:top w:val="nil"/>
              <w:left w:val="nil"/>
              <w:bottom w:val="single" w:sz="4" w:space="0" w:color="auto"/>
              <w:right w:val="single" w:sz="4" w:space="0" w:color="auto"/>
            </w:tcBorders>
            <w:shd w:val="clear" w:color="auto" w:fill="auto"/>
            <w:noWrap/>
            <w:vAlign w:val="center"/>
            <w:hideMark/>
          </w:tcPr>
          <w:p w14:paraId="7EF45C6A" w14:textId="77777777" w:rsidR="00B24652" w:rsidRPr="00B24652" w:rsidRDefault="00B24652" w:rsidP="00B24652">
            <w:pPr>
              <w:spacing w:line="240" w:lineRule="auto"/>
              <w:rPr>
                <w:color w:val="000000"/>
                <w:sz w:val="22"/>
              </w:rPr>
            </w:pPr>
            <w:r w:rsidRPr="00B24652">
              <w:rPr>
                <w:color w:val="000000"/>
                <w:sz w:val="22"/>
                <w:szCs w:val="22"/>
              </w:rPr>
              <w:t>15</w:t>
            </w:r>
          </w:p>
        </w:tc>
        <w:tc>
          <w:tcPr>
            <w:tcW w:w="1923" w:type="dxa"/>
            <w:tcBorders>
              <w:top w:val="nil"/>
              <w:left w:val="nil"/>
              <w:bottom w:val="single" w:sz="4" w:space="0" w:color="auto"/>
              <w:right w:val="single" w:sz="4" w:space="0" w:color="auto"/>
            </w:tcBorders>
            <w:shd w:val="clear" w:color="auto" w:fill="auto"/>
            <w:noWrap/>
            <w:vAlign w:val="center"/>
            <w:hideMark/>
          </w:tcPr>
          <w:p w14:paraId="7F8A3F6C" w14:textId="77777777" w:rsidR="00B24652" w:rsidRPr="00B24652" w:rsidRDefault="00B24652" w:rsidP="00B24652">
            <w:pPr>
              <w:spacing w:line="240" w:lineRule="auto"/>
              <w:rPr>
                <w:color w:val="000000"/>
                <w:sz w:val="22"/>
              </w:rPr>
            </w:pPr>
            <w:r w:rsidRPr="00B24652">
              <w:rPr>
                <w:color w:val="000000"/>
                <w:sz w:val="22"/>
                <w:szCs w:val="22"/>
              </w:rPr>
              <w:t>0,7%</w:t>
            </w:r>
          </w:p>
        </w:tc>
        <w:tc>
          <w:tcPr>
            <w:tcW w:w="2666" w:type="dxa"/>
            <w:tcBorders>
              <w:top w:val="nil"/>
              <w:left w:val="nil"/>
              <w:bottom w:val="single" w:sz="4" w:space="0" w:color="auto"/>
              <w:right w:val="single" w:sz="4" w:space="0" w:color="auto"/>
            </w:tcBorders>
            <w:shd w:val="clear" w:color="auto" w:fill="auto"/>
            <w:noWrap/>
            <w:vAlign w:val="center"/>
            <w:hideMark/>
          </w:tcPr>
          <w:p w14:paraId="75B0083E" w14:textId="77777777" w:rsidR="00B24652" w:rsidRPr="00B24652" w:rsidRDefault="00B24652" w:rsidP="00B24652">
            <w:pPr>
              <w:spacing w:line="240" w:lineRule="auto"/>
              <w:rPr>
                <w:color w:val="000000"/>
                <w:sz w:val="22"/>
              </w:rPr>
            </w:pPr>
            <w:r w:rsidRPr="00B24652">
              <w:rPr>
                <w:color w:val="000000"/>
                <w:sz w:val="22"/>
                <w:szCs w:val="22"/>
              </w:rPr>
              <w:t>1,4%</w:t>
            </w:r>
          </w:p>
        </w:tc>
      </w:tr>
      <w:tr w:rsidR="00B24652" w:rsidRPr="00B24652" w14:paraId="7C7D2ABA"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16DA55A1" w14:textId="77777777" w:rsidR="00B24652" w:rsidRPr="00B24652" w:rsidRDefault="00B24652" w:rsidP="00B24652">
            <w:pPr>
              <w:spacing w:line="240" w:lineRule="auto"/>
              <w:rPr>
                <w:color w:val="000000"/>
                <w:sz w:val="22"/>
              </w:rPr>
            </w:pPr>
            <w:r w:rsidRPr="00B24652">
              <w:rPr>
                <w:color w:val="000000"/>
                <w:sz w:val="22"/>
                <w:szCs w:val="22"/>
              </w:rPr>
              <w:t>Cofix</w:t>
            </w:r>
          </w:p>
        </w:tc>
        <w:tc>
          <w:tcPr>
            <w:tcW w:w="1451" w:type="dxa"/>
            <w:tcBorders>
              <w:top w:val="nil"/>
              <w:left w:val="nil"/>
              <w:bottom w:val="single" w:sz="4" w:space="0" w:color="auto"/>
              <w:right w:val="single" w:sz="4" w:space="0" w:color="auto"/>
            </w:tcBorders>
            <w:shd w:val="clear" w:color="auto" w:fill="auto"/>
            <w:noWrap/>
            <w:vAlign w:val="center"/>
            <w:hideMark/>
          </w:tcPr>
          <w:p w14:paraId="5113C60C" w14:textId="77777777" w:rsidR="00B24652" w:rsidRPr="00B24652" w:rsidRDefault="00B24652" w:rsidP="00B24652">
            <w:pPr>
              <w:spacing w:line="240" w:lineRule="auto"/>
              <w:rPr>
                <w:color w:val="000000"/>
                <w:sz w:val="22"/>
              </w:rPr>
            </w:pPr>
            <w:r w:rsidRPr="00B24652">
              <w:rPr>
                <w:color w:val="000000"/>
                <w:sz w:val="22"/>
                <w:szCs w:val="22"/>
              </w:rPr>
              <w:t>15</w:t>
            </w:r>
          </w:p>
        </w:tc>
        <w:tc>
          <w:tcPr>
            <w:tcW w:w="1923" w:type="dxa"/>
            <w:tcBorders>
              <w:top w:val="nil"/>
              <w:left w:val="nil"/>
              <w:bottom w:val="single" w:sz="4" w:space="0" w:color="auto"/>
              <w:right w:val="single" w:sz="4" w:space="0" w:color="auto"/>
            </w:tcBorders>
            <w:shd w:val="clear" w:color="auto" w:fill="auto"/>
            <w:noWrap/>
            <w:vAlign w:val="center"/>
            <w:hideMark/>
          </w:tcPr>
          <w:p w14:paraId="7EA19BEA" w14:textId="77777777" w:rsidR="00B24652" w:rsidRPr="00B24652" w:rsidRDefault="00B24652" w:rsidP="00B24652">
            <w:pPr>
              <w:spacing w:line="240" w:lineRule="auto"/>
              <w:rPr>
                <w:color w:val="000000"/>
                <w:sz w:val="22"/>
              </w:rPr>
            </w:pPr>
            <w:r w:rsidRPr="00B24652">
              <w:rPr>
                <w:color w:val="000000"/>
                <w:sz w:val="22"/>
                <w:szCs w:val="22"/>
              </w:rPr>
              <w:t>0,7%</w:t>
            </w:r>
          </w:p>
        </w:tc>
        <w:tc>
          <w:tcPr>
            <w:tcW w:w="2666" w:type="dxa"/>
            <w:tcBorders>
              <w:top w:val="nil"/>
              <w:left w:val="nil"/>
              <w:bottom w:val="single" w:sz="4" w:space="0" w:color="auto"/>
              <w:right w:val="single" w:sz="4" w:space="0" w:color="auto"/>
            </w:tcBorders>
            <w:shd w:val="clear" w:color="auto" w:fill="auto"/>
            <w:noWrap/>
            <w:vAlign w:val="center"/>
            <w:hideMark/>
          </w:tcPr>
          <w:p w14:paraId="18E74CE2" w14:textId="77777777" w:rsidR="00B24652" w:rsidRPr="00B24652" w:rsidRDefault="00B24652" w:rsidP="00B24652">
            <w:pPr>
              <w:spacing w:line="240" w:lineRule="auto"/>
              <w:rPr>
                <w:color w:val="000000"/>
                <w:sz w:val="22"/>
              </w:rPr>
            </w:pPr>
            <w:r w:rsidRPr="00B24652">
              <w:rPr>
                <w:color w:val="000000"/>
                <w:sz w:val="22"/>
                <w:szCs w:val="22"/>
              </w:rPr>
              <w:t>1,4%</w:t>
            </w:r>
          </w:p>
        </w:tc>
      </w:tr>
      <w:tr w:rsidR="00B24652" w:rsidRPr="00B24652" w14:paraId="5A21E893"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68DD1D5A" w14:textId="77777777" w:rsidR="00B24652" w:rsidRPr="00B24652" w:rsidRDefault="00B24652" w:rsidP="00B24652">
            <w:pPr>
              <w:spacing w:line="240" w:lineRule="auto"/>
              <w:rPr>
                <w:color w:val="000000"/>
                <w:sz w:val="22"/>
              </w:rPr>
            </w:pPr>
            <w:r w:rsidRPr="00B24652">
              <w:rPr>
                <w:color w:val="000000"/>
                <w:sz w:val="22"/>
                <w:szCs w:val="22"/>
              </w:rPr>
              <w:t>Coffeeshop Company</w:t>
            </w:r>
          </w:p>
        </w:tc>
        <w:tc>
          <w:tcPr>
            <w:tcW w:w="1451" w:type="dxa"/>
            <w:tcBorders>
              <w:top w:val="nil"/>
              <w:left w:val="nil"/>
              <w:bottom w:val="single" w:sz="4" w:space="0" w:color="auto"/>
              <w:right w:val="single" w:sz="4" w:space="0" w:color="auto"/>
            </w:tcBorders>
            <w:shd w:val="clear" w:color="auto" w:fill="auto"/>
            <w:noWrap/>
            <w:vAlign w:val="center"/>
            <w:hideMark/>
          </w:tcPr>
          <w:p w14:paraId="05BBE23C" w14:textId="77777777" w:rsidR="00B24652" w:rsidRPr="00B24652" w:rsidRDefault="00B24652" w:rsidP="00B24652">
            <w:pPr>
              <w:spacing w:line="240" w:lineRule="auto"/>
              <w:rPr>
                <w:color w:val="000000"/>
                <w:sz w:val="22"/>
              </w:rPr>
            </w:pPr>
            <w:r w:rsidRPr="00B24652">
              <w:rPr>
                <w:color w:val="000000"/>
                <w:sz w:val="22"/>
                <w:szCs w:val="22"/>
              </w:rPr>
              <w:t>14</w:t>
            </w:r>
          </w:p>
        </w:tc>
        <w:tc>
          <w:tcPr>
            <w:tcW w:w="1923" w:type="dxa"/>
            <w:tcBorders>
              <w:top w:val="nil"/>
              <w:left w:val="nil"/>
              <w:bottom w:val="single" w:sz="4" w:space="0" w:color="auto"/>
              <w:right w:val="single" w:sz="4" w:space="0" w:color="auto"/>
            </w:tcBorders>
            <w:shd w:val="clear" w:color="auto" w:fill="auto"/>
            <w:noWrap/>
            <w:vAlign w:val="center"/>
            <w:hideMark/>
          </w:tcPr>
          <w:p w14:paraId="13E2D7CA" w14:textId="77777777" w:rsidR="00B24652" w:rsidRPr="00B24652" w:rsidRDefault="00B24652" w:rsidP="00B24652">
            <w:pPr>
              <w:spacing w:line="240" w:lineRule="auto"/>
              <w:rPr>
                <w:color w:val="000000"/>
                <w:sz w:val="22"/>
              </w:rPr>
            </w:pPr>
            <w:r w:rsidRPr="00B24652">
              <w:rPr>
                <w:color w:val="000000"/>
                <w:sz w:val="22"/>
                <w:szCs w:val="22"/>
              </w:rPr>
              <w:t>0,7%</w:t>
            </w:r>
          </w:p>
        </w:tc>
        <w:tc>
          <w:tcPr>
            <w:tcW w:w="2666" w:type="dxa"/>
            <w:tcBorders>
              <w:top w:val="nil"/>
              <w:left w:val="nil"/>
              <w:bottom w:val="single" w:sz="4" w:space="0" w:color="auto"/>
              <w:right w:val="single" w:sz="4" w:space="0" w:color="auto"/>
            </w:tcBorders>
            <w:shd w:val="clear" w:color="auto" w:fill="auto"/>
            <w:noWrap/>
            <w:vAlign w:val="center"/>
            <w:hideMark/>
          </w:tcPr>
          <w:p w14:paraId="007D1882" w14:textId="77777777" w:rsidR="00B24652" w:rsidRPr="00B24652" w:rsidRDefault="00B24652" w:rsidP="00B24652">
            <w:pPr>
              <w:spacing w:line="240" w:lineRule="auto"/>
              <w:rPr>
                <w:color w:val="000000"/>
                <w:sz w:val="22"/>
              </w:rPr>
            </w:pPr>
            <w:r w:rsidRPr="00B24652">
              <w:rPr>
                <w:color w:val="000000"/>
                <w:sz w:val="22"/>
                <w:szCs w:val="22"/>
              </w:rPr>
              <w:t>1,3%</w:t>
            </w:r>
          </w:p>
        </w:tc>
      </w:tr>
      <w:tr w:rsidR="00B24652" w:rsidRPr="00B24652" w14:paraId="411B3168"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61E435D4" w14:textId="77777777" w:rsidR="00B24652" w:rsidRPr="00B24652" w:rsidRDefault="00B24652" w:rsidP="00B24652">
            <w:pPr>
              <w:spacing w:line="240" w:lineRule="auto"/>
              <w:rPr>
                <w:color w:val="000000"/>
                <w:sz w:val="22"/>
              </w:rPr>
            </w:pPr>
            <w:r w:rsidRPr="00B24652">
              <w:rPr>
                <w:color w:val="000000"/>
                <w:sz w:val="22"/>
                <w:szCs w:val="22"/>
              </w:rPr>
              <w:t>UPPETIT</w:t>
            </w:r>
          </w:p>
        </w:tc>
        <w:tc>
          <w:tcPr>
            <w:tcW w:w="1451" w:type="dxa"/>
            <w:tcBorders>
              <w:top w:val="nil"/>
              <w:left w:val="nil"/>
              <w:bottom w:val="single" w:sz="4" w:space="0" w:color="auto"/>
              <w:right w:val="single" w:sz="4" w:space="0" w:color="auto"/>
            </w:tcBorders>
            <w:shd w:val="clear" w:color="auto" w:fill="auto"/>
            <w:noWrap/>
            <w:vAlign w:val="center"/>
            <w:hideMark/>
          </w:tcPr>
          <w:p w14:paraId="0AF1F6F0" w14:textId="77777777" w:rsidR="00B24652" w:rsidRPr="00B24652" w:rsidRDefault="00B24652" w:rsidP="00B24652">
            <w:pPr>
              <w:spacing w:line="240" w:lineRule="auto"/>
              <w:rPr>
                <w:color w:val="000000"/>
                <w:sz w:val="22"/>
              </w:rPr>
            </w:pPr>
            <w:r w:rsidRPr="00B24652">
              <w:rPr>
                <w:color w:val="000000"/>
                <w:sz w:val="22"/>
                <w:szCs w:val="22"/>
              </w:rPr>
              <w:t>14</w:t>
            </w:r>
          </w:p>
        </w:tc>
        <w:tc>
          <w:tcPr>
            <w:tcW w:w="1923" w:type="dxa"/>
            <w:tcBorders>
              <w:top w:val="nil"/>
              <w:left w:val="nil"/>
              <w:bottom w:val="single" w:sz="4" w:space="0" w:color="auto"/>
              <w:right w:val="single" w:sz="4" w:space="0" w:color="auto"/>
            </w:tcBorders>
            <w:shd w:val="clear" w:color="auto" w:fill="auto"/>
            <w:noWrap/>
            <w:vAlign w:val="center"/>
            <w:hideMark/>
          </w:tcPr>
          <w:p w14:paraId="7F9AFE65" w14:textId="77777777" w:rsidR="00B24652" w:rsidRPr="00B24652" w:rsidRDefault="00B24652" w:rsidP="00B24652">
            <w:pPr>
              <w:spacing w:line="240" w:lineRule="auto"/>
              <w:rPr>
                <w:color w:val="000000"/>
                <w:sz w:val="22"/>
              </w:rPr>
            </w:pPr>
            <w:r w:rsidRPr="00B24652">
              <w:rPr>
                <w:color w:val="000000"/>
                <w:sz w:val="22"/>
                <w:szCs w:val="22"/>
              </w:rPr>
              <w:t>0,7%</w:t>
            </w:r>
          </w:p>
        </w:tc>
        <w:tc>
          <w:tcPr>
            <w:tcW w:w="2666" w:type="dxa"/>
            <w:tcBorders>
              <w:top w:val="nil"/>
              <w:left w:val="nil"/>
              <w:bottom w:val="single" w:sz="4" w:space="0" w:color="auto"/>
              <w:right w:val="single" w:sz="4" w:space="0" w:color="auto"/>
            </w:tcBorders>
            <w:shd w:val="clear" w:color="auto" w:fill="auto"/>
            <w:noWrap/>
            <w:vAlign w:val="center"/>
            <w:hideMark/>
          </w:tcPr>
          <w:p w14:paraId="781E6525" w14:textId="77777777" w:rsidR="00B24652" w:rsidRPr="00B24652" w:rsidRDefault="00B24652" w:rsidP="00B24652">
            <w:pPr>
              <w:spacing w:line="240" w:lineRule="auto"/>
              <w:rPr>
                <w:color w:val="000000"/>
                <w:sz w:val="22"/>
              </w:rPr>
            </w:pPr>
            <w:r w:rsidRPr="00B24652">
              <w:rPr>
                <w:color w:val="000000"/>
                <w:sz w:val="22"/>
                <w:szCs w:val="22"/>
              </w:rPr>
              <w:t>1,3%</w:t>
            </w:r>
          </w:p>
        </w:tc>
      </w:tr>
      <w:tr w:rsidR="00B24652" w:rsidRPr="00B24652" w14:paraId="5BFAC908"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4B432B16" w14:textId="77777777" w:rsidR="00B24652" w:rsidRPr="00B24652" w:rsidRDefault="00B24652" w:rsidP="00B24652">
            <w:pPr>
              <w:spacing w:line="240" w:lineRule="auto"/>
              <w:rPr>
                <w:color w:val="000000"/>
                <w:sz w:val="22"/>
              </w:rPr>
            </w:pPr>
            <w:r w:rsidRPr="00B24652">
              <w:rPr>
                <w:color w:val="000000"/>
                <w:sz w:val="22"/>
                <w:szCs w:val="22"/>
              </w:rPr>
              <w:t>Coffee like</w:t>
            </w:r>
          </w:p>
        </w:tc>
        <w:tc>
          <w:tcPr>
            <w:tcW w:w="1451" w:type="dxa"/>
            <w:tcBorders>
              <w:top w:val="nil"/>
              <w:left w:val="nil"/>
              <w:bottom w:val="single" w:sz="4" w:space="0" w:color="auto"/>
              <w:right w:val="single" w:sz="4" w:space="0" w:color="auto"/>
            </w:tcBorders>
            <w:shd w:val="clear" w:color="auto" w:fill="auto"/>
            <w:noWrap/>
            <w:vAlign w:val="center"/>
            <w:hideMark/>
          </w:tcPr>
          <w:p w14:paraId="6AD8CFB2" w14:textId="77777777" w:rsidR="00B24652" w:rsidRPr="00B24652" w:rsidRDefault="00B24652" w:rsidP="00B24652">
            <w:pPr>
              <w:spacing w:line="240" w:lineRule="auto"/>
              <w:rPr>
                <w:color w:val="000000"/>
                <w:sz w:val="22"/>
              </w:rPr>
            </w:pPr>
            <w:r w:rsidRPr="00B24652">
              <w:rPr>
                <w:color w:val="000000"/>
                <w:sz w:val="22"/>
                <w:szCs w:val="22"/>
              </w:rPr>
              <w:t>10</w:t>
            </w:r>
          </w:p>
        </w:tc>
        <w:tc>
          <w:tcPr>
            <w:tcW w:w="1923" w:type="dxa"/>
            <w:tcBorders>
              <w:top w:val="nil"/>
              <w:left w:val="nil"/>
              <w:bottom w:val="single" w:sz="4" w:space="0" w:color="auto"/>
              <w:right w:val="single" w:sz="4" w:space="0" w:color="auto"/>
            </w:tcBorders>
            <w:shd w:val="clear" w:color="auto" w:fill="auto"/>
            <w:noWrap/>
            <w:vAlign w:val="center"/>
            <w:hideMark/>
          </w:tcPr>
          <w:p w14:paraId="1AA4BE4D" w14:textId="77777777" w:rsidR="00B24652" w:rsidRPr="00B24652" w:rsidRDefault="00B24652" w:rsidP="00B24652">
            <w:pPr>
              <w:spacing w:line="240" w:lineRule="auto"/>
              <w:rPr>
                <w:color w:val="000000"/>
                <w:sz w:val="22"/>
              </w:rPr>
            </w:pPr>
            <w:r w:rsidRPr="00B24652">
              <w:rPr>
                <w:color w:val="000000"/>
                <w:sz w:val="22"/>
                <w:szCs w:val="22"/>
              </w:rPr>
              <w:t>0,5%</w:t>
            </w:r>
          </w:p>
        </w:tc>
        <w:tc>
          <w:tcPr>
            <w:tcW w:w="2666" w:type="dxa"/>
            <w:tcBorders>
              <w:top w:val="nil"/>
              <w:left w:val="nil"/>
              <w:bottom w:val="single" w:sz="4" w:space="0" w:color="auto"/>
              <w:right w:val="single" w:sz="4" w:space="0" w:color="auto"/>
            </w:tcBorders>
            <w:shd w:val="clear" w:color="auto" w:fill="auto"/>
            <w:noWrap/>
            <w:vAlign w:val="center"/>
            <w:hideMark/>
          </w:tcPr>
          <w:p w14:paraId="3D255355" w14:textId="77777777" w:rsidR="00B24652" w:rsidRPr="00B24652" w:rsidRDefault="00B24652" w:rsidP="00B24652">
            <w:pPr>
              <w:spacing w:line="240" w:lineRule="auto"/>
              <w:rPr>
                <w:color w:val="000000"/>
                <w:sz w:val="22"/>
              </w:rPr>
            </w:pPr>
            <w:r w:rsidRPr="00B24652">
              <w:rPr>
                <w:color w:val="000000"/>
                <w:sz w:val="22"/>
                <w:szCs w:val="22"/>
              </w:rPr>
              <w:t>1,0%</w:t>
            </w:r>
          </w:p>
        </w:tc>
      </w:tr>
      <w:tr w:rsidR="00B24652" w:rsidRPr="00B24652" w14:paraId="07322F60"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3EFF19FD" w14:textId="77777777" w:rsidR="00B24652" w:rsidRPr="00B24652" w:rsidRDefault="00B24652" w:rsidP="00B24652">
            <w:pPr>
              <w:spacing w:line="240" w:lineRule="auto"/>
              <w:rPr>
                <w:color w:val="000000"/>
                <w:sz w:val="22"/>
              </w:rPr>
            </w:pPr>
            <w:r w:rsidRPr="00B24652">
              <w:rPr>
                <w:color w:val="000000"/>
                <w:sz w:val="22"/>
                <w:szCs w:val="22"/>
              </w:rPr>
              <w:t>Шоколадница</w:t>
            </w:r>
          </w:p>
        </w:tc>
        <w:tc>
          <w:tcPr>
            <w:tcW w:w="1451" w:type="dxa"/>
            <w:tcBorders>
              <w:top w:val="nil"/>
              <w:left w:val="nil"/>
              <w:bottom w:val="single" w:sz="4" w:space="0" w:color="auto"/>
              <w:right w:val="single" w:sz="4" w:space="0" w:color="auto"/>
            </w:tcBorders>
            <w:shd w:val="clear" w:color="auto" w:fill="auto"/>
            <w:noWrap/>
            <w:vAlign w:val="center"/>
            <w:hideMark/>
          </w:tcPr>
          <w:p w14:paraId="5B94CFD5" w14:textId="77777777" w:rsidR="00B24652" w:rsidRPr="00B24652" w:rsidRDefault="00B24652" w:rsidP="00B24652">
            <w:pPr>
              <w:spacing w:line="240" w:lineRule="auto"/>
              <w:rPr>
                <w:color w:val="000000"/>
                <w:sz w:val="22"/>
              </w:rPr>
            </w:pPr>
            <w:r w:rsidRPr="00B24652">
              <w:rPr>
                <w:color w:val="000000"/>
                <w:sz w:val="22"/>
                <w:szCs w:val="22"/>
              </w:rPr>
              <w:t>10</w:t>
            </w:r>
          </w:p>
        </w:tc>
        <w:tc>
          <w:tcPr>
            <w:tcW w:w="1923" w:type="dxa"/>
            <w:tcBorders>
              <w:top w:val="nil"/>
              <w:left w:val="nil"/>
              <w:bottom w:val="single" w:sz="4" w:space="0" w:color="auto"/>
              <w:right w:val="single" w:sz="4" w:space="0" w:color="auto"/>
            </w:tcBorders>
            <w:shd w:val="clear" w:color="auto" w:fill="auto"/>
            <w:noWrap/>
            <w:vAlign w:val="center"/>
            <w:hideMark/>
          </w:tcPr>
          <w:p w14:paraId="76F5FECF" w14:textId="77777777" w:rsidR="00B24652" w:rsidRPr="00B24652" w:rsidRDefault="00B24652" w:rsidP="00B24652">
            <w:pPr>
              <w:spacing w:line="240" w:lineRule="auto"/>
              <w:rPr>
                <w:color w:val="000000"/>
                <w:sz w:val="22"/>
              </w:rPr>
            </w:pPr>
            <w:r w:rsidRPr="00B24652">
              <w:rPr>
                <w:color w:val="000000"/>
                <w:sz w:val="22"/>
                <w:szCs w:val="22"/>
              </w:rPr>
              <w:t>0,5%</w:t>
            </w:r>
          </w:p>
        </w:tc>
        <w:tc>
          <w:tcPr>
            <w:tcW w:w="2666" w:type="dxa"/>
            <w:tcBorders>
              <w:top w:val="nil"/>
              <w:left w:val="nil"/>
              <w:bottom w:val="single" w:sz="4" w:space="0" w:color="auto"/>
              <w:right w:val="single" w:sz="4" w:space="0" w:color="auto"/>
            </w:tcBorders>
            <w:shd w:val="clear" w:color="auto" w:fill="auto"/>
            <w:noWrap/>
            <w:vAlign w:val="center"/>
            <w:hideMark/>
          </w:tcPr>
          <w:p w14:paraId="563D42A2" w14:textId="77777777" w:rsidR="00B24652" w:rsidRPr="00B24652" w:rsidRDefault="00B24652" w:rsidP="00B24652">
            <w:pPr>
              <w:spacing w:line="240" w:lineRule="auto"/>
              <w:rPr>
                <w:color w:val="000000"/>
                <w:sz w:val="22"/>
              </w:rPr>
            </w:pPr>
            <w:r w:rsidRPr="00B24652">
              <w:rPr>
                <w:color w:val="000000"/>
                <w:sz w:val="22"/>
                <w:szCs w:val="22"/>
              </w:rPr>
              <w:t>1,0%</w:t>
            </w:r>
          </w:p>
        </w:tc>
      </w:tr>
      <w:tr w:rsidR="00B24652" w:rsidRPr="00B24652" w14:paraId="75E6C91E"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2B502648" w14:textId="77777777" w:rsidR="00B24652" w:rsidRPr="00B24652" w:rsidRDefault="00B24652" w:rsidP="00B24652">
            <w:pPr>
              <w:spacing w:line="240" w:lineRule="auto"/>
              <w:rPr>
                <w:color w:val="000000"/>
                <w:sz w:val="22"/>
              </w:rPr>
            </w:pPr>
            <w:r w:rsidRPr="00B24652">
              <w:rPr>
                <w:color w:val="000000"/>
                <w:sz w:val="22"/>
                <w:szCs w:val="22"/>
              </w:rPr>
              <w:t>Городские кондитерские №1</w:t>
            </w:r>
          </w:p>
        </w:tc>
        <w:tc>
          <w:tcPr>
            <w:tcW w:w="1451" w:type="dxa"/>
            <w:tcBorders>
              <w:top w:val="nil"/>
              <w:left w:val="nil"/>
              <w:bottom w:val="single" w:sz="4" w:space="0" w:color="auto"/>
              <w:right w:val="single" w:sz="4" w:space="0" w:color="auto"/>
            </w:tcBorders>
            <w:shd w:val="clear" w:color="auto" w:fill="auto"/>
            <w:noWrap/>
            <w:vAlign w:val="center"/>
            <w:hideMark/>
          </w:tcPr>
          <w:p w14:paraId="3CD958AC" w14:textId="77777777" w:rsidR="00B24652" w:rsidRPr="00B24652" w:rsidRDefault="00B24652" w:rsidP="00B24652">
            <w:pPr>
              <w:spacing w:line="240" w:lineRule="auto"/>
              <w:rPr>
                <w:color w:val="000000"/>
                <w:sz w:val="22"/>
              </w:rPr>
            </w:pPr>
            <w:r w:rsidRPr="00B24652">
              <w:rPr>
                <w:color w:val="000000"/>
                <w:sz w:val="22"/>
                <w:szCs w:val="22"/>
              </w:rPr>
              <w:t>10</w:t>
            </w:r>
          </w:p>
        </w:tc>
        <w:tc>
          <w:tcPr>
            <w:tcW w:w="1923" w:type="dxa"/>
            <w:tcBorders>
              <w:top w:val="nil"/>
              <w:left w:val="nil"/>
              <w:bottom w:val="single" w:sz="4" w:space="0" w:color="auto"/>
              <w:right w:val="single" w:sz="4" w:space="0" w:color="auto"/>
            </w:tcBorders>
            <w:shd w:val="clear" w:color="auto" w:fill="auto"/>
            <w:noWrap/>
            <w:vAlign w:val="center"/>
            <w:hideMark/>
          </w:tcPr>
          <w:p w14:paraId="792B8104" w14:textId="77777777" w:rsidR="00B24652" w:rsidRPr="00B24652" w:rsidRDefault="00B24652" w:rsidP="00B24652">
            <w:pPr>
              <w:spacing w:line="240" w:lineRule="auto"/>
              <w:rPr>
                <w:color w:val="000000"/>
                <w:sz w:val="22"/>
              </w:rPr>
            </w:pPr>
            <w:r w:rsidRPr="00B24652">
              <w:rPr>
                <w:color w:val="000000"/>
                <w:sz w:val="22"/>
                <w:szCs w:val="22"/>
              </w:rPr>
              <w:t>0,5%</w:t>
            </w:r>
          </w:p>
        </w:tc>
        <w:tc>
          <w:tcPr>
            <w:tcW w:w="2666" w:type="dxa"/>
            <w:tcBorders>
              <w:top w:val="nil"/>
              <w:left w:val="nil"/>
              <w:bottom w:val="single" w:sz="4" w:space="0" w:color="auto"/>
              <w:right w:val="single" w:sz="4" w:space="0" w:color="auto"/>
            </w:tcBorders>
            <w:shd w:val="clear" w:color="auto" w:fill="auto"/>
            <w:noWrap/>
            <w:vAlign w:val="center"/>
            <w:hideMark/>
          </w:tcPr>
          <w:p w14:paraId="1501820C" w14:textId="77777777" w:rsidR="00B24652" w:rsidRPr="00B24652" w:rsidRDefault="00B24652" w:rsidP="00B24652">
            <w:pPr>
              <w:spacing w:line="240" w:lineRule="auto"/>
              <w:rPr>
                <w:color w:val="000000"/>
                <w:sz w:val="22"/>
              </w:rPr>
            </w:pPr>
            <w:r w:rsidRPr="00B24652">
              <w:rPr>
                <w:color w:val="000000"/>
                <w:sz w:val="22"/>
                <w:szCs w:val="22"/>
              </w:rPr>
              <w:t>1,0%</w:t>
            </w:r>
          </w:p>
        </w:tc>
      </w:tr>
      <w:tr w:rsidR="00B24652" w:rsidRPr="00B24652" w14:paraId="51FED92F" w14:textId="77777777" w:rsidTr="00BA1E3E">
        <w:trPr>
          <w:trHeight w:val="270"/>
        </w:trPr>
        <w:tc>
          <w:tcPr>
            <w:tcW w:w="3555" w:type="dxa"/>
            <w:tcBorders>
              <w:top w:val="nil"/>
              <w:left w:val="single" w:sz="4" w:space="0" w:color="auto"/>
              <w:bottom w:val="single" w:sz="4" w:space="0" w:color="auto"/>
              <w:right w:val="single" w:sz="4" w:space="0" w:color="auto"/>
            </w:tcBorders>
            <w:shd w:val="clear" w:color="auto" w:fill="auto"/>
            <w:noWrap/>
            <w:vAlign w:val="center"/>
            <w:hideMark/>
          </w:tcPr>
          <w:p w14:paraId="31BE7E08" w14:textId="77777777" w:rsidR="00B24652" w:rsidRPr="00B24652" w:rsidRDefault="00B24652" w:rsidP="00B24652">
            <w:pPr>
              <w:spacing w:line="240" w:lineRule="auto"/>
              <w:rPr>
                <w:color w:val="000000"/>
                <w:sz w:val="22"/>
              </w:rPr>
            </w:pPr>
            <w:r w:rsidRPr="00B24652">
              <w:rPr>
                <w:color w:val="000000"/>
                <w:sz w:val="22"/>
                <w:szCs w:val="22"/>
              </w:rPr>
              <w:t>Сёстры</w:t>
            </w:r>
          </w:p>
        </w:tc>
        <w:tc>
          <w:tcPr>
            <w:tcW w:w="1451" w:type="dxa"/>
            <w:tcBorders>
              <w:top w:val="nil"/>
              <w:left w:val="nil"/>
              <w:bottom w:val="single" w:sz="4" w:space="0" w:color="auto"/>
              <w:right w:val="single" w:sz="4" w:space="0" w:color="auto"/>
            </w:tcBorders>
            <w:shd w:val="clear" w:color="auto" w:fill="auto"/>
            <w:noWrap/>
            <w:vAlign w:val="center"/>
            <w:hideMark/>
          </w:tcPr>
          <w:p w14:paraId="73F5D5BD" w14:textId="77777777" w:rsidR="00B24652" w:rsidRPr="00B24652" w:rsidRDefault="00B24652" w:rsidP="00B24652">
            <w:pPr>
              <w:spacing w:line="240" w:lineRule="auto"/>
              <w:rPr>
                <w:color w:val="000000"/>
                <w:sz w:val="22"/>
              </w:rPr>
            </w:pPr>
            <w:r w:rsidRPr="00B24652">
              <w:rPr>
                <w:color w:val="000000"/>
                <w:sz w:val="22"/>
                <w:szCs w:val="22"/>
              </w:rPr>
              <w:t>10</w:t>
            </w:r>
          </w:p>
        </w:tc>
        <w:tc>
          <w:tcPr>
            <w:tcW w:w="1923" w:type="dxa"/>
            <w:tcBorders>
              <w:top w:val="nil"/>
              <w:left w:val="nil"/>
              <w:bottom w:val="single" w:sz="4" w:space="0" w:color="auto"/>
              <w:right w:val="single" w:sz="4" w:space="0" w:color="auto"/>
            </w:tcBorders>
            <w:shd w:val="clear" w:color="auto" w:fill="auto"/>
            <w:noWrap/>
            <w:vAlign w:val="center"/>
            <w:hideMark/>
          </w:tcPr>
          <w:p w14:paraId="3915B5E3" w14:textId="77777777" w:rsidR="00B24652" w:rsidRPr="00B24652" w:rsidRDefault="00B24652" w:rsidP="00B24652">
            <w:pPr>
              <w:spacing w:line="240" w:lineRule="auto"/>
              <w:rPr>
                <w:color w:val="000000"/>
                <w:sz w:val="22"/>
              </w:rPr>
            </w:pPr>
            <w:r w:rsidRPr="00B24652">
              <w:rPr>
                <w:color w:val="000000"/>
                <w:sz w:val="22"/>
                <w:szCs w:val="22"/>
              </w:rPr>
              <w:t>0,5%</w:t>
            </w:r>
          </w:p>
        </w:tc>
        <w:tc>
          <w:tcPr>
            <w:tcW w:w="2666" w:type="dxa"/>
            <w:tcBorders>
              <w:top w:val="nil"/>
              <w:left w:val="nil"/>
              <w:bottom w:val="single" w:sz="4" w:space="0" w:color="auto"/>
              <w:right w:val="single" w:sz="4" w:space="0" w:color="auto"/>
            </w:tcBorders>
            <w:shd w:val="clear" w:color="auto" w:fill="auto"/>
            <w:noWrap/>
            <w:vAlign w:val="center"/>
            <w:hideMark/>
          </w:tcPr>
          <w:p w14:paraId="10EF939E" w14:textId="77777777" w:rsidR="00B24652" w:rsidRPr="00B24652" w:rsidRDefault="00B24652" w:rsidP="00B24652">
            <w:pPr>
              <w:spacing w:line="240" w:lineRule="auto"/>
              <w:rPr>
                <w:color w:val="000000"/>
                <w:sz w:val="22"/>
              </w:rPr>
            </w:pPr>
            <w:r w:rsidRPr="00B24652">
              <w:rPr>
                <w:color w:val="000000"/>
                <w:sz w:val="22"/>
                <w:szCs w:val="22"/>
              </w:rPr>
              <w:t>1,0%</w:t>
            </w:r>
          </w:p>
        </w:tc>
      </w:tr>
    </w:tbl>
    <w:p w14:paraId="38DEB02C" w14:textId="77777777" w:rsidR="00B24652" w:rsidRPr="00B24652" w:rsidRDefault="00B24652" w:rsidP="00B24652">
      <w:pPr>
        <w:spacing w:after="160"/>
        <w:rPr>
          <w:rFonts w:eastAsiaTheme="minorHAnsi"/>
          <w:szCs w:val="22"/>
          <w:lang w:eastAsia="en-US"/>
        </w:rPr>
      </w:pPr>
      <w:r w:rsidRPr="00B24652">
        <w:rPr>
          <w:rFonts w:eastAsiaTheme="minorHAnsi"/>
          <w:sz w:val="22"/>
          <w:szCs w:val="20"/>
          <w:lang w:eastAsia="en-US"/>
        </w:rPr>
        <w:t>*Составлено автором на основе данных 2ГИС</w:t>
      </w:r>
    </w:p>
    <w:p w14:paraId="5219687E" w14:textId="41816837"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К сетевым кофейням были отнесены те, число филиалов которых составило 5 и более торговых точек. Таким образом, в число «сетевых» кофеен попало 1038 объектов, что составило 48% от общего количества кофеен Санкт-Петербурга (Рисунок 2</w:t>
      </w:r>
      <w:r w:rsidR="00E56DE6">
        <w:rPr>
          <w:rFonts w:eastAsiaTheme="minorHAnsi"/>
          <w:szCs w:val="22"/>
          <w:lang w:eastAsia="en-US"/>
        </w:rPr>
        <w:t>5</w:t>
      </w:r>
      <w:r w:rsidRPr="00B24652">
        <w:rPr>
          <w:rFonts w:eastAsiaTheme="minorHAnsi"/>
          <w:szCs w:val="22"/>
          <w:lang w:eastAsia="en-US"/>
        </w:rPr>
        <w:t>).</w:t>
      </w:r>
    </w:p>
    <w:p w14:paraId="33CA81D1"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63F8E550" wp14:editId="5E82123D">
            <wp:extent cx="2981740" cy="2034102"/>
            <wp:effectExtent l="0" t="0" r="9525" b="4445"/>
            <wp:docPr id="21" name="Picture 21"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pie chart&#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630" t="9236" r="7404" b="8853"/>
                    <a:stretch/>
                  </pic:blipFill>
                  <pic:spPr bwMode="auto">
                    <a:xfrm>
                      <a:off x="0" y="0"/>
                      <a:ext cx="3011472" cy="2054385"/>
                    </a:xfrm>
                    <a:prstGeom prst="rect">
                      <a:avLst/>
                    </a:prstGeom>
                    <a:noFill/>
                    <a:ln>
                      <a:noFill/>
                    </a:ln>
                    <a:extLst>
                      <a:ext uri="{53640926-AAD7-44D8-BBD7-CCE9431645EC}">
                        <a14:shadowObscured xmlns:a14="http://schemas.microsoft.com/office/drawing/2010/main"/>
                      </a:ext>
                    </a:extLst>
                  </pic:spPr>
                </pic:pic>
              </a:graphicData>
            </a:graphic>
          </wp:inline>
        </w:drawing>
      </w:r>
    </w:p>
    <w:p w14:paraId="7AE2F2CF" w14:textId="397F9924" w:rsidR="00B24652" w:rsidRPr="00B24652" w:rsidRDefault="00B24652" w:rsidP="00B24652">
      <w:pPr>
        <w:spacing w:line="240" w:lineRule="auto"/>
        <w:rPr>
          <w:rFonts w:eastAsiaTheme="minorHAnsi"/>
          <w:bCs/>
          <w:iCs/>
          <w:lang w:eastAsia="en-US"/>
        </w:rPr>
      </w:pPr>
      <w:r w:rsidRPr="00B24652">
        <w:rPr>
          <w:rFonts w:eastAsiaTheme="minorHAnsi"/>
          <w:lang w:eastAsia="en-US"/>
        </w:rPr>
        <w:t xml:space="preserve">Рисунок </w:t>
      </w:r>
      <w:r w:rsidR="00E56DE6">
        <w:rPr>
          <w:rFonts w:eastAsiaTheme="minorHAnsi"/>
          <w:lang w:eastAsia="en-US"/>
        </w:rPr>
        <w:t>25</w:t>
      </w:r>
      <w:r w:rsidRPr="00B24652">
        <w:rPr>
          <w:rFonts w:eastAsiaTheme="minorHAnsi"/>
          <w:lang w:eastAsia="en-US"/>
        </w:rPr>
        <w:t xml:space="preserve">. </w:t>
      </w:r>
      <w:r w:rsidRPr="00B24652">
        <w:rPr>
          <w:rFonts w:eastAsiaTheme="minorHAnsi"/>
          <w:bCs/>
          <w:iCs/>
          <w:lang w:eastAsia="en-US"/>
        </w:rPr>
        <w:t>Структура рынка кофеен Санкт-Петербурга</w:t>
      </w:r>
    </w:p>
    <w:p w14:paraId="6F89DEC4"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1733F0E1" w14:textId="4DF22D3D"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На Рисунке 2</w:t>
      </w:r>
      <w:r w:rsidR="00E56DE6">
        <w:rPr>
          <w:rFonts w:eastAsiaTheme="minorHAnsi"/>
          <w:szCs w:val="22"/>
          <w:lang w:eastAsia="en-US"/>
        </w:rPr>
        <w:t>6</w:t>
      </w:r>
      <w:r w:rsidRPr="00B24652">
        <w:rPr>
          <w:rFonts w:eastAsiaTheme="minorHAnsi"/>
          <w:szCs w:val="22"/>
          <w:lang w:eastAsia="en-US"/>
        </w:rPr>
        <w:t xml:space="preserve"> представлены крупнейшие сети кофеен с отнесением к ним кофеен-пекарен (рисунок слева) и отнесением кофеен-пекарен в категорию «Остальное» (рисунок справа)</w:t>
      </w:r>
    </w:p>
    <w:p w14:paraId="3EAC9BF7"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lastRenderedPageBreak/>
        <w:drawing>
          <wp:inline distT="0" distB="0" distL="0" distR="0" wp14:anchorId="3F02A8BE" wp14:editId="2CF04142">
            <wp:extent cx="4646597" cy="3395320"/>
            <wp:effectExtent l="0" t="0" r="0" b="0"/>
            <wp:docPr id="25" name="Picture 2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pie chart&#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354" t="5611" r="5826" b="942"/>
                    <a:stretch/>
                  </pic:blipFill>
                  <pic:spPr bwMode="auto">
                    <a:xfrm>
                      <a:off x="0" y="0"/>
                      <a:ext cx="4677207" cy="3417687"/>
                    </a:xfrm>
                    <a:prstGeom prst="rect">
                      <a:avLst/>
                    </a:prstGeom>
                    <a:noFill/>
                    <a:ln>
                      <a:noFill/>
                    </a:ln>
                    <a:extLst>
                      <a:ext uri="{53640926-AAD7-44D8-BBD7-CCE9431645EC}">
                        <a14:shadowObscured xmlns:a14="http://schemas.microsoft.com/office/drawing/2010/main"/>
                      </a:ext>
                    </a:extLst>
                  </pic:spPr>
                </pic:pic>
              </a:graphicData>
            </a:graphic>
          </wp:inline>
        </w:drawing>
      </w:r>
    </w:p>
    <w:p w14:paraId="7EE81D5B" w14:textId="76FA65A7" w:rsidR="00B24652" w:rsidRPr="00B24652" w:rsidRDefault="00B24652" w:rsidP="00B24652">
      <w:pPr>
        <w:spacing w:line="240" w:lineRule="auto"/>
        <w:rPr>
          <w:rFonts w:eastAsiaTheme="minorHAnsi"/>
          <w:bCs/>
          <w:iCs/>
          <w:lang w:eastAsia="en-US"/>
        </w:rPr>
      </w:pPr>
      <w:r w:rsidRPr="00B24652">
        <w:rPr>
          <w:rFonts w:eastAsiaTheme="minorHAnsi"/>
          <w:lang w:eastAsia="en-US"/>
        </w:rPr>
        <w:t>Рисунок 2</w:t>
      </w:r>
      <w:r w:rsidR="00E56DE6">
        <w:rPr>
          <w:rFonts w:eastAsiaTheme="minorHAnsi"/>
          <w:lang w:eastAsia="en-US"/>
        </w:rPr>
        <w:t>6</w:t>
      </w:r>
      <w:r w:rsidRPr="00B24652">
        <w:rPr>
          <w:rFonts w:eastAsiaTheme="minorHAnsi"/>
          <w:lang w:eastAsia="en-US"/>
        </w:rPr>
        <w:t xml:space="preserve">. </w:t>
      </w:r>
      <w:r w:rsidRPr="00B24652">
        <w:rPr>
          <w:rFonts w:eastAsiaTheme="minorHAnsi"/>
          <w:bCs/>
          <w:iCs/>
          <w:lang w:eastAsia="en-US"/>
        </w:rPr>
        <w:t>Крупнейшие сети кофеен Санкт-Петербурга</w:t>
      </w:r>
    </w:p>
    <w:p w14:paraId="29BB28F7"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0C1F5DC8" w14:textId="415525D7"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t>В рамках исследования были проанализированы графики работы кофеен (Рисунок 2</w:t>
      </w:r>
      <w:r w:rsidR="00E56DE6">
        <w:rPr>
          <w:rFonts w:eastAsiaTheme="minorHAnsi"/>
          <w:szCs w:val="22"/>
          <w:lang w:eastAsia="en-US"/>
        </w:rPr>
        <w:t>7</w:t>
      </w:r>
      <w:r w:rsidRPr="00B24652">
        <w:rPr>
          <w:rFonts w:eastAsiaTheme="minorHAnsi"/>
          <w:szCs w:val="22"/>
          <w:lang w:eastAsia="en-US"/>
        </w:rPr>
        <w:t>). Все объекты были разделены на 12 категорий по рабочим часам. Самым популярным графиком работы стал график с 08:00 до 22:00 (381 торговый объект). Также значительная часть кофеен имеет рабочие часы с 08:00 до 21:00 (290 кофеен) и с 09:00 до 21:00 (275). В целом, структура рабочих часов у данной отрасли общественного питания сильно дифференцирована, о чем свидетельствует большое количество объектов в категории «Остальное».</w:t>
      </w:r>
    </w:p>
    <w:p w14:paraId="2A5D712A"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636C1717" wp14:editId="18E56474">
            <wp:extent cx="4733252" cy="2845196"/>
            <wp:effectExtent l="0" t="0" r="0" b="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phical user interfac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4575" cy="2864025"/>
                    </a:xfrm>
                    <a:prstGeom prst="rect">
                      <a:avLst/>
                    </a:prstGeom>
                    <a:noFill/>
                  </pic:spPr>
                </pic:pic>
              </a:graphicData>
            </a:graphic>
          </wp:inline>
        </w:drawing>
      </w:r>
    </w:p>
    <w:p w14:paraId="5DCB11E0" w14:textId="213F251B" w:rsidR="00B24652" w:rsidRPr="00B24652" w:rsidRDefault="00B24652" w:rsidP="00B24652">
      <w:pPr>
        <w:spacing w:line="240" w:lineRule="auto"/>
        <w:rPr>
          <w:rFonts w:eastAsiaTheme="minorHAnsi"/>
          <w:bCs/>
          <w:iCs/>
          <w:sz w:val="22"/>
          <w:szCs w:val="22"/>
          <w:lang w:eastAsia="en-US"/>
        </w:rPr>
      </w:pPr>
      <w:r w:rsidRPr="00B24652">
        <w:rPr>
          <w:rFonts w:eastAsiaTheme="minorHAnsi"/>
          <w:lang w:eastAsia="en-US"/>
        </w:rPr>
        <w:t xml:space="preserve">Рисунок 27. </w:t>
      </w:r>
      <w:r w:rsidRPr="00B24652">
        <w:rPr>
          <w:rFonts w:eastAsiaTheme="minorHAnsi"/>
          <w:bCs/>
          <w:iCs/>
          <w:lang w:eastAsia="en-US"/>
        </w:rPr>
        <w:t>Графики работы кофеен Санкт-Петербурга</w:t>
      </w:r>
    </w:p>
    <w:p w14:paraId="5279B25D"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*Составлено автором на основе данных 2ГИС</w:t>
      </w:r>
    </w:p>
    <w:p w14:paraId="21BC7A85" w14:textId="7B488CEF" w:rsidR="00B24652" w:rsidRPr="00B24652" w:rsidRDefault="00B24652" w:rsidP="00B24652">
      <w:pPr>
        <w:ind w:firstLine="851"/>
        <w:jc w:val="both"/>
        <w:rPr>
          <w:rFonts w:eastAsiaTheme="minorHAnsi"/>
          <w:szCs w:val="22"/>
          <w:lang w:eastAsia="en-US"/>
        </w:rPr>
      </w:pPr>
      <w:r w:rsidRPr="00B24652">
        <w:rPr>
          <w:rFonts w:eastAsiaTheme="minorHAnsi"/>
          <w:szCs w:val="22"/>
          <w:lang w:eastAsia="en-US"/>
        </w:rPr>
        <w:lastRenderedPageBreak/>
        <w:t>Число круглосуточных кофеен составило 38 торговых точек (Рисунок 2</w:t>
      </w:r>
      <w:r w:rsidR="00E56DE6">
        <w:rPr>
          <w:rFonts w:eastAsiaTheme="minorHAnsi"/>
          <w:szCs w:val="22"/>
          <w:lang w:eastAsia="en-US"/>
        </w:rPr>
        <w:t>8</w:t>
      </w:r>
      <w:r w:rsidRPr="00B24652">
        <w:rPr>
          <w:rFonts w:eastAsiaTheme="minorHAnsi"/>
          <w:szCs w:val="22"/>
          <w:lang w:eastAsia="en-US"/>
        </w:rPr>
        <w:t>). Из них к «сетевым» было отнесено 20 объектов. Наибольшее количество круглосуточных кофеен было отмечено у сетей «Чайникофф» (7 объектов) и «Шоколадница» (5 объектов).</w:t>
      </w:r>
    </w:p>
    <w:p w14:paraId="56B506E6" w14:textId="77777777" w:rsidR="00B24652" w:rsidRPr="00B24652" w:rsidRDefault="00B24652" w:rsidP="00B24652">
      <w:pPr>
        <w:spacing w:before="160"/>
        <w:rPr>
          <w:rFonts w:eastAsiaTheme="minorHAnsi"/>
          <w:szCs w:val="22"/>
          <w:lang w:eastAsia="en-US"/>
        </w:rPr>
      </w:pPr>
      <w:r w:rsidRPr="00B24652">
        <w:rPr>
          <w:rFonts w:eastAsiaTheme="minorHAnsi"/>
          <w:noProof/>
          <w:szCs w:val="22"/>
          <w:lang w:eastAsia="en-US"/>
        </w:rPr>
        <w:drawing>
          <wp:inline distT="0" distB="0" distL="0" distR="0" wp14:anchorId="66ACFAF2" wp14:editId="3012A902">
            <wp:extent cx="4656112" cy="2806810"/>
            <wp:effectExtent l="0" t="0" r="0" b="0"/>
            <wp:docPr id="29" name="Picture 2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pie chart&#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6741" t="15015" r="2876" b="14829"/>
                    <a:stretch/>
                  </pic:blipFill>
                  <pic:spPr bwMode="auto">
                    <a:xfrm>
                      <a:off x="0" y="0"/>
                      <a:ext cx="4682237" cy="2822559"/>
                    </a:xfrm>
                    <a:prstGeom prst="rect">
                      <a:avLst/>
                    </a:prstGeom>
                    <a:noFill/>
                    <a:ln>
                      <a:noFill/>
                    </a:ln>
                    <a:extLst>
                      <a:ext uri="{53640926-AAD7-44D8-BBD7-CCE9431645EC}">
                        <a14:shadowObscured xmlns:a14="http://schemas.microsoft.com/office/drawing/2010/main"/>
                      </a:ext>
                    </a:extLst>
                  </pic:spPr>
                </pic:pic>
              </a:graphicData>
            </a:graphic>
          </wp:inline>
        </w:drawing>
      </w:r>
    </w:p>
    <w:p w14:paraId="79D68370" w14:textId="05101306" w:rsidR="00B24652" w:rsidRPr="00B24652" w:rsidRDefault="00B24652" w:rsidP="00B24652">
      <w:pPr>
        <w:spacing w:line="240" w:lineRule="auto"/>
        <w:rPr>
          <w:rFonts w:eastAsiaTheme="minorHAnsi"/>
          <w:bCs/>
          <w:iCs/>
          <w:lang w:eastAsia="en-US"/>
        </w:rPr>
      </w:pPr>
      <w:r w:rsidRPr="00B24652">
        <w:rPr>
          <w:rFonts w:eastAsiaTheme="minorHAnsi"/>
          <w:lang w:eastAsia="en-US"/>
        </w:rPr>
        <w:t>Рисунок 2</w:t>
      </w:r>
      <w:r w:rsidR="00E56DE6">
        <w:rPr>
          <w:rFonts w:eastAsiaTheme="minorHAnsi"/>
          <w:lang w:eastAsia="en-US"/>
        </w:rPr>
        <w:t>8</w:t>
      </w:r>
      <w:r w:rsidRPr="00B24652">
        <w:rPr>
          <w:rFonts w:eastAsiaTheme="minorHAnsi"/>
          <w:lang w:eastAsia="en-US"/>
        </w:rPr>
        <w:t xml:space="preserve">. </w:t>
      </w:r>
      <w:r w:rsidRPr="00B24652">
        <w:rPr>
          <w:rFonts w:eastAsiaTheme="minorHAnsi"/>
          <w:bCs/>
          <w:iCs/>
          <w:lang w:eastAsia="en-US"/>
        </w:rPr>
        <w:t>Крупнейшие сети круглосуточных кофеен Санкт-Петербурга</w:t>
      </w:r>
    </w:p>
    <w:p w14:paraId="357D5061" w14:textId="77777777" w:rsidR="00B24652" w:rsidRPr="00B24652" w:rsidRDefault="00B24652" w:rsidP="00B24652">
      <w:pPr>
        <w:spacing w:after="160" w:line="240" w:lineRule="auto"/>
        <w:rPr>
          <w:rFonts w:eastAsiaTheme="minorHAnsi"/>
          <w:bCs/>
          <w:iCs/>
          <w:szCs w:val="22"/>
          <w:lang w:eastAsia="en-US"/>
        </w:rPr>
      </w:pPr>
      <w:r w:rsidRPr="00B24652">
        <w:rPr>
          <w:rFonts w:eastAsiaTheme="minorHAnsi"/>
          <w:bCs/>
          <w:iCs/>
          <w:sz w:val="22"/>
          <w:szCs w:val="20"/>
          <w:lang w:eastAsia="en-US"/>
        </w:rPr>
        <w:t>* Составлено автором на основе данных 2ГИС</w:t>
      </w:r>
    </w:p>
    <w:p w14:paraId="23817A46" w14:textId="6737E67B" w:rsidR="00B24652" w:rsidRDefault="00B24652" w:rsidP="00B24652">
      <w:pPr>
        <w:ind w:firstLine="851"/>
        <w:jc w:val="both"/>
        <w:rPr>
          <w:rFonts w:eastAsiaTheme="minorHAnsi"/>
          <w:szCs w:val="22"/>
          <w:lang w:eastAsia="en-US"/>
        </w:rPr>
      </w:pPr>
      <w:r w:rsidRPr="00B24652">
        <w:rPr>
          <w:rFonts w:eastAsiaTheme="minorHAnsi"/>
          <w:szCs w:val="22"/>
          <w:lang w:eastAsia="en-US"/>
        </w:rPr>
        <w:t>Муниципальные округа Санкт-Петербурга были рассмотрены с учетом показателей абсолютной численности кофеен, обеспеченности ими постоянно проживающего на территории населения, а также оценена доля сетей в общей численности торговых объектов.</w:t>
      </w:r>
    </w:p>
    <w:p w14:paraId="6691E714" w14:textId="77777777" w:rsidR="00B04B6A" w:rsidRDefault="00B04B6A" w:rsidP="00B24652">
      <w:pPr>
        <w:ind w:firstLine="851"/>
        <w:jc w:val="both"/>
        <w:rPr>
          <w:rFonts w:eastAsiaTheme="minorHAnsi"/>
          <w:szCs w:val="22"/>
          <w:lang w:eastAsia="en-US"/>
        </w:rPr>
      </w:pPr>
    </w:p>
    <w:p w14:paraId="41EFFA4A" w14:textId="1671EC57" w:rsidR="00331CC2" w:rsidRDefault="00331CC2" w:rsidP="009040D3">
      <w:pPr>
        <w:pStyle w:val="Heading1"/>
        <w:spacing w:before="160" w:after="160"/>
        <w:ind w:firstLine="0"/>
        <w:jc w:val="center"/>
        <w:rPr>
          <w:rFonts w:ascii="Times New Roman" w:hAnsi="Times New Roman" w:cs="Times New Roman"/>
          <w:b/>
          <w:bCs/>
          <w:color w:val="auto"/>
          <w:sz w:val="28"/>
          <w:szCs w:val="28"/>
        </w:rPr>
      </w:pPr>
      <w:bookmarkStart w:id="19" w:name="_Toc103641031"/>
      <w:r w:rsidRPr="008E5FCC">
        <w:rPr>
          <w:rFonts w:ascii="Times New Roman" w:hAnsi="Times New Roman" w:cs="Times New Roman"/>
          <w:b/>
          <w:bCs/>
          <w:color w:val="auto"/>
          <w:sz w:val="28"/>
          <w:szCs w:val="28"/>
        </w:rPr>
        <w:t>Глава 3</w:t>
      </w:r>
      <w:r>
        <w:rPr>
          <w:rFonts w:ascii="Times New Roman" w:hAnsi="Times New Roman" w:cs="Times New Roman"/>
          <w:b/>
          <w:bCs/>
          <w:color w:val="auto"/>
          <w:sz w:val="28"/>
          <w:szCs w:val="28"/>
        </w:rPr>
        <w:t xml:space="preserve">. </w:t>
      </w:r>
      <w:r w:rsidRPr="008E5FCC">
        <w:rPr>
          <w:rFonts w:ascii="Times New Roman" w:hAnsi="Times New Roman" w:cs="Times New Roman"/>
          <w:b/>
          <w:bCs/>
          <w:color w:val="auto"/>
          <w:sz w:val="28"/>
          <w:szCs w:val="28"/>
        </w:rPr>
        <w:t>География розничной торговли и общественного питания</w:t>
      </w:r>
      <w:r w:rsidR="009040D3" w:rsidRPr="009040D3">
        <w:rPr>
          <w:rFonts w:ascii="Times New Roman" w:hAnsi="Times New Roman" w:cs="Times New Roman"/>
          <w:b/>
          <w:bCs/>
          <w:color w:val="auto"/>
          <w:sz w:val="28"/>
          <w:szCs w:val="28"/>
        </w:rPr>
        <w:t xml:space="preserve"> </w:t>
      </w:r>
      <w:r w:rsidRPr="008E5FCC">
        <w:rPr>
          <w:rFonts w:ascii="Times New Roman" w:hAnsi="Times New Roman" w:cs="Times New Roman"/>
          <w:b/>
          <w:bCs/>
          <w:color w:val="auto"/>
          <w:sz w:val="28"/>
          <w:szCs w:val="28"/>
        </w:rPr>
        <w:t>Санкт-Петербурга</w:t>
      </w:r>
      <w:bookmarkEnd w:id="19"/>
    </w:p>
    <w:p w14:paraId="2E61B277" w14:textId="2617D3AB" w:rsidR="00331CC2" w:rsidRPr="00B04B6A" w:rsidRDefault="00331CC2" w:rsidP="00B04B6A">
      <w:pPr>
        <w:pStyle w:val="Heading2"/>
        <w:spacing w:before="160" w:after="160"/>
        <w:ind w:firstLine="0"/>
        <w:jc w:val="center"/>
        <w:rPr>
          <w:rFonts w:ascii="Times New Roman" w:hAnsi="Times New Roman" w:cs="Times New Roman"/>
          <w:b/>
          <w:bCs/>
          <w:color w:val="auto"/>
          <w:sz w:val="24"/>
          <w:szCs w:val="24"/>
        </w:rPr>
      </w:pPr>
      <w:bookmarkStart w:id="20" w:name="_Toc103641032"/>
      <w:r w:rsidRPr="00B04B6A">
        <w:rPr>
          <w:rFonts w:ascii="Times New Roman" w:hAnsi="Times New Roman" w:cs="Times New Roman"/>
          <w:b/>
          <w:bCs/>
          <w:color w:val="auto"/>
          <w:sz w:val="24"/>
          <w:szCs w:val="24"/>
        </w:rPr>
        <w:t>3.1. Основные особенности размещения алкогольных магазинов</w:t>
      </w:r>
      <w:bookmarkEnd w:id="20"/>
    </w:p>
    <w:p w14:paraId="5FA3E730" w14:textId="77777777"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По состоянию на август 2021 года в Санкт-Петербурге действуют 1267 алкогольных магазинов.</w:t>
      </w:r>
    </w:p>
    <w:p w14:paraId="2DE90AA9" w14:textId="26EA8B74"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 xml:space="preserve">Особенности размещения объектов алкогольной розницы по территории Санкт-Петербурга характеризуются концентрацией основного количества торговых точек на спальной периферии и на окраинах города, где проживает основная часть населения в спальных районах (Рисунок </w:t>
      </w:r>
      <w:r w:rsidR="00E56DE6">
        <w:rPr>
          <w:rFonts w:eastAsiaTheme="minorHAnsi"/>
          <w:szCs w:val="22"/>
          <w:lang w:eastAsia="en-US"/>
        </w:rPr>
        <w:t>29</w:t>
      </w:r>
      <w:r w:rsidRPr="00331CC2">
        <w:rPr>
          <w:rFonts w:eastAsiaTheme="minorHAnsi"/>
          <w:szCs w:val="22"/>
          <w:lang w:eastAsia="en-US"/>
        </w:rPr>
        <w:t xml:space="preserve">). Наибольшее число наблюдается в муниципальных образованиях (далее – МО) Смольнинское (43 торговые точки), Южно-Приморский (43) и МО №65 (33). В 13 округах объекты розничной торговли не представлены: МО Смолячково, Молодежное, Серово, Комарово, Ушково, Солнечное, Лисий Нос, Песочный, Александровская, Петро-Славянка, Сапёрный, Белоостров. Это может быть связано с </w:t>
      </w:r>
      <w:r w:rsidRPr="00331CC2">
        <w:rPr>
          <w:rFonts w:eastAsiaTheme="minorHAnsi"/>
          <w:szCs w:val="22"/>
          <w:lang w:eastAsia="en-US"/>
        </w:rPr>
        <w:lastRenderedPageBreak/>
        <w:t>маленькой численностью населения на данных территориях, на которое алкогольной рознице нет смысла ориентироваться.</w:t>
      </w:r>
    </w:p>
    <w:p w14:paraId="604AB049" w14:textId="77777777" w:rsidR="00331CC2" w:rsidRPr="00331CC2" w:rsidRDefault="00331CC2" w:rsidP="00331CC2">
      <w:pPr>
        <w:spacing w:before="160"/>
        <w:rPr>
          <w:rFonts w:eastAsiaTheme="minorHAnsi"/>
          <w:szCs w:val="22"/>
          <w:lang w:eastAsia="en-US"/>
        </w:rPr>
      </w:pPr>
      <w:bookmarkStart w:id="21" w:name="_Hlk97836195"/>
      <w:r w:rsidRPr="00331CC2">
        <w:rPr>
          <w:rFonts w:eastAsiaTheme="minorHAnsi"/>
          <w:noProof/>
          <w:szCs w:val="22"/>
          <w:lang w:eastAsia="en-US"/>
        </w:rPr>
        <w:drawing>
          <wp:inline distT="0" distB="0" distL="0" distR="0" wp14:anchorId="12684A29" wp14:editId="36833D13">
            <wp:extent cx="4224978" cy="4126727"/>
            <wp:effectExtent l="0" t="0" r="0" b="0"/>
            <wp:docPr id="101" name="Picture 1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l="22706"/>
                    <a:stretch/>
                  </pic:blipFill>
                  <pic:spPr bwMode="auto">
                    <a:xfrm>
                      <a:off x="0" y="0"/>
                      <a:ext cx="4260308" cy="4161235"/>
                    </a:xfrm>
                    <a:prstGeom prst="rect">
                      <a:avLst/>
                    </a:prstGeom>
                    <a:noFill/>
                    <a:ln>
                      <a:noFill/>
                    </a:ln>
                    <a:extLst>
                      <a:ext uri="{53640926-AAD7-44D8-BBD7-CCE9431645EC}">
                        <a14:shadowObscured xmlns:a14="http://schemas.microsoft.com/office/drawing/2010/main"/>
                      </a:ext>
                    </a:extLst>
                  </pic:spPr>
                </pic:pic>
              </a:graphicData>
            </a:graphic>
          </wp:inline>
        </w:drawing>
      </w:r>
    </w:p>
    <w:p w14:paraId="2C59D7E2" w14:textId="0E46973C"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29</w:t>
      </w:r>
      <w:r w:rsidRPr="00331CC2">
        <w:rPr>
          <w:rFonts w:eastAsiaTheme="minorHAnsi"/>
          <w:lang w:eastAsia="en-US"/>
        </w:rPr>
        <w:t xml:space="preserve">. </w:t>
      </w:r>
      <w:r w:rsidRPr="00331CC2">
        <w:rPr>
          <w:rFonts w:eastAsiaTheme="minorHAnsi"/>
          <w:bCs/>
          <w:iCs/>
          <w:lang w:eastAsia="en-US"/>
        </w:rPr>
        <w:t>Количество алкогольных магазинов по муниципальным округам Санкт-Петербурга, штук</w:t>
      </w:r>
    </w:p>
    <w:p w14:paraId="0DBBBA25"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 Составлено автором</w:t>
      </w:r>
    </w:p>
    <w:bookmarkEnd w:id="21"/>
    <w:p w14:paraId="75E0C407" w14:textId="65CEFEEF" w:rsidR="00331CC2" w:rsidRDefault="00331CC2" w:rsidP="00331CC2">
      <w:pPr>
        <w:ind w:firstLine="851"/>
        <w:jc w:val="both"/>
        <w:rPr>
          <w:rFonts w:eastAsiaTheme="minorHAnsi"/>
          <w:szCs w:val="22"/>
          <w:lang w:eastAsia="en-US"/>
        </w:rPr>
      </w:pPr>
      <w:r w:rsidRPr="00331CC2">
        <w:rPr>
          <w:rFonts w:eastAsiaTheme="minorHAnsi"/>
          <w:szCs w:val="22"/>
          <w:lang w:eastAsia="en-US"/>
        </w:rPr>
        <w:t>Обеспеченность территории алкогольными ритейлерами дифференцирована. Не учитывая те территории, где нет торговых точек, наблюдается тенденция наименьшей обеспеченности окраинных южных районов (за исключением города Павловск, поселков Терляево и Усть-Ижоры). В целом, высокие значения показателя отмечаются в центральных районах города, достигая максимума в округе Лахта-Ольгино (18 магазинов на 10 000 населения) и МО №78 (12) (Рисунок 3</w:t>
      </w:r>
      <w:r w:rsidR="00E56DE6">
        <w:rPr>
          <w:rFonts w:eastAsiaTheme="minorHAnsi"/>
          <w:szCs w:val="22"/>
          <w:lang w:eastAsia="en-US"/>
        </w:rPr>
        <w:t>0</w:t>
      </w:r>
      <w:r w:rsidRPr="00331CC2">
        <w:rPr>
          <w:rFonts w:eastAsiaTheme="minorHAnsi"/>
          <w:szCs w:val="22"/>
          <w:lang w:eastAsia="en-US"/>
        </w:rPr>
        <w:t>).</w:t>
      </w:r>
    </w:p>
    <w:p w14:paraId="78F311BA" w14:textId="77777777" w:rsidR="0094643E" w:rsidRPr="00331CC2" w:rsidRDefault="0094643E" w:rsidP="0094643E">
      <w:pPr>
        <w:spacing w:before="160"/>
        <w:rPr>
          <w:rFonts w:eastAsiaTheme="minorHAnsi"/>
          <w:szCs w:val="22"/>
          <w:lang w:eastAsia="en-US"/>
        </w:rPr>
      </w:pPr>
      <w:bookmarkStart w:id="22" w:name="_Hlk97836245"/>
      <w:r w:rsidRPr="00331CC2">
        <w:rPr>
          <w:rFonts w:eastAsiaTheme="minorHAnsi"/>
          <w:noProof/>
          <w:szCs w:val="22"/>
          <w:lang w:eastAsia="en-US"/>
        </w:rPr>
        <w:lastRenderedPageBreak/>
        <w:drawing>
          <wp:inline distT="0" distB="0" distL="0" distR="0" wp14:anchorId="5A424829" wp14:editId="4A3E4EA3">
            <wp:extent cx="3988009" cy="3745065"/>
            <wp:effectExtent l="0" t="0" r="0" b="0"/>
            <wp:docPr id="102" name="Picture 10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map&#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88009" cy="3745065"/>
                    </a:xfrm>
                    <a:prstGeom prst="rect">
                      <a:avLst/>
                    </a:prstGeom>
                    <a:noFill/>
                    <a:ln>
                      <a:noFill/>
                    </a:ln>
                  </pic:spPr>
                </pic:pic>
              </a:graphicData>
            </a:graphic>
          </wp:inline>
        </w:drawing>
      </w:r>
    </w:p>
    <w:p w14:paraId="1FFC0A27" w14:textId="77777777" w:rsidR="0094643E" w:rsidRPr="00331CC2" w:rsidRDefault="0094643E" w:rsidP="0094643E">
      <w:pPr>
        <w:spacing w:line="240" w:lineRule="auto"/>
        <w:rPr>
          <w:rFonts w:eastAsiaTheme="minorHAnsi"/>
          <w:bCs/>
          <w:iCs/>
          <w:lang w:eastAsia="en-US"/>
        </w:rPr>
      </w:pPr>
      <w:r w:rsidRPr="00331CC2">
        <w:rPr>
          <w:rFonts w:eastAsiaTheme="minorHAnsi"/>
          <w:lang w:eastAsia="en-US"/>
        </w:rPr>
        <w:t>Рисунок 3</w:t>
      </w:r>
      <w:r>
        <w:rPr>
          <w:rFonts w:eastAsiaTheme="minorHAnsi"/>
          <w:lang w:eastAsia="en-US"/>
        </w:rPr>
        <w:t>0</w:t>
      </w:r>
      <w:r w:rsidRPr="00331CC2">
        <w:rPr>
          <w:rFonts w:eastAsiaTheme="minorHAnsi"/>
          <w:lang w:eastAsia="en-US"/>
        </w:rPr>
        <w:t xml:space="preserve">. </w:t>
      </w:r>
      <w:r w:rsidRPr="00331CC2">
        <w:rPr>
          <w:rFonts w:eastAsiaTheme="minorHAnsi"/>
          <w:bCs/>
          <w:iCs/>
          <w:lang w:eastAsia="en-US"/>
        </w:rPr>
        <w:t>Обеспеченность населения Санкт-Петербурга алкогольными магазинами на 10 000 населения</w:t>
      </w:r>
    </w:p>
    <w:bookmarkEnd w:id="22"/>
    <w:p w14:paraId="5116F648" w14:textId="4A00F46E" w:rsidR="0094643E" w:rsidRPr="0094643E" w:rsidRDefault="0094643E" w:rsidP="0094643E">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4498BDE" w14:textId="0A88C7E7" w:rsidR="00331CC2" w:rsidRPr="00331CC2" w:rsidRDefault="00331CC2" w:rsidP="00331CC2">
      <w:pPr>
        <w:ind w:firstLine="851"/>
        <w:jc w:val="both"/>
        <w:rPr>
          <w:noProof/>
          <w:szCs w:val="22"/>
        </w:rPr>
      </w:pPr>
      <w:r w:rsidRPr="00331CC2">
        <w:rPr>
          <w:noProof/>
          <w:szCs w:val="22"/>
        </w:rPr>
        <w:t xml:space="preserve">Муниципальные образования Санкт-Петербурга были проанализированы с точки зрения распространения сетевых алкогольных магащинов. На территории 10 округов сетевые ритейлеры составили 100% от всей численности торговых объектов. Территориально связать характер их распространения не представляется возможным, однако более детальный анализ взаимосвязи с характеристиками населения может дать обоснованные выводы. Помимо 13 территорий с полным отсутствием алкогольных магазинов, еще 3 округа не имеют сетевых филиалов: Терляево, Солнечное, Репино. Минимальное значение показателя наблюдается в Балканском округе (6,5%) (Рисунок  31). </w:t>
      </w:r>
    </w:p>
    <w:p w14:paraId="24879F10" w14:textId="77777777" w:rsidR="00331CC2" w:rsidRPr="00331CC2" w:rsidRDefault="00331CC2" w:rsidP="00331CC2">
      <w:pPr>
        <w:spacing w:before="160" w:line="240" w:lineRule="auto"/>
        <w:rPr>
          <w:rFonts w:eastAsiaTheme="minorHAnsi"/>
          <w:szCs w:val="22"/>
          <w:lang w:eastAsia="en-US"/>
        </w:rPr>
      </w:pPr>
      <w:bookmarkStart w:id="23" w:name="_Hlk97836291"/>
      <w:r w:rsidRPr="00331CC2">
        <w:rPr>
          <w:noProof/>
          <w:szCs w:val="22"/>
        </w:rPr>
        <w:lastRenderedPageBreak/>
        <w:drawing>
          <wp:inline distT="0" distB="0" distL="0" distR="0" wp14:anchorId="0DEFBE5A" wp14:editId="162FFE5F">
            <wp:extent cx="3853660" cy="3689405"/>
            <wp:effectExtent l="0" t="0" r="0" b="0"/>
            <wp:docPr id="103" name="Рисунок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0" descr="Map&#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972" t="19950" r="40634" b="12292"/>
                    <a:stretch/>
                  </pic:blipFill>
                  <pic:spPr bwMode="auto">
                    <a:xfrm>
                      <a:off x="0" y="0"/>
                      <a:ext cx="3853660" cy="3689405"/>
                    </a:xfrm>
                    <a:prstGeom prst="rect">
                      <a:avLst/>
                    </a:prstGeom>
                    <a:noFill/>
                    <a:ln>
                      <a:noFill/>
                    </a:ln>
                    <a:extLst>
                      <a:ext uri="{53640926-AAD7-44D8-BBD7-CCE9431645EC}">
                        <a14:shadowObscured xmlns:a14="http://schemas.microsoft.com/office/drawing/2010/main"/>
                      </a:ext>
                    </a:extLst>
                  </pic:spPr>
                </pic:pic>
              </a:graphicData>
            </a:graphic>
          </wp:inline>
        </w:drawing>
      </w:r>
    </w:p>
    <w:p w14:paraId="01EDF35F" w14:textId="241EF72A"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1</w:t>
      </w:r>
      <w:r w:rsidRPr="00331CC2">
        <w:rPr>
          <w:rFonts w:eastAsiaTheme="minorHAnsi"/>
          <w:lang w:eastAsia="en-US"/>
        </w:rPr>
        <w:t xml:space="preserve">. </w:t>
      </w:r>
      <w:r w:rsidRPr="00331CC2">
        <w:rPr>
          <w:rFonts w:eastAsiaTheme="minorHAnsi"/>
          <w:bCs/>
          <w:iCs/>
          <w:lang w:eastAsia="en-US"/>
        </w:rPr>
        <w:t>Доля сетевых алкогольных магазинов в муниципальных округах Санкт-Петербурга, %</w:t>
      </w:r>
    </w:p>
    <w:bookmarkEnd w:id="23"/>
    <w:p w14:paraId="209E2CB9" w14:textId="77777777" w:rsidR="00331CC2" w:rsidRPr="00331CC2" w:rsidRDefault="00331CC2" w:rsidP="00331CC2">
      <w:pPr>
        <w:spacing w:after="160" w:line="240" w:lineRule="auto"/>
        <w:rPr>
          <w:rFonts w:eastAsiaTheme="minorHAnsi"/>
          <w:bCs/>
          <w:iCs/>
          <w:sz w:val="22"/>
          <w:szCs w:val="22"/>
          <w:lang w:eastAsia="en-US"/>
        </w:rPr>
      </w:pPr>
      <w:r w:rsidRPr="00331CC2">
        <w:rPr>
          <w:rFonts w:eastAsiaTheme="minorHAnsi"/>
          <w:bCs/>
          <w:iCs/>
          <w:sz w:val="22"/>
          <w:szCs w:val="20"/>
          <w:lang w:eastAsia="en-US"/>
        </w:rPr>
        <w:t>*Составлено автором</w:t>
      </w:r>
    </w:p>
    <w:p w14:paraId="6F268B4D" w14:textId="266E709B"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 xml:space="preserve">В рамках исследования был проведен анализ взаимосвязей пространственного распределения объектов розничной торговли алкоголем с социально-экономическими характеристиками территории, такими как: количество постоянного населения, численность занятых, объем средней заработной платы. Результатом анализа стала матрица диаграмм </w:t>
      </w:r>
      <w:r w:rsidR="00B16FE5" w:rsidRPr="00331CC2">
        <w:rPr>
          <w:rFonts w:eastAsiaTheme="minorHAnsi"/>
          <w:szCs w:val="22"/>
          <w:lang w:eastAsia="en-US"/>
        </w:rPr>
        <w:t>рассеян</w:t>
      </w:r>
      <w:r w:rsidR="00B16FE5">
        <w:rPr>
          <w:rFonts w:eastAsiaTheme="minorHAnsi"/>
          <w:szCs w:val="22"/>
          <w:lang w:eastAsia="en-US"/>
        </w:rPr>
        <w:t>и</w:t>
      </w:r>
      <w:r w:rsidR="00B16FE5" w:rsidRPr="00331CC2">
        <w:rPr>
          <w:rFonts w:eastAsiaTheme="minorHAnsi"/>
          <w:szCs w:val="22"/>
          <w:lang w:eastAsia="en-US"/>
        </w:rPr>
        <w:t xml:space="preserve">я </w:t>
      </w:r>
      <w:r w:rsidRPr="00331CC2">
        <w:rPr>
          <w:rFonts w:eastAsiaTheme="minorHAnsi"/>
          <w:szCs w:val="22"/>
          <w:lang w:eastAsia="en-US"/>
        </w:rPr>
        <w:t>(Рисунок 3</w:t>
      </w:r>
      <w:r w:rsidR="00E56DE6">
        <w:rPr>
          <w:rFonts w:eastAsiaTheme="minorHAnsi"/>
          <w:szCs w:val="22"/>
          <w:lang w:eastAsia="en-US"/>
        </w:rPr>
        <w:t>2</w:t>
      </w:r>
      <w:r w:rsidRPr="00331CC2">
        <w:rPr>
          <w:rFonts w:eastAsiaTheme="minorHAnsi"/>
          <w:szCs w:val="22"/>
          <w:lang w:eastAsia="en-US"/>
        </w:rPr>
        <w:t xml:space="preserve">), которая была подробно рассмотрена с </w:t>
      </w:r>
      <w:r w:rsidR="00B16FE5" w:rsidRPr="00331CC2">
        <w:rPr>
          <w:rFonts w:eastAsiaTheme="minorHAnsi"/>
          <w:szCs w:val="22"/>
          <w:lang w:eastAsia="en-US"/>
        </w:rPr>
        <w:t>учето</w:t>
      </w:r>
      <w:r w:rsidR="00B16FE5">
        <w:rPr>
          <w:rFonts w:eastAsiaTheme="minorHAnsi"/>
          <w:szCs w:val="22"/>
          <w:lang w:eastAsia="en-US"/>
        </w:rPr>
        <w:t>м</w:t>
      </w:r>
      <w:r w:rsidR="00B16FE5" w:rsidRPr="00331CC2">
        <w:rPr>
          <w:rFonts w:eastAsiaTheme="minorHAnsi"/>
          <w:szCs w:val="22"/>
          <w:lang w:eastAsia="en-US"/>
        </w:rPr>
        <w:t xml:space="preserve"> </w:t>
      </w:r>
      <w:r w:rsidRPr="00331CC2">
        <w:rPr>
          <w:rFonts w:eastAsiaTheme="minorHAnsi"/>
          <w:szCs w:val="22"/>
          <w:lang w:eastAsia="en-US"/>
        </w:rPr>
        <w:t>вышеперечисленных показателей.</w:t>
      </w:r>
    </w:p>
    <w:p w14:paraId="34BAEE80" w14:textId="77777777"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 xml:space="preserve">Абсолютный показатель количества торговых точек имеет ярко выраженную взаимосвязь с показателем численности занятых и меньшую с численностью постоянного населения. Со средней заработной платой взаимосвязь пости отсутствует. Относительная обеспеченность торговыми точками имеет прямую взаимосвязь с численностью занятых и средней заработной платой и отрицательную связь с численностью постоянного населения, но данные взаимосвязи не являются сильными. </w:t>
      </w:r>
    </w:p>
    <w:p w14:paraId="025C8323" w14:textId="77777777" w:rsidR="00331CC2" w:rsidRPr="00331CC2" w:rsidRDefault="00331CC2" w:rsidP="00331CC2">
      <w:pPr>
        <w:spacing w:before="160" w:line="240" w:lineRule="auto"/>
        <w:rPr>
          <w:rFonts w:eastAsiaTheme="minorHAnsi"/>
          <w:szCs w:val="22"/>
          <w:lang w:eastAsia="en-US"/>
        </w:rPr>
      </w:pPr>
      <w:r w:rsidRPr="00331CC2">
        <w:rPr>
          <w:rFonts w:eastAsiaTheme="minorHAnsi"/>
          <w:noProof/>
          <w:szCs w:val="22"/>
          <w:lang w:eastAsia="en-US"/>
        </w:rPr>
        <w:lastRenderedPageBreak/>
        <w:drawing>
          <wp:inline distT="0" distB="0" distL="0" distR="0" wp14:anchorId="0C2A25C7" wp14:editId="48CB4144">
            <wp:extent cx="4698748" cy="4197188"/>
            <wp:effectExtent l="0" t="0" r="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45"/>
                    <a:stretch>
                      <a:fillRect/>
                    </a:stretch>
                  </pic:blipFill>
                  <pic:spPr>
                    <a:xfrm>
                      <a:off x="0" y="0"/>
                      <a:ext cx="4698748" cy="4197188"/>
                    </a:xfrm>
                    <a:prstGeom prst="rect">
                      <a:avLst/>
                    </a:prstGeom>
                  </pic:spPr>
                </pic:pic>
              </a:graphicData>
            </a:graphic>
          </wp:inline>
        </w:drawing>
      </w:r>
    </w:p>
    <w:p w14:paraId="321F9900" w14:textId="0AD21302"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2</w:t>
      </w:r>
      <w:r w:rsidRPr="00331CC2">
        <w:rPr>
          <w:rFonts w:eastAsiaTheme="minorHAnsi"/>
          <w:lang w:eastAsia="en-US"/>
        </w:rPr>
        <w:t xml:space="preserve">. </w:t>
      </w:r>
      <w:r w:rsidRPr="00331CC2">
        <w:rPr>
          <w:rFonts w:eastAsiaTheme="minorHAnsi"/>
          <w:bCs/>
          <w:iCs/>
          <w:lang w:eastAsia="en-US"/>
        </w:rPr>
        <w:t>Матрица диаграмм рассеянья по показателям количества алкогольных магазинов (</w:t>
      </w:r>
      <w:r w:rsidRPr="00331CC2">
        <w:rPr>
          <w:rFonts w:eastAsiaTheme="minorHAnsi"/>
          <w:bCs/>
          <w:iCs/>
          <w:lang w:val="en-US" w:eastAsia="en-US"/>
        </w:rPr>
        <w:t>alc</w:t>
      </w:r>
      <w:r w:rsidRPr="00331CC2">
        <w:rPr>
          <w:rFonts w:eastAsiaTheme="minorHAnsi"/>
          <w:bCs/>
          <w:iCs/>
          <w:lang w:eastAsia="en-US"/>
        </w:rPr>
        <w:t>), количество алкогольных магазинов на 10 000 населения (</w:t>
      </w:r>
      <w:r w:rsidRPr="00331CC2">
        <w:rPr>
          <w:rFonts w:eastAsiaTheme="minorHAnsi"/>
          <w:bCs/>
          <w:iCs/>
          <w:lang w:val="en-US" w:eastAsia="en-US"/>
        </w:rPr>
        <w:t>alc</w:t>
      </w:r>
      <w:r w:rsidRPr="00331CC2">
        <w:rPr>
          <w:rFonts w:eastAsiaTheme="minorHAnsi"/>
          <w:bCs/>
          <w:iCs/>
          <w:lang w:eastAsia="en-US"/>
        </w:rPr>
        <w:t>_10</w:t>
      </w:r>
      <w:r w:rsidRPr="00331CC2">
        <w:rPr>
          <w:rFonts w:eastAsiaTheme="minorHAnsi"/>
          <w:bCs/>
          <w:iCs/>
          <w:lang w:val="en-US" w:eastAsia="en-US"/>
        </w:rPr>
        <w:t>k</w:t>
      </w:r>
      <w:r w:rsidRPr="00331CC2">
        <w:rPr>
          <w:rFonts w:eastAsiaTheme="minorHAnsi"/>
          <w:bCs/>
          <w:iCs/>
          <w:lang w:eastAsia="en-US"/>
        </w:rPr>
        <w:t>), численность населения (</w:t>
      </w:r>
      <w:r w:rsidRPr="00331CC2">
        <w:rPr>
          <w:rFonts w:eastAsiaTheme="minorHAnsi"/>
          <w:bCs/>
          <w:iCs/>
          <w:lang w:val="en-US" w:eastAsia="en-US"/>
        </w:rPr>
        <w:t>pop</w:t>
      </w:r>
      <w:r w:rsidRPr="00331CC2">
        <w:rPr>
          <w:rFonts w:eastAsiaTheme="minorHAnsi"/>
          <w:bCs/>
          <w:iCs/>
          <w:lang w:eastAsia="en-US"/>
        </w:rPr>
        <w:t>), численность занятых (</w:t>
      </w:r>
      <w:r w:rsidRPr="00331CC2">
        <w:rPr>
          <w:rFonts w:eastAsiaTheme="minorHAnsi"/>
          <w:bCs/>
          <w:iCs/>
          <w:lang w:val="en-US" w:eastAsia="en-US"/>
        </w:rPr>
        <w:t>r</w:t>
      </w:r>
      <w:r w:rsidRPr="00331CC2">
        <w:rPr>
          <w:rFonts w:eastAsiaTheme="minorHAnsi"/>
          <w:bCs/>
          <w:iCs/>
          <w:lang w:eastAsia="en-US"/>
        </w:rPr>
        <w:t>_</w:t>
      </w:r>
      <w:r w:rsidRPr="00331CC2">
        <w:rPr>
          <w:rFonts w:eastAsiaTheme="minorHAnsi"/>
          <w:bCs/>
          <w:iCs/>
          <w:lang w:val="en-US" w:eastAsia="en-US"/>
        </w:rPr>
        <w:t>all</w:t>
      </w:r>
      <w:r w:rsidRPr="00331CC2">
        <w:rPr>
          <w:rFonts w:eastAsiaTheme="minorHAnsi"/>
          <w:bCs/>
          <w:iCs/>
          <w:lang w:eastAsia="en-US"/>
        </w:rPr>
        <w:t>), средняя заработная плата (</w:t>
      </w:r>
      <w:r w:rsidRPr="00331CC2">
        <w:rPr>
          <w:rFonts w:eastAsiaTheme="minorHAnsi"/>
          <w:bCs/>
          <w:iCs/>
          <w:lang w:val="en-US" w:eastAsia="en-US"/>
        </w:rPr>
        <w:t>srp</w:t>
      </w:r>
      <w:r w:rsidRPr="00331CC2">
        <w:rPr>
          <w:rFonts w:eastAsiaTheme="minorHAnsi"/>
          <w:bCs/>
          <w:iCs/>
          <w:lang w:eastAsia="en-US"/>
        </w:rPr>
        <w:t>_</w:t>
      </w:r>
      <w:r w:rsidRPr="00331CC2">
        <w:rPr>
          <w:rFonts w:eastAsiaTheme="minorHAnsi"/>
          <w:bCs/>
          <w:iCs/>
          <w:lang w:val="en-US" w:eastAsia="en-US"/>
        </w:rPr>
        <w:t>al</w:t>
      </w:r>
      <w:r w:rsidRPr="00331CC2">
        <w:rPr>
          <w:rFonts w:eastAsiaTheme="minorHAnsi"/>
          <w:bCs/>
          <w:iCs/>
          <w:lang w:eastAsia="en-US"/>
        </w:rPr>
        <w:t>)</w:t>
      </w:r>
    </w:p>
    <w:p w14:paraId="013D7331"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2D78CF48" w14:textId="76AE81C3" w:rsidR="00331CC2" w:rsidRPr="00331CC2" w:rsidRDefault="00331CC2" w:rsidP="00331CC2">
      <w:pPr>
        <w:ind w:firstLine="851"/>
        <w:jc w:val="both"/>
        <w:rPr>
          <w:rFonts w:eastAsiaTheme="minorHAnsi"/>
          <w:lang w:eastAsia="en-US"/>
        </w:rPr>
      </w:pPr>
      <w:r w:rsidRPr="00331CC2">
        <w:rPr>
          <w:rFonts w:eastAsiaTheme="minorHAnsi"/>
          <w:szCs w:val="22"/>
          <w:lang w:eastAsia="en-US"/>
        </w:rPr>
        <w:t>Для более подробного анализа была составлена диаграмма рассеяния по показателям относительной обеспеченности населения алкогольными магазинами, численности населения, численности занятых и средней заработной платой (Рисунок 3</w:t>
      </w:r>
      <w:r w:rsidR="00E56DE6">
        <w:rPr>
          <w:rFonts w:eastAsiaTheme="minorHAnsi"/>
          <w:szCs w:val="22"/>
          <w:lang w:eastAsia="en-US"/>
        </w:rPr>
        <w:t>3</w:t>
      </w:r>
      <w:r w:rsidRPr="00331CC2">
        <w:rPr>
          <w:rFonts w:eastAsiaTheme="minorHAnsi"/>
          <w:szCs w:val="22"/>
          <w:lang w:eastAsia="en-US"/>
        </w:rPr>
        <w:t xml:space="preserve">) и проведен анализ по квадрантам. </w:t>
      </w:r>
      <w:r w:rsidRPr="00331CC2">
        <w:rPr>
          <w:rFonts w:eastAsiaTheme="minorHAnsi"/>
          <w:lang w:eastAsia="en-US"/>
        </w:rPr>
        <w:t>Округа правого верхнего квадранта с численностью постоянного населения выше среднего и развитым рынком алкогольной розницы имеют довольной высокую численность занятых, а также довольно высокие заработные платы. Это в первую очередь округа ближней периферии по оси Север-Юг. Левый верхний квадрант представляет собой МО с насыщенным рынком алкогольной розницы и численностью населения ниже среднего. При этом территории характеризуются высокой занятостью населения и заработными платами. Это в основном центральные территории города, в которых постоянно проживает меньшее к</w:t>
      </w:r>
      <w:r w:rsidR="00B16FE5">
        <w:rPr>
          <w:rFonts w:eastAsiaTheme="minorHAnsi"/>
          <w:lang w:eastAsia="en-US"/>
        </w:rPr>
        <w:t>оличест</w:t>
      </w:r>
      <w:r w:rsidRPr="00331CC2">
        <w:rPr>
          <w:rFonts w:eastAsiaTheme="minorHAnsi"/>
          <w:lang w:eastAsia="en-US"/>
        </w:rPr>
        <w:t xml:space="preserve">во населения, а работает – большее. Перспективными для развития рынка являются МО правого нижнего квадранта с низкой обеспеченностью алкогольными магазинами и высокой численностью населения. Здесь заработная плата невысока, как и численность занятых на территории. К данным территориям относится вся периферия, кроме северной и западной и отчасти полупериферия города. Левый нижний квадрант составляют округа с низкой численностью населения и неразвитым алкогольным </w:t>
      </w:r>
      <w:r w:rsidRPr="00331CC2">
        <w:rPr>
          <w:rFonts w:eastAsiaTheme="minorHAnsi"/>
          <w:lang w:eastAsia="en-US"/>
        </w:rPr>
        <w:lastRenderedPageBreak/>
        <w:t>рынком. Особенностью данных МО является сильная дифференциация по показателю средней заработной платы и численности занятых. К данным территориям относится в первую очередь северная периферия города, а также некоторые территории южной и западной периферии и полупериферии.</w:t>
      </w:r>
    </w:p>
    <w:p w14:paraId="0EB4C4A4" w14:textId="77777777" w:rsidR="00331CC2" w:rsidRPr="00331CC2" w:rsidRDefault="00331CC2" w:rsidP="00331CC2">
      <w:pPr>
        <w:spacing w:before="160" w:line="240" w:lineRule="auto"/>
        <w:rPr>
          <w:rFonts w:eastAsiaTheme="minorHAnsi"/>
          <w:bCs/>
          <w:iCs/>
          <w:sz w:val="22"/>
          <w:szCs w:val="20"/>
          <w:lang w:eastAsia="en-US"/>
        </w:rPr>
      </w:pPr>
      <w:r w:rsidRPr="00331CC2">
        <w:rPr>
          <w:rFonts w:eastAsiaTheme="minorHAnsi"/>
          <w:bCs/>
          <w:iCs/>
          <w:noProof/>
          <w:sz w:val="22"/>
          <w:szCs w:val="20"/>
          <w:lang w:eastAsia="en-US"/>
        </w:rPr>
        <w:drawing>
          <wp:inline distT="0" distB="0" distL="0" distR="0" wp14:anchorId="0DDCBF96" wp14:editId="208E9B34">
            <wp:extent cx="4725909" cy="4920771"/>
            <wp:effectExtent l="0" t="0" r="0" b="0"/>
            <wp:docPr id="104" name="Picture 10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art, scatter char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8230" cy="4923188"/>
                    </a:xfrm>
                    <a:prstGeom prst="rect">
                      <a:avLst/>
                    </a:prstGeom>
                    <a:noFill/>
                  </pic:spPr>
                </pic:pic>
              </a:graphicData>
            </a:graphic>
          </wp:inline>
        </w:drawing>
      </w:r>
    </w:p>
    <w:p w14:paraId="47E8917F" w14:textId="41BBEA89"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3</w:t>
      </w:r>
      <w:r w:rsidRPr="00331CC2">
        <w:rPr>
          <w:rFonts w:eastAsiaTheme="minorHAnsi"/>
          <w:lang w:eastAsia="en-US"/>
        </w:rPr>
        <w:t xml:space="preserve">. </w:t>
      </w:r>
      <w:r w:rsidRPr="00331CC2">
        <w:rPr>
          <w:rFonts w:eastAsiaTheme="minorHAnsi"/>
          <w:bCs/>
          <w:iCs/>
          <w:lang w:eastAsia="en-US"/>
        </w:rPr>
        <w:t>Диаграмма рассеян</w:t>
      </w:r>
      <w:r w:rsidR="00B16FE5">
        <w:rPr>
          <w:rFonts w:eastAsiaTheme="minorHAnsi"/>
          <w:bCs/>
          <w:iCs/>
          <w:lang w:eastAsia="en-US"/>
        </w:rPr>
        <w:t>и</w:t>
      </w:r>
      <w:r w:rsidRPr="00331CC2">
        <w:rPr>
          <w:rFonts w:eastAsiaTheme="minorHAnsi"/>
          <w:bCs/>
          <w:iCs/>
          <w:lang w:eastAsia="en-US"/>
        </w:rPr>
        <w:t xml:space="preserve">я по показателям количество алкогольных магазинов на 10 000 населения (ось </w:t>
      </w:r>
      <w:r w:rsidRPr="00331CC2">
        <w:rPr>
          <w:rFonts w:eastAsiaTheme="minorHAnsi"/>
          <w:bCs/>
          <w:iCs/>
          <w:lang w:val="en-US" w:eastAsia="en-US"/>
        </w:rPr>
        <w:t>y</w:t>
      </w:r>
      <w:r w:rsidRPr="00331CC2">
        <w:rPr>
          <w:rFonts w:eastAsiaTheme="minorHAnsi"/>
          <w:bCs/>
          <w:iCs/>
          <w:lang w:eastAsia="en-US"/>
        </w:rPr>
        <w:t xml:space="preserve"> – </w:t>
      </w:r>
      <w:r w:rsidRPr="00331CC2">
        <w:rPr>
          <w:rFonts w:eastAsiaTheme="minorHAnsi"/>
          <w:bCs/>
          <w:iCs/>
          <w:lang w:val="en-US" w:eastAsia="en-US"/>
        </w:rPr>
        <w:t>alc</w:t>
      </w:r>
      <w:r w:rsidRPr="00331CC2">
        <w:rPr>
          <w:rFonts w:eastAsiaTheme="minorHAnsi"/>
          <w:bCs/>
          <w:iCs/>
          <w:lang w:eastAsia="en-US"/>
        </w:rPr>
        <w:t>_10</w:t>
      </w:r>
      <w:r w:rsidRPr="00331CC2">
        <w:rPr>
          <w:rFonts w:eastAsiaTheme="minorHAnsi"/>
          <w:bCs/>
          <w:iCs/>
          <w:lang w:val="en-US" w:eastAsia="en-US"/>
        </w:rPr>
        <w:t>k</w:t>
      </w:r>
      <w:r w:rsidRPr="00331CC2">
        <w:rPr>
          <w:rFonts w:eastAsiaTheme="minorHAnsi"/>
          <w:bCs/>
          <w:iCs/>
          <w:lang w:eastAsia="en-US"/>
        </w:rPr>
        <w:t xml:space="preserve">), численность населения (ось </w:t>
      </w:r>
      <w:r w:rsidRPr="00331CC2">
        <w:rPr>
          <w:rFonts w:eastAsiaTheme="minorHAnsi"/>
          <w:bCs/>
          <w:iCs/>
          <w:lang w:val="en-US" w:eastAsia="en-US"/>
        </w:rPr>
        <w:t>x</w:t>
      </w:r>
      <w:r w:rsidRPr="00331CC2">
        <w:rPr>
          <w:rFonts w:eastAsiaTheme="minorHAnsi"/>
          <w:bCs/>
          <w:iCs/>
          <w:lang w:eastAsia="en-US"/>
        </w:rPr>
        <w:t xml:space="preserve"> – </w:t>
      </w:r>
      <w:r w:rsidRPr="00331CC2">
        <w:rPr>
          <w:rFonts w:eastAsiaTheme="minorHAnsi"/>
          <w:bCs/>
          <w:iCs/>
          <w:lang w:val="en-US" w:eastAsia="en-US"/>
        </w:rPr>
        <w:t>pop</w:t>
      </w:r>
      <w:r w:rsidRPr="00331CC2">
        <w:rPr>
          <w:rFonts w:eastAsiaTheme="minorHAnsi"/>
          <w:bCs/>
          <w:iCs/>
          <w:lang w:eastAsia="en-US"/>
        </w:rPr>
        <w:t>), численность занятых (размер маркера), средняя заработная плата (цвет маркера)</w:t>
      </w:r>
    </w:p>
    <w:p w14:paraId="40228306"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07096316" w14:textId="0644A8DB" w:rsidR="00331CC2" w:rsidRDefault="00331CC2" w:rsidP="00474BFD">
      <w:pPr>
        <w:ind w:firstLine="851"/>
        <w:jc w:val="both"/>
        <w:rPr>
          <w:rFonts w:eastAsiaTheme="minorHAnsi"/>
          <w:bCs/>
          <w:iCs/>
          <w:szCs w:val="22"/>
          <w:lang w:eastAsia="en-US"/>
        </w:rPr>
      </w:pPr>
      <w:r w:rsidRPr="00331CC2">
        <w:rPr>
          <w:rFonts w:eastAsiaTheme="minorHAnsi"/>
          <w:bCs/>
          <w:iCs/>
          <w:szCs w:val="22"/>
          <w:lang w:eastAsia="en-US"/>
        </w:rPr>
        <w:t>Таким образом, можно сделать вывод об ориентации розничных алкогольных магазинов преимущественно на «дневное», работающее на территории население. По показателю относительной обеспеченности торговыми точками территория города сильно дифференцирована и заметна тенденция «центр-периферия». Центральные районы, в которых проживает небольшое количество населения, но в которых сконцентрировано большое число алкогольных магазинов, лидируют по данному показателю, как и малонаселенные северные территории и некоторые округа периферии и полу периферии города. На основе анализа диаграммы рассеян</w:t>
      </w:r>
      <w:r w:rsidR="009B081F">
        <w:rPr>
          <w:rFonts w:eastAsiaTheme="minorHAnsi"/>
          <w:bCs/>
          <w:iCs/>
          <w:szCs w:val="22"/>
          <w:lang w:eastAsia="en-US"/>
        </w:rPr>
        <w:t>и</w:t>
      </w:r>
      <w:r w:rsidRPr="00331CC2">
        <w:rPr>
          <w:rFonts w:eastAsiaTheme="minorHAnsi"/>
          <w:bCs/>
          <w:iCs/>
          <w:szCs w:val="22"/>
          <w:lang w:eastAsia="en-US"/>
        </w:rPr>
        <w:t xml:space="preserve">я можно сделать вывод о том, что округа </w:t>
      </w:r>
      <w:r w:rsidR="009B081F">
        <w:rPr>
          <w:rFonts w:eastAsiaTheme="minorHAnsi"/>
          <w:bCs/>
          <w:iCs/>
          <w:szCs w:val="22"/>
          <w:lang w:eastAsia="en-US"/>
        </w:rPr>
        <w:t>с</w:t>
      </w:r>
      <w:r w:rsidRPr="00331CC2">
        <w:rPr>
          <w:rFonts w:eastAsiaTheme="minorHAnsi"/>
          <w:bCs/>
          <w:iCs/>
          <w:szCs w:val="22"/>
          <w:lang w:eastAsia="en-US"/>
        </w:rPr>
        <w:t xml:space="preserve"> развитым рынком алкогольной розницы имеют сравнительно более высокие показатели </w:t>
      </w:r>
      <w:r w:rsidRPr="00331CC2">
        <w:rPr>
          <w:rFonts w:eastAsiaTheme="minorHAnsi"/>
          <w:bCs/>
          <w:iCs/>
          <w:szCs w:val="22"/>
          <w:lang w:eastAsia="en-US"/>
        </w:rPr>
        <w:lastRenderedPageBreak/>
        <w:t>средней заработной платы и численности занятого населения. Перспективными для развития рынка территориями может стать в первую очередь периферия города (за исключением северной), с высокой численностью населения и малой обеспеченностью алкогольными магазинами.</w:t>
      </w:r>
    </w:p>
    <w:p w14:paraId="130E96DA" w14:textId="324AF48D" w:rsidR="00474BFD" w:rsidRPr="00474BFD" w:rsidRDefault="00474BFD" w:rsidP="00474BFD">
      <w:pPr>
        <w:ind w:firstLine="851"/>
        <w:jc w:val="both"/>
        <w:rPr>
          <w:rFonts w:eastAsiaTheme="minorHAnsi"/>
          <w:szCs w:val="22"/>
          <w:lang w:eastAsia="en-US"/>
        </w:rPr>
      </w:pPr>
      <w:r w:rsidRPr="00474BFD">
        <w:rPr>
          <w:rFonts w:eastAsiaTheme="minorHAnsi"/>
          <w:szCs w:val="22"/>
          <w:lang w:eastAsia="en-US"/>
        </w:rPr>
        <w:t xml:space="preserve">Отдельные особенности размещения </w:t>
      </w:r>
      <w:r>
        <w:rPr>
          <w:rFonts w:eastAsiaTheme="minorHAnsi"/>
          <w:szCs w:val="22"/>
          <w:lang w:eastAsia="en-US"/>
        </w:rPr>
        <w:t>объектов</w:t>
      </w:r>
      <w:r w:rsidRPr="00474BFD">
        <w:rPr>
          <w:rFonts w:eastAsiaTheme="minorHAnsi"/>
          <w:szCs w:val="22"/>
          <w:lang w:eastAsia="en-US"/>
        </w:rPr>
        <w:t xml:space="preserve"> </w:t>
      </w:r>
      <w:r>
        <w:rPr>
          <w:rFonts w:eastAsiaTheme="minorHAnsi"/>
          <w:szCs w:val="22"/>
          <w:lang w:eastAsia="en-US"/>
        </w:rPr>
        <w:t>алкогольной розницы</w:t>
      </w:r>
      <w:r w:rsidRPr="00474BFD">
        <w:rPr>
          <w:rFonts w:eastAsiaTheme="minorHAnsi"/>
          <w:szCs w:val="22"/>
          <w:lang w:eastAsia="en-US"/>
        </w:rPr>
        <w:t xml:space="preserve"> также отражены в Приложении (см</w:t>
      </w:r>
      <w:r>
        <w:rPr>
          <w:rFonts w:eastAsiaTheme="minorHAnsi"/>
          <w:szCs w:val="22"/>
          <w:lang w:eastAsia="en-US"/>
        </w:rPr>
        <w:t>.</w:t>
      </w:r>
      <w:r w:rsidRPr="00474BFD">
        <w:rPr>
          <w:rFonts w:eastAsiaTheme="minorHAnsi"/>
          <w:szCs w:val="22"/>
          <w:lang w:eastAsia="en-US"/>
        </w:rPr>
        <w:t xml:space="preserve"> Приложения </w:t>
      </w:r>
      <w:r>
        <w:rPr>
          <w:rFonts w:eastAsiaTheme="minorHAnsi"/>
          <w:szCs w:val="22"/>
          <w:lang w:eastAsia="en-US"/>
        </w:rPr>
        <w:t>2</w:t>
      </w:r>
      <w:r w:rsidRPr="00474BFD">
        <w:rPr>
          <w:rFonts w:eastAsiaTheme="minorHAnsi"/>
          <w:szCs w:val="22"/>
          <w:lang w:eastAsia="en-US"/>
        </w:rPr>
        <w:t>-3)</w:t>
      </w:r>
      <w:r>
        <w:rPr>
          <w:rFonts w:eastAsiaTheme="minorHAnsi"/>
          <w:szCs w:val="22"/>
          <w:lang w:eastAsia="en-US"/>
        </w:rPr>
        <w:t>.</w:t>
      </w:r>
    </w:p>
    <w:p w14:paraId="0E2AF7AC" w14:textId="2E537BCC" w:rsidR="00331CC2" w:rsidRPr="00331CC2" w:rsidRDefault="00331CC2" w:rsidP="00331CC2">
      <w:pPr>
        <w:keepNext/>
        <w:keepLines/>
        <w:spacing w:before="160" w:after="160"/>
        <w:outlineLvl w:val="1"/>
        <w:rPr>
          <w:rFonts w:eastAsiaTheme="majorEastAsia"/>
          <w:b/>
          <w:bCs/>
          <w:lang w:eastAsia="en-US"/>
        </w:rPr>
      </w:pPr>
      <w:bookmarkStart w:id="24" w:name="_Toc103641033"/>
      <w:r w:rsidRPr="00331CC2">
        <w:rPr>
          <w:rFonts w:eastAsiaTheme="majorEastAsia"/>
          <w:b/>
          <w:bCs/>
          <w:lang w:eastAsia="en-US"/>
        </w:rPr>
        <w:t>3.2. Основные особенности размещения питейных заведений</w:t>
      </w:r>
      <w:bookmarkEnd w:id="24"/>
    </w:p>
    <w:p w14:paraId="216C2933" w14:textId="77777777" w:rsidR="00331CC2" w:rsidRPr="00331CC2" w:rsidRDefault="00331CC2" w:rsidP="00331CC2">
      <w:pPr>
        <w:tabs>
          <w:tab w:val="left" w:pos="2937"/>
        </w:tabs>
        <w:ind w:firstLine="851"/>
        <w:jc w:val="both"/>
        <w:rPr>
          <w:rFonts w:eastAsiaTheme="minorHAnsi"/>
          <w:szCs w:val="22"/>
          <w:lang w:eastAsia="en-US"/>
        </w:rPr>
      </w:pPr>
      <w:r w:rsidRPr="00331CC2">
        <w:rPr>
          <w:rFonts w:eastAsiaTheme="minorHAnsi"/>
          <w:szCs w:val="22"/>
          <w:lang w:eastAsia="en-US"/>
        </w:rPr>
        <w:t>По состоянию на февраль 2022 года на территории Санкт-Петербурга функционировало 1464 питейных заведения.</w:t>
      </w:r>
    </w:p>
    <w:p w14:paraId="4D754758" w14:textId="605E9DE4" w:rsidR="00331CC2" w:rsidRPr="00331CC2" w:rsidRDefault="00331CC2" w:rsidP="00331CC2">
      <w:pPr>
        <w:tabs>
          <w:tab w:val="left" w:pos="2937"/>
        </w:tabs>
        <w:ind w:firstLine="851"/>
        <w:jc w:val="both"/>
        <w:rPr>
          <w:rFonts w:eastAsiaTheme="minorHAnsi"/>
          <w:szCs w:val="22"/>
          <w:lang w:eastAsia="en-US"/>
        </w:rPr>
      </w:pPr>
      <w:r w:rsidRPr="00331CC2">
        <w:rPr>
          <w:rFonts w:eastAsiaTheme="minorHAnsi"/>
          <w:szCs w:val="22"/>
          <w:lang w:eastAsia="en-US"/>
        </w:rPr>
        <w:t>В рамках исследования были рассмотрены муниципальные округа Санкт-Петербурга по показателям численности питейных заведений на их территории, обеспеченности ими населения, а также доли сетевых торговых объектов в общей их численности в МО. Максимальное количество питейных заведений сосредоточено в МО Литейный округ (153 объекта), Владимирский округ (149), Дворцовый округ (76), МО №78 (71), Смольнинское (70). На некоторых малозаселенных территориях северной и юго-восточной периферии объекты данной отрасли отсутствуют (Морские Ворота, Александровская, Белоостров, Левашово, Песочный, Понтонный, Сапёрный, Серово, Смолячково, Тярлево, Ушково, Усть-Ижора, Петро-Славянка, Молодежное, Лисий Нос). В целом, можно отметить, что наибольшая концентрация питейных заведений наблюдается в центральных округах, а также по оси «Север-Юг» (Рисунок 3</w:t>
      </w:r>
      <w:r w:rsidR="00E56DE6">
        <w:rPr>
          <w:rFonts w:eastAsiaTheme="minorHAnsi"/>
          <w:szCs w:val="22"/>
          <w:lang w:eastAsia="en-US"/>
        </w:rPr>
        <w:t>4</w:t>
      </w:r>
      <w:r w:rsidRPr="00331CC2">
        <w:rPr>
          <w:rFonts w:eastAsiaTheme="minorHAnsi"/>
          <w:szCs w:val="22"/>
          <w:lang w:eastAsia="en-US"/>
        </w:rPr>
        <w:t>).</w:t>
      </w:r>
    </w:p>
    <w:p w14:paraId="273ECF31" w14:textId="77777777" w:rsidR="00331CC2" w:rsidRPr="00331CC2" w:rsidRDefault="00331CC2" w:rsidP="00331CC2">
      <w:pPr>
        <w:spacing w:before="160"/>
        <w:rPr>
          <w:rFonts w:eastAsiaTheme="minorHAnsi"/>
          <w:szCs w:val="22"/>
          <w:lang w:eastAsia="en-US"/>
        </w:rPr>
      </w:pPr>
      <w:bookmarkStart w:id="25" w:name="_Hlk97836219"/>
      <w:r w:rsidRPr="00331CC2">
        <w:rPr>
          <w:rFonts w:eastAsiaTheme="minorHAnsi"/>
          <w:noProof/>
          <w:szCs w:val="22"/>
          <w:lang w:eastAsia="en-US"/>
        </w:rPr>
        <w:drawing>
          <wp:inline distT="0" distB="0" distL="0" distR="0" wp14:anchorId="0F54E53B" wp14:editId="6943F95E">
            <wp:extent cx="3103637" cy="2974903"/>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13573" cy="2984427"/>
                    </a:xfrm>
                    <a:prstGeom prst="rect">
                      <a:avLst/>
                    </a:prstGeom>
                    <a:noFill/>
                    <a:ln>
                      <a:noFill/>
                    </a:ln>
                  </pic:spPr>
                </pic:pic>
              </a:graphicData>
            </a:graphic>
          </wp:inline>
        </w:drawing>
      </w:r>
    </w:p>
    <w:p w14:paraId="2F9F4492" w14:textId="313F6931"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4</w:t>
      </w:r>
      <w:r w:rsidRPr="00331CC2">
        <w:rPr>
          <w:rFonts w:eastAsiaTheme="minorHAnsi"/>
          <w:lang w:eastAsia="en-US"/>
        </w:rPr>
        <w:t xml:space="preserve">. </w:t>
      </w:r>
      <w:r w:rsidRPr="00331CC2">
        <w:rPr>
          <w:rFonts w:eastAsiaTheme="minorHAnsi"/>
          <w:bCs/>
          <w:iCs/>
          <w:lang w:eastAsia="en-US"/>
        </w:rPr>
        <w:t>Количество питейных заведений по муниципальным округам Санкт-Петербурга, штук</w:t>
      </w:r>
    </w:p>
    <w:p w14:paraId="0C16709B"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 Составлено автором</w:t>
      </w:r>
    </w:p>
    <w:bookmarkEnd w:id="25"/>
    <w:p w14:paraId="53EA9C6F" w14:textId="0BD33BAF"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lastRenderedPageBreak/>
        <w:t>По обеспеченности населения питейными заведениями лидирует Дворцовый округ (1101 объект на 100 000 населения), МО №78 (632), Литейный округ (338), Владимирский округ (250), Лиговка-Ямская (241) и другие округа центрального района Санкт-Петербурга (Рисунок 3</w:t>
      </w:r>
      <w:r w:rsidR="00E56DE6">
        <w:rPr>
          <w:rFonts w:eastAsiaTheme="minorHAnsi"/>
          <w:szCs w:val="22"/>
          <w:lang w:eastAsia="en-US"/>
        </w:rPr>
        <w:t>5</w:t>
      </w:r>
      <w:r w:rsidRPr="00331CC2">
        <w:rPr>
          <w:rFonts w:eastAsiaTheme="minorHAnsi"/>
          <w:szCs w:val="22"/>
          <w:lang w:eastAsia="en-US"/>
        </w:rPr>
        <w:t>). К округам с высокой обеспеченностью питейными заведениями также относятся муниципальные образования северной периферии города, однако это можно объяснить низкой численностью населения данных территорий, при которой данный показатель значительно завышается. Закономерность для данных МО можно назвать ложной. Западная, Южная и Восточная периферии города отличаются низкими значениями данного показателя, что говорит о их низкой обеспеченности объектами данной отрасли общественного питания.</w:t>
      </w:r>
    </w:p>
    <w:p w14:paraId="6A803C04" w14:textId="77777777" w:rsidR="00331CC2" w:rsidRPr="00331CC2" w:rsidRDefault="00331CC2" w:rsidP="00331CC2">
      <w:pPr>
        <w:spacing w:before="160"/>
        <w:rPr>
          <w:rFonts w:eastAsiaTheme="minorHAnsi"/>
          <w:szCs w:val="22"/>
          <w:lang w:eastAsia="en-US"/>
        </w:rPr>
      </w:pPr>
      <w:bookmarkStart w:id="26" w:name="_Hlk97836262"/>
      <w:r w:rsidRPr="00331CC2">
        <w:rPr>
          <w:rFonts w:eastAsiaTheme="minorHAnsi"/>
          <w:noProof/>
          <w:szCs w:val="22"/>
          <w:lang w:eastAsia="en-US"/>
        </w:rPr>
        <w:drawing>
          <wp:inline distT="0" distB="0" distL="0" distR="0" wp14:anchorId="36152CDF" wp14:editId="65672520">
            <wp:extent cx="3140765" cy="3030620"/>
            <wp:effectExtent l="0" t="0" r="2540" b="0"/>
            <wp:docPr id="31" name="Picture 31"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map&#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4732" cy="3044097"/>
                    </a:xfrm>
                    <a:prstGeom prst="rect">
                      <a:avLst/>
                    </a:prstGeom>
                    <a:noFill/>
                    <a:ln>
                      <a:noFill/>
                    </a:ln>
                  </pic:spPr>
                </pic:pic>
              </a:graphicData>
            </a:graphic>
          </wp:inline>
        </w:drawing>
      </w:r>
    </w:p>
    <w:p w14:paraId="548B62A8" w14:textId="0E3035EB"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5</w:t>
      </w:r>
      <w:r w:rsidRPr="00331CC2">
        <w:rPr>
          <w:rFonts w:eastAsiaTheme="minorHAnsi"/>
          <w:lang w:eastAsia="en-US"/>
        </w:rPr>
        <w:t xml:space="preserve">. </w:t>
      </w:r>
      <w:r w:rsidRPr="00331CC2">
        <w:rPr>
          <w:rFonts w:eastAsiaTheme="minorHAnsi"/>
          <w:bCs/>
          <w:iCs/>
          <w:lang w:eastAsia="en-US"/>
        </w:rPr>
        <w:t>Обеспеченность населения Санкт-Петербурга питейными заведениями на 100 000 населения</w:t>
      </w:r>
    </w:p>
    <w:bookmarkEnd w:id="26"/>
    <w:p w14:paraId="0254B4E1"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06ABDA28" w14:textId="7A74E83B"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По доле сетевых питейных заведений в их общем количестве на территории муниципальных округов Санкт-Петербурга заметна сильная дифференциация. Филиалы сетевых питейных заведений отсутствуют на территории 46 муниципальных образований (преимущественно на северной, западной и юго-восточной перифериях города). Максимальные значения (100%) наблюдаются в МО Рыбацкое и поселке Стрельна. Также высоки значения на территориях, относимых к ближней периферии (Рисунок 3</w:t>
      </w:r>
      <w:r w:rsidR="00E56DE6">
        <w:rPr>
          <w:rFonts w:eastAsiaTheme="minorHAnsi"/>
          <w:szCs w:val="22"/>
          <w:lang w:eastAsia="en-US"/>
        </w:rPr>
        <w:t>6</w:t>
      </w:r>
      <w:r w:rsidRPr="00331CC2">
        <w:rPr>
          <w:rFonts w:eastAsiaTheme="minorHAnsi"/>
          <w:szCs w:val="22"/>
          <w:lang w:eastAsia="en-US"/>
        </w:rPr>
        <w:t>).</w:t>
      </w:r>
    </w:p>
    <w:p w14:paraId="09DCEFC7" w14:textId="77777777" w:rsidR="00331CC2" w:rsidRPr="00331CC2" w:rsidRDefault="00331CC2" w:rsidP="00331CC2">
      <w:pPr>
        <w:spacing w:before="160"/>
        <w:rPr>
          <w:rFonts w:eastAsiaTheme="minorHAnsi"/>
          <w:szCs w:val="22"/>
          <w:lang w:eastAsia="en-US"/>
        </w:rPr>
      </w:pPr>
      <w:bookmarkStart w:id="27" w:name="_Hlk97836302"/>
      <w:r w:rsidRPr="00331CC2">
        <w:rPr>
          <w:rFonts w:eastAsiaTheme="minorHAnsi"/>
          <w:noProof/>
          <w:szCs w:val="22"/>
          <w:lang w:eastAsia="en-US"/>
        </w:rPr>
        <w:lastRenderedPageBreak/>
        <w:drawing>
          <wp:inline distT="0" distB="0" distL="0" distR="0" wp14:anchorId="41082CB8" wp14:editId="71A85E7D">
            <wp:extent cx="3294976" cy="3228229"/>
            <wp:effectExtent l="0" t="0" r="127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2450" cy="3245349"/>
                    </a:xfrm>
                    <a:prstGeom prst="rect">
                      <a:avLst/>
                    </a:prstGeom>
                    <a:noFill/>
                    <a:ln>
                      <a:noFill/>
                    </a:ln>
                  </pic:spPr>
                </pic:pic>
              </a:graphicData>
            </a:graphic>
          </wp:inline>
        </w:drawing>
      </w:r>
    </w:p>
    <w:p w14:paraId="7BE75516" w14:textId="089B38B1"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6</w:t>
      </w:r>
      <w:r w:rsidRPr="00331CC2">
        <w:rPr>
          <w:rFonts w:eastAsiaTheme="minorHAnsi"/>
          <w:lang w:eastAsia="en-US"/>
        </w:rPr>
        <w:t xml:space="preserve">. </w:t>
      </w:r>
      <w:r w:rsidRPr="00331CC2">
        <w:rPr>
          <w:rFonts w:eastAsiaTheme="minorHAnsi"/>
          <w:bCs/>
          <w:iCs/>
          <w:lang w:eastAsia="en-US"/>
        </w:rPr>
        <w:t>Доля сетевых питейных заведений в муниципальных округах Санкт-Петербурга, %</w:t>
      </w:r>
    </w:p>
    <w:bookmarkEnd w:id="27"/>
    <w:p w14:paraId="74B81997" w14:textId="77777777" w:rsidR="00331CC2" w:rsidRPr="00331CC2" w:rsidRDefault="00331CC2" w:rsidP="00331CC2">
      <w:pPr>
        <w:spacing w:after="160" w:line="240" w:lineRule="auto"/>
        <w:rPr>
          <w:rFonts w:eastAsiaTheme="minorHAnsi"/>
          <w:bCs/>
          <w:iCs/>
          <w:sz w:val="22"/>
          <w:szCs w:val="22"/>
          <w:lang w:eastAsia="en-US"/>
        </w:rPr>
      </w:pPr>
      <w:r w:rsidRPr="00331CC2">
        <w:rPr>
          <w:rFonts w:eastAsiaTheme="minorHAnsi"/>
          <w:bCs/>
          <w:iCs/>
          <w:sz w:val="22"/>
          <w:szCs w:val="20"/>
          <w:lang w:eastAsia="en-US"/>
        </w:rPr>
        <w:t>*Составлено автором</w:t>
      </w:r>
    </w:p>
    <w:p w14:paraId="55BA9EAE" w14:textId="5F4D32A0"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Анализ взаимосвязи пространственных характеристик распределения питейных заведений по территории муниципальных округов с их социально-экономическими характеристиками позволил сделать следующие выводы. Наблюдается прямая положительная связь между показателем абсолютного количества питейных заведений и численность</w:t>
      </w:r>
      <w:r w:rsidR="009B081F">
        <w:rPr>
          <w:rFonts w:eastAsiaTheme="minorHAnsi"/>
          <w:szCs w:val="22"/>
          <w:lang w:eastAsia="en-US"/>
        </w:rPr>
        <w:t>ю</w:t>
      </w:r>
      <w:r w:rsidRPr="00331CC2">
        <w:rPr>
          <w:rFonts w:eastAsiaTheme="minorHAnsi"/>
          <w:szCs w:val="22"/>
          <w:lang w:eastAsia="en-US"/>
        </w:rPr>
        <w:t xml:space="preserve"> занятых на территории. Также наблюдается прямая положительная связь между количеством заведений и средними заработными платами (Рисунок 3</w:t>
      </w:r>
      <w:r w:rsidR="00E56DE6">
        <w:rPr>
          <w:rFonts w:eastAsiaTheme="minorHAnsi"/>
          <w:szCs w:val="22"/>
          <w:lang w:eastAsia="en-US"/>
        </w:rPr>
        <w:t>7</w:t>
      </w:r>
      <w:r w:rsidRPr="00331CC2">
        <w:rPr>
          <w:rFonts w:eastAsiaTheme="minorHAnsi"/>
          <w:szCs w:val="22"/>
          <w:lang w:eastAsia="en-US"/>
        </w:rPr>
        <w:t>). Это может свидетельствовать о том, что рынок питейных заведений ориентирован в большей степени на «дневное», работающее на данных территориях население с высокими заработными платами, ежели чем на «ночное» население, проживающее в основном в спальных районах периферии города. Между показателем обеспеченности населения питейными заведениями и социально-экономическими характеристиками населения связи очень слабые, поэтому нельзя говорить о каких-либо значимых закономерностях.</w:t>
      </w:r>
    </w:p>
    <w:p w14:paraId="7366578B" w14:textId="77777777" w:rsidR="00331CC2" w:rsidRPr="00331CC2" w:rsidRDefault="00331CC2" w:rsidP="00331CC2">
      <w:pPr>
        <w:spacing w:before="160"/>
        <w:rPr>
          <w:rFonts w:eastAsiaTheme="minorHAnsi"/>
          <w:szCs w:val="22"/>
          <w:lang w:eastAsia="en-US"/>
        </w:rPr>
      </w:pPr>
      <w:r w:rsidRPr="00331CC2">
        <w:rPr>
          <w:rFonts w:eastAsiaTheme="minorHAnsi"/>
          <w:noProof/>
          <w:szCs w:val="22"/>
          <w:lang w:eastAsia="en-US"/>
        </w:rPr>
        <w:lastRenderedPageBreak/>
        <w:drawing>
          <wp:inline distT="0" distB="0" distL="0" distR="0" wp14:anchorId="633DE4D5" wp14:editId="6BE8C660">
            <wp:extent cx="5108827" cy="3785239"/>
            <wp:effectExtent l="0" t="0" r="0" b="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50"/>
                    <a:stretch>
                      <a:fillRect/>
                    </a:stretch>
                  </pic:blipFill>
                  <pic:spPr>
                    <a:xfrm>
                      <a:off x="0" y="0"/>
                      <a:ext cx="5123684" cy="3796247"/>
                    </a:xfrm>
                    <a:prstGeom prst="rect">
                      <a:avLst/>
                    </a:prstGeom>
                  </pic:spPr>
                </pic:pic>
              </a:graphicData>
            </a:graphic>
          </wp:inline>
        </w:drawing>
      </w:r>
    </w:p>
    <w:p w14:paraId="383963A3" w14:textId="3DB5EBA9"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7</w:t>
      </w:r>
      <w:r w:rsidRPr="00331CC2">
        <w:rPr>
          <w:rFonts w:eastAsiaTheme="minorHAnsi"/>
          <w:lang w:eastAsia="en-US"/>
        </w:rPr>
        <w:t xml:space="preserve">. </w:t>
      </w:r>
      <w:r w:rsidRPr="00331CC2">
        <w:rPr>
          <w:rFonts w:eastAsiaTheme="minorHAnsi"/>
          <w:bCs/>
          <w:iCs/>
          <w:lang w:eastAsia="en-US"/>
        </w:rPr>
        <w:t>Матрица диаграмм рассеян</w:t>
      </w:r>
      <w:r w:rsidR="009B081F">
        <w:rPr>
          <w:rFonts w:eastAsiaTheme="minorHAnsi"/>
          <w:bCs/>
          <w:iCs/>
          <w:lang w:eastAsia="en-US"/>
        </w:rPr>
        <w:t>и</w:t>
      </w:r>
      <w:r w:rsidRPr="00331CC2">
        <w:rPr>
          <w:rFonts w:eastAsiaTheme="minorHAnsi"/>
          <w:bCs/>
          <w:iCs/>
          <w:lang w:eastAsia="en-US"/>
        </w:rPr>
        <w:t>я по показателям количества питейных заведений (</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bars</w:t>
      </w:r>
      <w:r w:rsidRPr="00331CC2">
        <w:rPr>
          <w:rFonts w:eastAsiaTheme="minorHAnsi"/>
          <w:bCs/>
          <w:iCs/>
          <w:lang w:eastAsia="en-US"/>
        </w:rPr>
        <w:t>), количество питейных заведений на 100 000 населения (</w:t>
      </w:r>
      <w:r w:rsidRPr="00331CC2">
        <w:rPr>
          <w:rFonts w:eastAsiaTheme="minorHAnsi"/>
          <w:bCs/>
          <w:iCs/>
          <w:lang w:val="en-US" w:eastAsia="en-US"/>
        </w:rPr>
        <w:t>bars</w:t>
      </w:r>
      <w:r w:rsidRPr="00331CC2">
        <w:rPr>
          <w:rFonts w:eastAsiaTheme="minorHAnsi"/>
          <w:bCs/>
          <w:iCs/>
          <w:lang w:eastAsia="en-US"/>
        </w:rPr>
        <w:t>_100</w:t>
      </w:r>
      <w:r w:rsidRPr="00331CC2">
        <w:rPr>
          <w:rFonts w:eastAsiaTheme="minorHAnsi"/>
          <w:bCs/>
          <w:iCs/>
          <w:lang w:val="en-US" w:eastAsia="en-US"/>
        </w:rPr>
        <w:t>k</w:t>
      </w:r>
      <w:r w:rsidRPr="00331CC2">
        <w:rPr>
          <w:rFonts w:eastAsiaTheme="minorHAnsi"/>
          <w:bCs/>
          <w:iCs/>
          <w:lang w:eastAsia="en-US"/>
        </w:rPr>
        <w:t>), численность населения (</w:t>
      </w:r>
      <w:r w:rsidRPr="00331CC2">
        <w:rPr>
          <w:rFonts w:eastAsiaTheme="minorHAnsi"/>
          <w:bCs/>
          <w:iCs/>
          <w:lang w:val="en-US" w:eastAsia="en-US"/>
        </w:rPr>
        <w:t>Population</w:t>
      </w:r>
      <w:r w:rsidRPr="00331CC2">
        <w:rPr>
          <w:rFonts w:eastAsiaTheme="minorHAnsi"/>
          <w:bCs/>
          <w:iCs/>
          <w:lang w:eastAsia="en-US"/>
        </w:rPr>
        <w:t>), численность занятых (</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rab</w:t>
      </w:r>
      <w:r w:rsidRPr="00331CC2">
        <w:rPr>
          <w:rFonts w:eastAsiaTheme="minorHAnsi"/>
          <w:bCs/>
          <w:iCs/>
          <w:lang w:eastAsia="en-US"/>
        </w:rPr>
        <w:t>), средняя заработная плата (</w:t>
      </w:r>
      <w:r w:rsidRPr="00331CC2">
        <w:rPr>
          <w:rFonts w:eastAsiaTheme="minorHAnsi"/>
          <w:bCs/>
          <w:iCs/>
          <w:lang w:val="en-US" w:eastAsia="en-US"/>
        </w:rPr>
        <w:t>sred</w:t>
      </w:r>
      <w:r w:rsidRPr="00331CC2">
        <w:rPr>
          <w:rFonts w:eastAsiaTheme="minorHAnsi"/>
          <w:bCs/>
          <w:iCs/>
          <w:lang w:eastAsia="en-US"/>
        </w:rPr>
        <w:t>_</w:t>
      </w:r>
      <w:r w:rsidRPr="00331CC2">
        <w:rPr>
          <w:rFonts w:eastAsiaTheme="minorHAnsi"/>
          <w:bCs/>
          <w:iCs/>
          <w:lang w:val="en-US" w:eastAsia="en-US"/>
        </w:rPr>
        <w:t>zp</w:t>
      </w:r>
      <w:r w:rsidRPr="00331CC2">
        <w:rPr>
          <w:rFonts w:eastAsiaTheme="minorHAnsi"/>
          <w:bCs/>
          <w:iCs/>
          <w:lang w:eastAsia="en-US"/>
        </w:rPr>
        <w:t>)</w:t>
      </w:r>
    </w:p>
    <w:p w14:paraId="0CB02CAD"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DAE8EC3" w14:textId="5443AEA1"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С целью более подробного анализа и выявления перспективных для развития рынка питейных заведений территорий была построена дополнительная диаграмма рассеян</w:t>
      </w:r>
      <w:r w:rsidR="009B081F">
        <w:rPr>
          <w:rFonts w:eastAsiaTheme="minorHAnsi"/>
          <w:szCs w:val="22"/>
          <w:lang w:eastAsia="en-US"/>
        </w:rPr>
        <w:t>и</w:t>
      </w:r>
      <w:r w:rsidRPr="00331CC2">
        <w:rPr>
          <w:rFonts w:eastAsiaTheme="minorHAnsi"/>
          <w:szCs w:val="22"/>
          <w:lang w:eastAsia="en-US"/>
        </w:rPr>
        <w:t>я. Муниципальные округа Санкт-Петербурга были классифицированы по показателям численности постоянного населения и средним заработным платам и распределены по квадрантам в зависимости от численности занятых и обеспеченности занятого населения питейными заведениями. Далее был проведен анализ этих квадрантов.</w:t>
      </w:r>
    </w:p>
    <w:p w14:paraId="0CA7A53C" w14:textId="685A6B62"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К левому верхнему квадранту были отнесены округа с низкой численностью занятых и высокой обеспеченностью питейными заведениями. Они также отличаются высокой численностью постоянного населения и низкими заработными платами. Это в первую очередь территории северной полупериферии, а также некоторые муниципальные округа восточной и южной полупериферии. Рынок данных территорий уже насыщен и открытие новых питейных заведений не перспективно.</w:t>
      </w:r>
    </w:p>
    <w:p w14:paraId="167AB2D6" w14:textId="77777777"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 xml:space="preserve">Левый нижний квадрант составили округа с низкими показателями как численности занятых, так и обеспеченности занятого населения питейными заведениями. В основном к ним относятся периферийные районы города, значительная часть из которых характеризуется высокой численностью населения. Уровень заработных плат дифференцирован. Данные территории не являются благоприятными для открытия бизнеса в </w:t>
      </w:r>
      <w:r w:rsidRPr="00331CC2">
        <w:rPr>
          <w:rFonts w:eastAsiaTheme="minorHAnsi"/>
          <w:szCs w:val="22"/>
          <w:lang w:eastAsia="en-US"/>
        </w:rPr>
        <w:lastRenderedPageBreak/>
        <w:t>рассматриваемой отрасли из-за упомянутой ранее ориентации питейных заведений на «дневное», занятое на территории население и относительно высокие заработные платы.</w:t>
      </w:r>
    </w:p>
    <w:p w14:paraId="7C2B6C84" w14:textId="77777777"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Правый верхний квадрант составляют округа с высокой обеспеченностью занятого населения питейными заведениями и большим числом занятых. В основном это центральные округа и округа по оси «Север-Юг» с низкой численностью постоянного населения и с уровнем заработных плат выше среднегородских. Питейный рынок данных территорий уже насыщен заведениями данной отрасли.</w:t>
      </w:r>
    </w:p>
    <w:p w14:paraId="28EF0DAC" w14:textId="2E96D344"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t>Наиболее перспективными территориями для открытия новых питейных заведений являются муниципальные округа правого нижнего квадранта, которые характеризуются высокой численностью занятых, но относительно низкой, сравнительно со среднегородской, обеспеченностью работающего на территории населения питейными заведениями. Данные территории также отличаются в основном высокой численностью постоянного населения и высокими заработными платами. Данная группа округов представлена южной периферией города, а также южной и восточной полупериферией (Рисунок 3</w:t>
      </w:r>
      <w:r w:rsidR="00E56DE6">
        <w:rPr>
          <w:rFonts w:eastAsiaTheme="minorHAnsi"/>
          <w:szCs w:val="22"/>
          <w:lang w:eastAsia="en-US"/>
        </w:rPr>
        <w:t>8</w:t>
      </w:r>
      <w:r w:rsidRPr="00331CC2">
        <w:rPr>
          <w:rFonts w:eastAsiaTheme="minorHAnsi"/>
          <w:szCs w:val="22"/>
          <w:lang w:eastAsia="en-US"/>
        </w:rPr>
        <w:t>).</w:t>
      </w:r>
    </w:p>
    <w:p w14:paraId="75EC53ED" w14:textId="77777777" w:rsidR="00331CC2" w:rsidRPr="00331CC2" w:rsidRDefault="00331CC2" w:rsidP="00331CC2">
      <w:pPr>
        <w:spacing w:before="160"/>
        <w:rPr>
          <w:rFonts w:eastAsiaTheme="minorHAnsi"/>
          <w:szCs w:val="22"/>
          <w:lang w:eastAsia="en-US"/>
        </w:rPr>
      </w:pPr>
      <w:r w:rsidRPr="00331CC2">
        <w:rPr>
          <w:rFonts w:eastAsiaTheme="minorHAnsi"/>
          <w:noProof/>
          <w:szCs w:val="22"/>
          <w:lang w:eastAsia="en-US"/>
        </w:rPr>
        <w:drawing>
          <wp:inline distT="0" distB="0" distL="0" distR="0" wp14:anchorId="5BF8232F" wp14:editId="28F10982">
            <wp:extent cx="5191677" cy="461576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20375" cy="4641281"/>
                    </a:xfrm>
                    <a:prstGeom prst="rect">
                      <a:avLst/>
                    </a:prstGeom>
                    <a:noFill/>
                  </pic:spPr>
                </pic:pic>
              </a:graphicData>
            </a:graphic>
          </wp:inline>
        </w:drawing>
      </w:r>
    </w:p>
    <w:p w14:paraId="065CA024" w14:textId="55E3054D"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8</w:t>
      </w:r>
      <w:r w:rsidRPr="00331CC2">
        <w:rPr>
          <w:rFonts w:eastAsiaTheme="minorHAnsi"/>
          <w:lang w:eastAsia="en-US"/>
        </w:rPr>
        <w:t xml:space="preserve">. </w:t>
      </w:r>
      <w:r w:rsidRPr="00331CC2">
        <w:rPr>
          <w:rFonts w:eastAsiaTheme="minorHAnsi"/>
          <w:bCs/>
          <w:iCs/>
          <w:lang w:eastAsia="en-US"/>
        </w:rPr>
        <w:t xml:space="preserve">Диаграмма рассеянья по показателям обеспеченность питейными заведениями занятого населения (ось </w:t>
      </w:r>
      <w:r w:rsidRPr="00331CC2">
        <w:rPr>
          <w:rFonts w:eastAsiaTheme="minorHAnsi"/>
          <w:bCs/>
          <w:iCs/>
          <w:lang w:val="en-US" w:eastAsia="en-US"/>
        </w:rPr>
        <w:t>y</w:t>
      </w:r>
      <w:r w:rsidRPr="00331CC2">
        <w:rPr>
          <w:rFonts w:eastAsiaTheme="minorHAnsi"/>
          <w:bCs/>
          <w:iCs/>
          <w:lang w:eastAsia="en-US"/>
        </w:rPr>
        <w:t xml:space="preserve"> – _</w:t>
      </w:r>
      <w:r w:rsidRPr="00331CC2">
        <w:rPr>
          <w:rFonts w:eastAsiaTheme="minorHAnsi"/>
          <w:bCs/>
          <w:iCs/>
          <w:lang w:val="en-US" w:eastAsia="en-US"/>
        </w:rPr>
        <w:t>barrab</w:t>
      </w:r>
      <w:r w:rsidRPr="00331CC2">
        <w:rPr>
          <w:rFonts w:eastAsiaTheme="minorHAnsi"/>
          <w:bCs/>
          <w:iCs/>
          <w:lang w:eastAsia="en-US"/>
        </w:rPr>
        <w:t xml:space="preserve">100), численность занятых (ось </w:t>
      </w:r>
      <w:r w:rsidRPr="00331CC2">
        <w:rPr>
          <w:rFonts w:eastAsiaTheme="minorHAnsi"/>
          <w:bCs/>
          <w:iCs/>
          <w:lang w:val="en-US" w:eastAsia="en-US"/>
        </w:rPr>
        <w:t>x</w:t>
      </w:r>
      <w:r w:rsidRPr="00331CC2">
        <w:rPr>
          <w:rFonts w:eastAsiaTheme="minorHAnsi"/>
          <w:bCs/>
          <w:iCs/>
          <w:lang w:eastAsia="en-US"/>
        </w:rPr>
        <w:t xml:space="preserve"> – _</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rab</w:t>
      </w:r>
      <w:r w:rsidRPr="00331CC2">
        <w:rPr>
          <w:rFonts w:eastAsiaTheme="minorHAnsi"/>
          <w:bCs/>
          <w:iCs/>
          <w:lang w:eastAsia="en-US"/>
        </w:rPr>
        <w:t>), численность населения (размер маркера), средняя заработная плата (цвет маркера)</w:t>
      </w:r>
    </w:p>
    <w:p w14:paraId="2A782E11"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F8C035D" w14:textId="77777777" w:rsidR="00331CC2" w:rsidRPr="00331CC2" w:rsidRDefault="00331CC2" w:rsidP="00331CC2">
      <w:pPr>
        <w:ind w:firstLine="851"/>
        <w:jc w:val="both"/>
        <w:rPr>
          <w:rFonts w:eastAsiaTheme="minorHAnsi"/>
          <w:szCs w:val="22"/>
          <w:lang w:eastAsia="en-US"/>
        </w:rPr>
      </w:pPr>
      <w:r w:rsidRPr="00331CC2">
        <w:rPr>
          <w:rFonts w:eastAsiaTheme="minorHAnsi"/>
          <w:szCs w:val="22"/>
          <w:lang w:eastAsia="en-US"/>
        </w:rPr>
        <w:lastRenderedPageBreak/>
        <w:t>Таким образом, питейные заведения ориентированы в основном на «дневное» население, сконцентрированное преимущественно в центральных районах города. Рынок питейных заведений этих муниципальных образований уже насыщен, поэтому территории не являются перспективными для открытия новых объектов данной отрасли. Наиболее перспективными для открытия данного типа бизнеса являются территории ближней периферии города, дальней южной периферии и некоторые центральные округа, в которых высока численность занятых и средние заработные платы выше.</w:t>
      </w:r>
    </w:p>
    <w:p w14:paraId="1969E1AD" w14:textId="5CAAF1CB" w:rsidR="00331CC2" w:rsidRPr="00331CC2" w:rsidRDefault="00331CC2" w:rsidP="00331CC2">
      <w:pPr>
        <w:keepNext/>
        <w:keepLines/>
        <w:spacing w:before="160" w:after="160"/>
        <w:outlineLvl w:val="1"/>
        <w:rPr>
          <w:rFonts w:eastAsiaTheme="majorEastAsia"/>
          <w:b/>
          <w:bCs/>
          <w:lang w:eastAsia="en-US"/>
        </w:rPr>
      </w:pPr>
      <w:bookmarkStart w:id="28" w:name="_Toc103641034"/>
      <w:r w:rsidRPr="00331CC2">
        <w:rPr>
          <w:rFonts w:eastAsiaTheme="majorEastAsia"/>
          <w:b/>
          <w:bCs/>
          <w:lang w:eastAsia="en-US"/>
        </w:rPr>
        <w:t>3.3. Основные особенности размещения</w:t>
      </w:r>
      <w:r w:rsidR="0074719F">
        <w:rPr>
          <w:rFonts w:eastAsiaTheme="majorEastAsia"/>
          <w:b/>
          <w:bCs/>
          <w:lang w:eastAsia="en-US"/>
        </w:rPr>
        <w:t xml:space="preserve"> пекарен</w:t>
      </w:r>
      <w:bookmarkEnd w:id="28"/>
    </w:p>
    <w:p w14:paraId="0E0369FD" w14:textId="77777777" w:rsidR="00331CC2" w:rsidRPr="00331CC2" w:rsidRDefault="00331CC2" w:rsidP="00331CC2">
      <w:pPr>
        <w:ind w:firstLine="851"/>
        <w:jc w:val="both"/>
        <w:rPr>
          <w:rFonts w:eastAsiaTheme="minorHAnsi"/>
          <w:lang w:eastAsia="en-US"/>
        </w:rPr>
      </w:pPr>
      <w:r w:rsidRPr="00331CC2">
        <w:rPr>
          <w:rFonts w:eastAsiaTheme="minorHAnsi"/>
          <w:lang w:eastAsia="en-US"/>
        </w:rPr>
        <w:t>По состоянию на август 2021 года в Санкт-Петербурге функционировало 1480 пекарен.</w:t>
      </w:r>
    </w:p>
    <w:p w14:paraId="3405D4F8" w14:textId="467BD46F" w:rsidR="00331CC2" w:rsidRPr="00331CC2" w:rsidRDefault="00331CC2" w:rsidP="00331CC2">
      <w:pPr>
        <w:ind w:firstLine="851"/>
        <w:jc w:val="both"/>
        <w:rPr>
          <w:rFonts w:eastAsiaTheme="minorHAnsi"/>
          <w:lang w:eastAsia="en-US"/>
        </w:rPr>
      </w:pPr>
      <w:r w:rsidRPr="00331CC2">
        <w:rPr>
          <w:rFonts w:eastAsiaTheme="minorHAnsi"/>
          <w:lang w:eastAsia="en-US"/>
        </w:rPr>
        <w:t>Лидерами по количеству объектов являются Муниципальные округа №65, Смольнинское и Звёздное, в них число торговых точек составило 53,45 и 43 соответственно. В некоторых МО пекарни отсутствуют: преимущественно это север города (Левашево, Лисий Нос, Белоостров, Солнечное, Смолячково, Молодежное, Серово, Ушково) и некоторые округа южной и западной периферии (Стрельна, Петро-Славянка, Тярлево, Александровская, Усть-Ижора, Саперный). Таким образом, в характере распределения пекарен по Санкт-Петербургу наблюдается тенденция «север-юг»: северные и южные территории концентрируют большее количество торговых точек (Рисунок 3</w:t>
      </w:r>
      <w:r w:rsidR="00E56DE6">
        <w:rPr>
          <w:rFonts w:eastAsiaTheme="minorHAnsi"/>
          <w:lang w:eastAsia="en-US"/>
        </w:rPr>
        <w:t>9</w:t>
      </w:r>
      <w:r w:rsidRPr="00331CC2">
        <w:rPr>
          <w:rFonts w:eastAsiaTheme="minorHAnsi"/>
          <w:lang w:eastAsia="en-US"/>
        </w:rPr>
        <w:t>).</w:t>
      </w:r>
    </w:p>
    <w:p w14:paraId="5EC80190" w14:textId="77777777" w:rsidR="00331CC2" w:rsidRPr="00331CC2" w:rsidRDefault="00331CC2" w:rsidP="00331CC2">
      <w:pPr>
        <w:spacing w:before="160"/>
        <w:rPr>
          <w:rFonts w:eastAsiaTheme="minorHAnsi"/>
          <w:lang w:eastAsia="en-US"/>
        </w:rPr>
      </w:pPr>
      <w:r w:rsidRPr="00331CC2">
        <w:rPr>
          <w:rFonts w:eastAsiaTheme="minorHAnsi"/>
          <w:noProof/>
          <w:szCs w:val="22"/>
        </w:rPr>
        <w:drawing>
          <wp:inline distT="0" distB="0" distL="0" distR="0" wp14:anchorId="695C7825" wp14:editId="124B2BF6">
            <wp:extent cx="3746863" cy="3427013"/>
            <wp:effectExtent l="0" t="0" r="0" b="0"/>
            <wp:docPr id="66" name="Рисунок 6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Diagram&#10;&#10;Description automatically generated with medium confidenc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9432" t="14342" r="10759" b="8327"/>
                    <a:stretch/>
                  </pic:blipFill>
                  <pic:spPr bwMode="auto">
                    <a:xfrm>
                      <a:off x="0" y="0"/>
                      <a:ext cx="3794902" cy="3470951"/>
                    </a:xfrm>
                    <a:prstGeom prst="rect">
                      <a:avLst/>
                    </a:prstGeom>
                    <a:noFill/>
                    <a:ln>
                      <a:noFill/>
                    </a:ln>
                    <a:extLst>
                      <a:ext uri="{53640926-AAD7-44D8-BBD7-CCE9431645EC}">
                        <a14:shadowObscured xmlns:a14="http://schemas.microsoft.com/office/drawing/2010/main"/>
                      </a:ext>
                    </a:extLst>
                  </pic:spPr>
                </pic:pic>
              </a:graphicData>
            </a:graphic>
          </wp:inline>
        </w:drawing>
      </w:r>
    </w:p>
    <w:p w14:paraId="39F0D87D" w14:textId="21A6BBAC" w:rsidR="00331CC2" w:rsidRPr="00331CC2" w:rsidRDefault="00331CC2" w:rsidP="00331CC2">
      <w:pPr>
        <w:spacing w:line="240" w:lineRule="auto"/>
        <w:rPr>
          <w:rFonts w:eastAsiaTheme="minorHAnsi"/>
          <w:bCs/>
          <w:iCs/>
          <w:lang w:eastAsia="en-US"/>
        </w:rPr>
      </w:pPr>
      <w:r w:rsidRPr="00331CC2">
        <w:rPr>
          <w:rFonts w:eastAsiaTheme="minorHAnsi"/>
          <w:lang w:eastAsia="en-US"/>
        </w:rPr>
        <w:t>Рисунок 3</w:t>
      </w:r>
      <w:r w:rsidR="00E56DE6">
        <w:rPr>
          <w:rFonts w:eastAsiaTheme="minorHAnsi"/>
          <w:lang w:eastAsia="en-US"/>
        </w:rPr>
        <w:t xml:space="preserve">9. </w:t>
      </w:r>
      <w:r w:rsidRPr="00331CC2">
        <w:rPr>
          <w:rFonts w:eastAsiaTheme="minorHAnsi"/>
          <w:bCs/>
          <w:iCs/>
          <w:lang w:eastAsia="en-US"/>
        </w:rPr>
        <w:t>Количество пекарен по муниципальным округам Санкт-Петербурга, штук</w:t>
      </w:r>
    </w:p>
    <w:p w14:paraId="67AE11D1"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 Составлено автором</w:t>
      </w:r>
    </w:p>
    <w:p w14:paraId="1BEE7A09" w14:textId="10CFE2B1" w:rsidR="00331CC2" w:rsidRPr="00331CC2" w:rsidRDefault="00331CC2" w:rsidP="005772D2">
      <w:pPr>
        <w:ind w:firstLine="851"/>
        <w:jc w:val="both"/>
        <w:rPr>
          <w:rFonts w:eastAsiaTheme="minorHAnsi"/>
          <w:lang w:eastAsia="en-US"/>
        </w:rPr>
      </w:pPr>
      <w:r w:rsidRPr="00331CC2">
        <w:rPr>
          <w:rFonts w:eastAsiaTheme="minorHAnsi"/>
          <w:lang w:eastAsia="en-US"/>
        </w:rPr>
        <w:lastRenderedPageBreak/>
        <w:t xml:space="preserve">Обеспеченность населения Санкт-Петербурга заведениями по выпечке хлебобулочных изделий неравномерна. Лидирующими территориями являются преимущественно МО: Дворцовый округ (117 пекарен на 100 000 населения), Лахта-Ольгино (108) и Аптекарский остров (104). Напротив, наименьшее количество свойственно окраинным районам: Металлострой – 7; Урицк – 7; Константиновское – 8. В данном случае исключением является МО Комарово на севере города, поскольку на него приходится 76 пекарни на 100 тыс. населения (данное значение приведено при пересчете на 100 000 чел., в реальности население Комарово составляет 1313 человек) (Рисунок </w:t>
      </w:r>
      <w:r w:rsidR="00E56DE6">
        <w:rPr>
          <w:rFonts w:eastAsiaTheme="minorHAnsi"/>
          <w:lang w:eastAsia="en-US"/>
        </w:rPr>
        <w:t>40</w:t>
      </w:r>
      <w:r w:rsidRPr="00331CC2">
        <w:rPr>
          <w:rFonts w:eastAsiaTheme="minorHAnsi"/>
          <w:lang w:eastAsia="en-US"/>
        </w:rPr>
        <w:t>).</w:t>
      </w:r>
    </w:p>
    <w:p w14:paraId="26CC6F75" w14:textId="77777777" w:rsidR="00331CC2" w:rsidRPr="00331CC2" w:rsidRDefault="00331CC2" w:rsidP="00331CC2">
      <w:pPr>
        <w:spacing w:before="160" w:line="240" w:lineRule="auto"/>
        <w:rPr>
          <w:rFonts w:eastAsiaTheme="minorHAnsi"/>
          <w:lang w:eastAsia="en-US"/>
        </w:rPr>
      </w:pPr>
      <w:bookmarkStart w:id="29" w:name="_Hlk97909397"/>
      <w:r w:rsidRPr="00331CC2">
        <w:rPr>
          <w:rFonts w:eastAsiaTheme="minorHAnsi"/>
          <w:noProof/>
          <w:szCs w:val="22"/>
        </w:rPr>
        <w:drawing>
          <wp:inline distT="0" distB="0" distL="0" distR="0" wp14:anchorId="34076D08" wp14:editId="3975C7A9">
            <wp:extent cx="4205345" cy="3570136"/>
            <wp:effectExtent l="0" t="0" r="0" b="0"/>
            <wp:docPr id="67" name="Рисунок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Map&#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t="9417"/>
                    <a:stretch/>
                  </pic:blipFill>
                  <pic:spPr bwMode="auto">
                    <a:xfrm>
                      <a:off x="0" y="0"/>
                      <a:ext cx="4274140" cy="3628540"/>
                    </a:xfrm>
                    <a:prstGeom prst="rect">
                      <a:avLst/>
                    </a:prstGeom>
                    <a:noFill/>
                    <a:ln>
                      <a:noFill/>
                    </a:ln>
                    <a:extLst>
                      <a:ext uri="{53640926-AAD7-44D8-BBD7-CCE9431645EC}">
                        <a14:shadowObscured xmlns:a14="http://schemas.microsoft.com/office/drawing/2010/main"/>
                      </a:ext>
                    </a:extLst>
                  </pic:spPr>
                </pic:pic>
              </a:graphicData>
            </a:graphic>
          </wp:inline>
        </w:drawing>
      </w:r>
    </w:p>
    <w:p w14:paraId="0BDC9A39" w14:textId="2ECF93C2"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40</w:t>
      </w:r>
      <w:r w:rsidRPr="00331CC2">
        <w:rPr>
          <w:rFonts w:eastAsiaTheme="minorHAnsi"/>
          <w:lang w:eastAsia="en-US"/>
        </w:rPr>
        <w:t xml:space="preserve">. </w:t>
      </w:r>
      <w:r w:rsidRPr="00331CC2">
        <w:rPr>
          <w:rFonts w:eastAsiaTheme="minorHAnsi"/>
          <w:bCs/>
          <w:iCs/>
          <w:lang w:eastAsia="en-US"/>
        </w:rPr>
        <w:t>Обеспеченность населения Санкт-Петербурга пекарнями на 100 тыс. населения по муниципальным округам</w:t>
      </w:r>
    </w:p>
    <w:bookmarkEnd w:id="29"/>
    <w:p w14:paraId="29153175"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2D172A8D" w14:textId="1134CAC7" w:rsidR="00331CC2" w:rsidRPr="00331CC2" w:rsidRDefault="00331CC2" w:rsidP="005772D2">
      <w:pPr>
        <w:ind w:firstLine="851"/>
        <w:jc w:val="both"/>
        <w:rPr>
          <w:rFonts w:eastAsiaTheme="minorHAnsi"/>
          <w:lang w:eastAsia="en-US"/>
        </w:rPr>
      </w:pPr>
      <w:r w:rsidRPr="00331CC2">
        <w:rPr>
          <w:rFonts w:eastAsiaTheme="minorHAnsi"/>
          <w:lang w:eastAsia="en-US"/>
        </w:rPr>
        <w:t xml:space="preserve">Как уже говорилось выше, в сетевые пекарни были выделены те, число которых составило 5 филиалов и больше. Их количество насчитывает 962 и в общей численности всех торговых точек их доля достигает 65%. Наибольший процент от общего числа торговых объектов они занимают в Литейном округе (81%), МО Лахта-Ольгино (80%) и Кронверкском (79%); наименьший – в Сестрорецке (13%) и в МО Северный (7%) (Рисунок </w:t>
      </w:r>
      <w:r w:rsidR="00E56DE6">
        <w:rPr>
          <w:rFonts w:eastAsiaTheme="minorHAnsi"/>
          <w:lang w:eastAsia="en-US"/>
        </w:rPr>
        <w:t>41</w:t>
      </w:r>
      <w:r w:rsidRPr="00331CC2">
        <w:rPr>
          <w:rFonts w:eastAsiaTheme="minorHAnsi"/>
          <w:lang w:eastAsia="en-US"/>
        </w:rPr>
        <w:t>). В целом можно проследить закономерность: центральные территории города имеют более высокую долю сетевых ритейлеров в структуре рынка.</w:t>
      </w:r>
    </w:p>
    <w:p w14:paraId="6CC81CEA" w14:textId="77777777" w:rsidR="00331CC2" w:rsidRPr="00331CC2" w:rsidRDefault="00331CC2" w:rsidP="00331CC2">
      <w:pPr>
        <w:spacing w:before="160" w:line="240" w:lineRule="auto"/>
        <w:rPr>
          <w:rFonts w:eastAsiaTheme="minorHAnsi"/>
          <w:lang w:eastAsia="en-US"/>
        </w:rPr>
      </w:pPr>
      <w:bookmarkStart w:id="30" w:name="_Hlk97909423"/>
      <w:r w:rsidRPr="00331CC2">
        <w:rPr>
          <w:rFonts w:eastAsiaTheme="minorHAnsi"/>
          <w:noProof/>
          <w:szCs w:val="22"/>
        </w:rPr>
        <w:lastRenderedPageBreak/>
        <w:drawing>
          <wp:inline distT="0" distB="0" distL="0" distR="0" wp14:anchorId="2EA11351" wp14:editId="4E388AD0">
            <wp:extent cx="4303683" cy="3840480"/>
            <wp:effectExtent l="0" t="0" r="0" b="0"/>
            <wp:docPr id="68" name="Рисунок 6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Diagram, map&#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7822" t="14922" r="10964" b="7856"/>
                    <a:stretch/>
                  </pic:blipFill>
                  <pic:spPr bwMode="auto">
                    <a:xfrm>
                      <a:off x="0" y="0"/>
                      <a:ext cx="4339864" cy="3872767"/>
                    </a:xfrm>
                    <a:prstGeom prst="rect">
                      <a:avLst/>
                    </a:prstGeom>
                    <a:noFill/>
                    <a:ln>
                      <a:noFill/>
                    </a:ln>
                    <a:extLst>
                      <a:ext uri="{53640926-AAD7-44D8-BBD7-CCE9431645EC}">
                        <a14:shadowObscured xmlns:a14="http://schemas.microsoft.com/office/drawing/2010/main"/>
                      </a:ext>
                    </a:extLst>
                  </pic:spPr>
                </pic:pic>
              </a:graphicData>
            </a:graphic>
          </wp:inline>
        </w:drawing>
      </w:r>
    </w:p>
    <w:p w14:paraId="540A37F7" w14:textId="0A88D67F"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41</w:t>
      </w:r>
      <w:r w:rsidRPr="00331CC2">
        <w:rPr>
          <w:rFonts w:eastAsiaTheme="minorHAnsi"/>
          <w:lang w:eastAsia="en-US"/>
        </w:rPr>
        <w:t xml:space="preserve">. </w:t>
      </w:r>
      <w:r w:rsidRPr="00331CC2">
        <w:rPr>
          <w:rFonts w:eastAsiaTheme="minorHAnsi"/>
          <w:bCs/>
          <w:iCs/>
          <w:lang w:eastAsia="en-US"/>
        </w:rPr>
        <w:t>Доля сетевых пекарен по муниципальным округам Санкт-Петербурга, %</w:t>
      </w:r>
    </w:p>
    <w:bookmarkEnd w:id="30"/>
    <w:p w14:paraId="750D232C" w14:textId="795B0282" w:rsidR="002B7869" w:rsidRPr="0016487B" w:rsidRDefault="00331CC2" w:rsidP="0016487B">
      <w:pPr>
        <w:spacing w:after="160" w:line="240" w:lineRule="auto"/>
        <w:rPr>
          <w:rFonts w:eastAsiaTheme="minorHAnsi"/>
          <w:bCs/>
          <w:iCs/>
          <w:sz w:val="22"/>
          <w:szCs w:val="22"/>
          <w:lang w:eastAsia="en-US"/>
        </w:rPr>
      </w:pPr>
      <w:r w:rsidRPr="00331CC2">
        <w:rPr>
          <w:rFonts w:eastAsiaTheme="minorHAnsi"/>
          <w:bCs/>
          <w:iCs/>
          <w:sz w:val="22"/>
          <w:szCs w:val="20"/>
          <w:lang w:eastAsia="en-US"/>
        </w:rPr>
        <w:t>*Составлено автором</w:t>
      </w:r>
    </w:p>
    <w:p w14:paraId="731B65CB" w14:textId="7093E6E0" w:rsidR="00331CC2" w:rsidRPr="00331CC2" w:rsidRDefault="00331CC2" w:rsidP="005772D2">
      <w:pPr>
        <w:ind w:firstLine="851"/>
        <w:jc w:val="both"/>
        <w:rPr>
          <w:rFonts w:eastAsiaTheme="minorHAnsi"/>
          <w:lang w:eastAsia="en-US"/>
        </w:rPr>
      </w:pPr>
      <w:r w:rsidRPr="00331CC2">
        <w:rPr>
          <w:rFonts w:eastAsiaTheme="minorHAnsi"/>
          <w:lang w:eastAsia="en-US"/>
        </w:rPr>
        <w:t>В рамках исследования также был проведен анализ взаимосвязи социально-экономических характеристик, рассмотренных ранее (численность населения, средняя заработная плата, количество работников на территории), и степень их влияния на размещение объектов торговли по территории города.</w:t>
      </w:r>
    </w:p>
    <w:p w14:paraId="7D1D1959" w14:textId="27EC5D65" w:rsidR="00331CC2" w:rsidRPr="00331CC2" w:rsidRDefault="00331CC2" w:rsidP="005772D2">
      <w:pPr>
        <w:ind w:firstLine="851"/>
        <w:jc w:val="both"/>
        <w:rPr>
          <w:rFonts w:eastAsiaTheme="minorHAnsi"/>
          <w:lang w:eastAsia="en-US"/>
        </w:rPr>
      </w:pPr>
      <w:r w:rsidRPr="00331CC2">
        <w:rPr>
          <w:rFonts w:eastAsiaTheme="minorHAnsi"/>
          <w:lang w:eastAsia="en-US"/>
        </w:rPr>
        <w:t xml:space="preserve">Показатель абсолютного количества пекарен имеет тенденцию к взаимосвязи с показателем общей численности населения и численностью работников. Также заметна тенденция к взаимосвязи между численностью работников и относительной обеспеченностью населения торговыми точками (Рисунок </w:t>
      </w:r>
      <w:r w:rsidR="00E56DE6">
        <w:rPr>
          <w:rFonts w:eastAsiaTheme="minorHAnsi"/>
          <w:lang w:eastAsia="en-US"/>
        </w:rPr>
        <w:t>42</w:t>
      </w:r>
      <w:r w:rsidRPr="00331CC2">
        <w:rPr>
          <w:rFonts w:eastAsiaTheme="minorHAnsi"/>
          <w:lang w:eastAsia="en-US"/>
        </w:rPr>
        <w:t>). Взаимосвязи между показателями пространственной организации пекарен и средней заработной платы, а также между относительной обеспеченностью населения пекарнями и численностью населения обнаружено не было.</w:t>
      </w:r>
    </w:p>
    <w:p w14:paraId="60626E3B" w14:textId="77777777" w:rsidR="00331CC2" w:rsidRPr="00331CC2" w:rsidRDefault="00331CC2" w:rsidP="00331CC2">
      <w:pPr>
        <w:spacing w:before="160"/>
        <w:rPr>
          <w:rFonts w:eastAsiaTheme="minorHAnsi"/>
          <w:sz w:val="22"/>
          <w:szCs w:val="22"/>
          <w:lang w:eastAsia="en-US"/>
        </w:rPr>
      </w:pPr>
      <w:r w:rsidRPr="00331CC2">
        <w:rPr>
          <w:rFonts w:eastAsiaTheme="minorHAnsi"/>
          <w:noProof/>
          <w:sz w:val="22"/>
          <w:szCs w:val="22"/>
          <w:lang w:eastAsia="en-US"/>
        </w:rPr>
        <w:lastRenderedPageBreak/>
        <w:drawing>
          <wp:inline distT="0" distB="0" distL="0" distR="0" wp14:anchorId="5BBC6772" wp14:editId="2B6EBA05">
            <wp:extent cx="4632573" cy="3906385"/>
            <wp:effectExtent l="0" t="0" r="0" b="0"/>
            <wp:docPr id="106" name="Picture 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10;&#10;Description automatically generated"/>
                    <pic:cNvPicPr/>
                  </pic:nvPicPr>
                  <pic:blipFill>
                    <a:blip r:embed="rId55"/>
                    <a:stretch>
                      <a:fillRect/>
                    </a:stretch>
                  </pic:blipFill>
                  <pic:spPr>
                    <a:xfrm>
                      <a:off x="0" y="0"/>
                      <a:ext cx="4644225" cy="3916210"/>
                    </a:xfrm>
                    <a:prstGeom prst="rect">
                      <a:avLst/>
                    </a:prstGeom>
                  </pic:spPr>
                </pic:pic>
              </a:graphicData>
            </a:graphic>
          </wp:inline>
        </w:drawing>
      </w:r>
    </w:p>
    <w:p w14:paraId="3B2BB3DC" w14:textId="5CA67642"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42</w:t>
      </w:r>
      <w:r w:rsidRPr="00331CC2">
        <w:rPr>
          <w:rFonts w:eastAsiaTheme="minorHAnsi"/>
          <w:lang w:eastAsia="en-US"/>
        </w:rPr>
        <w:t xml:space="preserve">. </w:t>
      </w:r>
      <w:r w:rsidRPr="00331CC2">
        <w:rPr>
          <w:rFonts w:eastAsiaTheme="minorHAnsi"/>
          <w:bCs/>
          <w:iCs/>
          <w:lang w:eastAsia="en-US"/>
        </w:rPr>
        <w:t>Матрица диаграмм рассеян</w:t>
      </w:r>
      <w:r w:rsidR="007F66E6">
        <w:rPr>
          <w:rFonts w:eastAsiaTheme="minorHAnsi"/>
          <w:bCs/>
          <w:iCs/>
          <w:lang w:eastAsia="en-US"/>
        </w:rPr>
        <w:t>и</w:t>
      </w:r>
      <w:r w:rsidRPr="00331CC2">
        <w:rPr>
          <w:rFonts w:eastAsiaTheme="minorHAnsi"/>
          <w:bCs/>
          <w:iCs/>
          <w:lang w:eastAsia="en-US"/>
        </w:rPr>
        <w:t>я по показателям количества пекарен (</w:t>
      </w:r>
      <w:r w:rsidRPr="00331CC2">
        <w:rPr>
          <w:rFonts w:eastAsiaTheme="minorHAnsi"/>
          <w:bCs/>
          <w:iCs/>
          <w:lang w:val="en-US" w:eastAsia="en-US"/>
        </w:rPr>
        <w:t>baker</w:t>
      </w:r>
      <w:r w:rsidRPr="00331CC2">
        <w:rPr>
          <w:rFonts w:eastAsiaTheme="minorHAnsi"/>
          <w:bCs/>
          <w:iCs/>
          <w:lang w:eastAsia="en-US"/>
        </w:rPr>
        <w:t>), количество пекарен на 100 000 населения (</w:t>
      </w:r>
      <w:r w:rsidRPr="00331CC2">
        <w:rPr>
          <w:rFonts w:eastAsiaTheme="minorHAnsi"/>
          <w:bCs/>
          <w:iCs/>
          <w:lang w:val="en-US" w:eastAsia="en-US"/>
        </w:rPr>
        <w:t>baker</w:t>
      </w:r>
      <w:bookmarkStart w:id="31" w:name="_Hlk95936157"/>
      <w:r w:rsidRPr="00331CC2">
        <w:rPr>
          <w:rFonts w:eastAsiaTheme="minorHAnsi"/>
          <w:bCs/>
          <w:iCs/>
          <w:lang w:eastAsia="en-US"/>
        </w:rPr>
        <w:t>_</w:t>
      </w:r>
      <w:bookmarkEnd w:id="31"/>
      <w:r w:rsidRPr="00331CC2">
        <w:rPr>
          <w:rFonts w:eastAsiaTheme="minorHAnsi"/>
          <w:bCs/>
          <w:iCs/>
          <w:lang w:eastAsia="en-US"/>
        </w:rPr>
        <w:t>100</w:t>
      </w:r>
      <w:r w:rsidRPr="00331CC2">
        <w:rPr>
          <w:rFonts w:eastAsiaTheme="minorHAnsi"/>
          <w:bCs/>
          <w:iCs/>
          <w:lang w:val="en-US" w:eastAsia="en-US"/>
        </w:rPr>
        <w:t>k</w:t>
      </w:r>
      <w:r w:rsidRPr="00331CC2">
        <w:rPr>
          <w:rFonts w:eastAsiaTheme="minorHAnsi"/>
          <w:bCs/>
          <w:iCs/>
          <w:lang w:eastAsia="en-US"/>
        </w:rPr>
        <w:t>), численность населения (</w:t>
      </w:r>
      <w:r w:rsidRPr="00331CC2">
        <w:rPr>
          <w:rFonts w:eastAsiaTheme="minorHAnsi"/>
          <w:bCs/>
          <w:iCs/>
          <w:lang w:val="en-US" w:eastAsia="en-US"/>
        </w:rPr>
        <w:t>pop</w:t>
      </w:r>
      <w:r w:rsidRPr="00331CC2">
        <w:rPr>
          <w:rFonts w:eastAsiaTheme="minorHAnsi"/>
          <w:bCs/>
          <w:iCs/>
          <w:lang w:eastAsia="en-US"/>
        </w:rPr>
        <w:t>), численность занятых (</w:t>
      </w:r>
      <w:r w:rsidRPr="00331CC2">
        <w:rPr>
          <w:rFonts w:eastAsiaTheme="minorHAnsi"/>
          <w:bCs/>
          <w:iCs/>
          <w:lang w:val="en-US" w:eastAsia="en-US"/>
        </w:rPr>
        <w:t>r</w:t>
      </w:r>
      <w:r w:rsidRPr="00331CC2">
        <w:rPr>
          <w:rFonts w:eastAsiaTheme="minorHAnsi"/>
          <w:bCs/>
          <w:iCs/>
          <w:lang w:eastAsia="en-US"/>
        </w:rPr>
        <w:t>_</w:t>
      </w:r>
      <w:r w:rsidRPr="00331CC2">
        <w:rPr>
          <w:rFonts w:eastAsiaTheme="minorHAnsi"/>
          <w:bCs/>
          <w:iCs/>
          <w:lang w:val="en-US" w:eastAsia="en-US"/>
        </w:rPr>
        <w:t>all</w:t>
      </w:r>
      <w:r w:rsidRPr="00331CC2">
        <w:rPr>
          <w:rFonts w:eastAsiaTheme="minorHAnsi"/>
          <w:bCs/>
          <w:iCs/>
          <w:lang w:eastAsia="en-US"/>
        </w:rPr>
        <w:t>), средняя заработная плата (</w:t>
      </w:r>
      <w:r w:rsidRPr="00331CC2">
        <w:rPr>
          <w:rFonts w:eastAsiaTheme="minorHAnsi"/>
          <w:bCs/>
          <w:iCs/>
          <w:lang w:val="en-US" w:eastAsia="en-US"/>
        </w:rPr>
        <w:t>srp</w:t>
      </w:r>
      <w:r w:rsidRPr="00331CC2">
        <w:rPr>
          <w:rFonts w:eastAsiaTheme="minorHAnsi"/>
          <w:bCs/>
          <w:iCs/>
          <w:lang w:eastAsia="en-US"/>
        </w:rPr>
        <w:t>_</w:t>
      </w:r>
      <w:r w:rsidRPr="00331CC2">
        <w:rPr>
          <w:rFonts w:eastAsiaTheme="minorHAnsi"/>
          <w:bCs/>
          <w:iCs/>
          <w:lang w:val="en-US" w:eastAsia="en-US"/>
        </w:rPr>
        <w:t>all</w:t>
      </w:r>
      <w:r w:rsidRPr="00331CC2">
        <w:rPr>
          <w:rFonts w:eastAsiaTheme="minorHAnsi"/>
          <w:bCs/>
          <w:iCs/>
          <w:lang w:eastAsia="en-US"/>
        </w:rPr>
        <w:t>)</w:t>
      </w:r>
    </w:p>
    <w:p w14:paraId="169FE461"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0F090E78" w14:textId="026CD350" w:rsidR="00331CC2" w:rsidRPr="00331CC2" w:rsidRDefault="00331CC2" w:rsidP="005772D2">
      <w:pPr>
        <w:ind w:firstLine="851"/>
        <w:jc w:val="both"/>
        <w:rPr>
          <w:rFonts w:eastAsiaTheme="minorHAnsi"/>
          <w:lang w:eastAsia="en-US"/>
        </w:rPr>
      </w:pPr>
      <w:r w:rsidRPr="00331CC2">
        <w:rPr>
          <w:rFonts w:eastAsiaTheme="minorHAnsi"/>
          <w:szCs w:val="22"/>
          <w:lang w:eastAsia="en-US"/>
        </w:rPr>
        <w:t xml:space="preserve">Для более подробного анализа была составлена диаграмма рассеяния по показателям относительной обеспеченности населения пекарнями, численности населения, численности занятых и средней заработной платой (Рисунок </w:t>
      </w:r>
      <w:r w:rsidR="00E56DE6">
        <w:rPr>
          <w:rFonts w:eastAsiaTheme="minorHAnsi"/>
          <w:szCs w:val="22"/>
          <w:lang w:eastAsia="en-US"/>
        </w:rPr>
        <w:t>43</w:t>
      </w:r>
      <w:r w:rsidRPr="00331CC2">
        <w:rPr>
          <w:rFonts w:eastAsiaTheme="minorHAnsi"/>
          <w:szCs w:val="22"/>
          <w:lang w:eastAsia="en-US"/>
        </w:rPr>
        <w:t xml:space="preserve">) и проведен анализ по квадрантам. Из </w:t>
      </w:r>
      <w:r w:rsidRPr="00331CC2">
        <w:rPr>
          <w:rFonts w:eastAsiaTheme="minorHAnsi"/>
          <w:lang w:eastAsia="en-US"/>
        </w:rPr>
        <w:t>диаграммы видно, что муниципальные округа с максимальной заработной платой (яркий красный цвет маркера) имеют меньше всего численность постоянного и занятого (размер маркера) на территории населения и меньшую обеспеченность торговыми точками – левый нижний квадрант).</w:t>
      </w:r>
      <w:r w:rsidRPr="00331CC2">
        <w:rPr>
          <w:rFonts w:eastAsiaTheme="minorHAnsi"/>
          <w:sz w:val="22"/>
          <w:szCs w:val="22"/>
          <w:lang w:eastAsia="en-US"/>
        </w:rPr>
        <w:t xml:space="preserve"> </w:t>
      </w:r>
      <w:r w:rsidRPr="00331CC2">
        <w:rPr>
          <w:rFonts w:eastAsiaTheme="minorHAnsi"/>
          <w:lang w:eastAsia="en-US"/>
        </w:rPr>
        <w:t xml:space="preserve">Округа правого верхнего квадранта с численностью постоянного населения выше среднего и развитым рынком пекарен имеют также довольной высокие заработные платы и число занятых. Это в первую очередь округа ближней периферии по оси Север-Юг. Левый верхний квадрант представляет собой МО с насыщенным рынком пекарен, но численностью постоянного населения ниже среднего, но большим количеством занятых и высокими заработными платами. Это в основном центральные территории города, в которых постоянно проживает меньшее к-во населения, а работает – большее. Перспективными для развития рынка могут оказаться МО правого нижнего квадранта с обеспеченностью </w:t>
      </w:r>
      <w:r w:rsidR="007F66E6" w:rsidRPr="00331CC2">
        <w:rPr>
          <w:rFonts w:eastAsiaTheme="minorHAnsi"/>
          <w:lang w:eastAsia="en-US"/>
        </w:rPr>
        <w:t>пекарн</w:t>
      </w:r>
      <w:r w:rsidR="007F66E6">
        <w:rPr>
          <w:rFonts w:eastAsiaTheme="minorHAnsi"/>
          <w:lang w:eastAsia="en-US"/>
        </w:rPr>
        <w:t>я</w:t>
      </w:r>
      <w:r w:rsidR="007F66E6" w:rsidRPr="00331CC2">
        <w:rPr>
          <w:rFonts w:eastAsiaTheme="minorHAnsi"/>
          <w:lang w:eastAsia="en-US"/>
        </w:rPr>
        <w:t xml:space="preserve">ми </w:t>
      </w:r>
      <w:r w:rsidRPr="00331CC2">
        <w:rPr>
          <w:rFonts w:eastAsiaTheme="minorHAnsi"/>
          <w:lang w:eastAsia="en-US"/>
        </w:rPr>
        <w:t>ниже среднего и высокой численностью населения. Преимущественно здесь заработная плата невысока, как и численность занятых на территории. К данным территориям относится периферия и отчасти полупериферия города.</w:t>
      </w:r>
    </w:p>
    <w:p w14:paraId="697CD208" w14:textId="77777777" w:rsidR="00331CC2" w:rsidRPr="00331CC2" w:rsidRDefault="00331CC2" w:rsidP="00331CC2">
      <w:pPr>
        <w:spacing w:before="160"/>
        <w:rPr>
          <w:rFonts w:eastAsiaTheme="minorHAnsi"/>
          <w:lang w:eastAsia="en-US"/>
        </w:rPr>
      </w:pPr>
      <w:r w:rsidRPr="00331CC2">
        <w:rPr>
          <w:rFonts w:eastAsiaTheme="minorHAnsi"/>
          <w:noProof/>
          <w:lang w:eastAsia="en-US"/>
        </w:rPr>
        <w:lastRenderedPageBreak/>
        <w:drawing>
          <wp:inline distT="0" distB="0" distL="0" distR="0" wp14:anchorId="5F6535E7" wp14:editId="5CEE6D92">
            <wp:extent cx="4474486" cy="4592873"/>
            <wp:effectExtent l="0" t="0" r="0" b="0"/>
            <wp:docPr id="34" name="Picture 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97093" cy="4616078"/>
                    </a:xfrm>
                    <a:prstGeom prst="rect">
                      <a:avLst/>
                    </a:prstGeom>
                    <a:noFill/>
                  </pic:spPr>
                </pic:pic>
              </a:graphicData>
            </a:graphic>
          </wp:inline>
        </w:drawing>
      </w:r>
    </w:p>
    <w:p w14:paraId="74925ED6" w14:textId="01142D43"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43</w:t>
      </w:r>
      <w:r w:rsidRPr="00331CC2">
        <w:rPr>
          <w:rFonts w:eastAsiaTheme="minorHAnsi"/>
          <w:lang w:eastAsia="en-US"/>
        </w:rPr>
        <w:t xml:space="preserve">. </w:t>
      </w:r>
      <w:r w:rsidRPr="00331CC2">
        <w:rPr>
          <w:rFonts w:eastAsiaTheme="minorHAnsi"/>
          <w:bCs/>
          <w:iCs/>
          <w:lang w:eastAsia="en-US"/>
        </w:rPr>
        <w:t>Диаграмма рассеян</w:t>
      </w:r>
      <w:r w:rsidR="007F66E6">
        <w:rPr>
          <w:rFonts w:eastAsiaTheme="minorHAnsi"/>
          <w:bCs/>
          <w:iCs/>
          <w:lang w:eastAsia="en-US"/>
        </w:rPr>
        <w:t>и</w:t>
      </w:r>
      <w:r w:rsidRPr="00331CC2">
        <w:rPr>
          <w:rFonts w:eastAsiaTheme="minorHAnsi"/>
          <w:bCs/>
          <w:iCs/>
          <w:lang w:eastAsia="en-US"/>
        </w:rPr>
        <w:t xml:space="preserve">я по показателям количество пекарен на 100 000 населения (ось </w:t>
      </w:r>
      <w:r w:rsidRPr="00331CC2">
        <w:rPr>
          <w:rFonts w:eastAsiaTheme="minorHAnsi"/>
          <w:bCs/>
          <w:iCs/>
          <w:lang w:val="en-US" w:eastAsia="en-US"/>
        </w:rPr>
        <w:t>y</w:t>
      </w:r>
      <w:r w:rsidRPr="00331CC2">
        <w:rPr>
          <w:rFonts w:eastAsiaTheme="minorHAnsi"/>
          <w:bCs/>
          <w:iCs/>
          <w:lang w:eastAsia="en-US"/>
        </w:rPr>
        <w:t xml:space="preserve"> – </w:t>
      </w:r>
      <w:r w:rsidRPr="00331CC2">
        <w:rPr>
          <w:rFonts w:eastAsiaTheme="minorHAnsi"/>
          <w:bCs/>
          <w:iCs/>
          <w:lang w:val="en-US" w:eastAsia="en-US"/>
        </w:rPr>
        <w:t>baker</w:t>
      </w:r>
      <w:r w:rsidRPr="00331CC2">
        <w:rPr>
          <w:rFonts w:eastAsiaTheme="minorHAnsi"/>
          <w:bCs/>
          <w:iCs/>
          <w:lang w:eastAsia="en-US"/>
        </w:rPr>
        <w:t>_100</w:t>
      </w:r>
      <w:r w:rsidRPr="00331CC2">
        <w:rPr>
          <w:rFonts w:eastAsiaTheme="minorHAnsi"/>
          <w:bCs/>
          <w:iCs/>
          <w:lang w:val="en-US" w:eastAsia="en-US"/>
        </w:rPr>
        <w:t>k</w:t>
      </w:r>
      <w:r w:rsidRPr="00331CC2">
        <w:rPr>
          <w:rFonts w:eastAsiaTheme="minorHAnsi"/>
          <w:bCs/>
          <w:iCs/>
          <w:lang w:eastAsia="en-US"/>
        </w:rPr>
        <w:t xml:space="preserve">), численность населения (ось </w:t>
      </w:r>
      <w:r w:rsidRPr="00331CC2">
        <w:rPr>
          <w:rFonts w:eastAsiaTheme="minorHAnsi"/>
          <w:bCs/>
          <w:iCs/>
          <w:lang w:val="en-US" w:eastAsia="en-US"/>
        </w:rPr>
        <w:t>x</w:t>
      </w:r>
      <w:r w:rsidRPr="00331CC2">
        <w:rPr>
          <w:rFonts w:eastAsiaTheme="minorHAnsi"/>
          <w:bCs/>
          <w:iCs/>
          <w:lang w:eastAsia="en-US"/>
        </w:rPr>
        <w:t xml:space="preserve"> – </w:t>
      </w:r>
      <w:r w:rsidRPr="00331CC2">
        <w:rPr>
          <w:rFonts w:eastAsiaTheme="minorHAnsi"/>
          <w:bCs/>
          <w:iCs/>
          <w:lang w:val="en-US" w:eastAsia="en-US"/>
        </w:rPr>
        <w:t>pop</w:t>
      </w:r>
      <w:r w:rsidRPr="00331CC2">
        <w:rPr>
          <w:rFonts w:eastAsiaTheme="minorHAnsi"/>
          <w:bCs/>
          <w:iCs/>
          <w:lang w:eastAsia="en-US"/>
        </w:rPr>
        <w:t>), численность занятых (размер маркера), средняя заработная плата (цвет маркера)</w:t>
      </w:r>
    </w:p>
    <w:p w14:paraId="2E4D2118"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FFB582E" w14:textId="6FC28C79" w:rsidR="00331CC2" w:rsidRDefault="00331CC2" w:rsidP="005772D2">
      <w:pPr>
        <w:ind w:firstLine="851"/>
        <w:jc w:val="both"/>
        <w:rPr>
          <w:rFonts w:eastAsiaTheme="minorHAnsi"/>
          <w:lang w:eastAsia="en-US"/>
        </w:rPr>
      </w:pPr>
      <w:r w:rsidRPr="00331CC2">
        <w:rPr>
          <w:rFonts w:eastAsiaTheme="minorHAnsi"/>
          <w:szCs w:val="22"/>
          <w:lang w:eastAsia="en-US"/>
        </w:rPr>
        <w:t xml:space="preserve">Таким образом, </w:t>
      </w:r>
      <w:r w:rsidRPr="00331CC2">
        <w:rPr>
          <w:rFonts w:eastAsiaTheme="minorHAnsi"/>
          <w:lang w:eastAsia="en-US"/>
        </w:rPr>
        <w:t>по абсолютным количественным показателям распространения пекарен по территории города лидируют центральные территории как центры притяжения «дневного» населения, также значительна</w:t>
      </w:r>
      <w:r w:rsidR="007F66E6">
        <w:rPr>
          <w:rFonts w:eastAsiaTheme="minorHAnsi"/>
          <w:lang w:eastAsia="en-US"/>
        </w:rPr>
        <w:t>я</w:t>
      </w:r>
      <w:r w:rsidRPr="00331CC2">
        <w:rPr>
          <w:rFonts w:eastAsiaTheme="minorHAnsi"/>
          <w:lang w:eastAsia="en-US"/>
        </w:rPr>
        <w:t xml:space="preserve"> доля сосредоточена в спальных районах. Обеспеченность населения Санкт-Петербурга заведениями по выпечке хлебобулочных изделий неравномерна. Лидирующими территориями являются преимущественно расположенные в центральной части города и по оси «Север-Юг» от нее. Пространственная закономерность прослеживается в дифференциации сетевых пекарен в муниципальном разрезе: центральные территории города имеют более высокую долю сетевых ритейлеров в структуре рынка. На основе исследования территориальных особенностей размещения пекарен вывод также можно сделать об однородной степени конкуренции пекарен на большей части территории города, в среднем она колеблется в районе 80%. Максимальная конкуренция наблюдается как в центральных районах, ориентированных на «дневное» население, так и в «спальных» районах Санкт-Петербурга, где проживает основная часть граждан. Также было отмечено, что территории с развитым рынком пекарен склонны иметь </w:t>
      </w:r>
      <w:r w:rsidRPr="00331CC2">
        <w:rPr>
          <w:rFonts w:eastAsiaTheme="minorHAnsi"/>
          <w:lang w:eastAsia="en-US"/>
        </w:rPr>
        <w:lastRenderedPageBreak/>
        <w:t>более высокую степень занятости населения и заработные платы выше, чем в среднем по городу. К перспективным территориям для развития рынка можно отнести ближнюю и дальнюю периферии города (за исключением северных округов), которые обладают высокой численностью постоянного населения, но с низкой обеспеченностью торговыми точками.</w:t>
      </w:r>
    </w:p>
    <w:p w14:paraId="1593EB6E" w14:textId="20EDA75A" w:rsidR="00474BFD" w:rsidRPr="00474BFD" w:rsidRDefault="00474BFD" w:rsidP="00474BFD">
      <w:pPr>
        <w:ind w:firstLine="851"/>
        <w:jc w:val="both"/>
        <w:rPr>
          <w:rFonts w:eastAsiaTheme="minorHAnsi"/>
          <w:szCs w:val="22"/>
          <w:lang w:eastAsia="en-US"/>
        </w:rPr>
      </w:pPr>
      <w:r w:rsidRPr="00474BFD">
        <w:rPr>
          <w:rFonts w:eastAsiaTheme="minorHAnsi"/>
          <w:szCs w:val="22"/>
          <w:lang w:eastAsia="en-US"/>
        </w:rPr>
        <w:t xml:space="preserve">Отдельные особенности размещения </w:t>
      </w:r>
      <w:r>
        <w:rPr>
          <w:rFonts w:eastAsiaTheme="minorHAnsi"/>
          <w:szCs w:val="22"/>
          <w:lang w:eastAsia="en-US"/>
        </w:rPr>
        <w:t xml:space="preserve">пекарен </w:t>
      </w:r>
      <w:r w:rsidRPr="00474BFD">
        <w:rPr>
          <w:rFonts w:eastAsiaTheme="minorHAnsi"/>
          <w:szCs w:val="22"/>
          <w:lang w:eastAsia="en-US"/>
        </w:rPr>
        <w:t>также отражены в Приложении (см</w:t>
      </w:r>
      <w:r>
        <w:rPr>
          <w:rFonts w:eastAsiaTheme="minorHAnsi"/>
          <w:szCs w:val="22"/>
          <w:lang w:eastAsia="en-US"/>
        </w:rPr>
        <w:t>.</w:t>
      </w:r>
      <w:r w:rsidRPr="00474BFD">
        <w:rPr>
          <w:rFonts w:eastAsiaTheme="minorHAnsi"/>
          <w:szCs w:val="22"/>
          <w:lang w:eastAsia="en-US"/>
        </w:rPr>
        <w:t xml:space="preserve"> Приложения </w:t>
      </w:r>
      <w:r>
        <w:rPr>
          <w:rFonts w:eastAsiaTheme="minorHAnsi"/>
          <w:szCs w:val="22"/>
          <w:lang w:eastAsia="en-US"/>
        </w:rPr>
        <w:t>4-6</w:t>
      </w:r>
      <w:r w:rsidRPr="00474BFD">
        <w:rPr>
          <w:rFonts w:eastAsiaTheme="minorHAnsi"/>
          <w:szCs w:val="22"/>
          <w:lang w:eastAsia="en-US"/>
        </w:rPr>
        <w:t>)</w:t>
      </w:r>
      <w:r>
        <w:rPr>
          <w:rFonts w:eastAsiaTheme="minorHAnsi"/>
          <w:szCs w:val="22"/>
          <w:lang w:eastAsia="en-US"/>
        </w:rPr>
        <w:t>.</w:t>
      </w:r>
    </w:p>
    <w:p w14:paraId="4872BAF8" w14:textId="105947B9" w:rsidR="00331CC2" w:rsidRPr="00331CC2" w:rsidRDefault="00331CC2" w:rsidP="00331CC2">
      <w:pPr>
        <w:keepNext/>
        <w:keepLines/>
        <w:spacing w:before="160" w:after="160"/>
        <w:outlineLvl w:val="1"/>
        <w:rPr>
          <w:rFonts w:eastAsiaTheme="majorEastAsia"/>
          <w:b/>
          <w:bCs/>
          <w:lang w:eastAsia="en-US"/>
        </w:rPr>
      </w:pPr>
      <w:bookmarkStart w:id="32" w:name="_Toc103641035"/>
      <w:r w:rsidRPr="00331CC2">
        <w:rPr>
          <w:rFonts w:eastAsiaTheme="majorEastAsia"/>
          <w:b/>
          <w:bCs/>
          <w:lang w:eastAsia="en-US"/>
        </w:rPr>
        <w:t>3.4. Основные особенности размещения кофеен</w:t>
      </w:r>
      <w:bookmarkEnd w:id="32"/>
    </w:p>
    <w:p w14:paraId="747BA943"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В феврале 2022 года в Санкт-Петербурге функционировало 2152 кофейни.</w:t>
      </w:r>
    </w:p>
    <w:p w14:paraId="47196221"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Муниципальные округа Санкт-Петербурга были рассмотрены с учетом показателей абсолютной численности кофеен, обеспеченности ими постоянно проживающего на территории населения, а также оценена доля сетей в общей численности торговых объектов.</w:t>
      </w:r>
    </w:p>
    <w:p w14:paraId="33D67051" w14:textId="123DAA7D"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 xml:space="preserve">По абсолютному количеству кофеен лидируют центральные округа города: Смольнинское (92 кофейни), Литейный округ (86) и МО №65 (72) (Рисунок </w:t>
      </w:r>
      <w:r w:rsidR="00E56DE6">
        <w:rPr>
          <w:rFonts w:eastAsiaTheme="minorHAnsi"/>
          <w:szCs w:val="22"/>
          <w:lang w:eastAsia="en-US"/>
        </w:rPr>
        <w:t>44</w:t>
      </w:r>
      <w:r w:rsidRPr="00331CC2">
        <w:rPr>
          <w:rFonts w:eastAsiaTheme="minorHAnsi"/>
          <w:szCs w:val="22"/>
          <w:lang w:eastAsia="en-US"/>
        </w:rPr>
        <w:t>). В целом отмечается наибольшая концентрация торговых точек по оси «Север-Юг». Территории северной, западной и юго-западной периферии, а также некоторые округа восточной части города отличаются значительно меньшим числом объектов данной отрасли общественного питания. В 17 муниципальных образованиях кофейни полностью отсутствуют (Александровская, Белоостров, Левашово, Лисий Нос, Молодежное, Песочный, Петро-Славянка, Понтонный, Саперный, Серово, Смолячково, Тярлево, Усть-Ижора, Ушково, Константиновское, Солнечное, Урицк).</w:t>
      </w:r>
    </w:p>
    <w:p w14:paraId="449FB595" w14:textId="77777777" w:rsidR="00331CC2" w:rsidRPr="00331CC2" w:rsidRDefault="00331CC2" w:rsidP="00331CC2">
      <w:pPr>
        <w:spacing w:before="160"/>
        <w:rPr>
          <w:rFonts w:eastAsiaTheme="minorHAnsi"/>
          <w:szCs w:val="22"/>
          <w:lang w:eastAsia="en-US"/>
        </w:rPr>
      </w:pPr>
      <w:bookmarkStart w:id="33" w:name="_Hlk97909386"/>
      <w:r w:rsidRPr="00331CC2">
        <w:rPr>
          <w:rFonts w:eastAsiaTheme="minorHAnsi"/>
          <w:noProof/>
          <w:szCs w:val="22"/>
          <w:lang w:eastAsia="en-US"/>
        </w:rPr>
        <w:drawing>
          <wp:inline distT="0" distB="0" distL="0" distR="0" wp14:anchorId="33BD58B7" wp14:editId="00FD62DF">
            <wp:extent cx="3298735" cy="3180522"/>
            <wp:effectExtent l="0" t="0" r="0" b="0"/>
            <wp:docPr id="107" name="Picture 1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37764" cy="3218153"/>
                    </a:xfrm>
                    <a:prstGeom prst="rect">
                      <a:avLst/>
                    </a:prstGeom>
                    <a:noFill/>
                    <a:ln>
                      <a:noFill/>
                    </a:ln>
                  </pic:spPr>
                </pic:pic>
              </a:graphicData>
            </a:graphic>
          </wp:inline>
        </w:drawing>
      </w:r>
    </w:p>
    <w:p w14:paraId="3E05ED05" w14:textId="7BAE95BC"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44</w:t>
      </w:r>
      <w:r w:rsidRPr="00331CC2">
        <w:rPr>
          <w:rFonts w:eastAsiaTheme="minorHAnsi"/>
          <w:lang w:eastAsia="en-US"/>
        </w:rPr>
        <w:t xml:space="preserve">. </w:t>
      </w:r>
      <w:r w:rsidRPr="00331CC2">
        <w:rPr>
          <w:rFonts w:eastAsiaTheme="minorHAnsi"/>
          <w:bCs/>
          <w:iCs/>
          <w:lang w:eastAsia="en-US"/>
        </w:rPr>
        <w:t>Количество кофеен по муниципальным округам Санкт-Петербурга, штук</w:t>
      </w:r>
    </w:p>
    <w:bookmarkEnd w:id="33"/>
    <w:p w14:paraId="0462B522"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 Составлено автором</w:t>
      </w:r>
    </w:p>
    <w:p w14:paraId="59CB846F" w14:textId="1B5990CF"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lastRenderedPageBreak/>
        <w:t xml:space="preserve">По обеспеченности населения кофейнями наблюдается сильно выраженная географическая закономерность. Центральные территории в наибольшей степени обеспечены данными заведениями (Рисунок </w:t>
      </w:r>
      <w:r w:rsidR="00E56DE6">
        <w:rPr>
          <w:rFonts w:eastAsiaTheme="minorHAnsi"/>
          <w:szCs w:val="22"/>
          <w:lang w:eastAsia="en-US"/>
        </w:rPr>
        <w:t>45</w:t>
      </w:r>
      <w:r w:rsidRPr="00331CC2">
        <w:rPr>
          <w:rFonts w:eastAsiaTheme="minorHAnsi"/>
          <w:szCs w:val="22"/>
          <w:lang w:eastAsia="en-US"/>
        </w:rPr>
        <w:t>). Это объяснимо тем, что центральные муниципальные округа не являются территориями с высокими показателями численности населения, однако концентрация кофеен в них значительно велика, поскольку они ориентируются скорее на «дневное» население, занятое на данных территориях и посещающее данные заведения в утренние и обеденные часы. С этим связаны завышенные показатели обеспеченности, сравнительно со спальными районами периферии города. Максимальные значения наблюдаются в муниципальных округах: Дворцовый округ (695 заведений на 100 000 населения), МО №78 (374), Аптекарский Остров (280), Лиговка-Ямская (254) и Литейный округ (190).</w:t>
      </w:r>
    </w:p>
    <w:p w14:paraId="6FA4812B" w14:textId="77777777" w:rsidR="00331CC2" w:rsidRPr="00331CC2" w:rsidRDefault="00331CC2" w:rsidP="00331CC2">
      <w:pPr>
        <w:spacing w:before="160"/>
        <w:rPr>
          <w:rFonts w:eastAsiaTheme="minorHAnsi"/>
          <w:szCs w:val="22"/>
          <w:lang w:eastAsia="en-US"/>
        </w:rPr>
      </w:pPr>
      <w:bookmarkStart w:id="34" w:name="_Hlk97909409"/>
      <w:r w:rsidRPr="00331CC2">
        <w:rPr>
          <w:rFonts w:eastAsiaTheme="minorHAnsi"/>
          <w:noProof/>
          <w:szCs w:val="22"/>
          <w:lang w:eastAsia="en-US"/>
        </w:rPr>
        <w:drawing>
          <wp:inline distT="0" distB="0" distL="0" distR="0" wp14:anchorId="02313EF4" wp14:editId="043EBBCD">
            <wp:extent cx="3278214" cy="3037398"/>
            <wp:effectExtent l="0" t="0" r="0" b="0"/>
            <wp:docPr id="108" name="Picture 10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ma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6969" cy="3073306"/>
                    </a:xfrm>
                    <a:prstGeom prst="rect">
                      <a:avLst/>
                    </a:prstGeom>
                    <a:noFill/>
                    <a:ln>
                      <a:noFill/>
                    </a:ln>
                  </pic:spPr>
                </pic:pic>
              </a:graphicData>
            </a:graphic>
          </wp:inline>
        </w:drawing>
      </w:r>
    </w:p>
    <w:p w14:paraId="14FC4F93" w14:textId="79B83CA8"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E56DE6">
        <w:rPr>
          <w:rFonts w:eastAsiaTheme="minorHAnsi"/>
          <w:lang w:eastAsia="en-US"/>
        </w:rPr>
        <w:t>45</w:t>
      </w:r>
      <w:r w:rsidRPr="00331CC2">
        <w:rPr>
          <w:rFonts w:eastAsiaTheme="minorHAnsi"/>
          <w:lang w:eastAsia="en-US"/>
        </w:rPr>
        <w:t xml:space="preserve">. </w:t>
      </w:r>
      <w:r w:rsidRPr="00331CC2">
        <w:rPr>
          <w:rFonts w:eastAsiaTheme="minorHAnsi"/>
          <w:bCs/>
          <w:iCs/>
          <w:lang w:eastAsia="en-US"/>
        </w:rPr>
        <w:t>Обеспеченность населения Санкт-Петербурга кофейнями на 100 тыс. населения</w:t>
      </w:r>
    </w:p>
    <w:bookmarkEnd w:id="34"/>
    <w:p w14:paraId="2E85851B"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3503A51" w14:textId="55645DD9"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По показателю доли сетевых кофеен в их общей численности в разрезе муниципальных округов наблюдается сильная дифференциация территории города</w:t>
      </w:r>
      <w:r w:rsidR="00F87521">
        <w:rPr>
          <w:rFonts w:eastAsiaTheme="minorHAnsi"/>
          <w:szCs w:val="22"/>
          <w:lang w:eastAsia="en-US"/>
        </w:rPr>
        <w:t xml:space="preserve"> (Рисунок 46)</w:t>
      </w:r>
      <w:r w:rsidRPr="00331CC2">
        <w:rPr>
          <w:rFonts w:eastAsiaTheme="minorHAnsi"/>
          <w:szCs w:val="22"/>
          <w:lang w:eastAsia="en-US"/>
        </w:rPr>
        <w:t>. К наиболее обеспеченным районам можно отнести ближнюю и некоторые округа дальней периферии города: МО Оккервиль (88%), Сосновая Поляна (86%), Прометей (80%), Ржевка (80%), Горелово (75%), Колпино (74%) и др. В Ивановском округе и МО Морские ворота сетевые кофейни имеют 100% рынка данных территорий. В целом, в этих двух округах количество заведений невысоко (3 в Ивановском и 2 в МО Морские ворота), и все они относятся к сетям, что объясняет столь высокое значение данного показателя.</w:t>
      </w:r>
    </w:p>
    <w:p w14:paraId="47DA29A4" w14:textId="77777777" w:rsidR="00331CC2" w:rsidRPr="00331CC2" w:rsidRDefault="00331CC2" w:rsidP="00331CC2">
      <w:pPr>
        <w:spacing w:before="160"/>
        <w:rPr>
          <w:rFonts w:eastAsiaTheme="minorHAnsi"/>
          <w:szCs w:val="22"/>
          <w:lang w:eastAsia="en-US"/>
        </w:rPr>
      </w:pPr>
      <w:bookmarkStart w:id="35" w:name="_Hlk97909435"/>
      <w:r w:rsidRPr="00331CC2">
        <w:rPr>
          <w:rFonts w:eastAsiaTheme="minorHAnsi"/>
          <w:noProof/>
          <w:szCs w:val="22"/>
          <w:lang w:eastAsia="en-US"/>
        </w:rPr>
        <w:lastRenderedPageBreak/>
        <w:drawing>
          <wp:inline distT="0" distB="0" distL="0" distR="0" wp14:anchorId="1E822BF9" wp14:editId="02DDA7CF">
            <wp:extent cx="3299791" cy="3181542"/>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3237" cy="3204148"/>
                    </a:xfrm>
                    <a:prstGeom prst="rect">
                      <a:avLst/>
                    </a:prstGeom>
                    <a:noFill/>
                    <a:ln>
                      <a:noFill/>
                    </a:ln>
                  </pic:spPr>
                </pic:pic>
              </a:graphicData>
            </a:graphic>
          </wp:inline>
        </w:drawing>
      </w:r>
    </w:p>
    <w:p w14:paraId="177C47DB" w14:textId="09E84491"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F87521">
        <w:rPr>
          <w:rFonts w:eastAsiaTheme="minorHAnsi"/>
          <w:lang w:eastAsia="en-US"/>
        </w:rPr>
        <w:t>46</w:t>
      </w:r>
      <w:r w:rsidRPr="00331CC2">
        <w:rPr>
          <w:rFonts w:eastAsiaTheme="minorHAnsi"/>
          <w:lang w:eastAsia="en-US"/>
        </w:rPr>
        <w:t xml:space="preserve">. </w:t>
      </w:r>
      <w:r w:rsidRPr="00331CC2">
        <w:rPr>
          <w:rFonts w:eastAsiaTheme="minorHAnsi"/>
          <w:bCs/>
          <w:iCs/>
          <w:lang w:eastAsia="en-US"/>
        </w:rPr>
        <w:t>Доля сетевых кофеен в муниципальных округах Санкт-Петербурга, %</w:t>
      </w:r>
    </w:p>
    <w:bookmarkEnd w:id="35"/>
    <w:p w14:paraId="15DD56C8" w14:textId="77777777" w:rsidR="00331CC2" w:rsidRPr="00331CC2" w:rsidRDefault="00331CC2" w:rsidP="00331CC2">
      <w:pPr>
        <w:spacing w:after="160" w:line="240" w:lineRule="auto"/>
        <w:rPr>
          <w:rFonts w:eastAsiaTheme="minorHAnsi"/>
          <w:bCs/>
          <w:iCs/>
          <w:sz w:val="22"/>
          <w:szCs w:val="22"/>
          <w:lang w:eastAsia="en-US"/>
        </w:rPr>
      </w:pPr>
      <w:r w:rsidRPr="00331CC2">
        <w:rPr>
          <w:rFonts w:eastAsiaTheme="minorHAnsi"/>
          <w:bCs/>
          <w:iCs/>
          <w:sz w:val="22"/>
          <w:szCs w:val="20"/>
          <w:lang w:eastAsia="en-US"/>
        </w:rPr>
        <w:t>*Составлено автором</w:t>
      </w:r>
    </w:p>
    <w:p w14:paraId="6756EF4D" w14:textId="41941533"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 xml:space="preserve">В ходе исследования был проведен анализ наличия взаимосвязи между пространственными особенностями распределения кофеен по территории и социально-экономическими характеристиками территории (численностью постоянного населения, количеством занятых, средними заработными платами). Наблюдается сильная положительная связь между показателем численности кофеен и численностью занятых (Рисунок </w:t>
      </w:r>
      <w:r w:rsidR="00F87521">
        <w:rPr>
          <w:rFonts w:eastAsiaTheme="minorHAnsi"/>
          <w:szCs w:val="22"/>
          <w:lang w:eastAsia="en-US"/>
        </w:rPr>
        <w:t>47</w:t>
      </w:r>
      <w:r w:rsidRPr="00331CC2">
        <w:rPr>
          <w:rFonts w:eastAsiaTheme="minorHAnsi"/>
          <w:szCs w:val="22"/>
          <w:lang w:eastAsia="en-US"/>
        </w:rPr>
        <w:t>). Это говорит о высокой ориентации данного рынка на территории «дневного» населения с большим количеством занятых. Также была отмечена прямая связь между численностью торговых точек и средними заработными платами (чем больше среднее значение заработной платы, тем больше на территории кофеен). Данные взаимосвязи обуславливают ориентацию объектов кофейного бизнеса на центральные районы города с высокой численностью занятых и высокими заработными платами. Ориентация объектов данной отрасли общественного питания на постоянное население значительно ниже.</w:t>
      </w:r>
    </w:p>
    <w:p w14:paraId="0D27431A" w14:textId="77777777" w:rsidR="00331CC2" w:rsidRPr="00331CC2" w:rsidRDefault="00331CC2" w:rsidP="00331CC2">
      <w:pPr>
        <w:spacing w:before="160"/>
        <w:rPr>
          <w:rFonts w:eastAsiaTheme="minorHAnsi"/>
          <w:szCs w:val="22"/>
          <w:lang w:eastAsia="en-US"/>
        </w:rPr>
      </w:pPr>
      <w:r w:rsidRPr="00331CC2">
        <w:rPr>
          <w:rFonts w:eastAsiaTheme="minorHAnsi"/>
          <w:noProof/>
          <w:szCs w:val="22"/>
          <w:lang w:eastAsia="en-US"/>
        </w:rPr>
        <w:lastRenderedPageBreak/>
        <w:drawing>
          <wp:inline distT="0" distB="0" distL="0" distR="0" wp14:anchorId="0C7B5418" wp14:editId="734A8741">
            <wp:extent cx="4419328" cy="3919993"/>
            <wp:effectExtent l="0" t="0" r="0"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19328" cy="3919993"/>
                    </a:xfrm>
                    <a:prstGeom prst="rect">
                      <a:avLst/>
                    </a:prstGeom>
                    <a:noFill/>
                  </pic:spPr>
                </pic:pic>
              </a:graphicData>
            </a:graphic>
          </wp:inline>
        </w:drawing>
      </w:r>
    </w:p>
    <w:p w14:paraId="36460607" w14:textId="010BAD27"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F87521">
        <w:rPr>
          <w:rFonts w:eastAsiaTheme="minorHAnsi"/>
          <w:lang w:eastAsia="en-US"/>
        </w:rPr>
        <w:t>47</w:t>
      </w:r>
      <w:r w:rsidRPr="00331CC2">
        <w:rPr>
          <w:rFonts w:eastAsiaTheme="minorHAnsi"/>
          <w:lang w:eastAsia="en-US"/>
        </w:rPr>
        <w:t xml:space="preserve">. </w:t>
      </w:r>
      <w:r w:rsidRPr="00331CC2">
        <w:rPr>
          <w:rFonts w:eastAsiaTheme="minorHAnsi"/>
          <w:bCs/>
          <w:iCs/>
          <w:lang w:eastAsia="en-US"/>
        </w:rPr>
        <w:t>Матрица диаграмм рассеян</w:t>
      </w:r>
      <w:r w:rsidR="006974E6">
        <w:rPr>
          <w:rFonts w:eastAsiaTheme="minorHAnsi"/>
          <w:bCs/>
          <w:iCs/>
          <w:lang w:eastAsia="en-US"/>
        </w:rPr>
        <w:t>и</w:t>
      </w:r>
      <w:r w:rsidRPr="00331CC2">
        <w:rPr>
          <w:rFonts w:eastAsiaTheme="minorHAnsi"/>
          <w:bCs/>
          <w:iCs/>
          <w:lang w:eastAsia="en-US"/>
        </w:rPr>
        <w:t>я по показателям количества пекарен (</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coffee</w:t>
      </w:r>
      <w:r w:rsidRPr="00331CC2">
        <w:rPr>
          <w:rFonts w:eastAsiaTheme="minorHAnsi"/>
          <w:bCs/>
          <w:iCs/>
          <w:lang w:eastAsia="en-US"/>
        </w:rPr>
        <w:t>), количество пекарен на 100 000 населения (</w:t>
      </w:r>
      <w:r w:rsidRPr="00331CC2">
        <w:rPr>
          <w:rFonts w:eastAsiaTheme="minorHAnsi"/>
          <w:bCs/>
          <w:iCs/>
          <w:lang w:val="en-US" w:eastAsia="en-US"/>
        </w:rPr>
        <w:t>coff</w:t>
      </w:r>
      <w:r w:rsidRPr="00331CC2">
        <w:rPr>
          <w:rFonts w:eastAsiaTheme="minorHAnsi"/>
          <w:bCs/>
          <w:iCs/>
          <w:lang w:eastAsia="en-US"/>
        </w:rPr>
        <w:t>_100</w:t>
      </w:r>
      <w:r w:rsidRPr="00331CC2">
        <w:rPr>
          <w:rFonts w:eastAsiaTheme="minorHAnsi"/>
          <w:bCs/>
          <w:iCs/>
          <w:lang w:val="en-US" w:eastAsia="en-US"/>
        </w:rPr>
        <w:t>k</w:t>
      </w:r>
      <w:r w:rsidRPr="00331CC2">
        <w:rPr>
          <w:rFonts w:eastAsiaTheme="minorHAnsi"/>
          <w:bCs/>
          <w:iCs/>
          <w:lang w:eastAsia="en-US"/>
        </w:rPr>
        <w:t>), численность населения (</w:t>
      </w:r>
      <w:r w:rsidRPr="00331CC2">
        <w:rPr>
          <w:rFonts w:eastAsiaTheme="minorHAnsi"/>
          <w:bCs/>
          <w:iCs/>
          <w:lang w:val="en-US" w:eastAsia="en-US"/>
        </w:rPr>
        <w:t>Population</w:t>
      </w:r>
      <w:r w:rsidRPr="00331CC2">
        <w:rPr>
          <w:rFonts w:eastAsiaTheme="minorHAnsi"/>
          <w:bCs/>
          <w:iCs/>
          <w:lang w:eastAsia="en-US"/>
        </w:rPr>
        <w:t>), численность занятых (</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rab</w:t>
      </w:r>
      <w:r w:rsidRPr="00331CC2">
        <w:rPr>
          <w:rFonts w:eastAsiaTheme="minorHAnsi"/>
          <w:bCs/>
          <w:iCs/>
          <w:lang w:eastAsia="en-US"/>
        </w:rPr>
        <w:t>), средняя заработная плата (</w:t>
      </w:r>
      <w:r w:rsidRPr="00331CC2">
        <w:rPr>
          <w:rFonts w:eastAsiaTheme="minorHAnsi"/>
          <w:bCs/>
          <w:iCs/>
          <w:lang w:val="en-US" w:eastAsia="en-US"/>
        </w:rPr>
        <w:t>sred</w:t>
      </w:r>
      <w:r w:rsidRPr="00331CC2">
        <w:rPr>
          <w:rFonts w:eastAsiaTheme="minorHAnsi"/>
          <w:bCs/>
          <w:iCs/>
          <w:lang w:eastAsia="en-US"/>
        </w:rPr>
        <w:t>_</w:t>
      </w:r>
      <w:r w:rsidRPr="00331CC2">
        <w:rPr>
          <w:rFonts w:eastAsiaTheme="minorHAnsi"/>
          <w:bCs/>
          <w:iCs/>
          <w:lang w:val="en-US" w:eastAsia="en-US"/>
        </w:rPr>
        <w:t>zp</w:t>
      </w:r>
      <w:r w:rsidRPr="00331CC2">
        <w:rPr>
          <w:rFonts w:eastAsiaTheme="minorHAnsi"/>
          <w:bCs/>
          <w:iCs/>
          <w:lang w:eastAsia="en-US"/>
        </w:rPr>
        <w:t>)</w:t>
      </w:r>
    </w:p>
    <w:p w14:paraId="3761FC42"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45172EEB" w14:textId="7487C0DA"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Для более подробного анализа территория с выявлением территорий, благоприятных для открытия кофейного бизнеса, была построена диаграмма рассеян</w:t>
      </w:r>
      <w:r w:rsidR="006974E6">
        <w:rPr>
          <w:rFonts w:eastAsiaTheme="minorHAnsi"/>
          <w:szCs w:val="22"/>
          <w:lang w:eastAsia="en-US"/>
        </w:rPr>
        <w:t>ия</w:t>
      </w:r>
      <w:r w:rsidRPr="00331CC2">
        <w:rPr>
          <w:rFonts w:eastAsiaTheme="minorHAnsi"/>
          <w:szCs w:val="22"/>
          <w:lang w:eastAsia="en-US"/>
        </w:rPr>
        <w:t xml:space="preserve"> с учетом показателей численности постоянного и занятого населения, средних заработных плат и численности кофеен на территории муниципальных образований (Рисунок </w:t>
      </w:r>
      <w:r w:rsidR="00F87521">
        <w:rPr>
          <w:rFonts w:eastAsiaTheme="minorHAnsi"/>
          <w:szCs w:val="22"/>
          <w:lang w:eastAsia="en-US"/>
        </w:rPr>
        <w:t>48</w:t>
      </w:r>
      <w:r w:rsidRPr="00331CC2">
        <w:rPr>
          <w:rFonts w:eastAsiaTheme="minorHAnsi"/>
          <w:szCs w:val="22"/>
          <w:lang w:eastAsia="en-US"/>
        </w:rPr>
        <w:t xml:space="preserve">). Далее был проведен анализ полученных результатов. </w:t>
      </w:r>
    </w:p>
    <w:p w14:paraId="256FB707" w14:textId="37E4AAD3"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Левый верхний квадрант составляют муниципальные округа с низкой численностью занятого, но относительно высокой численностью постоянного населения с заработными платами в основном ниже среднего и высокой обеспеченностью занятого населения кофейнями. Данные территории не являются перспективными для открытия новых заведений, поскольку, рынок муниципальных округов уже насыщен. Это территории северной, восточной, а также некоторые округа южной полуперифер</w:t>
      </w:r>
      <w:r w:rsidR="006974E6">
        <w:rPr>
          <w:rFonts w:eastAsiaTheme="minorHAnsi"/>
          <w:szCs w:val="22"/>
          <w:lang w:eastAsia="en-US"/>
        </w:rPr>
        <w:t>ии</w:t>
      </w:r>
      <w:r w:rsidRPr="00331CC2">
        <w:rPr>
          <w:rFonts w:eastAsiaTheme="minorHAnsi"/>
          <w:szCs w:val="22"/>
          <w:lang w:eastAsia="en-US"/>
        </w:rPr>
        <w:t xml:space="preserve"> города.</w:t>
      </w:r>
    </w:p>
    <w:p w14:paraId="49CD5039" w14:textId="1DC6C996"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 xml:space="preserve">Левый нижний квадрант включает округа с низкой численностью занятых и </w:t>
      </w:r>
      <w:r w:rsidR="006974E6">
        <w:rPr>
          <w:rFonts w:eastAsiaTheme="minorHAnsi"/>
          <w:szCs w:val="22"/>
          <w:lang w:eastAsia="en-US"/>
        </w:rPr>
        <w:t>низкой</w:t>
      </w:r>
      <w:r w:rsidR="006974E6" w:rsidRPr="00331CC2">
        <w:rPr>
          <w:rFonts w:eastAsiaTheme="minorHAnsi"/>
          <w:szCs w:val="22"/>
          <w:lang w:eastAsia="en-US"/>
        </w:rPr>
        <w:t xml:space="preserve"> </w:t>
      </w:r>
      <w:r w:rsidRPr="00331CC2">
        <w:rPr>
          <w:rFonts w:eastAsiaTheme="minorHAnsi"/>
          <w:szCs w:val="22"/>
          <w:lang w:eastAsia="en-US"/>
        </w:rPr>
        <w:t>обеспеченностью кофейнями, средней численностью постоянного населения и в основном низкими заработными платами. Эти территории относятся к северной, западной и юго-западной, юго-восточной и некоторым территориям южн</w:t>
      </w:r>
      <w:r w:rsidR="006974E6">
        <w:rPr>
          <w:rFonts w:eastAsiaTheme="minorHAnsi"/>
          <w:szCs w:val="22"/>
          <w:lang w:eastAsia="en-US"/>
        </w:rPr>
        <w:t>ой</w:t>
      </w:r>
      <w:r w:rsidRPr="00331CC2">
        <w:rPr>
          <w:rFonts w:eastAsiaTheme="minorHAnsi"/>
          <w:szCs w:val="22"/>
          <w:lang w:eastAsia="en-US"/>
        </w:rPr>
        <w:t xml:space="preserve"> периферии. Данные территории являются самыми бесперспективными для открытия кофейного бизнеса.</w:t>
      </w:r>
    </w:p>
    <w:p w14:paraId="648B7BE3"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lastRenderedPageBreak/>
        <w:t>Правый верхний квадрант составляют округа с насыщенным рынком кофеен: численностью занятого населения немногим выше среднегородского уровня и аналогичным уровнем обеспеченности этого населения кофейнями. По численности населения данные территории различаются: южная периферия является «спальной», поэтому постоянного населения там проживает больше, чем в центральных районах. Уровень заработных плат на территории достаточно высок, что способствует развитию существующего бизнеса.</w:t>
      </w:r>
    </w:p>
    <w:p w14:paraId="561CA3DB"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Перспективными территориями являются муниципальные округа правого нижнего квадранта с высоким уровнем заработных плат, относительно среднего по городу, большой численностью занятых и их невысокой обеспеченностью кофейнями. К ним относятся восточные округа ближней и дольней периферий города, а также территории оси «Север-Юг» Данные территории характеризует относительно высокая численность постоянного населения и средний уровень заработных плат. Наиболее перспективными являются тяготеющие к центру муниципальные округа, в наибольшей степени сочетающие все вышеперечисленные факторы.</w:t>
      </w:r>
    </w:p>
    <w:p w14:paraId="23C6F415" w14:textId="77777777" w:rsidR="00331CC2" w:rsidRPr="00331CC2" w:rsidRDefault="00331CC2" w:rsidP="00331CC2">
      <w:pPr>
        <w:spacing w:before="160"/>
        <w:rPr>
          <w:rFonts w:eastAsiaTheme="minorHAnsi"/>
          <w:szCs w:val="22"/>
          <w:lang w:eastAsia="en-US"/>
        </w:rPr>
      </w:pPr>
      <w:r w:rsidRPr="00331CC2">
        <w:rPr>
          <w:rFonts w:eastAsiaTheme="minorHAnsi"/>
          <w:noProof/>
          <w:szCs w:val="22"/>
          <w:lang w:eastAsia="en-US"/>
        </w:rPr>
        <w:drawing>
          <wp:inline distT="0" distB="0" distL="0" distR="0" wp14:anchorId="61299671" wp14:editId="5F22CC1E">
            <wp:extent cx="4914321" cy="4587903"/>
            <wp:effectExtent l="0" t="0" r="0" b="0"/>
            <wp:docPr id="109" name="Picture 10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scatter char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56668" cy="4627438"/>
                    </a:xfrm>
                    <a:prstGeom prst="rect">
                      <a:avLst/>
                    </a:prstGeom>
                    <a:noFill/>
                  </pic:spPr>
                </pic:pic>
              </a:graphicData>
            </a:graphic>
          </wp:inline>
        </w:drawing>
      </w:r>
    </w:p>
    <w:p w14:paraId="228E9635" w14:textId="695B789D" w:rsidR="00331CC2" w:rsidRPr="00331CC2" w:rsidRDefault="00331CC2" w:rsidP="00331CC2">
      <w:pPr>
        <w:spacing w:line="240" w:lineRule="auto"/>
        <w:rPr>
          <w:rFonts w:eastAsiaTheme="minorHAnsi"/>
          <w:bCs/>
          <w:iCs/>
          <w:lang w:eastAsia="en-US"/>
        </w:rPr>
      </w:pPr>
      <w:r w:rsidRPr="00331CC2">
        <w:rPr>
          <w:rFonts w:eastAsiaTheme="minorHAnsi"/>
          <w:lang w:eastAsia="en-US"/>
        </w:rPr>
        <w:t xml:space="preserve">Рисунок </w:t>
      </w:r>
      <w:r w:rsidR="00F87521">
        <w:rPr>
          <w:rFonts w:eastAsiaTheme="minorHAnsi"/>
          <w:lang w:eastAsia="en-US"/>
        </w:rPr>
        <w:t>48</w:t>
      </w:r>
      <w:r w:rsidRPr="00331CC2">
        <w:rPr>
          <w:rFonts w:eastAsiaTheme="minorHAnsi"/>
          <w:lang w:eastAsia="en-US"/>
        </w:rPr>
        <w:t xml:space="preserve">. </w:t>
      </w:r>
      <w:r w:rsidRPr="00331CC2">
        <w:rPr>
          <w:rFonts w:eastAsiaTheme="minorHAnsi"/>
          <w:bCs/>
          <w:iCs/>
          <w:lang w:eastAsia="en-US"/>
        </w:rPr>
        <w:t>Диаграмма рассеян</w:t>
      </w:r>
      <w:r w:rsidR="00F06757">
        <w:rPr>
          <w:rFonts w:eastAsiaTheme="minorHAnsi"/>
          <w:bCs/>
          <w:iCs/>
          <w:lang w:eastAsia="en-US"/>
        </w:rPr>
        <w:t>и</w:t>
      </w:r>
      <w:r w:rsidRPr="00331CC2">
        <w:rPr>
          <w:rFonts w:eastAsiaTheme="minorHAnsi"/>
          <w:bCs/>
          <w:iCs/>
          <w:lang w:eastAsia="en-US"/>
        </w:rPr>
        <w:t xml:space="preserve">я по показателям обеспеченности занятого населения кофейнями (ось </w:t>
      </w:r>
      <w:r w:rsidRPr="00331CC2">
        <w:rPr>
          <w:rFonts w:eastAsiaTheme="minorHAnsi"/>
          <w:bCs/>
          <w:iCs/>
          <w:lang w:val="en-US" w:eastAsia="en-US"/>
        </w:rPr>
        <w:t>y</w:t>
      </w:r>
      <w:r w:rsidRPr="00331CC2">
        <w:rPr>
          <w:rFonts w:eastAsiaTheme="minorHAnsi"/>
          <w:bCs/>
          <w:iCs/>
          <w:lang w:eastAsia="en-US"/>
        </w:rPr>
        <w:t xml:space="preserve"> – _</w:t>
      </w:r>
      <w:r w:rsidRPr="00331CC2">
        <w:rPr>
          <w:rFonts w:eastAsiaTheme="minorHAnsi"/>
          <w:bCs/>
          <w:iCs/>
          <w:lang w:val="en-US" w:eastAsia="en-US"/>
        </w:rPr>
        <w:t>cofrab</w:t>
      </w:r>
      <w:r w:rsidRPr="00331CC2">
        <w:rPr>
          <w:rFonts w:eastAsiaTheme="minorHAnsi"/>
          <w:bCs/>
          <w:iCs/>
          <w:lang w:eastAsia="en-US"/>
        </w:rPr>
        <w:t xml:space="preserve">100), численность занятых (ось </w:t>
      </w:r>
      <w:r w:rsidRPr="00331CC2">
        <w:rPr>
          <w:rFonts w:eastAsiaTheme="minorHAnsi"/>
          <w:bCs/>
          <w:iCs/>
          <w:lang w:val="en-US" w:eastAsia="en-US"/>
        </w:rPr>
        <w:t>x</w:t>
      </w:r>
      <w:r w:rsidRPr="00331CC2">
        <w:rPr>
          <w:rFonts w:eastAsiaTheme="minorHAnsi"/>
          <w:bCs/>
          <w:iCs/>
          <w:lang w:eastAsia="en-US"/>
        </w:rPr>
        <w:t xml:space="preserve"> –_</w:t>
      </w:r>
      <w:r w:rsidRPr="00331CC2">
        <w:rPr>
          <w:rFonts w:eastAsiaTheme="minorHAnsi"/>
          <w:bCs/>
          <w:iCs/>
          <w:lang w:val="en-US" w:eastAsia="en-US"/>
        </w:rPr>
        <w:t>kol</w:t>
      </w:r>
      <w:r w:rsidRPr="00331CC2">
        <w:rPr>
          <w:rFonts w:eastAsiaTheme="minorHAnsi"/>
          <w:bCs/>
          <w:iCs/>
          <w:lang w:eastAsia="en-US"/>
        </w:rPr>
        <w:t>_</w:t>
      </w:r>
      <w:r w:rsidRPr="00331CC2">
        <w:rPr>
          <w:rFonts w:eastAsiaTheme="minorHAnsi"/>
          <w:bCs/>
          <w:iCs/>
          <w:lang w:val="en-US" w:eastAsia="en-US"/>
        </w:rPr>
        <w:t>rab</w:t>
      </w:r>
      <w:r w:rsidRPr="00331CC2">
        <w:rPr>
          <w:rFonts w:eastAsiaTheme="minorHAnsi"/>
          <w:bCs/>
          <w:iCs/>
          <w:lang w:eastAsia="en-US"/>
        </w:rPr>
        <w:t>), численность населения (размер маркера), средняя заработная плата (цвет маркера)</w:t>
      </w:r>
    </w:p>
    <w:p w14:paraId="53253B28" w14:textId="77777777" w:rsidR="00331CC2" w:rsidRPr="00331CC2" w:rsidRDefault="00331CC2" w:rsidP="00331CC2">
      <w:pPr>
        <w:spacing w:after="160" w:line="240" w:lineRule="auto"/>
        <w:rPr>
          <w:rFonts w:eastAsiaTheme="minorHAnsi"/>
          <w:bCs/>
          <w:iCs/>
          <w:sz w:val="22"/>
          <w:szCs w:val="20"/>
          <w:lang w:eastAsia="en-US"/>
        </w:rPr>
      </w:pPr>
      <w:r w:rsidRPr="00331CC2">
        <w:rPr>
          <w:rFonts w:eastAsiaTheme="minorHAnsi"/>
          <w:bCs/>
          <w:iCs/>
          <w:sz w:val="22"/>
          <w:szCs w:val="20"/>
          <w:lang w:eastAsia="en-US"/>
        </w:rPr>
        <w:t>*Составлено автором</w:t>
      </w:r>
    </w:p>
    <w:p w14:paraId="565B4772"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lastRenderedPageBreak/>
        <w:t>Таким образом, для быстро развивающегося рынка кофеен наиболее приоритетными территориями являются округа с высокой численностью занятых и высоким уровнем заработных плат. Среди данных территорий сетевые заведения, занимающие 48% рынка, ориентированы в большей степени на ближнюю периферию города. Наиболее подходящими территориями для открытия новых торговых точек в контексте рассмотренных показателей являются центральные территории, а также округа оси «Север-Юг».</w:t>
      </w:r>
    </w:p>
    <w:p w14:paraId="06D0B90F" w14:textId="5F910A04" w:rsidR="00331CC2" w:rsidRPr="00331CC2" w:rsidRDefault="00331CC2" w:rsidP="00331CC2">
      <w:pPr>
        <w:keepNext/>
        <w:keepLines/>
        <w:spacing w:before="160"/>
        <w:outlineLvl w:val="1"/>
        <w:rPr>
          <w:rFonts w:eastAsiaTheme="majorEastAsia"/>
          <w:b/>
          <w:bCs/>
          <w:lang w:eastAsia="en-US"/>
        </w:rPr>
      </w:pPr>
      <w:bookmarkStart w:id="36" w:name="_Toc103641036"/>
      <w:r w:rsidRPr="00331CC2">
        <w:rPr>
          <w:rFonts w:eastAsiaTheme="majorEastAsia"/>
          <w:b/>
          <w:bCs/>
          <w:lang w:eastAsia="en-US"/>
        </w:rPr>
        <w:t xml:space="preserve">3.5. </w:t>
      </w:r>
      <w:r w:rsidR="008447A6" w:rsidRPr="008447A6">
        <w:rPr>
          <w:rFonts w:eastAsiaTheme="majorEastAsia"/>
          <w:b/>
          <w:bCs/>
          <w:lang w:eastAsia="en-US"/>
        </w:rPr>
        <w:t>Основные сходства и различия в размещении объектов розничной торговли и общественного питания</w:t>
      </w:r>
      <w:bookmarkEnd w:id="36"/>
    </w:p>
    <w:p w14:paraId="1058235C" w14:textId="7EFDC521" w:rsidR="00331CC2" w:rsidRPr="00331CC2" w:rsidRDefault="00331CC2" w:rsidP="005772D2">
      <w:pPr>
        <w:spacing w:before="160"/>
        <w:ind w:firstLine="851"/>
        <w:jc w:val="both"/>
        <w:rPr>
          <w:rFonts w:eastAsiaTheme="minorHAnsi"/>
          <w:szCs w:val="22"/>
          <w:lang w:eastAsia="en-US"/>
        </w:rPr>
      </w:pPr>
      <w:r w:rsidRPr="00331CC2">
        <w:rPr>
          <w:rFonts w:eastAsiaTheme="minorHAnsi"/>
          <w:szCs w:val="22"/>
          <w:lang w:eastAsia="en-US"/>
        </w:rPr>
        <w:t xml:space="preserve">В работе по отдельности были исследованы рынок общественного питания на примере питейных заведений, пекарен, кофеен и рынок розничной торговли на примере специализированной алкогольной розницы. В данном параграфе попарно рассмотрены общие особенности и различия в географии между рынками алкогольной розницы и питейных заведений (Рисунок </w:t>
      </w:r>
      <w:r w:rsidR="00F87521">
        <w:rPr>
          <w:rFonts w:eastAsiaTheme="minorHAnsi"/>
          <w:szCs w:val="22"/>
          <w:lang w:eastAsia="en-US"/>
        </w:rPr>
        <w:t>49</w:t>
      </w:r>
      <w:r w:rsidRPr="00331CC2">
        <w:rPr>
          <w:rFonts w:eastAsiaTheme="minorHAnsi"/>
          <w:szCs w:val="22"/>
          <w:lang w:eastAsia="en-US"/>
        </w:rPr>
        <w:t xml:space="preserve">) и рынками пекарен и кофеен (Рисунок </w:t>
      </w:r>
      <w:r w:rsidR="00F87521">
        <w:rPr>
          <w:rFonts w:eastAsiaTheme="minorHAnsi"/>
          <w:szCs w:val="22"/>
          <w:lang w:eastAsia="en-US"/>
        </w:rPr>
        <w:t>50</w:t>
      </w:r>
      <w:r w:rsidRPr="00331CC2">
        <w:rPr>
          <w:rFonts w:eastAsiaTheme="minorHAnsi"/>
          <w:szCs w:val="22"/>
          <w:lang w:eastAsia="en-US"/>
        </w:rPr>
        <w:t>). Также были сделаны общие выводы о территориальных особенностях распределения объектов общественного питания и розничной торговли по территории Санкт-Петербурга.</w:t>
      </w:r>
    </w:p>
    <w:p w14:paraId="205128A9"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Сравнивая географию рассмотренных рынков розничной торговли алкоголем и питейных заведений между собой, можно выделить следующие сходства:</w:t>
      </w:r>
    </w:p>
    <w:p w14:paraId="6491A3A0" w14:textId="77777777" w:rsidR="00331CC2" w:rsidRPr="00331CC2" w:rsidRDefault="00331CC2" w:rsidP="00432C4A">
      <w:pPr>
        <w:numPr>
          <w:ilvl w:val="0"/>
          <w:numId w:val="11"/>
        </w:numPr>
        <w:ind w:left="357" w:hanging="357"/>
        <w:contextualSpacing/>
        <w:jc w:val="both"/>
        <w:rPr>
          <w:rFonts w:eastAsiaTheme="minorHAnsi"/>
          <w:lang w:eastAsia="en-US"/>
        </w:rPr>
      </w:pPr>
      <w:r w:rsidRPr="00331CC2">
        <w:rPr>
          <w:rFonts w:eastAsiaTheme="minorHAnsi"/>
          <w:lang w:eastAsia="en-US"/>
        </w:rPr>
        <w:t xml:space="preserve">Прослеживаются сходства в распределении числа торговых точек по территории города. Наблюдается тенденция их сосредоточения в центральных муниципальных округах и по оси «Север-Юг». </w:t>
      </w:r>
    </w:p>
    <w:p w14:paraId="423F0EDC" w14:textId="77777777" w:rsidR="00331CC2" w:rsidRPr="00331CC2" w:rsidRDefault="00331CC2" w:rsidP="00432C4A">
      <w:pPr>
        <w:numPr>
          <w:ilvl w:val="0"/>
          <w:numId w:val="11"/>
        </w:numPr>
        <w:ind w:left="357" w:hanging="357"/>
        <w:contextualSpacing/>
        <w:jc w:val="both"/>
        <w:rPr>
          <w:rFonts w:eastAsiaTheme="minorHAnsi"/>
          <w:lang w:eastAsia="en-US"/>
        </w:rPr>
      </w:pPr>
      <w:r w:rsidRPr="00331CC2">
        <w:rPr>
          <w:rFonts w:eastAsiaTheme="minorHAnsi"/>
          <w:lang w:eastAsia="en-US"/>
        </w:rPr>
        <w:t xml:space="preserve">По обеспеченности объектами торговли география данных отраслей имеет схожие черты: наибольшая обеспеченность наблюдается в центральных округах, а спальные периферийные территории отстают по данному показателю. </w:t>
      </w:r>
    </w:p>
    <w:p w14:paraId="0829F0AE" w14:textId="77777777" w:rsidR="00331CC2" w:rsidRPr="00331CC2" w:rsidRDefault="00331CC2" w:rsidP="005772D2">
      <w:pPr>
        <w:ind w:firstLine="851"/>
        <w:jc w:val="both"/>
        <w:rPr>
          <w:rFonts w:eastAsiaTheme="minorHAnsi"/>
          <w:lang w:eastAsia="en-US"/>
        </w:rPr>
      </w:pPr>
      <w:r w:rsidRPr="00331CC2">
        <w:rPr>
          <w:rFonts w:eastAsiaTheme="minorHAnsi"/>
          <w:lang w:eastAsia="en-US"/>
        </w:rPr>
        <w:t>Среди различий в географии рынков алкогольной розницы и питейных заведений можно выделить следующие:</w:t>
      </w:r>
    </w:p>
    <w:p w14:paraId="4C03061F"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Если алкогольные магазины в большей степени ориентированы на ось «Север-Юг», то питейные заведения концентрируются в наибольшей степени в центральных территориях города.</w:t>
      </w:r>
    </w:p>
    <w:p w14:paraId="2B0EB4F8"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Отличительной особенностью рынка питейных заведений является большая обеспеченность северной периферии города заведениями, сравнительно с обеспеченностью этих территорий алкогольными магазинами.</w:t>
      </w:r>
    </w:p>
    <w:p w14:paraId="6E416289"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Отмечена высокая обеспеченность алкогольными магазинами округов Тярлево и Усть-Ижора при отсутствии в них питейных заведений.</w:t>
      </w:r>
    </w:p>
    <w:p w14:paraId="5D6E16CE"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lastRenderedPageBreak/>
        <w:t>Население округов южного центра Санкт-Петербурга в большей степени обеспечено алкогольными магазинами, чем питейными заведениями.</w:t>
      </w:r>
    </w:p>
    <w:p w14:paraId="636DD28C" w14:textId="62F824FC"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География доли сетевых алкогольных магазинов и сетевых питейных заведений сильно отличается. Это связано с тем, что в целом на рынке питейных заведений, сравнительно с алкогольной розницей, сети представлены не столь широко. Относительно велика доля сетевых заведений на южной полупериферии города. Заметна более сильная дифференциация территории по данному показателю на рынке алкогольных магазинов, что не позволяет выделить конкретных закономерностей.</w:t>
      </w:r>
    </w:p>
    <w:p w14:paraId="07332C6A" w14:textId="59E700EC" w:rsidR="00331CC2" w:rsidRPr="00331CC2" w:rsidRDefault="00BE2C15" w:rsidP="00BE2C15">
      <w:pPr>
        <w:rPr>
          <w:rFonts w:eastAsiaTheme="minorHAnsi"/>
          <w:lang w:eastAsia="en-US"/>
        </w:rPr>
      </w:pPr>
      <w:r>
        <w:rPr>
          <w:rFonts w:eastAsiaTheme="minorHAnsi"/>
          <w:noProof/>
          <w:lang w:eastAsia="en-US"/>
        </w:rPr>
        <w:drawing>
          <wp:inline distT="0" distB="0" distL="0" distR="0" wp14:anchorId="2C3D0AE5" wp14:editId="4058C8DF">
            <wp:extent cx="4973568" cy="643312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90730" cy="6455327"/>
                    </a:xfrm>
                    <a:prstGeom prst="rect">
                      <a:avLst/>
                    </a:prstGeom>
                    <a:noFill/>
                  </pic:spPr>
                </pic:pic>
              </a:graphicData>
            </a:graphic>
          </wp:inline>
        </w:drawing>
      </w:r>
    </w:p>
    <w:p w14:paraId="513B9308" w14:textId="5AC287A3" w:rsidR="00331CC2" w:rsidRPr="00331CC2" w:rsidRDefault="00331CC2" w:rsidP="00331CC2">
      <w:pPr>
        <w:spacing w:line="240" w:lineRule="auto"/>
        <w:rPr>
          <w:rFonts w:eastAsiaTheme="minorHAnsi"/>
          <w:lang w:eastAsia="en-US"/>
        </w:rPr>
      </w:pPr>
      <w:r w:rsidRPr="00331CC2">
        <w:rPr>
          <w:rFonts w:eastAsiaTheme="minorHAnsi"/>
          <w:lang w:eastAsia="en-US"/>
        </w:rPr>
        <w:t xml:space="preserve">Рисунок </w:t>
      </w:r>
      <w:r w:rsidR="00F87521">
        <w:rPr>
          <w:rFonts w:eastAsiaTheme="minorHAnsi"/>
          <w:lang w:eastAsia="en-US"/>
        </w:rPr>
        <w:t>49</w:t>
      </w:r>
      <w:r w:rsidRPr="00331CC2">
        <w:rPr>
          <w:rFonts w:eastAsiaTheme="minorHAnsi"/>
          <w:lang w:eastAsia="en-US"/>
        </w:rPr>
        <w:t>. Показатели рынка алкогольной розницы и рынка питейных заведений в разрезе муниципальных округов</w:t>
      </w:r>
    </w:p>
    <w:p w14:paraId="75848068" w14:textId="77777777" w:rsidR="00331CC2" w:rsidRPr="00331CC2" w:rsidRDefault="00331CC2" w:rsidP="00331CC2">
      <w:pPr>
        <w:spacing w:after="160"/>
        <w:rPr>
          <w:rFonts w:eastAsiaTheme="minorHAnsi"/>
          <w:sz w:val="22"/>
          <w:szCs w:val="22"/>
          <w:lang w:eastAsia="en-US"/>
        </w:rPr>
      </w:pPr>
      <w:r w:rsidRPr="00331CC2">
        <w:rPr>
          <w:rFonts w:eastAsiaTheme="minorHAnsi"/>
          <w:sz w:val="22"/>
          <w:szCs w:val="22"/>
          <w:lang w:eastAsia="en-US"/>
        </w:rPr>
        <w:t>*Составлено автором</w:t>
      </w:r>
    </w:p>
    <w:p w14:paraId="773F0233"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lastRenderedPageBreak/>
        <w:t>Сравнивая географию рассмотренных рынков пекарен и кофеен между собой, можно выделить следующие сходства:</w:t>
      </w:r>
    </w:p>
    <w:p w14:paraId="47445870"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 xml:space="preserve">Распределение торговых точек рассматриваемых отраслей по территории города имеет четко прослеживаемые общие черты. Наблюдается тенденция их сосредоточения по оси «Север-Юг». </w:t>
      </w:r>
    </w:p>
    <w:p w14:paraId="2401888C" w14:textId="77777777" w:rsidR="00331CC2" w:rsidRPr="00331CC2" w:rsidRDefault="00331CC2" w:rsidP="00432C4A">
      <w:pPr>
        <w:numPr>
          <w:ilvl w:val="0"/>
          <w:numId w:val="6"/>
        </w:numPr>
        <w:ind w:left="357" w:hanging="357"/>
        <w:contextualSpacing/>
        <w:jc w:val="both"/>
        <w:rPr>
          <w:rFonts w:eastAsiaTheme="minorHAnsi"/>
          <w:lang w:eastAsia="en-US"/>
        </w:rPr>
      </w:pPr>
      <w:r w:rsidRPr="00331CC2">
        <w:rPr>
          <w:rFonts w:eastAsiaTheme="minorHAnsi"/>
          <w:lang w:eastAsia="en-US"/>
        </w:rPr>
        <w:t>Схожа картина обеспеченности населения муниципальных округов пекарнями и кофейнями. Так же, как и в распределении числа торговых точек, наблюдается тенденция высоких значений показателя обеспеченности по оси «Север-Юг». Также в обоих случаях отмечается «ложное» завышение обеспеченности в округах северной периферии из-за маленькой численности постоянного населения.</w:t>
      </w:r>
    </w:p>
    <w:p w14:paraId="69E01DC0" w14:textId="77777777" w:rsidR="00331CC2" w:rsidRPr="00331CC2" w:rsidRDefault="00331CC2" w:rsidP="005772D2">
      <w:pPr>
        <w:ind w:firstLine="851"/>
        <w:jc w:val="both"/>
        <w:rPr>
          <w:rFonts w:eastAsiaTheme="minorHAnsi"/>
          <w:szCs w:val="22"/>
          <w:lang w:eastAsia="en-US"/>
        </w:rPr>
      </w:pPr>
      <w:r w:rsidRPr="00331CC2">
        <w:rPr>
          <w:rFonts w:eastAsiaTheme="minorHAnsi"/>
          <w:szCs w:val="22"/>
          <w:lang w:eastAsia="en-US"/>
        </w:rPr>
        <w:t>Среди различий в географии рынков пекарен и кофеен можно выделить следующие:</w:t>
      </w:r>
    </w:p>
    <w:p w14:paraId="55E2461C" w14:textId="77777777" w:rsidR="00331CC2" w:rsidRPr="00331CC2" w:rsidRDefault="00331CC2" w:rsidP="00432C4A">
      <w:pPr>
        <w:numPr>
          <w:ilvl w:val="0"/>
          <w:numId w:val="6"/>
        </w:numPr>
        <w:spacing w:after="160"/>
        <w:ind w:left="357" w:hanging="357"/>
        <w:contextualSpacing/>
        <w:jc w:val="both"/>
        <w:rPr>
          <w:rFonts w:eastAsiaTheme="minorHAnsi"/>
          <w:lang w:eastAsia="en-US"/>
        </w:rPr>
      </w:pPr>
      <w:r w:rsidRPr="00331CC2">
        <w:rPr>
          <w:rFonts w:eastAsiaTheme="minorHAnsi"/>
          <w:szCs w:val="28"/>
          <w:lang w:eastAsia="en-US"/>
        </w:rPr>
        <w:t>Несмотря на общие черты ориентации как пекарен, так и кофеен на муниципальные округа по оси «Север-Юг», объекты пекарного бизнеса в несколько меньшей степени ориентированы на центральные округа, чем объекты кофейного бизнеса.</w:t>
      </w:r>
    </w:p>
    <w:p w14:paraId="64A88792" w14:textId="77777777" w:rsidR="00331CC2" w:rsidRPr="00331CC2" w:rsidRDefault="00331CC2" w:rsidP="00432C4A">
      <w:pPr>
        <w:numPr>
          <w:ilvl w:val="0"/>
          <w:numId w:val="6"/>
        </w:numPr>
        <w:spacing w:after="160"/>
        <w:ind w:left="357" w:hanging="357"/>
        <w:contextualSpacing/>
        <w:jc w:val="both"/>
        <w:rPr>
          <w:rFonts w:eastAsiaTheme="minorHAnsi"/>
          <w:lang w:eastAsia="en-US"/>
        </w:rPr>
      </w:pPr>
      <w:r w:rsidRPr="00331CC2">
        <w:rPr>
          <w:rFonts w:eastAsiaTheme="minorHAnsi"/>
          <w:lang w:eastAsia="en-US"/>
        </w:rPr>
        <w:t>В обеспеченности территорий города для кофеен заметна более выраженная тенденция повышения значения данного показателя в центральных округах. В случае пекарен муниципальные округа, за исключением территорий оси «Север-Юг», более однородны по данному показателю.</w:t>
      </w:r>
    </w:p>
    <w:p w14:paraId="3065DF5B" w14:textId="77777777" w:rsidR="00331CC2" w:rsidRPr="00331CC2" w:rsidRDefault="00331CC2" w:rsidP="00432C4A">
      <w:pPr>
        <w:numPr>
          <w:ilvl w:val="0"/>
          <w:numId w:val="6"/>
        </w:numPr>
        <w:spacing w:after="160"/>
        <w:ind w:left="357" w:hanging="357"/>
        <w:contextualSpacing/>
        <w:jc w:val="both"/>
        <w:rPr>
          <w:rFonts w:eastAsiaTheme="minorHAnsi"/>
          <w:lang w:eastAsia="en-US"/>
        </w:rPr>
      </w:pPr>
      <w:r w:rsidRPr="00331CC2">
        <w:rPr>
          <w:rFonts w:eastAsiaTheme="minorHAnsi"/>
          <w:lang w:eastAsia="en-US"/>
        </w:rPr>
        <w:t>Отличия наблюдаются в географии доли сетевых кофеен и пекарен. Если для рынка пекарен отмечается тенденция увеличения данного показателя в центральных округах, то для кофеен, напротив, данные территории отличаются невысокой долей сетей в общей численности торговых точек.</w:t>
      </w:r>
    </w:p>
    <w:p w14:paraId="4F366E70" w14:textId="77777777" w:rsidR="00331CC2" w:rsidRPr="00331CC2" w:rsidRDefault="00331CC2" w:rsidP="00432C4A">
      <w:pPr>
        <w:numPr>
          <w:ilvl w:val="0"/>
          <w:numId w:val="6"/>
        </w:numPr>
        <w:spacing w:after="160"/>
        <w:ind w:left="357" w:hanging="357"/>
        <w:contextualSpacing/>
        <w:jc w:val="both"/>
        <w:rPr>
          <w:rFonts w:eastAsiaTheme="minorHAnsi"/>
          <w:lang w:eastAsia="en-US"/>
        </w:rPr>
      </w:pPr>
      <w:r w:rsidRPr="00331CC2">
        <w:rPr>
          <w:rFonts w:eastAsiaTheme="minorHAnsi"/>
          <w:lang w:eastAsia="en-US"/>
        </w:rPr>
        <w:t>Сравнивая географию сетевых заведений, можно отметить, что в случае кофеен на территории Санкт-Петербурга было отмечено большее количество муниципальных округов с высокой (более 70%) долей сетевых заведений – 23 МО, чем при рассмотрении рынка пекарен – 7 МО.</w:t>
      </w:r>
    </w:p>
    <w:p w14:paraId="7637AA5B" w14:textId="77777777" w:rsidR="00331CC2" w:rsidRPr="00331CC2" w:rsidRDefault="00331CC2" w:rsidP="00331CC2">
      <w:pPr>
        <w:rPr>
          <w:rFonts w:eastAsiaTheme="minorHAnsi"/>
          <w:lang w:eastAsia="en-US"/>
        </w:rPr>
      </w:pPr>
      <w:r w:rsidRPr="00331CC2">
        <w:rPr>
          <w:rFonts w:eastAsiaTheme="minorHAnsi"/>
          <w:noProof/>
          <w:lang w:eastAsia="en-US"/>
        </w:rPr>
        <w:lastRenderedPageBreak/>
        <w:drawing>
          <wp:inline distT="0" distB="0" distL="0" distR="0" wp14:anchorId="704B61B3" wp14:editId="59F0008B">
            <wp:extent cx="5147396" cy="7060758"/>
            <wp:effectExtent l="0" t="0" r="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8238" cy="7130499"/>
                    </a:xfrm>
                    <a:prstGeom prst="rect">
                      <a:avLst/>
                    </a:prstGeom>
                    <a:noFill/>
                  </pic:spPr>
                </pic:pic>
              </a:graphicData>
            </a:graphic>
          </wp:inline>
        </w:drawing>
      </w:r>
    </w:p>
    <w:p w14:paraId="508F65EF" w14:textId="1EE7E3E4" w:rsidR="00331CC2" w:rsidRPr="00331CC2" w:rsidRDefault="00331CC2" w:rsidP="00331CC2">
      <w:pPr>
        <w:spacing w:line="240" w:lineRule="auto"/>
        <w:rPr>
          <w:rFonts w:eastAsiaTheme="minorHAnsi"/>
          <w:lang w:eastAsia="en-US"/>
        </w:rPr>
      </w:pPr>
      <w:r w:rsidRPr="00331CC2">
        <w:rPr>
          <w:rFonts w:eastAsiaTheme="minorHAnsi"/>
          <w:lang w:eastAsia="en-US"/>
        </w:rPr>
        <w:t xml:space="preserve">Рисунок </w:t>
      </w:r>
      <w:r w:rsidR="00F87521">
        <w:rPr>
          <w:rFonts w:eastAsiaTheme="minorHAnsi"/>
          <w:lang w:eastAsia="en-US"/>
        </w:rPr>
        <w:t>50</w:t>
      </w:r>
      <w:r w:rsidRPr="00331CC2">
        <w:rPr>
          <w:rFonts w:eastAsiaTheme="minorHAnsi"/>
          <w:lang w:eastAsia="en-US"/>
        </w:rPr>
        <w:t>. Показатели рынка кофеен и пекарен в разрезе муниципальных округов</w:t>
      </w:r>
    </w:p>
    <w:p w14:paraId="28466BD9" w14:textId="77777777" w:rsidR="00331CC2" w:rsidRPr="00331CC2" w:rsidRDefault="00331CC2" w:rsidP="00331CC2">
      <w:pPr>
        <w:spacing w:after="160"/>
        <w:rPr>
          <w:rFonts w:eastAsiaTheme="minorHAnsi"/>
          <w:sz w:val="22"/>
          <w:szCs w:val="22"/>
          <w:lang w:eastAsia="en-US"/>
        </w:rPr>
      </w:pPr>
      <w:r w:rsidRPr="00331CC2">
        <w:rPr>
          <w:rFonts w:eastAsiaTheme="minorHAnsi"/>
          <w:sz w:val="22"/>
          <w:szCs w:val="22"/>
          <w:lang w:eastAsia="en-US"/>
        </w:rPr>
        <w:t>*Составлено автором</w:t>
      </w:r>
    </w:p>
    <w:p w14:paraId="30A43E7F" w14:textId="77777777" w:rsidR="00331CC2" w:rsidRPr="00331CC2" w:rsidRDefault="00331CC2" w:rsidP="005772D2">
      <w:pPr>
        <w:ind w:firstLine="851"/>
        <w:jc w:val="both"/>
        <w:rPr>
          <w:rFonts w:eastAsiaTheme="minorHAnsi"/>
          <w:lang w:eastAsia="en-US"/>
        </w:rPr>
      </w:pPr>
      <w:r w:rsidRPr="00331CC2">
        <w:rPr>
          <w:rFonts w:eastAsiaTheme="minorHAnsi"/>
          <w:lang w:eastAsia="en-US"/>
        </w:rPr>
        <w:t>Сравнивая географию исследованных рынков, можно выделить общие черты и различия в дифференциации городского пространства по рассмотренным показателям рынка алкогольных магазинов, питейных заведений, пекарен и кофеен.</w:t>
      </w:r>
    </w:p>
    <w:p w14:paraId="27FE5FBC" w14:textId="64AFC252"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 xml:space="preserve">Наибольшее сосредоточение торговых точек всех рассмотренных рынков наблюдается вдоль оси «Север-Юг», проходящей через центр Санкт-Петербурга, причем кофейни и питейные заведения ориентированы в большей степени на центральные округа, </w:t>
      </w:r>
      <w:r w:rsidR="006F6F74">
        <w:rPr>
          <w:rFonts w:eastAsiaTheme="minorHAnsi"/>
          <w:szCs w:val="32"/>
          <w:lang w:eastAsia="en-US"/>
        </w:rPr>
        <w:t>т</w:t>
      </w:r>
      <w:r w:rsidRPr="00331CC2">
        <w:rPr>
          <w:rFonts w:eastAsiaTheme="minorHAnsi"/>
          <w:szCs w:val="32"/>
          <w:lang w:eastAsia="en-US"/>
        </w:rPr>
        <w:t>огда</w:t>
      </w:r>
      <w:r w:rsidR="006F6F74">
        <w:rPr>
          <w:rFonts w:eastAsiaTheme="minorHAnsi"/>
          <w:szCs w:val="32"/>
          <w:lang w:eastAsia="en-US"/>
        </w:rPr>
        <w:t xml:space="preserve"> как</w:t>
      </w:r>
      <w:r w:rsidRPr="00331CC2">
        <w:rPr>
          <w:rFonts w:eastAsiaTheme="minorHAnsi"/>
          <w:szCs w:val="32"/>
          <w:lang w:eastAsia="en-US"/>
        </w:rPr>
        <w:t xml:space="preserve"> </w:t>
      </w:r>
      <w:r w:rsidRPr="00331CC2">
        <w:rPr>
          <w:rFonts w:eastAsiaTheme="minorHAnsi"/>
          <w:szCs w:val="32"/>
          <w:lang w:eastAsia="en-US"/>
        </w:rPr>
        <w:lastRenderedPageBreak/>
        <w:t>алкогольные магазины и пекарни концентрируются в основном на территориях ближней и дальней периферии оси «Север-Юг».</w:t>
      </w:r>
    </w:p>
    <w:p w14:paraId="64AB81B7"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Для всех рассмотренных рынков округами-лидерами по числу торговых точек являются МО №65, Смольнинское, Владимирский округ, Литейный круг, Южно-Приморский округ. Минимальное количество наблюдается в округах северной периферии Невского района (Смолячково, Молодёжное, Серово, Ушково, Белоостров, Левашово и др.), в которых зачастую торговые точки вовсе отсутствуют.</w:t>
      </w:r>
    </w:p>
    <w:p w14:paraId="229C4231"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В наибольшей степени обеспеченными торговыми точками являются муниципальные округа центра Санкт-Петербурга. Это связано с невысокой численностью постоянного населения и большим количеством торговых точек, вследствие чего значения данного показателя этих округов самое высокое по городу. Аналогично северная периферия города так же отличается завышенными показателями обеспеченности, что связано с низкой численностью постоянного населения. Данную закономерность можно назвать «ложной».</w:t>
      </w:r>
    </w:p>
    <w:p w14:paraId="5FA41D2D" w14:textId="3F35DE31"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 xml:space="preserve">Наиболее сильная пространственная дифференциация </w:t>
      </w:r>
      <w:r w:rsidR="006F6F74">
        <w:rPr>
          <w:rFonts w:eastAsiaTheme="minorHAnsi"/>
          <w:szCs w:val="32"/>
          <w:lang w:eastAsia="en-US"/>
        </w:rPr>
        <w:t xml:space="preserve">по обеспеченности </w:t>
      </w:r>
      <w:r w:rsidRPr="00331CC2">
        <w:rPr>
          <w:rFonts w:eastAsiaTheme="minorHAnsi"/>
          <w:szCs w:val="32"/>
          <w:lang w:eastAsia="en-US"/>
        </w:rPr>
        <w:t xml:space="preserve">населения торговыми точками наблюдается у рынков алкогольной розницы </w:t>
      </w:r>
      <w:r w:rsidRPr="003C1786">
        <w:rPr>
          <w:rFonts w:eastAsiaTheme="minorHAnsi"/>
          <w:szCs w:val="32"/>
          <w:lang w:eastAsia="en-US"/>
        </w:rPr>
        <w:t>и кофеен</w:t>
      </w:r>
      <w:r w:rsidRPr="00331CC2">
        <w:rPr>
          <w:rFonts w:eastAsiaTheme="minorHAnsi"/>
          <w:szCs w:val="32"/>
          <w:lang w:eastAsia="en-US"/>
        </w:rPr>
        <w:t xml:space="preserve">. В данном случае резко выделяется большое количество муниципальных округов с высокими значениями данных показателей и также большое число округов </w:t>
      </w:r>
      <w:r w:rsidR="006F6F74">
        <w:rPr>
          <w:rFonts w:eastAsiaTheme="minorHAnsi"/>
          <w:szCs w:val="32"/>
          <w:lang w:eastAsia="en-US"/>
        </w:rPr>
        <w:t xml:space="preserve">с </w:t>
      </w:r>
      <w:r w:rsidRPr="00331CC2">
        <w:rPr>
          <w:rFonts w:eastAsiaTheme="minorHAnsi"/>
          <w:szCs w:val="32"/>
          <w:lang w:eastAsia="en-US"/>
        </w:rPr>
        <w:t xml:space="preserve">очень низкой обеспеченностью. Для рынков питейных заведений </w:t>
      </w:r>
      <w:r w:rsidRPr="003C1786">
        <w:rPr>
          <w:rFonts w:eastAsiaTheme="minorHAnsi"/>
          <w:szCs w:val="32"/>
          <w:lang w:eastAsia="en-US"/>
        </w:rPr>
        <w:t xml:space="preserve">и </w:t>
      </w:r>
      <w:r w:rsidR="003C1786">
        <w:rPr>
          <w:rFonts w:eastAsiaTheme="minorHAnsi"/>
          <w:szCs w:val="32"/>
          <w:lang w:eastAsia="en-US"/>
        </w:rPr>
        <w:t>пекарен</w:t>
      </w:r>
      <w:r w:rsidR="003C1786" w:rsidRPr="00331CC2">
        <w:rPr>
          <w:rFonts w:eastAsiaTheme="minorHAnsi"/>
          <w:szCs w:val="32"/>
          <w:lang w:eastAsia="en-US"/>
        </w:rPr>
        <w:t xml:space="preserve"> </w:t>
      </w:r>
      <w:r w:rsidRPr="00331CC2">
        <w:rPr>
          <w:rFonts w:eastAsiaTheme="minorHAnsi"/>
          <w:szCs w:val="32"/>
          <w:lang w:eastAsia="en-US"/>
        </w:rPr>
        <w:t xml:space="preserve">картина несколько иная: выделяются небольшое число муниципальных образований с сильно завышенными значениями показателя, а остальные территории характеризуются в основном </w:t>
      </w:r>
      <w:r w:rsidR="003C1786">
        <w:rPr>
          <w:rFonts w:eastAsiaTheme="minorHAnsi"/>
          <w:szCs w:val="32"/>
          <w:lang w:eastAsia="en-US"/>
        </w:rPr>
        <w:t xml:space="preserve">большей </w:t>
      </w:r>
      <w:r w:rsidRPr="00331CC2">
        <w:rPr>
          <w:rFonts w:eastAsiaTheme="minorHAnsi"/>
          <w:szCs w:val="32"/>
          <w:lang w:eastAsia="en-US"/>
        </w:rPr>
        <w:t>однородностью в обеспеченности населения заведениями.</w:t>
      </w:r>
    </w:p>
    <w:p w14:paraId="36003D36" w14:textId="77777777" w:rsidR="00331CC2" w:rsidRPr="00331CC2" w:rsidRDefault="00331CC2" w:rsidP="00432C4A">
      <w:pPr>
        <w:numPr>
          <w:ilvl w:val="0"/>
          <w:numId w:val="7"/>
        </w:numPr>
        <w:ind w:left="357" w:hanging="357"/>
        <w:contextualSpacing/>
        <w:jc w:val="both"/>
        <w:rPr>
          <w:rFonts w:eastAsiaTheme="minorHAnsi"/>
          <w:szCs w:val="32"/>
          <w:lang w:eastAsia="en-US"/>
        </w:rPr>
      </w:pPr>
      <w:r w:rsidRPr="00331CC2">
        <w:rPr>
          <w:rFonts w:eastAsiaTheme="minorHAnsi"/>
          <w:szCs w:val="32"/>
          <w:lang w:eastAsia="en-US"/>
        </w:rPr>
        <w:t xml:space="preserve">География сетевых торговых объектов рассмотренных рынков различна и сильно дифференцирована. Можно отметить общую тенденцию для всех рынков: наибольшая доля сетей характерна для территорий ближней периферии, а также дальней южной и юго-западной (за исключением рынка питейных заведений). </w:t>
      </w:r>
    </w:p>
    <w:p w14:paraId="42390FBE" w14:textId="5858CF65" w:rsidR="00331CC2" w:rsidRPr="00331CC2" w:rsidRDefault="00331CC2" w:rsidP="005772D2">
      <w:pPr>
        <w:ind w:firstLine="851"/>
        <w:jc w:val="both"/>
        <w:rPr>
          <w:rFonts w:eastAsiaTheme="minorHAnsi"/>
          <w:szCs w:val="32"/>
          <w:lang w:eastAsia="en-US"/>
        </w:rPr>
      </w:pPr>
      <w:r w:rsidRPr="00331CC2">
        <w:rPr>
          <w:rFonts w:eastAsiaTheme="minorHAnsi"/>
          <w:szCs w:val="32"/>
          <w:lang w:eastAsia="en-US"/>
        </w:rPr>
        <w:t>На основе анализа диаграмм рассеян</w:t>
      </w:r>
      <w:r w:rsidR="003C1786">
        <w:rPr>
          <w:rFonts w:eastAsiaTheme="minorHAnsi"/>
          <w:szCs w:val="32"/>
          <w:lang w:eastAsia="en-US"/>
        </w:rPr>
        <w:t>и</w:t>
      </w:r>
      <w:r w:rsidRPr="00331CC2">
        <w:rPr>
          <w:rFonts w:eastAsiaTheme="minorHAnsi"/>
          <w:szCs w:val="32"/>
          <w:lang w:eastAsia="en-US"/>
        </w:rPr>
        <w:t>я (Рисун</w:t>
      </w:r>
      <w:r w:rsidR="003C1786">
        <w:rPr>
          <w:rFonts w:eastAsiaTheme="minorHAnsi"/>
          <w:szCs w:val="32"/>
          <w:lang w:eastAsia="en-US"/>
        </w:rPr>
        <w:t>о</w:t>
      </w:r>
      <w:r w:rsidRPr="00331CC2">
        <w:rPr>
          <w:rFonts w:eastAsiaTheme="minorHAnsi"/>
          <w:szCs w:val="32"/>
          <w:lang w:eastAsia="en-US"/>
        </w:rPr>
        <w:t xml:space="preserve">к </w:t>
      </w:r>
      <w:r w:rsidR="00F87521">
        <w:rPr>
          <w:rFonts w:eastAsiaTheme="minorHAnsi"/>
          <w:szCs w:val="32"/>
          <w:lang w:eastAsia="en-US"/>
        </w:rPr>
        <w:t>51</w:t>
      </w:r>
      <w:r w:rsidRPr="00331CC2">
        <w:rPr>
          <w:rFonts w:eastAsiaTheme="minorHAnsi"/>
          <w:szCs w:val="32"/>
          <w:lang w:eastAsia="en-US"/>
        </w:rPr>
        <w:t>) можно сделать следующие выводы:</w:t>
      </w:r>
    </w:p>
    <w:p w14:paraId="221DBEAC"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Торговые объекты всех рассмотренных рынков в большей степени ориентируются на «дневное», работающее на территории население, чем на «ночное» - постоянное население, проживающее на территории.</w:t>
      </w:r>
    </w:p>
    <w:p w14:paraId="6A288D5F"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 xml:space="preserve">Некоторая ориентация торговых объектов на «ночное» население наблюдается для рынков пекарен и алкогольной розницы. В случае питейных заведений и кофеен эта </w:t>
      </w:r>
      <w:r w:rsidRPr="00331CC2">
        <w:rPr>
          <w:rFonts w:eastAsiaTheme="minorHAnsi"/>
          <w:szCs w:val="32"/>
          <w:lang w:eastAsia="en-US"/>
        </w:rPr>
        <w:lastRenderedPageBreak/>
        <w:t>ориентация либо очень слабая (для кофеен), либо почти отсутствует (для питейных заведений).</w:t>
      </w:r>
    </w:p>
    <w:p w14:paraId="30C45AE4"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Явной выраженной взаимосвязи обеспеченности населения торговыми объектами рассмотренных рынков не было выявлено. Исключение составляет рынок пекарен, где наблюдается прямая взаимосвязь данного показателя с численностью занятого населения (то есть чем больше на территории численность занятого населения, тем выше обеспеченность пекарнями).</w:t>
      </w:r>
    </w:p>
    <w:p w14:paraId="77DFAD73" w14:textId="77777777" w:rsidR="00331CC2" w:rsidRPr="00331CC2" w:rsidRDefault="00331CC2" w:rsidP="00432C4A">
      <w:pPr>
        <w:numPr>
          <w:ilvl w:val="0"/>
          <w:numId w:val="7"/>
        </w:numPr>
        <w:spacing w:after="160"/>
        <w:ind w:left="357" w:hanging="357"/>
        <w:contextualSpacing/>
        <w:jc w:val="both"/>
        <w:rPr>
          <w:rFonts w:eastAsiaTheme="minorHAnsi"/>
          <w:szCs w:val="32"/>
          <w:lang w:eastAsia="en-US"/>
        </w:rPr>
      </w:pPr>
      <w:r w:rsidRPr="00331CC2">
        <w:rPr>
          <w:rFonts w:eastAsiaTheme="minorHAnsi"/>
          <w:szCs w:val="32"/>
          <w:lang w:eastAsia="en-US"/>
        </w:rPr>
        <w:t>Относительно высокая связь средней заработной платы в разрезе муниципальных округов города наблюдается с показателем численности кофеен (чем выше значение заработной платы в округе, тем больше кофеен концентрируется на этой территории и наоборот). Аналогичную, но более слабую связь можно проследить для рынка питейных заведений. Распределение объектов пекарного бизнеса и алкогольной розницы не зависит от показателей заработных плат территорий.</w:t>
      </w:r>
    </w:p>
    <w:p w14:paraId="5B0DFFB3" w14:textId="77777777" w:rsidR="00331CC2" w:rsidRPr="00331CC2" w:rsidRDefault="00331CC2" w:rsidP="00331CC2">
      <w:pPr>
        <w:rPr>
          <w:rFonts w:eastAsiaTheme="minorHAnsi"/>
          <w:szCs w:val="32"/>
          <w:lang w:eastAsia="en-US"/>
        </w:rPr>
      </w:pPr>
      <w:r w:rsidRPr="00331CC2">
        <w:rPr>
          <w:rFonts w:eastAsiaTheme="minorHAnsi"/>
          <w:noProof/>
          <w:szCs w:val="32"/>
          <w:lang w:eastAsia="en-US"/>
        </w:rPr>
        <w:drawing>
          <wp:inline distT="0" distB="0" distL="0" distR="0" wp14:anchorId="128EBA7A" wp14:editId="54514E13">
            <wp:extent cx="5545925" cy="4943823"/>
            <wp:effectExtent l="0" t="0" r="0" b="0"/>
            <wp:docPr id="112" name="Picture 112" descr="A picture containing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whiteboard&#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8038" cy="4972449"/>
                    </a:xfrm>
                    <a:prstGeom prst="rect">
                      <a:avLst/>
                    </a:prstGeom>
                    <a:noFill/>
                  </pic:spPr>
                </pic:pic>
              </a:graphicData>
            </a:graphic>
          </wp:inline>
        </w:drawing>
      </w:r>
    </w:p>
    <w:p w14:paraId="431757A9" w14:textId="1894E3B3" w:rsidR="00331CC2" w:rsidRPr="00331CC2" w:rsidRDefault="00331CC2" w:rsidP="00331CC2">
      <w:pPr>
        <w:spacing w:line="240" w:lineRule="auto"/>
        <w:rPr>
          <w:rFonts w:eastAsiaTheme="minorHAnsi"/>
          <w:szCs w:val="32"/>
          <w:lang w:eastAsia="en-US"/>
        </w:rPr>
      </w:pPr>
      <w:r w:rsidRPr="00331CC2">
        <w:rPr>
          <w:rFonts w:eastAsiaTheme="minorHAnsi"/>
          <w:szCs w:val="32"/>
          <w:lang w:eastAsia="en-US"/>
        </w:rPr>
        <w:t>Рисунок</w:t>
      </w:r>
      <w:r w:rsidR="00F87521">
        <w:rPr>
          <w:rFonts w:eastAsiaTheme="minorHAnsi"/>
          <w:szCs w:val="32"/>
          <w:lang w:eastAsia="en-US"/>
        </w:rPr>
        <w:t xml:space="preserve"> 51</w:t>
      </w:r>
      <w:r w:rsidRPr="00331CC2">
        <w:rPr>
          <w:rFonts w:eastAsiaTheme="minorHAnsi"/>
          <w:szCs w:val="32"/>
          <w:lang w:eastAsia="en-US"/>
        </w:rPr>
        <w:t>. Диаграммы рассеян</w:t>
      </w:r>
      <w:r w:rsidR="003C1786">
        <w:rPr>
          <w:rFonts w:eastAsiaTheme="minorHAnsi"/>
          <w:szCs w:val="32"/>
          <w:lang w:eastAsia="en-US"/>
        </w:rPr>
        <w:t>и</w:t>
      </w:r>
      <w:r w:rsidRPr="00331CC2">
        <w:rPr>
          <w:rFonts w:eastAsiaTheme="minorHAnsi"/>
          <w:szCs w:val="32"/>
          <w:lang w:eastAsia="en-US"/>
        </w:rPr>
        <w:t>я по пространственным показателям распределения рынков алкогольной розницы, питейных заведений, пекарен и кофеен и социально-экономическим показателям населения муниципальных округов Санкт-Петербурга</w:t>
      </w:r>
    </w:p>
    <w:p w14:paraId="718ABBDE" w14:textId="77777777" w:rsidR="00331CC2" w:rsidRPr="00331CC2" w:rsidRDefault="00331CC2" w:rsidP="00331CC2">
      <w:pPr>
        <w:spacing w:after="160"/>
        <w:rPr>
          <w:rFonts w:eastAsiaTheme="minorHAnsi"/>
          <w:sz w:val="22"/>
          <w:szCs w:val="28"/>
          <w:lang w:eastAsia="en-US"/>
        </w:rPr>
      </w:pPr>
      <w:r w:rsidRPr="00331CC2">
        <w:rPr>
          <w:rFonts w:eastAsiaTheme="minorHAnsi"/>
          <w:sz w:val="22"/>
          <w:szCs w:val="28"/>
          <w:lang w:eastAsia="en-US"/>
        </w:rPr>
        <w:t>*Составлено автором</w:t>
      </w:r>
    </w:p>
    <w:p w14:paraId="72562CCE" w14:textId="62C1717B" w:rsidR="00331CC2" w:rsidRPr="00331CC2" w:rsidRDefault="00331CC2" w:rsidP="00331CC2">
      <w:pPr>
        <w:keepNext/>
        <w:keepLines/>
        <w:spacing w:before="160" w:after="160"/>
        <w:outlineLvl w:val="1"/>
        <w:rPr>
          <w:rFonts w:eastAsiaTheme="majorEastAsia"/>
          <w:b/>
          <w:bCs/>
          <w:lang w:eastAsia="en-US"/>
        </w:rPr>
      </w:pPr>
      <w:bookmarkStart w:id="37" w:name="_Toc103641037"/>
      <w:r w:rsidRPr="00331CC2">
        <w:rPr>
          <w:rFonts w:eastAsiaTheme="majorEastAsia"/>
          <w:b/>
          <w:bCs/>
          <w:lang w:eastAsia="en-US"/>
        </w:rPr>
        <w:lastRenderedPageBreak/>
        <w:t>3.6. Факторы соседства в размещении объектов розничной торговли и общественного питания</w:t>
      </w:r>
      <w:bookmarkEnd w:id="37"/>
    </w:p>
    <w:p w14:paraId="6F01D019" w14:textId="2BBB38CC"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Ранее в главе 1 на основе работ Имангалина были описаны виды соседства между различными отраслями производства товаров и услуг (симбиотическое, паразитическое, синергетическое, отрицательное, конкурентное и нейтральное), а также типы связей между различными типами объектов: взаимная и односторонняя.</w:t>
      </w:r>
    </w:p>
    <w:p w14:paraId="33993343" w14:textId="77777777"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 xml:space="preserve">В рамках данной части исследования была проведена оценка факторов соседства объектов алкогольной розницы и отраслей общественного питания на примере рынков питейных заведений, пекарен и кофеен между собой и с другими объектами торговли и сферы услуг. В ходе работы использовались данные </w:t>
      </w:r>
      <w:r w:rsidRPr="00331CC2">
        <w:rPr>
          <w:rFonts w:eastAsiaTheme="minorHAnsi"/>
          <w:szCs w:val="32"/>
          <w:lang w:val="en-US" w:eastAsia="en-US"/>
        </w:rPr>
        <w:t>OpenStreetMap</w:t>
      </w:r>
      <w:r w:rsidRPr="00331CC2">
        <w:rPr>
          <w:rFonts w:eastAsiaTheme="minorHAnsi"/>
          <w:szCs w:val="32"/>
          <w:lang w:eastAsia="en-US"/>
        </w:rPr>
        <w:t xml:space="preserve"> и база данных 2ГИС. Была сформирована база данных объектов в зоне 5-минутной (или 300-метровой) зоны доступности от каждого торгового объекта.</w:t>
      </w:r>
    </w:p>
    <w:p w14:paraId="175065A3" w14:textId="487EAA2C"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Для непосредственной оценки фактора соседства был применен метод оценки кластеризации с применением формулы нормирования, предложенный А.Ф. Имангалин</w:t>
      </w:r>
      <w:r w:rsidR="003C1786">
        <w:rPr>
          <w:rFonts w:eastAsiaTheme="minorHAnsi"/>
          <w:szCs w:val="32"/>
          <w:lang w:eastAsia="en-US"/>
        </w:rPr>
        <w:t>ы</w:t>
      </w:r>
      <w:r w:rsidRPr="00331CC2">
        <w:rPr>
          <w:rFonts w:eastAsiaTheme="minorHAnsi"/>
          <w:szCs w:val="32"/>
          <w:lang w:eastAsia="en-US"/>
        </w:rPr>
        <w:t>м. Показатель, используемый для оценки, отражает, какую долю от теоретически возможных комбинаций составляет число взаимных существующих или как часто один тип объекта размещен в заранее выбранной зоне доступности другого типа при учете числа этих объектов.</w:t>
      </w:r>
    </w:p>
    <w:p w14:paraId="0257DEF5" w14:textId="77777777" w:rsidR="00331CC2" w:rsidRPr="00331CC2" w:rsidRDefault="00AB59C5" w:rsidP="00331CC2">
      <w:pPr>
        <w:spacing w:before="160" w:after="160" w:line="240" w:lineRule="auto"/>
        <w:jc w:val="both"/>
        <w:rPr>
          <w:rFonts w:eastAsiaTheme="minorEastAsia"/>
          <w:sz w:val="28"/>
          <w:szCs w:val="28"/>
          <w:lang w:eastAsia="en-US"/>
        </w:rPr>
      </w:pPr>
      <m:oMathPara>
        <m:oMath>
          <m:nary>
            <m:naryPr>
              <m:chr m:val="∑"/>
              <m:limLoc m:val="undOvr"/>
              <m:ctrlPr>
                <w:rPr>
                  <w:rFonts w:ascii="Cambria Math" w:eastAsiaTheme="minorHAnsi" w:hAnsi="Cambria Math"/>
                  <w:i/>
                  <w:sz w:val="28"/>
                  <w:szCs w:val="28"/>
                  <w:lang w:eastAsia="en-US"/>
                </w:rPr>
              </m:ctrlPr>
            </m:naryPr>
            <m:sub>
              <m:r>
                <w:rPr>
                  <w:rFonts w:ascii="Cambria Math" w:eastAsiaTheme="minorHAnsi" w:hAnsi="Cambria Math"/>
                  <w:sz w:val="28"/>
                  <w:szCs w:val="28"/>
                  <w:lang w:val="en-US" w:eastAsia="en-US"/>
                </w:rPr>
                <m:t>i</m:t>
              </m:r>
              <m:r>
                <w:rPr>
                  <w:rFonts w:ascii="Cambria Math" w:eastAsiaTheme="minorHAnsi" w:hAnsi="Cambria Math"/>
                  <w:sz w:val="28"/>
                  <w:szCs w:val="28"/>
                  <w:lang w:eastAsia="en-US"/>
                </w:rPr>
                <m:t>=1</m:t>
              </m:r>
            </m:sub>
            <m:sup>
              <m:r>
                <w:rPr>
                  <w:rFonts w:ascii="Cambria Math" w:eastAsiaTheme="minorHAnsi" w:hAnsi="Cambria Math"/>
                  <w:sz w:val="28"/>
                  <w:szCs w:val="28"/>
                  <w:lang w:eastAsia="en-US"/>
                </w:rPr>
                <m:t>Nb</m:t>
              </m:r>
            </m:sup>
            <m:e>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N</m:t>
                  </m:r>
                </m:e>
                <m:sub>
                  <m:r>
                    <w:rPr>
                      <w:rFonts w:ascii="Cambria Math" w:eastAsiaTheme="minorHAnsi" w:hAnsi="Cambria Math"/>
                      <w:sz w:val="28"/>
                      <w:szCs w:val="28"/>
                      <w:lang w:eastAsia="en-US"/>
                    </w:rPr>
                    <m:t>a-b</m:t>
                  </m:r>
                </m:sub>
              </m:sSub>
              <m:r>
                <w:rPr>
                  <w:rFonts w:ascii="Cambria Math" w:eastAsiaTheme="minorHAnsi" w:hAnsi="Cambria Math"/>
                  <w:sz w:val="28"/>
                  <w:szCs w:val="28"/>
                  <w:lang w:eastAsia="en-US"/>
                </w:rPr>
                <m:t>/(</m:t>
              </m:r>
              <m:r>
                <w:rPr>
                  <w:rFonts w:ascii="Cambria Math" w:eastAsiaTheme="minorHAnsi" w:hAnsi="Cambria Math"/>
                  <w:sz w:val="28"/>
                  <w:szCs w:val="28"/>
                  <w:lang w:val="en-US" w:eastAsia="en-US"/>
                </w:rPr>
                <m:t>Na</m:t>
              </m:r>
              <m:r>
                <w:rPr>
                  <w:rFonts w:ascii="Cambria Math" w:eastAsiaTheme="minorHAnsi" w:hAnsi="Cambria Math"/>
                  <w:sz w:val="28"/>
                  <w:szCs w:val="28"/>
                  <w:lang w:eastAsia="en-US"/>
                </w:rPr>
                <m:t>*</m:t>
              </m:r>
              <m:r>
                <w:rPr>
                  <w:rFonts w:ascii="Cambria Math" w:eastAsiaTheme="minorHAnsi" w:hAnsi="Cambria Math"/>
                  <w:sz w:val="28"/>
                  <w:szCs w:val="28"/>
                  <w:lang w:val="en-US" w:eastAsia="en-US"/>
                </w:rPr>
                <m:t>Nb</m:t>
              </m:r>
              <m:r>
                <w:rPr>
                  <w:rFonts w:ascii="Cambria Math" w:eastAsiaTheme="minorHAnsi" w:hAnsi="Cambria Math"/>
                  <w:sz w:val="28"/>
                  <w:szCs w:val="28"/>
                  <w:lang w:eastAsia="en-US"/>
                </w:rPr>
                <m:t>)</m:t>
              </m:r>
            </m:e>
          </m:nary>
        </m:oMath>
      </m:oMathPara>
    </w:p>
    <w:p w14:paraId="00110E16" w14:textId="77777777" w:rsidR="00331CC2" w:rsidRPr="00331CC2" w:rsidRDefault="00331CC2" w:rsidP="003A562A">
      <w:pPr>
        <w:ind w:firstLine="851"/>
        <w:jc w:val="both"/>
        <w:rPr>
          <w:rFonts w:eastAsiaTheme="minorHAnsi"/>
          <w:lang w:eastAsia="en-US"/>
        </w:rPr>
      </w:pPr>
      <w:r w:rsidRPr="00331CC2">
        <w:rPr>
          <w:rFonts w:eastAsiaTheme="minorHAnsi"/>
          <w:lang w:eastAsia="en-US"/>
        </w:rPr>
        <w:t xml:space="preserve">Где </w:t>
      </w:r>
      <m:oMath>
        <m:sSub>
          <m:sSubPr>
            <m:ctrlPr>
              <w:rPr>
                <w:rFonts w:ascii="Cambria Math" w:eastAsia="Cambria Math" w:hAnsi="Cambria Math" w:cs="Cambria Math"/>
                <w:lang w:eastAsia="en-US"/>
              </w:rPr>
            </m:ctrlPr>
          </m:sSubPr>
          <m:e>
            <m:r>
              <w:rPr>
                <w:rFonts w:ascii="Cambria Math" w:eastAsia="Cambria Math" w:hAnsi="Cambria Math" w:cs="Cambria Math"/>
                <w:lang w:eastAsia="en-US"/>
              </w:rPr>
              <m:t>N</m:t>
            </m:r>
          </m:e>
          <m:sub>
            <m:r>
              <w:rPr>
                <w:rFonts w:ascii="Cambria Math" w:eastAsia="Cambria Math" w:hAnsi="Cambria Math" w:cs="Cambria Math"/>
                <w:lang w:eastAsia="en-US"/>
              </w:rPr>
              <m:t>a-b</m:t>
            </m:r>
          </m:sub>
        </m:sSub>
      </m:oMath>
      <w:r w:rsidRPr="00331CC2">
        <w:rPr>
          <w:rFonts w:eastAsiaTheme="minorHAnsi"/>
          <w:sz w:val="28"/>
          <w:szCs w:val="28"/>
          <w:lang w:eastAsia="en-US"/>
        </w:rPr>
        <w:t xml:space="preserve"> – </w:t>
      </w:r>
      <w:r w:rsidRPr="00331CC2">
        <w:rPr>
          <w:rFonts w:eastAsiaTheme="minorHAnsi"/>
          <w:lang w:eastAsia="en-US"/>
        </w:rPr>
        <w:t xml:space="preserve">число объектов типа </w:t>
      </w:r>
      <m:oMath>
        <m:r>
          <w:rPr>
            <w:rFonts w:ascii="Cambria Math" w:eastAsia="Cambria Math" w:hAnsi="Cambria Math" w:cs="Cambria Math"/>
            <w:lang w:eastAsia="en-US"/>
          </w:rPr>
          <m:t>a</m:t>
        </m:r>
      </m:oMath>
      <w:r w:rsidRPr="00331CC2">
        <w:rPr>
          <w:rFonts w:eastAsiaTheme="minorHAnsi"/>
          <w:lang w:eastAsia="en-US"/>
        </w:rPr>
        <w:t xml:space="preserve">, входящих в 300-метровую зону объекта типа </w:t>
      </w:r>
      <m:oMath>
        <m:r>
          <w:rPr>
            <w:rFonts w:ascii="Cambria Math" w:eastAsia="Cambria Math" w:hAnsi="Cambria Math" w:cs="Cambria Math"/>
            <w:lang w:eastAsia="en-US"/>
          </w:rPr>
          <m:t>b</m:t>
        </m:r>
      </m:oMath>
      <w:r w:rsidRPr="00331CC2">
        <w:rPr>
          <w:rFonts w:eastAsiaTheme="minorHAnsi"/>
          <w:lang w:eastAsia="en-US"/>
        </w:rPr>
        <w:t>;</w:t>
      </w:r>
    </w:p>
    <w:p w14:paraId="2956147F" w14:textId="77777777" w:rsidR="00331CC2" w:rsidRPr="00331CC2" w:rsidRDefault="00331CC2" w:rsidP="003A562A">
      <w:pPr>
        <w:ind w:firstLine="851"/>
        <w:jc w:val="both"/>
        <w:rPr>
          <w:rFonts w:eastAsiaTheme="minorHAnsi"/>
          <w:lang w:eastAsia="en-US"/>
        </w:rPr>
      </w:pPr>
      <m:oMath>
        <m:r>
          <w:rPr>
            <w:rFonts w:ascii="Cambria Math" w:eastAsia="Cambria Math" w:hAnsi="Cambria Math" w:cs="Cambria Math"/>
            <w:lang w:eastAsia="en-US"/>
          </w:rPr>
          <m:t>Na</m:t>
        </m:r>
      </m:oMath>
      <w:r w:rsidRPr="00331CC2">
        <w:rPr>
          <w:rFonts w:eastAsiaTheme="minorHAnsi"/>
          <w:lang w:eastAsia="en-US"/>
        </w:rPr>
        <w:t xml:space="preserve"> – число объектов типа </w:t>
      </w:r>
      <m:oMath>
        <m:r>
          <w:rPr>
            <w:rFonts w:ascii="Cambria Math" w:eastAsia="Cambria Math" w:hAnsi="Cambria Math" w:cs="Cambria Math"/>
            <w:lang w:eastAsia="en-US"/>
          </w:rPr>
          <m:t>a</m:t>
        </m:r>
      </m:oMath>
      <w:r w:rsidRPr="00331CC2">
        <w:rPr>
          <w:rFonts w:eastAsiaTheme="minorHAnsi"/>
          <w:lang w:eastAsia="en-US"/>
        </w:rPr>
        <w:t xml:space="preserve">; </w:t>
      </w:r>
    </w:p>
    <w:p w14:paraId="665D26F1" w14:textId="77777777" w:rsidR="00331CC2" w:rsidRPr="00331CC2" w:rsidRDefault="00331CC2" w:rsidP="003A562A">
      <w:pPr>
        <w:ind w:firstLine="851"/>
        <w:jc w:val="both"/>
        <w:rPr>
          <w:rFonts w:eastAsiaTheme="minorHAnsi"/>
          <w:lang w:eastAsia="en-US"/>
        </w:rPr>
      </w:pPr>
      <m:oMath>
        <m:r>
          <w:rPr>
            <w:rFonts w:ascii="Cambria Math" w:eastAsia="Cambria Math" w:hAnsi="Cambria Math" w:cs="Cambria Math"/>
            <w:lang w:eastAsia="en-US"/>
          </w:rPr>
          <m:t>Nb</m:t>
        </m:r>
      </m:oMath>
      <w:r w:rsidRPr="00331CC2">
        <w:rPr>
          <w:rFonts w:eastAsiaTheme="minorHAnsi"/>
          <w:lang w:eastAsia="en-US"/>
        </w:rPr>
        <w:t xml:space="preserve"> – число объектов типа </w:t>
      </w:r>
      <m:oMath>
        <m:r>
          <w:rPr>
            <w:rFonts w:ascii="Cambria Math" w:eastAsia="Cambria Math" w:hAnsi="Cambria Math" w:cs="Cambria Math"/>
            <w:lang w:eastAsia="en-US"/>
          </w:rPr>
          <m:t>b</m:t>
        </m:r>
      </m:oMath>
      <w:r w:rsidRPr="00331CC2">
        <w:rPr>
          <w:rFonts w:eastAsiaTheme="minorHAnsi"/>
          <w:lang w:eastAsia="en-US"/>
        </w:rPr>
        <w:t>.</w:t>
      </w:r>
    </w:p>
    <w:p w14:paraId="1EABE07B" w14:textId="3E533F70"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 xml:space="preserve">В рамках исследования факторов соседства, помимо рынков алкогольной розницы, питейных заведений, пекарен и кофеен были также рассмотрены объекты, которые теоретически могут притягивать к себе схожую аудиторию: </w:t>
      </w:r>
    </w:p>
    <w:p w14:paraId="42CF8049" w14:textId="77777777" w:rsidR="00331CC2" w:rsidRPr="00331CC2" w:rsidRDefault="00331CC2" w:rsidP="00432C4A">
      <w:pPr>
        <w:numPr>
          <w:ilvl w:val="0"/>
          <w:numId w:val="8"/>
        </w:numPr>
        <w:spacing w:after="160"/>
        <w:ind w:left="357" w:hanging="357"/>
        <w:contextualSpacing/>
        <w:jc w:val="both"/>
        <w:rPr>
          <w:rFonts w:eastAsiaTheme="minorHAnsi" w:cstheme="minorBidi"/>
          <w:szCs w:val="32"/>
          <w:lang w:eastAsia="en-US"/>
        </w:rPr>
      </w:pPr>
      <w:r w:rsidRPr="00331CC2">
        <w:rPr>
          <w:rFonts w:eastAsiaTheme="minorHAnsi" w:cstheme="minorBidi"/>
          <w:szCs w:val="32"/>
          <w:lang w:eastAsia="en-US"/>
        </w:rPr>
        <w:t>рестораны;</w:t>
      </w:r>
    </w:p>
    <w:p w14:paraId="2D7953CD" w14:textId="77777777" w:rsidR="00331CC2" w:rsidRPr="00331CC2" w:rsidRDefault="00331CC2" w:rsidP="00432C4A">
      <w:pPr>
        <w:numPr>
          <w:ilvl w:val="0"/>
          <w:numId w:val="8"/>
        </w:numPr>
        <w:spacing w:after="160"/>
        <w:ind w:left="357" w:hanging="357"/>
        <w:contextualSpacing/>
        <w:jc w:val="both"/>
        <w:rPr>
          <w:rFonts w:eastAsiaTheme="minorHAnsi" w:cstheme="minorBidi"/>
          <w:szCs w:val="32"/>
          <w:lang w:eastAsia="en-US"/>
        </w:rPr>
      </w:pPr>
      <w:r w:rsidRPr="00331CC2">
        <w:rPr>
          <w:rFonts w:eastAsiaTheme="minorHAnsi" w:cstheme="minorBidi"/>
          <w:szCs w:val="32"/>
          <w:lang w:eastAsia="en-US"/>
        </w:rPr>
        <w:t>продуктовые магазины:</w:t>
      </w:r>
    </w:p>
    <w:p w14:paraId="2290ACCD" w14:textId="77777777" w:rsidR="00331CC2" w:rsidRPr="00331CC2" w:rsidRDefault="00331CC2" w:rsidP="00432C4A">
      <w:pPr>
        <w:numPr>
          <w:ilvl w:val="0"/>
          <w:numId w:val="12"/>
        </w:numPr>
        <w:spacing w:after="160"/>
        <w:ind w:left="1208" w:hanging="357"/>
        <w:contextualSpacing/>
        <w:jc w:val="both"/>
        <w:rPr>
          <w:rFonts w:eastAsiaTheme="minorHAnsi" w:cstheme="minorBidi"/>
          <w:szCs w:val="32"/>
          <w:lang w:eastAsia="en-US"/>
        </w:rPr>
      </w:pPr>
      <w:r w:rsidRPr="00331CC2">
        <w:rPr>
          <w:rFonts w:eastAsiaTheme="minorHAnsi" w:cstheme="minorBidi"/>
          <w:szCs w:val="32"/>
          <w:lang w:eastAsia="en-US"/>
        </w:rPr>
        <w:t>гипермаркеты и супермаркеты;</w:t>
      </w:r>
    </w:p>
    <w:p w14:paraId="2341F955" w14:textId="77777777" w:rsidR="00331CC2" w:rsidRPr="00331CC2" w:rsidRDefault="00331CC2" w:rsidP="00432C4A">
      <w:pPr>
        <w:numPr>
          <w:ilvl w:val="0"/>
          <w:numId w:val="12"/>
        </w:numPr>
        <w:spacing w:after="160"/>
        <w:ind w:left="1208" w:hanging="357"/>
        <w:contextualSpacing/>
        <w:jc w:val="both"/>
        <w:rPr>
          <w:rFonts w:eastAsiaTheme="minorHAnsi" w:cstheme="minorBidi"/>
          <w:szCs w:val="32"/>
          <w:lang w:eastAsia="en-US"/>
        </w:rPr>
      </w:pPr>
      <w:r w:rsidRPr="00331CC2">
        <w:rPr>
          <w:rFonts w:eastAsiaTheme="minorHAnsi" w:cstheme="minorBidi"/>
          <w:szCs w:val="32"/>
          <w:lang w:eastAsia="en-US"/>
        </w:rPr>
        <w:t>минимаркеты;</w:t>
      </w:r>
    </w:p>
    <w:p w14:paraId="350708F2" w14:textId="77777777" w:rsidR="00331CC2" w:rsidRPr="00331CC2" w:rsidRDefault="00331CC2" w:rsidP="00432C4A">
      <w:pPr>
        <w:numPr>
          <w:ilvl w:val="0"/>
          <w:numId w:val="12"/>
        </w:numPr>
        <w:spacing w:after="160"/>
        <w:ind w:left="1208" w:hanging="357"/>
        <w:contextualSpacing/>
        <w:jc w:val="both"/>
        <w:rPr>
          <w:rFonts w:eastAsiaTheme="minorHAnsi" w:cstheme="minorBidi"/>
          <w:szCs w:val="32"/>
          <w:lang w:eastAsia="en-US"/>
        </w:rPr>
      </w:pPr>
      <w:r w:rsidRPr="00331CC2">
        <w:rPr>
          <w:rFonts w:eastAsiaTheme="minorHAnsi" w:cstheme="minorBidi"/>
          <w:szCs w:val="32"/>
          <w:lang w:eastAsia="en-US"/>
        </w:rPr>
        <w:t>круглосуточные продуктовые;</w:t>
      </w:r>
    </w:p>
    <w:p w14:paraId="69EF084C" w14:textId="77777777" w:rsidR="00331CC2" w:rsidRPr="00331CC2" w:rsidRDefault="00331CC2" w:rsidP="00432C4A">
      <w:pPr>
        <w:numPr>
          <w:ilvl w:val="0"/>
          <w:numId w:val="8"/>
        </w:numPr>
        <w:ind w:left="357" w:hanging="357"/>
        <w:contextualSpacing/>
        <w:jc w:val="both"/>
        <w:rPr>
          <w:rFonts w:eastAsiaTheme="minorHAnsi"/>
          <w:szCs w:val="32"/>
          <w:lang w:eastAsia="en-US"/>
        </w:rPr>
      </w:pPr>
      <w:r w:rsidRPr="00331CC2">
        <w:rPr>
          <w:rFonts w:eastAsiaTheme="minorHAnsi" w:cstheme="minorBidi"/>
          <w:szCs w:val="32"/>
          <w:lang w:eastAsia="en-US"/>
        </w:rPr>
        <w:t>аптеки;</w:t>
      </w:r>
    </w:p>
    <w:p w14:paraId="121E4A64" w14:textId="77777777" w:rsidR="00331CC2" w:rsidRPr="00331CC2" w:rsidRDefault="00331CC2" w:rsidP="00432C4A">
      <w:pPr>
        <w:numPr>
          <w:ilvl w:val="0"/>
          <w:numId w:val="8"/>
        </w:numPr>
        <w:ind w:left="357" w:hanging="357"/>
        <w:contextualSpacing/>
        <w:jc w:val="both"/>
        <w:rPr>
          <w:rFonts w:eastAsiaTheme="minorHAnsi"/>
          <w:szCs w:val="32"/>
          <w:lang w:eastAsia="en-US"/>
        </w:rPr>
      </w:pPr>
      <w:r w:rsidRPr="00331CC2">
        <w:rPr>
          <w:rFonts w:eastAsiaTheme="minorHAnsi" w:cstheme="minorBidi"/>
          <w:szCs w:val="32"/>
          <w:lang w:eastAsia="en-US"/>
        </w:rPr>
        <w:t>цветочные магазины;</w:t>
      </w:r>
    </w:p>
    <w:p w14:paraId="2F189EB1" w14:textId="77777777" w:rsidR="00331CC2" w:rsidRPr="00331CC2" w:rsidRDefault="00331CC2" w:rsidP="00432C4A">
      <w:pPr>
        <w:numPr>
          <w:ilvl w:val="0"/>
          <w:numId w:val="8"/>
        </w:numPr>
        <w:spacing w:after="160"/>
        <w:ind w:left="357" w:hanging="357"/>
        <w:contextualSpacing/>
        <w:jc w:val="both"/>
        <w:rPr>
          <w:rFonts w:eastAsiaTheme="minorHAnsi" w:cstheme="minorBidi"/>
          <w:szCs w:val="32"/>
          <w:lang w:eastAsia="en-US"/>
        </w:rPr>
      </w:pPr>
      <w:r w:rsidRPr="00331CC2">
        <w:rPr>
          <w:rFonts w:eastAsiaTheme="minorHAnsi" w:cstheme="minorBidi"/>
          <w:szCs w:val="32"/>
          <w:lang w:eastAsia="en-US"/>
        </w:rPr>
        <w:lastRenderedPageBreak/>
        <w:t>объекты социальной инфраструктуры:</w:t>
      </w:r>
    </w:p>
    <w:p w14:paraId="5E8CC743" w14:textId="77777777" w:rsidR="00331CC2" w:rsidRPr="003A562A" w:rsidRDefault="00331CC2" w:rsidP="00432C4A">
      <w:pPr>
        <w:pStyle w:val="ListParagraph"/>
        <w:numPr>
          <w:ilvl w:val="0"/>
          <w:numId w:val="13"/>
        </w:numPr>
        <w:spacing w:after="160"/>
        <w:ind w:left="1208" w:hanging="357"/>
        <w:rPr>
          <w:rFonts w:cstheme="minorBidi"/>
          <w:szCs w:val="32"/>
        </w:rPr>
      </w:pPr>
      <w:r w:rsidRPr="003A562A">
        <w:rPr>
          <w:rFonts w:cstheme="minorBidi"/>
          <w:szCs w:val="32"/>
        </w:rPr>
        <w:t>объекты образования (университеты и колледжи);</w:t>
      </w:r>
    </w:p>
    <w:p w14:paraId="59C542CF" w14:textId="77777777" w:rsidR="00331CC2" w:rsidRPr="003A562A" w:rsidRDefault="00331CC2" w:rsidP="00432C4A">
      <w:pPr>
        <w:pStyle w:val="ListParagraph"/>
        <w:numPr>
          <w:ilvl w:val="0"/>
          <w:numId w:val="13"/>
        </w:numPr>
        <w:spacing w:after="160"/>
        <w:ind w:left="1208" w:hanging="357"/>
        <w:rPr>
          <w:rFonts w:cstheme="minorBidi"/>
          <w:szCs w:val="32"/>
        </w:rPr>
      </w:pPr>
      <w:r w:rsidRPr="003A562A">
        <w:rPr>
          <w:rFonts w:cstheme="minorBidi"/>
          <w:szCs w:val="32"/>
        </w:rPr>
        <w:t>станции метро;</w:t>
      </w:r>
    </w:p>
    <w:p w14:paraId="7FA0E77F" w14:textId="77777777" w:rsidR="00331CC2" w:rsidRPr="003A562A" w:rsidRDefault="00331CC2" w:rsidP="00432C4A">
      <w:pPr>
        <w:pStyle w:val="ListParagraph"/>
        <w:numPr>
          <w:ilvl w:val="0"/>
          <w:numId w:val="13"/>
        </w:numPr>
        <w:ind w:left="1208" w:hanging="357"/>
        <w:rPr>
          <w:rFonts w:cstheme="minorBidi"/>
          <w:szCs w:val="32"/>
        </w:rPr>
      </w:pPr>
      <w:r w:rsidRPr="003A562A">
        <w:rPr>
          <w:rFonts w:cstheme="minorBidi"/>
          <w:szCs w:val="32"/>
        </w:rPr>
        <w:t>остановки общественного транспорта;</w:t>
      </w:r>
    </w:p>
    <w:p w14:paraId="5ADDED58" w14:textId="4DD3518F"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 xml:space="preserve">Итогом данной части исследования стала матрица показателей кластеризации (Таблица </w:t>
      </w:r>
      <w:r w:rsidR="00F87521">
        <w:rPr>
          <w:rFonts w:eastAsiaTheme="minorHAnsi"/>
          <w:szCs w:val="32"/>
          <w:lang w:eastAsia="en-US"/>
        </w:rPr>
        <w:t>9</w:t>
      </w:r>
      <w:r w:rsidRPr="00331CC2">
        <w:rPr>
          <w:rFonts w:eastAsiaTheme="minorHAnsi"/>
          <w:szCs w:val="32"/>
          <w:lang w:eastAsia="en-US"/>
        </w:rPr>
        <w:t xml:space="preserve">), составленная по методу А.Ф. Имангалина (Рисунок </w:t>
      </w:r>
      <w:r w:rsidR="00F87521">
        <w:rPr>
          <w:rFonts w:eastAsiaTheme="minorHAnsi"/>
          <w:szCs w:val="32"/>
          <w:lang w:eastAsia="en-US"/>
        </w:rPr>
        <w:t>52</w:t>
      </w:r>
      <w:r w:rsidRPr="00331CC2">
        <w:rPr>
          <w:rFonts w:eastAsiaTheme="minorHAnsi"/>
          <w:szCs w:val="32"/>
          <w:lang w:eastAsia="en-US"/>
        </w:rPr>
        <w:t xml:space="preserve">). </w:t>
      </w:r>
    </w:p>
    <w:p w14:paraId="0EE72CB4" w14:textId="77777777" w:rsidR="00331CC2" w:rsidRPr="00331CC2" w:rsidRDefault="00331CC2" w:rsidP="00331CC2">
      <w:pPr>
        <w:spacing w:before="160"/>
        <w:rPr>
          <w:rFonts w:eastAsiaTheme="minorHAnsi"/>
          <w:szCs w:val="32"/>
          <w:lang w:eastAsia="en-US"/>
        </w:rPr>
      </w:pPr>
      <w:r w:rsidRPr="00331CC2">
        <w:rPr>
          <w:rFonts w:eastAsiaTheme="minorHAnsi"/>
          <w:noProof/>
          <w:szCs w:val="32"/>
          <w:lang w:eastAsia="en-US"/>
        </w:rPr>
        <w:drawing>
          <wp:inline distT="0" distB="0" distL="0" distR="0" wp14:anchorId="4777EC9E" wp14:editId="5EBD3261">
            <wp:extent cx="4072925" cy="2462543"/>
            <wp:effectExtent l="0" t="0" r="3810" b="0"/>
            <wp:docPr id="113" name="Picture 1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65"/>
                    <a:stretch>
                      <a:fillRect/>
                    </a:stretch>
                  </pic:blipFill>
                  <pic:spPr>
                    <a:xfrm>
                      <a:off x="0" y="0"/>
                      <a:ext cx="4075207" cy="2463923"/>
                    </a:xfrm>
                    <a:prstGeom prst="rect">
                      <a:avLst/>
                    </a:prstGeom>
                  </pic:spPr>
                </pic:pic>
              </a:graphicData>
            </a:graphic>
          </wp:inline>
        </w:drawing>
      </w:r>
    </w:p>
    <w:p w14:paraId="55AA9FCD" w14:textId="27266F2D" w:rsidR="00331CC2" w:rsidRPr="00331CC2" w:rsidRDefault="00331CC2" w:rsidP="00331CC2">
      <w:pPr>
        <w:spacing w:line="240" w:lineRule="auto"/>
        <w:rPr>
          <w:rFonts w:eastAsiaTheme="minorHAnsi"/>
          <w:szCs w:val="32"/>
          <w:lang w:eastAsia="en-US"/>
        </w:rPr>
      </w:pPr>
      <w:r w:rsidRPr="00331CC2">
        <w:rPr>
          <w:rFonts w:eastAsiaTheme="minorHAnsi"/>
          <w:szCs w:val="32"/>
          <w:lang w:eastAsia="en-US"/>
        </w:rPr>
        <w:t xml:space="preserve">Рисунок </w:t>
      </w:r>
      <w:r w:rsidR="00F87521">
        <w:rPr>
          <w:rFonts w:eastAsiaTheme="minorHAnsi"/>
          <w:szCs w:val="32"/>
          <w:lang w:eastAsia="en-US"/>
        </w:rPr>
        <w:t>52</w:t>
      </w:r>
      <w:r w:rsidRPr="00331CC2">
        <w:rPr>
          <w:rFonts w:eastAsiaTheme="minorHAnsi"/>
          <w:szCs w:val="32"/>
          <w:lang w:eastAsia="en-US"/>
        </w:rPr>
        <w:t>. Схема анализа взаимного размещения объектов</w:t>
      </w:r>
    </w:p>
    <w:p w14:paraId="0DC14DF9" w14:textId="77777777" w:rsidR="00331CC2" w:rsidRPr="00331CC2" w:rsidRDefault="00331CC2" w:rsidP="00331CC2">
      <w:pPr>
        <w:spacing w:after="160"/>
        <w:rPr>
          <w:rFonts w:eastAsiaTheme="minorHAnsi"/>
          <w:sz w:val="22"/>
          <w:szCs w:val="28"/>
          <w:lang w:eastAsia="en-US"/>
        </w:rPr>
      </w:pPr>
      <w:r w:rsidRPr="00331CC2">
        <w:rPr>
          <w:rFonts w:eastAsiaTheme="minorHAnsi"/>
          <w:sz w:val="22"/>
          <w:szCs w:val="28"/>
          <w:lang w:eastAsia="en-US"/>
        </w:rPr>
        <w:t>*Источник: Имангалин, 2015</w:t>
      </w:r>
    </w:p>
    <w:p w14:paraId="4BD8FC68" w14:textId="77777777"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 xml:space="preserve">Существование связи определялось при условии, что показатель взаимной кластеризации (внешний тип кластеризации) между объектами разного типа превышает показатель кластеризации внутри группы (внутренний тип). На данной основе были выделены два типа связи: </w:t>
      </w:r>
    </w:p>
    <w:p w14:paraId="5E580F66" w14:textId="77777777" w:rsidR="00331CC2" w:rsidRPr="00331CC2" w:rsidRDefault="00331CC2" w:rsidP="00432C4A">
      <w:pPr>
        <w:numPr>
          <w:ilvl w:val="0"/>
          <w:numId w:val="14"/>
        </w:numPr>
        <w:spacing w:after="160"/>
        <w:ind w:left="357" w:hanging="357"/>
        <w:contextualSpacing/>
        <w:jc w:val="both"/>
        <w:rPr>
          <w:rFonts w:eastAsiaTheme="minorHAnsi"/>
          <w:lang w:eastAsia="en-US"/>
        </w:rPr>
      </w:pPr>
      <w:r w:rsidRPr="00331CC2">
        <w:rPr>
          <w:rFonts w:eastAsiaTheme="minorHAnsi"/>
          <w:szCs w:val="36"/>
          <w:lang w:eastAsia="en-US"/>
        </w:rPr>
        <w:t>взаимная (</w:t>
      </w:r>
      <w:r w:rsidRPr="00331CC2">
        <w:rPr>
          <w:rFonts w:eastAsiaTheme="minorHAnsi"/>
          <w:lang w:eastAsia="en-US"/>
        </w:rPr>
        <w:t>показатель взаимной кластеризации между двумя типами объектов выше средних значений по их группам);</w:t>
      </w:r>
    </w:p>
    <w:p w14:paraId="7353B24A" w14:textId="77777777" w:rsidR="00331CC2" w:rsidRPr="00331CC2" w:rsidRDefault="00331CC2" w:rsidP="00432C4A">
      <w:pPr>
        <w:numPr>
          <w:ilvl w:val="0"/>
          <w:numId w:val="14"/>
        </w:numPr>
        <w:ind w:left="357" w:hanging="357"/>
        <w:contextualSpacing/>
        <w:jc w:val="both"/>
        <w:rPr>
          <w:rFonts w:eastAsiaTheme="minorHAnsi"/>
          <w:szCs w:val="32"/>
          <w:lang w:eastAsia="en-US"/>
        </w:rPr>
      </w:pPr>
      <w:r w:rsidRPr="00331CC2">
        <w:rPr>
          <w:rFonts w:eastAsiaTheme="minorHAnsi"/>
          <w:lang w:eastAsia="en-US"/>
        </w:rPr>
        <w:t>односторонняя (показатель взаимной кластеризации выше среднего значения только одного типа) (Имангалин, 2015, с.25).</w:t>
      </w:r>
    </w:p>
    <w:p w14:paraId="6CEBB2D9" w14:textId="1443BA55"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 xml:space="preserve">Результаты расчета показателей кластеризации приведены в Таблице </w:t>
      </w:r>
      <w:r w:rsidR="00F87521">
        <w:rPr>
          <w:rFonts w:eastAsiaTheme="minorHAnsi"/>
          <w:szCs w:val="32"/>
          <w:lang w:eastAsia="en-US"/>
        </w:rPr>
        <w:t>9</w:t>
      </w:r>
      <w:r w:rsidRPr="00331CC2">
        <w:rPr>
          <w:rFonts w:eastAsiaTheme="minorHAnsi"/>
          <w:szCs w:val="32"/>
          <w:lang w:eastAsia="en-US"/>
        </w:rPr>
        <w:t>. Для удобства анализа все рассматриваемые показатели были умножены на 1000.</w:t>
      </w:r>
    </w:p>
    <w:p w14:paraId="29391350" w14:textId="77777777"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Наиболее высокие показатели внутренней кластеризации наблюдаются для станций метро, питейных заведений и ресторанов. Это может означать, что объекты данных групп склонны располагаться вблизи друг друга. В данном случае высокий показатель для станций метро объясняется наличием большого числа выходов одной станции, расположенных в непосредственной близости друг от друга.</w:t>
      </w:r>
    </w:p>
    <w:p w14:paraId="0DA6ADDF" w14:textId="77777777"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lastRenderedPageBreak/>
        <w:t>При анализе показателя кластеризации для алкогольных магазинов можно сделать следующие выводы:</w:t>
      </w:r>
    </w:p>
    <w:p w14:paraId="4E68F444" w14:textId="77777777" w:rsidR="00331CC2" w:rsidRPr="00331CC2" w:rsidRDefault="00331CC2" w:rsidP="00432C4A">
      <w:pPr>
        <w:numPr>
          <w:ilvl w:val="0"/>
          <w:numId w:val="9"/>
        </w:numPr>
        <w:spacing w:after="160"/>
        <w:ind w:left="357" w:hanging="357"/>
        <w:contextualSpacing/>
        <w:jc w:val="both"/>
        <w:rPr>
          <w:rFonts w:eastAsiaTheme="minorHAnsi"/>
          <w:lang w:eastAsia="en-US"/>
        </w:rPr>
      </w:pPr>
      <w:r w:rsidRPr="00331CC2">
        <w:rPr>
          <w:rFonts w:eastAsiaTheme="minorHAnsi"/>
          <w:lang w:eastAsia="en-US"/>
        </w:rPr>
        <w:t>Показатель внутренней кластеризации объектов данного рынка не велик и равняется среднему значению в группе (1,6). Объектам данного рынка не свойственно концентрироваться рядом и образовывать кластеры.</w:t>
      </w:r>
    </w:p>
    <w:p w14:paraId="2B6FADA5" w14:textId="77777777" w:rsidR="00331CC2" w:rsidRPr="00331CC2" w:rsidRDefault="00331CC2" w:rsidP="00432C4A">
      <w:pPr>
        <w:numPr>
          <w:ilvl w:val="0"/>
          <w:numId w:val="9"/>
        </w:numPr>
        <w:spacing w:after="160"/>
        <w:ind w:left="357" w:hanging="357"/>
        <w:contextualSpacing/>
        <w:jc w:val="both"/>
        <w:rPr>
          <w:rFonts w:eastAsiaTheme="minorHAnsi"/>
          <w:lang w:eastAsia="en-US"/>
        </w:rPr>
      </w:pPr>
      <w:r w:rsidRPr="00331CC2">
        <w:rPr>
          <w:rFonts w:eastAsiaTheme="minorHAnsi"/>
          <w:lang w:eastAsia="en-US"/>
        </w:rPr>
        <w:t>При рассмотрении внешней кластеризации необходимо отметить отсутствие взаимного типа кластеризации.</w:t>
      </w:r>
    </w:p>
    <w:p w14:paraId="76655DB8" w14:textId="77777777" w:rsidR="00331CC2" w:rsidRPr="00331CC2" w:rsidRDefault="00331CC2" w:rsidP="00432C4A">
      <w:pPr>
        <w:numPr>
          <w:ilvl w:val="0"/>
          <w:numId w:val="9"/>
        </w:numPr>
        <w:spacing w:after="160"/>
        <w:ind w:left="357" w:hanging="357"/>
        <w:contextualSpacing/>
        <w:jc w:val="both"/>
        <w:rPr>
          <w:rFonts w:eastAsiaTheme="minorHAnsi"/>
          <w:lang w:eastAsia="en-US"/>
        </w:rPr>
      </w:pPr>
      <w:r w:rsidRPr="00331CC2">
        <w:rPr>
          <w:rFonts w:eastAsiaTheme="minorHAnsi"/>
          <w:lang w:eastAsia="en-US"/>
        </w:rPr>
        <w:t xml:space="preserve">Наблюдается односторонняя внешняя кластеризация розничных алкогольных магазинов с питейными заведениями, пекарнями, кофейнями, ресторанами и цветочными магазинами. Данные показатели превышают среднее по группе для алкогольных магазинов. Это означает, что алкогольные магазины более часто размешаются возле вышеперечисленных объектов других сфер розничной торговли и общественного питания, однако они, в свою очередь не тяготеют к алкогольным магазинам (симбиотическое соседство). </w:t>
      </w:r>
    </w:p>
    <w:p w14:paraId="29C94053" w14:textId="77777777" w:rsidR="00331CC2" w:rsidRPr="00331CC2" w:rsidRDefault="00331CC2" w:rsidP="00432C4A">
      <w:pPr>
        <w:numPr>
          <w:ilvl w:val="0"/>
          <w:numId w:val="9"/>
        </w:numPr>
        <w:ind w:left="357" w:hanging="357"/>
        <w:contextualSpacing/>
        <w:jc w:val="both"/>
        <w:rPr>
          <w:rFonts w:eastAsiaTheme="minorHAnsi"/>
          <w:lang w:eastAsia="en-US"/>
        </w:rPr>
      </w:pPr>
      <w:r w:rsidRPr="00331CC2">
        <w:rPr>
          <w:rFonts w:eastAsiaTheme="minorHAnsi"/>
          <w:lang w:eastAsia="en-US"/>
        </w:rPr>
        <w:t>Тяготения алкогольных магазинов к гипермаркетам, минимаркетам, круглосуточным продуктовым магазинам, аптекам, метро и остановкам общественного транспорта обнаружено не было.</w:t>
      </w:r>
    </w:p>
    <w:p w14:paraId="28B579F5" w14:textId="77777777" w:rsidR="00331CC2" w:rsidRPr="00331CC2" w:rsidRDefault="00331CC2" w:rsidP="003A562A">
      <w:pPr>
        <w:ind w:firstLine="851"/>
        <w:jc w:val="both"/>
        <w:rPr>
          <w:rFonts w:eastAsiaTheme="minorHAnsi"/>
          <w:szCs w:val="32"/>
          <w:lang w:eastAsia="en-US"/>
        </w:rPr>
      </w:pPr>
      <w:r w:rsidRPr="00331CC2">
        <w:rPr>
          <w:rFonts w:eastAsiaTheme="minorHAnsi"/>
          <w:szCs w:val="32"/>
          <w:lang w:eastAsia="en-US"/>
        </w:rPr>
        <w:t>При анализе показателя кластеризации для питейных заведений можно сделать следующие выводы:</w:t>
      </w:r>
    </w:p>
    <w:p w14:paraId="5514829F"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t>Показатель внутренней кластеризации значительно выше среднего по группе, что может говорить о том, что питейные заведения имеют тенденцию располагаться по соседству друг с другом.</w:t>
      </w:r>
    </w:p>
    <w:p w14:paraId="0EE3E6B4"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t>Имеется внешняя взаимная кластеризация с кофейнями, ресторанами и объектами образования. Объекты данных рынков склонны к размещению по соседству.</w:t>
      </w:r>
    </w:p>
    <w:p w14:paraId="5816522B" w14:textId="77777777" w:rsidR="00331CC2" w:rsidRPr="00331CC2" w:rsidRDefault="00331CC2" w:rsidP="00432C4A">
      <w:pPr>
        <w:numPr>
          <w:ilvl w:val="0"/>
          <w:numId w:val="10"/>
        </w:numPr>
        <w:ind w:left="357" w:hanging="357"/>
        <w:contextualSpacing/>
        <w:jc w:val="both"/>
        <w:rPr>
          <w:rFonts w:eastAsiaTheme="minorHAnsi"/>
          <w:szCs w:val="36"/>
          <w:lang w:eastAsia="en-US"/>
        </w:rPr>
      </w:pPr>
      <w:r w:rsidRPr="00331CC2">
        <w:rPr>
          <w:rFonts w:eastAsiaTheme="minorHAnsi"/>
          <w:szCs w:val="36"/>
          <w:lang w:eastAsia="en-US"/>
        </w:rPr>
        <w:t>Односторонняя кластеризация наблюдается у питейных заведений с алкогольными магазинами, пекарнями, гипермаркетами и супермаркетами, круглосуточными продуктовыми магазинами, аптеками и станциями метро. При этом наблюдается тяготение питейных заведений только к станциям метро. Остальные перечисленные типы объектов тяготеют к питейным заведениям.</w:t>
      </w:r>
    </w:p>
    <w:p w14:paraId="6B5B2019" w14:textId="77777777" w:rsidR="00331CC2" w:rsidRPr="00331CC2" w:rsidRDefault="00331CC2" w:rsidP="00151D00">
      <w:pPr>
        <w:ind w:firstLine="851"/>
        <w:jc w:val="both"/>
        <w:rPr>
          <w:rFonts w:eastAsiaTheme="minorHAnsi"/>
          <w:szCs w:val="32"/>
          <w:lang w:eastAsia="en-US"/>
        </w:rPr>
      </w:pPr>
      <w:r w:rsidRPr="00331CC2">
        <w:rPr>
          <w:rFonts w:eastAsiaTheme="minorHAnsi"/>
          <w:szCs w:val="32"/>
          <w:lang w:eastAsia="en-US"/>
        </w:rPr>
        <w:t>При анализе показателя кластеризации для пекарен можно сделать следующие выводы:</w:t>
      </w:r>
    </w:p>
    <w:p w14:paraId="21EB4F2D"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t>Показатель внутренней кластеризации выше среднего по группе, следовательно пекарни имеют тенденцию располагаться по соседству друг с другом.</w:t>
      </w:r>
    </w:p>
    <w:p w14:paraId="5B4940FF"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t>Взаимной внешней кластеризации у пекарен с другими типами объектов не было обнаружено.</w:t>
      </w:r>
    </w:p>
    <w:p w14:paraId="244F53B3"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lastRenderedPageBreak/>
        <w:t>Пекарни имеют тенденцию ориентироваться на местоположения кофеен, питейных заведений, ресторанов, цветочных магазинов и метро, будучи зависимым от них типом (показатель внешней кластеризации между объектами выше среднего показателя кластеризации для пекарен).</w:t>
      </w:r>
    </w:p>
    <w:p w14:paraId="124AC46F" w14:textId="77777777" w:rsidR="00331CC2" w:rsidRPr="00331CC2" w:rsidRDefault="00331CC2" w:rsidP="00432C4A">
      <w:pPr>
        <w:numPr>
          <w:ilvl w:val="0"/>
          <w:numId w:val="10"/>
        </w:numPr>
        <w:ind w:left="357" w:hanging="357"/>
        <w:contextualSpacing/>
        <w:jc w:val="both"/>
        <w:rPr>
          <w:rFonts w:eastAsiaTheme="minorHAnsi"/>
          <w:szCs w:val="36"/>
          <w:lang w:eastAsia="en-US"/>
        </w:rPr>
      </w:pPr>
      <w:r w:rsidRPr="00331CC2">
        <w:rPr>
          <w:rFonts w:eastAsiaTheme="minorHAnsi"/>
          <w:szCs w:val="36"/>
          <w:lang w:eastAsia="en-US"/>
        </w:rPr>
        <w:t>«Подчиняющимся» типом объектов для пекарен являются алкогольные магазины, круглосуточные продуктовые магазины и аптеки (показатель внешней кластеризации с пекарнями ниже среднего для пекарен, но выше внутригруппового для рассматриваемых объектов).</w:t>
      </w:r>
    </w:p>
    <w:p w14:paraId="595E97F6" w14:textId="77777777" w:rsidR="00331CC2" w:rsidRPr="00331CC2" w:rsidRDefault="00331CC2" w:rsidP="00151D00">
      <w:pPr>
        <w:ind w:firstLine="851"/>
        <w:jc w:val="both"/>
        <w:rPr>
          <w:rFonts w:eastAsiaTheme="minorHAnsi"/>
          <w:szCs w:val="32"/>
          <w:lang w:eastAsia="en-US"/>
        </w:rPr>
      </w:pPr>
      <w:r w:rsidRPr="00331CC2">
        <w:rPr>
          <w:rFonts w:eastAsiaTheme="minorHAnsi"/>
          <w:szCs w:val="32"/>
          <w:lang w:eastAsia="en-US"/>
        </w:rPr>
        <w:t>При анализе показателя кластеризации для кофеен можно сделать следующие выводы:</w:t>
      </w:r>
    </w:p>
    <w:p w14:paraId="1CF896B4" w14:textId="77777777" w:rsidR="00331CC2" w:rsidRPr="00331CC2" w:rsidRDefault="00331CC2" w:rsidP="00432C4A">
      <w:pPr>
        <w:numPr>
          <w:ilvl w:val="0"/>
          <w:numId w:val="10"/>
        </w:numPr>
        <w:spacing w:after="160"/>
        <w:ind w:left="357" w:hanging="357"/>
        <w:contextualSpacing/>
        <w:jc w:val="both"/>
        <w:rPr>
          <w:rFonts w:eastAsiaTheme="minorHAnsi"/>
          <w:szCs w:val="36"/>
          <w:lang w:eastAsia="en-US"/>
        </w:rPr>
      </w:pPr>
      <w:r w:rsidRPr="00331CC2">
        <w:rPr>
          <w:rFonts w:eastAsiaTheme="minorHAnsi"/>
          <w:szCs w:val="36"/>
          <w:lang w:eastAsia="en-US"/>
        </w:rPr>
        <w:t>Показатель внутренней кластеризации выше среднего по группе, следовательно кофейни имеют тенденцию располагаться вблизи с себе подобными, тем самым образуя кластеры.</w:t>
      </w:r>
    </w:p>
    <w:p w14:paraId="105B21A1" w14:textId="77777777" w:rsidR="00E43F96" w:rsidRDefault="00331CC2" w:rsidP="00E43F96">
      <w:pPr>
        <w:numPr>
          <w:ilvl w:val="0"/>
          <w:numId w:val="10"/>
        </w:numPr>
        <w:spacing w:after="160"/>
        <w:ind w:left="357" w:hanging="357"/>
        <w:contextualSpacing/>
        <w:jc w:val="both"/>
        <w:rPr>
          <w:rFonts w:eastAsiaTheme="minorHAnsi"/>
          <w:sz w:val="28"/>
          <w:szCs w:val="40"/>
          <w:lang w:eastAsia="en-US"/>
        </w:rPr>
      </w:pPr>
      <w:r w:rsidRPr="00331CC2">
        <w:rPr>
          <w:rFonts w:eastAsiaTheme="minorHAnsi"/>
          <w:szCs w:val="40"/>
          <w:lang w:eastAsia="en-US"/>
        </w:rPr>
        <w:t>Взаимная кластеризация у кофеен наблюдается с питейными заведениями, ресторанами и объектами образования.</w:t>
      </w:r>
    </w:p>
    <w:p w14:paraId="0FFC4AEE" w14:textId="45EF8200" w:rsidR="00331CC2" w:rsidRPr="00E43F96" w:rsidRDefault="00331CC2" w:rsidP="00E43F96">
      <w:pPr>
        <w:numPr>
          <w:ilvl w:val="0"/>
          <w:numId w:val="10"/>
        </w:numPr>
        <w:spacing w:after="160"/>
        <w:ind w:left="357" w:hanging="357"/>
        <w:contextualSpacing/>
        <w:jc w:val="both"/>
        <w:rPr>
          <w:rFonts w:eastAsiaTheme="minorHAnsi"/>
          <w:sz w:val="28"/>
          <w:szCs w:val="40"/>
          <w:lang w:eastAsia="en-US"/>
        </w:rPr>
        <w:sectPr w:rsidR="00331CC2" w:rsidRPr="00E43F96" w:rsidSect="00D54080">
          <w:footerReference w:type="default" r:id="rId66"/>
          <w:pgSz w:w="11906" w:h="16838" w:code="9"/>
          <w:pgMar w:top="1134" w:right="567" w:bottom="1134" w:left="1701" w:header="709" w:footer="709" w:gutter="0"/>
          <w:cols w:space="708"/>
          <w:titlePg/>
          <w:docGrid w:linePitch="360"/>
        </w:sectPr>
      </w:pPr>
      <w:r w:rsidRPr="00E43F96">
        <w:rPr>
          <w:rFonts w:eastAsiaTheme="minorHAnsi"/>
          <w:szCs w:val="40"/>
          <w:lang w:eastAsia="en-US"/>
        </w:rPr>
        <w:t>Односторонняя кластеризация наблюдается с алкогольными магазинами, пекарнями, аптеками, цветочными и станциями метро. При этом пекарни являются зависимым типом только для станций метро, ориентируясь в своем местоположении на них. Алкогольные магазины, пекарни, аптеки и цветочные, напротив, являются зависимыми от кофеен (без зависимости кофеен от них).</w:t>
      </w:r>
    </w:p>
    <w:p w14:paraId="5CD34ACD" w14:textId="677451A4" w:rsidR="00331CC2" w:rsidRPr="00331CC2" w:rsidRDefault="00331CC2" w:rsidP="00331CC2">
      <w:pPr>
        <w:jc w:val="both"/>
        <w:rPr>
          <w:rFonts w:eastAsiaTheme="minorHAnsi"/>
          <w:szCs w:val="32"/>
          <w:lang w:eastAsia="en-US"/>
        </w:rPr>
      </w:pPr>
      <w:r w:rsidRPr="00331CC2">
        <w:rPr>
          <w:rFonts w:eastAsiaTheme="minorHAnsi"/>
          <w:szCs w:val="32"/>
          <w:lang w:eastAsia="en-US"/>
        </w:rPr>
        <w:lastRenderedPageBreak/>
        <w:t xml:space="preserve">Таблица </w:t>
      </w:r>
      <w:r w:rsidR="00F87521">
        <w:rPr>
          <w:rFonts w:eastAsiaTheme="minorHAnsi"/>
          <w:szCs w:val="32"/>
          <w:lang w:eastAsia="en-US"/>
        </w:rPr>
        <w:t>9</w:t>
      </w:r>
      <w:r w:rsidRPr="00331CC2">
        <w:rPr>
          <w:rFonts w:eastAsiaTheme="minorHAnsi"/>
          <w:szCs w:val="32"/>
          <w:lang w:eastAsia="en-US"/>
        </w:rPr>
        <w:t>. Значение показателя кластеризации размещения объектов</w:t>
      </w:r>
    </w:p>
    <w:tbl>
      <w:tblPr>
        <w:tblW w:w="14677" w:type="dxa"/>
        <w:tblLook w:val="04A0" w:firstRow="1" w:lastRow="0" w:firstColumn="1" w:lastColumn="0" w:noHBand="0" w:noVBand="1"/>
      </w:tblPr>
      <w:tblGrid>
        <w:gridCol w:w="3609"/>
        <w:gridCol w:w="875"/>
        <w:gridCol w:w="875"/>
        <w:gridCol w:w="651"/>
        <w:gridCol w:w="651"/>
        <w:gridCol w:w="651"/>
        <w:gridCol w:w="875"/>
        <w:gridCol w:w="651"/>
        <w:gridCol w:w="875"/>
        <w:gridCol w:w="651"/>
        <w:gridCol w:w="875"/>
        <w:gridCol w:w="651"/>
        <w:gridCol w:w="797"/>
        <w:gridCol w:w="1247"/>
        <w:gridCol w:w="743"/>
      </w:tblGrid>
      <w:tr w:rsidR="00331CC2" w:rsidRPr="00331CC2" w14:paraId="2DEE2946" w14:textId="77777777" w:rsidTr="00BA1E3E">
        <w:trPr>
          <w:trHeight w:val="1724"/>
        </w:trPr>
        <w:tc>
          <w:tcPr>
            <w:tcW w:w="36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9791C"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07D7EA76" w14:textId="77777777" w:rsidR="00331CC2" w:rsidRPr="00331CC2" w:rsidRDefault="00331CC2" w:rsidP="00331CC2">
            <w:pPr>
              <w:spacing w:line="240" w:lineRule="auto"/>
              <w:rPr>
                <w:color w:val="000000"/>
                <w:sz w:val="22"/>
              </w:rPr>
            </w:pPr>
            <w:r w:rsidRPr="00331CC2">
              <w:rPr>
                <w:color w:val="000000"/>
                <w:sz w:val="22"/>
                <w:szCs w:val="22"/>
              </w:rPr>
              <w:t>Алкогольные магазины</w:t>
            </w:r>
          </w:p>
        </w:tc>
        <w:tc>
          <w:tcPr>
            <w:tcW w:w="8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014A68B1" w14:textId="77777777" w:rsidR="00331CC2" w:rsidRPr="00331CC2" w:rsidRDefault="00331CC2" w:rsidP="00331CC2">
            <w:pPr>
              <w:spacing w:line="240" w:lineRule="auto"/>
              <w:rPr>
                <w:color w:val="000000"/>
                <w:sz w:val="22"/>
              </w:rPr>
            </w:pPr>
            <w:r w:rsidRPr="00331CC2">
              <w:rPr>
                <w:color w:val="000000"/>
                <w:sz w:val="22"/>
                <w:szCs w:val="22"/>
              </w:rPr>
              <w:t>Питейные заведения</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1E9F0E24" w14:textId="77777777" w:rsidR="00331CC2" w:rsidRPr="00331CC2" w:rsidRDefault="00331CC2" w:rsidP="00331CC2">
            <w:pPr>
              <w:spacing w:line="240" w:lineRule="auto"/>
              <w:rPr>
                <w:color w:val="000000"/>
                <w:sz w:val="22"/>
              </w:rPr>
            </w:pPr>
            <w:r w:rsidRPr="00331CC2">
              <w:rPr>
                <w:color w:val="000000"/>
                <w:sz w:val="22"/>
                <w:szCs w:val="22"/>
              </w:rPr>
              <w:t>Пекарни</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56EE4BA0" w14:textId="77777777" w:rsidR="00331CC2" w:rsidRPr="00331CC2" w:rsidRDefault="00331CC2" w:rsidP="00331CC2">
            <w:pPr>
              <w:spacing w:line="240" w:lineRule="auto"/>
              <w:rPr>
                <w:color w:val="000000"/>
                <w:sz w:val="22"/>
              </w:rPr>
            </w:pPr>
            <w:r w:rsidRPr="00331CC2">
              <w:rPr>
                <w:color w:val="000000"/>
                <w:sz w:val="22"/>
                <w:szCs w:val="22"/>
              </w:rPr>
              <w:t>Кофейни</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0ED82896" w14:textId="77777777" w:rsidR="00331CC2" w:rsidRPr="00331CC2" w:rsidRDefault="00331CC2" w:rsidP="00331CC2">
            <w:pPr>
              <w:spacing w:line="240" w:lineRule="auto"/>
              <w:rPr>
                <w:color w:val="000000"/>
                <w:sz w:val="22"/>
              </w:rPr>
            </w:pPr>
            <w:r w:rsidRPr="00331CC2">
              <w:rPr>
                <w:color w:val="000000"/>
                <w:sz w:val="22"/>
                <w:szCs w:val="22"/>
              </w:rPr>
              <w:t>Рестораны</w:t>
            </w:r>
          </w:p>
        </w:tc>
        <w:tc>
          <w:tcPr>
            <w:tcW w:w="8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1599AA0F" w14:textId="77777777" w:rsidR="00331CC2" w:rsidRPr="00331CC2" w:rsidRDefault="00331CC2" w:rsidP="00331CC2">
            <w:pPr>
              <w:spacing w:line="240" w:lineRule="auto"/>
              <w:rPr>
                <w:color w:val="000000"/>
                <w:sz w:val="22"/>
              </w:rPr>
            </w:pPr>
            <w:r w:rsidRPr="00331CC2">
              <w:rPr>
                <w:color w:val="000000"/>
                <w:sz w:val="22"/>
                <w:szCs w:val="22"/>
              </w:rPr>
              <w:t>Гипермаркеты и супермаркеты</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431DB154" w14:textId="77777777" w:rsidR="00331CC2" w:rsidRPr="00331CC2" w:rsidRDefault="00331CC2" w:rsidP="00331CC2">
            <w:pPr>
              <w:spacing w:line="240" w:lineRule="auto"/>
              <w:rPr>
                <w:color w:val="000000"/>
                <w:sz w:val="22"/>
              </w:rPr>
            </w:pPr>
            <w:r w:rsidRPr="00331CC2">
              <w:rPr>
                <w:color w:val="000000"/>
                <w:sz w:val="22"/>
                <w:szCs w:val="22"/>
              </w:rPr>
              <w:t>Минимаркеты</w:t>
            </w:r>
          </w:p>
        </w:tc>
        <w:tc>
          <w:tcPr>
            <w:tcW w:w="8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6528BFFA" w14:textId="77777777" w:rsidR="00331CC2" w:rsidRPr="00331CC2" w:rsidRDefault="00331CC2" w:rsidP="00331CC2">
            <w:pPr>
              <w:spacing w:line="240" w:lineRule="auto"/>
              <w:rPr>
                <w:color w:val="000000"/>
                <w:sz w:val="22"/>
              </w:rPr>
            </w:pPr>
            <w:r w:rsidRPr="00331CC2">
              <w:rPr>
                <w:color w:val="000000"/>
                <w:sz w:val="22"/>
                <w:szCs w:val="22"/>
              </w:rPr>
              <w:t>Круглосуточные продуктовые</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6759B934" w14:textId="77777777" w:rsidR="00331CC2" w:rsidRPr="00331CC2" w:rsidRDefault="00331CC2" w:rsidP="00331CC2">
            <w:pPr>
              <w:spacing w:line="240" w:lineRule="auto"/>
              <w:rPr>
                <w:color w:val="000000"/>
                <w:sz w:val="22"/>
              </w:rPr>
            </w:pPr>
            <w:r w:rsidRPr="00331CC2">
              <w:rPr>
                <w:color w:val="000000"/>
                <w:sz w:val="22"/>
                <w:szCs w:val="22"/>
              </w:rPr>
              <w:t>Аптеки</w:t>
            </w:r>
          </w:p>
        </w:tc>
        <w:tc>
          <w:tcPr>
            <w:tcW w:w="8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7822E27E" w14:textId="77777777" w:rsidR="00331CC2" w:rsidRPr="00331CC2" w:rsidRDefault="00331CC2" w:rsidP="00331CC2">
            <w:pPr>
              <w:spacing w:line="240" w:lineRule="auto"/>
              <w:rPr>
                <w:color w:val="000000"/>
                <w:sz w:val="22"/>
              </w:rPr>
            </w:pPr>
            <w:r w:rsidRPr="00331CC2">
              <w:rPr>
                <w:color w:val="000000"/>
                <w:sz w:val="22"/>
                <w:szCs w:val="22"/>
              </w:rPr>
              <w:t>Цветочные магазины</w:t>
            </w:r>
          </w:p>
        </w:tc>
        <w:tc>
          <w:tcPr>
            <w:tcW w:w="6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6D57FD79" w14:textId="77777777" w:rsidR="00331CC2" w:rsidRPr="00331CC2" w:rsidRDefault="00331CC2" w:rsidP="00331CC2">
            <w:pPr>
              <w:spacing w:line="240" w:lineRule="auto"/>
              <w:rPr>
                <w:color w:val="000000"/>
                <w:sz w:val="22"/>
              </w:rPr>
            </w:pPr>
            <w:r w:rsidRPr="00331CC2">
              <w:rPr>
                <w:color w:val="000000"/>
                <w:sz w:val="22"/>
                <w:szCs w:val="22"/>
              </w:rPr>
              <w:t>Образование</w:t>
            </w:r>
          </w:p>
        </w:tc>
        <w:tc>
          <w:tcPr>
            <w:tcW w:w="79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3A3F4FB" w14:textId="77777777" w:rsidR="00331CC2" w:rsidRPr="00331CC2" w:rsidRDefault="00331CC2" w:rsidP="00331CC2">
            <w:pPr>
              <w:spacing w:line="240" w:lineRule="auto"/>
              <w:rPr>
                <w:color w:val="000000"/>
                <w:sz w:val="22"/>
              </w:rPr>
            </w:pPr>
            <w:r w:rsidRPr="00331CC2">
              <w:rPr>
                <w:color w:val="000000"/>
                <w:sz w:val="22"/>
                <w:szCs w:val="22"/>
              </w:rPr>
              <w:t>Станции метро</w:t>
            </w:r>
          </w:p>
        </w:tc>
        <w:tc>
          <w:tcPr>
            <w:tcW w:w="1247" w:type="dxa"/>
            <w:tcBorders>
              <w:top w:val="single" w:sz="4" w:space="0" w:color="auto"/>
              <w:left w:val="nil"/>
              <w:bottom w:val="single" w:sz="4" w:space="0" w:color="auto"/>
              <w:right w:val="single" w:sz="4" w:space="0" w:color="auto"/>
            </w:tcBorders>
            <w:shd w:val="clear" w:color="auto" w:fill="auto"/>
            <w:textDirection w:val="btLr"/>
            <w:vAlign w:val="center"/>
            <w:hideMark/>
          </w:tcPr>
          <w:p w14:paraId="23FA1BEC" w14:textId="77777777" w:rsidR="00331CC2" w:rsidRPr="00331CC2" w:rsidRDefault="00331CC2" w:rsidP="00331CC2">
            <w:pPr>
              <w:spacing w:line="240" w:lineRule="auto"/>
              <w:rPr>
                <w:color w:val="000000"/>
                <w:sz w:val="22"/>
              </w:rPr>
            </w:pPr>
            <w:r w:rsidRPr="00331CC2">
              <w:rPr>
                <w:color w:val="000000"/>
                <w:sz w:val="22"/>
                <w:szCs w:val="22"/>
              </w:rPr>
              <w:t>Остановки общественного транспорта</w:t>
            </w:r>
          </w:p>
        </w:tc>
        <w:tc>
          <w:tcPr>
            <w:tcW w:w="74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D0E054D" w14:textId="77777777" w:rsidR="00331CC2" w:rsidRPr="00331CC2" w:rsidRDefault="00331CC2" w:rsidP="00331CC2">
            <w:pPr>
              <w:spacing w:line="240" w:lineRule="auto"/>
              <w:rPr>
                <w:color w:val="000000"/>
                <w:sz w:val="22"/>
              </w:rPr>
            </w:pPr>
            <w:r w:rsidRPr="00331CC2">
              <w:rPr>
                <w:color w:val="000000"/>
                <w:sz w:val="22"/>
                <w:szCs w:val="22"/>
              </w:rPr>
              <w:t>Сред. знач.</w:t>
            </w:r>
          </w:p>
        </w:tc>
      </w:tr>
      <w:tr w:rsidR="00331CC2" w:rsidRPr="00331CC2" w14:paraId="5025A792"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24B23527" w14:textId="77777777" w:rsidR="00331CC2" w:rsidRPr="00331CC2" w:rsidRDefault="00331CC2" w:rsidP="00331CC2">
            <w:pPr>
              <w:spacing w:line="240" w:lineRule="auto"/>
              <w:rPr>
                <w:color w:val="000000"/>
                <w:sz w:val="22"/>
              </w:rPr>
            </w:pPr>
            <w:r w:rsidRPr="00331CC2">
              <w:rPr>
                <w:color w:val="000000"/>
                <w:sz w:val="22"/>
                <w:szCs w:val="22"/>
              </w:rPr>
              <w:t>Алкогольные магазины</w:t>
            </w:r>
          </w:p>
        </w:tc>
        <w:tc>
          <w:tcPr>
            <w:tcW w:w="875" w:type="dxa"/>
            <w:tcBorders>
              <w:top w:val="nil"/>
              <w:left w:val="nil"/>
              <w:bottom w:val="single" w:sz="4" w:space="0" w:color="auto"/>
              <w:right w:val="single" w:sz="4" w:space="0" w:color="auto"/>
            </w:tcBorders>
            <w:shd w:val="clear" w:color="auto" w:fill="auto"/>
            <w:noWrap/>
            <w:vAlign w:val="center"/>
            <w:hideMark/>
          </w:tcPr>
          <w:p w14:paraId="63ADE106" w14:textId="77777777" w:rsidR="00331CC2" w:rsidRPr="00331CC2" w:rsidRDefault="00331CC2" w:rsidP="00331CC2">
            <w:pPr>
              <w:spacing w:line="240" w:lineRule="auto"/>
              <w:rPr>
                <w:color w:val="000000"/>
                <w:sz w:val="22"/>
              </w:rPr>
            </w:pPr>
            <w:r w:rsidRPr="00331CC2">
              <w:rPr>
                <w:color w:val="000000"/>
                <w:sz w:val="22"/>
                <w:szCs w:val="22"/>
              </w:rPr>
              <w:t>1,6</w:t>
            </w:r>
          </w:p>
        </w:tc>
        <w:tc>
          <w:tcPr>
            <w:tcW w:w="875" w:type="dxa"/>
            <w:tcBorders>
              <w:top w:val="nil"/>
              <w:left w:val="nil"/>
              <w:bottom w:val="single" w:sz="4" w:space="0" w:color="auto"/>
              <w:right w:val="single" w:sz="4" w:space="0" w:color="auto"/>
            </w:tcBorders>
            <w:shd w:val="clear" w:color="000000" w:fill="FFF2CC"/>
            <w:noWrap/>
            <w:vAlign w:val="center"/>
            <w:hideMark/>
          </w:tcPr>
          <w:p w14:paraId="209E8470" w14:textId="77777777" w:rsidR="00331CC2" w:rsidRPr="00331CC2" w:rsidRDefault="00331CC2" w:rsidP="00331CC2">
            <w:pPr>
              <w:spacing w:line="240" w:lineRule="auto"/>
              <w:rPr>
                <w:color w:val="000000"/>
                <w:sz w:val="22"/>
              </w:rPr>
            </w:pPr>
            <w:r w:rsidRPr="00331CC2">
              <w:rPr>
                <w:color w:val="000000"/>
                <w:sz w:val="22"/>
                <w:szCs w:val="22"/>
              </w:rPr>
              <w:t>2,3</w:t>
            </w:r>
          </w:p>
        </w:tc>
        <w:tc>
          <w:tcPr>
            <w:tcW w:w="651" w:type="dxa"/>
            <w:tcBorders>
              <w:top w:val="nil"/>
              <w:left w:val="nil"/>
              <w:bottom w:val="single" w:sz="4" w:space="0" w:color="auto"/>
              <w:right w:val="single" w:sz="4" w:space="0" w:color="auto"/>
            </w:tcBorders>
            <w:shd w:val="clear" w:color="000000" w:fill="FFF2CC"/>
            <w:noWrap/>
            <w:vAlign w:val="center"/>
            <w:hideMark/>
          </w:tcPr>
          <w:p w14:paraId="7C4B8DAE" w14:textId="77777777" w:rsidR="00331CC2" w:rsidRPr="00331CC2" w:rsidRDefault="00331CC2" w:rsidP="00331CC2">
            <w:pPr>
              <w:spacing w:line="240" w:lineRule="auto"/>
              <w:rPr>
                <w:color w:val="000000"/>
                <w:sz w:val="22"/>
              </w:rPr>
            </w:pPr>
            <w:r w:rsidRPr="00331CC2">
              <w:rPr>
                <w:color w:val="000000"/>
                <w:sz w:val="22"/>
                <w:szCs w:val="22"/>
              </w:rPr>
              <w:t>1,7</w:t>
            </w:r>
          </w:p>
        </w:tc>
        <w:tc>
          <w:tcPr>
            <w:tcW w:w="651" w:type="dxa"/>
            <w:tcBorders>
              <w:top w:val="nil"/>
              <w:left w:val="nil"/>
              <w:bottom w:val="single" w:sz="4" w:space="0" w:color="auto"/>
              <w:right w:val="single" w:sz="4" w:space="0" w:color="auto"/>
            </w:tcBorders>
            <w:shd w:val="clear" w:color="000000" w:fill="FFF2CC"/>
            <w:noWrap/>
            <w:vAlign w:val="center"/>
            <w:hideMark/>
          </w:tcPr>
          <w:p w14:paraId="798759F9" w14:textId="77777777" w:rsidR="00331CC2" w:rsidRPr="00331CC2" w:rsidRDefault="00331CC2" w:rsidP="00331CC2">
            <w:pPr>
              <w:spacing w:line="240" w:lineRule="auto"/>
              <w:rPr>
                <w:color w:val="000000"/>
                <w:sz w:val="22"/>
              </w:rPr>
            </w:pPr>
            <w:r w:rsidRPr="00331CC2">
              <w:rPr>
                <w:color w:val="000000"/>
                <w:sz w:val="22"/>
                <w:szCs w:val="22"/>
              </w:rPr>
              <w:t>1,9</w:t>
            </w:r>
          </w:p>
        </w:tc>
        <w:tc>
          <w:tcPr>
            <w:tcW w:w="651" w:type="dxa"/>
            <w:tcBorders>
              <w:top w:val="nil"/>
              <w:left w:val="nil"/>
              <w:bottom w:val="single" w:sz="4" w:space="0" w:color="auto"/>
              <w:right w:val="single" w:sz="4" w:space="0" w:color="auto"/>
            </w:tcBorders>
            <w:shd w:val="clear" w:color="000000" w:fill="FFF2CC"/>
            <w:noWrap/>
            <w:vAlign w:val="center"/>
            <w:hideMark/>
          </w:tcPr>
          <w:p w14:paraId="589398C5" w14:textId="77777777" w:rsidR="00331CC2" w:rsidRPr="00331CC2" w:rsidRDefault="00331CC2" w:rsidP="00331CC2">
            <w:pPr>
              <w:spacing w:line="240" w:lineRule="auto"/>
              <w:rPr>
                <w:color w:val="000000"/>
                <w:sz w:val="22"/>
              </w:rPr>
            </w:pPr>
            <w:r w:rsidRPr="00331CC2">
              <w:rPr>
                <w:color w:val="000000"/>
                <w:sz w:val="22"/>
                <w:szCs w:val="22"/>
              </w:rPr>
              <w:t>2,0</w:t>
            </w:r>
          </w:p>
        </w:tc>
        <w:tc>
          <w:tcPr>
            <w:tcW w:w="875" w:type="dxa"/>
            <w:tcBorders>
              <w:top w:val="nil"/>
              <w:left w:val="nil"/>
              <w:bottom w:val="single" w:sz="4" w:space="0" w:color="auto"/>
              <w:right w:val="single" w:sz="4" w:space="0" w:color="auto"/>
            </w:tcBorders>
            <w:shd w:val="clear" w:color="auto" w:fill="auto"/>
            <w:noWrap/>
            <w:vAlign w:val="center"/>
            <w:hideMark/>
          </w:tcPr>
          <w:p w14:paraId="3158AC63"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31DA1E3E" w14:textId="77777777" w:rsidR="00331CC2" w:rsidRPr="00331CC2" w:rsidRDefault="00331CC2" w:rsidP="00331CC2">
            <w:pPr>
              <w:spacing w:line="240" w:lineRule="auto"/>
              <w:rPr>
                <w:color w:val="000000"/>
                <w:sz w:val="22"/>
              </w:rPr>
            </w:pPr>
            <w:r w:rsidRPr="00331CC2">
              <w:rPr>
                <w:color w:val="000000"/>
                <w:sz w:val="22"/>
                <w:szCs w:val="22"/>
              </w:rPr>
              <w:t>1,2</w:t>
            </w:r>
          </w:p>
        </w:tc>
        <w:tc>
          <w:tcPr>
            <w:tcW w:w="875" w:type="dxa"/>
            <w:tcBorders>
              <w:top w:val="nil"/>
              <w:left w:val="nil"/>
              <w:bottom w:val="single" w:sz="4" w:space="0" w:color="auto"/>
              <w:right w:val="single" w:sz="4" w:space="0" w:color="auto"/>
            </w:tcBorders>
            <w:shd w:val="clear" w:color="auto" w:fill="auto"/>
            <w:noWrap/>
            <w:vAlign w:val="center"/>
            <w:hideMark/>
          </w:tcPr>
          <w:p w14:paraId="17C706EB"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49612968" w14:textId="77777777" w:rsidR="00331CC2" w:rsidRPr="00331CC2" w:rsidRDefault="00331CC2" w:rsidP="00331CC2">
            <w:pPr>
              <w:spacing w:line="240" w:lineRule="auto"/>
              <w:rPr>
                <w:color w:val="000000"/>
                <w:sz w:val="22"/>
              </w:rPr>
            </w:pPr>
            <w:r w:rsidRPr="00331CC2">
              <w:rPr>
                <w:color w:val="000000"/>
                <w:sz w:val="22"/>
                <w:szCs w:val="22"/>
              </w:rPr>
              <w:t>1,5</w:t>
            </w:r>
          </w:p>
        </w:tc>
        <w:tc>
          <w:tcPr>
            <w:tcW w:w="875" w:type="dxa"/>
            <w:tcBorders>
              <w:top w:val="nil"/>
              <w:left w:val="nil"/>
              <w:bottom w:val="single" w:sz="4" w:space="0" w:color="auto"/>
              <w:right w:val="single" w:sz="4" w:space="0" w:color="auto"/>
            </w:tcBorders>
            <w:shd w:val="clear" w:color="000000" w:fill="FFF2CC"/>
            <w:noWrap/>
            <w:vAlign w:val="center"/>
            <w:hideMark/>
          </w:tcPr>
          <w:p w14:paraId="2F7E51ED" w14:textId="77777777" w:rsidR="00331CC2" w:rsidRPr="00331CC2" w:rsidRDefault="00331CC2" w:rsidP="00331CC2">
            <w:pPr>
              <w:spacing w:line="240" w:lineRule="auto"/>
              <w:rPr>
                <w:color w:val="000000"/>
                <w:sz w:val="22"/>
              </w:rPr>
            </w:pPr>
            <w:r w:rsidRPr="00331CC2">
              <w:rPr>
                <w:color w:val="000000"/>
                <w:sz w:val="22"/>
                <w:szCs w:val="22"/>
              </w:rPr>
              <w:t>1,8</w:t>
            </w:r>
          </w:p>
        </w:tc>
        <w:tc>
          <w:tcPr>
            <w:tcW w:w="651" w:type="dxa"/>
            <w:tcBorders>
              <w:top w:val="nil"/>
              <w:left w:val="nil"/>
              <w:bottom w:val="single" w:sz="4" w:space="0" w:color="auto"/>
              <w:right w:val="single" w:sz="4" w:space="0" w:color="auto"/>
            </w:tcBorders>
            <w:shd w:val="clear" w:color="auto" w:fill="auto"/>
            <w:noWrap/>
            <w:vAlign w:val="center"/>
            <w:hideMark/>
          </w:tcPr>
          <w:p w14:paraId="1C19AE18" w14:textId="77777777" w:rsidR="00331CC2" w:rsidRPr="00331CC2" w:rsidRDefault="00331CC2" w:rsidP="00331CC2">
            <w:pPr>
              <w:spacing w:line="240" w:lineRule="auto"/>
              <w:rPr>
                <w:color w:val="000000"/>
                <w:sz w:val="22"/>
              </w:rPr>
            </w:pPr>
            <w:r w:rsidRPr="00331CC2">
              <w:rPr>
                <w:color w:val="000000"/>
                <w:sz w:val="22"/>
                <w:szCs w:val="22"/>
              </w:rPr>
              <w:t>1,5</w:t>
            </w:r>
          </w:p>
        </w:tc>
        <w:tc>
          <w:tcPr>
            <w:tcW w:w="797" w:type="dxa"/>
            <w:tcBorders>
              <w:top w:val="nil"/>
              <w:left w:val="nil"/>
              <w:bottom w:val="single" w:sz="4" w:space="0" w:color="auto"/>
              <w:right w:val="single" w:sz="4" w:space="0" w:color="auto"/>
            </w:tcBorders>
            <w:shd w:val="clear" w:color="auto" w:fill="auto"/>
            <w:noWrap/>
            <w:vAlign w:val="center"/>
            <w:hideMark/>
          </w:tcPr>
          <w:p w14:paraId="20387CA7" w14:textId="77777777" w:rsidR="00331CC2" w:rsidRPr="00331CC2" w:rsidRDefault="00331CC2" w:rsidP="00331CC2">
            <w:pPr>
              <w:spacing w:line="240" w:lineRule="auto"/>
              <w:rPr>
                <w:color w:val="000000"/>
                <w:sz w:val="22"/>
              </w:rPr>
            </w:pPr>
            <w:r w:rsidRPr="00331CC2">
              <w:rPr>
                <w:color w:val="000000"/>
                <w:sz w:val="22"/>
                <w:szCs w:val="22"/>
              </w:rPr>
              <w:t>1,5</w:t>
            </w:r>
          </w:p>
        </w:tc>
        <w:tc>
          <w:tcPr>
            <w:tcW w:w="1247" w:type="dxa"/>
            <w:tcBorders>
              <w:top w:val="nil"/>
              <w:left w:val="nil"/>
              <w:bottom w:val="single" w:sz="4" w:space="0" w:color="auto"/>
              <w:right w:val="single" w:sz="4" w:space="0" w:color="auto"/>
            </w:tcBorders>
            <w:shd w:val="clear" w:color="auto" w:fill="auto"/>
            <w:noWrap/>
            <w:vAlign w:val="center"/>
            <w:hideMark/>
          </w:tcPr>
          <w:p w14:paraId="3212D368"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1745143A" w14:textId="77777777" w:rsidR="00331CC2" w:rsidRPr="00331CC2" w:rsidRDefault="00331CC2" w:rsidP="00331CC2">
            <w:pPr>
              <w:spacing w:line="240" w:lineRule="auto"/>
              <w:rPr>
                <w:b/>
                <w:bCs/>
                <w:color w:val="000000"/>
                <w:sz w:val="22"/>
              </w:rPr>
            </w:pPr>
            <w:r w:rsidRPr="00331CC2">
              <w:rPr>
                <w:b/>
                <w:bCs/>
                <w:color w:val="000000"/>
                <w:sz w:val="22"/>
                <w:szCs w:val="22"/>
              </w:rPr>
              <w:t>1,6</w:t>
            </w:r>
          </w:p>
        </w:tc>
      </w:tr>
      <w:tr w:rsidR="00331CC2" w:rsidRPr="00331CC2" w14:paraId="6630B477"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4F9A7636" w14:textId="77777777" w:rsidR="00331CC2" w:rsidRPr="00331CC2" w:rsidRDefault="00331CC2" w:rsidP="00331CC2">
            <w:pPr>
              <w:spacing w:line="240" w:lineRule="auto"/>
              <w:rPr>
                <w:color w:val="000000"/>
                <w:sz w:val="22"/>
              </w:rPr>
            </w:pPr>
            <w:r w:rsidRPr="00331CC2">
              <w:rPr>
                <w:color w:val="000000"/>
                <w:sz w:val="22"/>
                <w:szCs w:val="22"/>
              </w:rPr>
              <w:t>Питейные заведения</w:t>
            </w:r>
          </w:p>
        </w:tc>
        <w:tc>
          <w:tcPr>
            <w:tcW w:w="875" w:type="dxa"/>
            <w:tcBorders>
              <w:top w:val="nil"/>
              <w:left w:val="nil"/>
              <w:bottom w:val="single" w:sz="4" w:space="0" w:color="auto"/>
              <w:right w:val="single" w:sz="4" w:space="0" w:color="auto"/>
            </w:tcBorders>
            <w:shd w:val="clear" w:color="auto" w:fill="auto"/>
            <w:noWrap/>
            <w:vAlign w:val="center"/>
            <w:hideMark/>
          </w:tcPr>
          <w:p w14:paraId="73B5DE37"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000000" w:fill="F8CBAD"/>
            <w:noWrap/>
            <w:vAlign w:val="center"/>
            <w:hideMark/>
          </w:tcPr>
          <w:p w14:paraId="231AD3B3" w14:textId="77777777" w:rsidR="00331CC2" w:rsidRPr="00331CC2" w:rsidRDefault="00331CC2" w:rsidP="00331CC2">
            <w:pPr>
              <w:spacing w:line="240" w:lineRule="auto"/>
              <w:rPr>
                <w:color w:val="000000"/>
                <w:sz w:val="22"/>
              </w:rPr>
            </w:pPr>
            <w:r w:rsidRPr="00331CC2">
              <w:rPr>
                <w:color w:val="000000"/>
                <w:sz w:val="22"/>
                <w:szCs w:val="22"/>
              </w:rPr>
              <w:t>7,9</w:t>
            </w:r>
          </w:p>
        </w:tc>
        <w:tc>
          <w:tcPr>
            <w:tcW w:w="651" w:type="dxa"/>
            <w:tcBorders>
              <w:top w:val="nil"/>
              <w:left w:val="nil"/>
              <w:bottom w:val="single" w:sz="4" w:space="0" w:color="auto"/>
              <w:right w:val="single" w:sz="4" w:space="0" w:color="auto"/>
            </w:tcBorders>
            <w:shd w:val="clear" w:color="000000" w:fill="FFF2CC"/>
            <w:noWrap/>
            <w:vAlign w:val="center"/>
            <w:hideMark/>
          </w:tcPr>
          <w:p w14:paraId="57384D46" w14:textId="77777777" w:rsidR="00331CC2" w:rsidRPr="00331CC2" w:rsidRDefault="00331CC2" w:rsidP="00331CC2">
            <w:pPr>
              <w:spacing w:line="240" w:lineRule="auto"/>
              <w:rPr>
                <w:color w:val="000000"/>
                <w:sz w:val="22"/>
              </w:rPr>
            </w:pPr>
            <w:r w:rsidRPr="00331CC2">
              <w:rPr>
                <w:color w:val="000000"/>
                <w:sz w:val="22"/>
                <w:szCs w:val="22"/>
              </w:rPr>
              <w:t>2,1</w:t>
            </w:r>
          </w:p>
        </w:tc>
        <w:tc>
          <w:tcPr>
            <w:tcW w:w="651" w:type="dxa"/>
            <w:tcBorders>
              <w:top w:val="nil"/>
              <w:left w:val="nil"/>
              <w:bottom w:val="single" w:sz="4" w:space="0" w:color="auto"/>
              <w:right w:val="single" w:sz="4" w:space="0" w:color="auto"/>
            </w:tcBorders>
            <w:shd w:val="clear" w:color="000000" w:fill="F8CBAD"/>
            <w:noWrap/>
            <w:vAlign w:val="center"/>
            <w:hideMark/>
          </w:tcPr>
          <w:p w14:paraId="25F948B4" w14:textId="77777777" w:rsidR="00331CC2" w:rsidRPr="00331CC2" w:rsidRDefault="00331CC2" w:rsidP="00331CC2">
            <w:pPr>
              <w:spacing w:line="240" w:lineRule="auto"/>
              <w:rPr>
                <w:color w:val="000000"/>
                <w:sz w:val="22"/>
              </w:rPr>
            </w:pPr>
            <w:r w:rsidRPr="00331CC2">
              <w:rPr>
                <w:color w:val="000000"/>
                <w:sz w:val="22"/>
                <w:szCs w:val="22"/>
              </w:rPr>
              <w:t>3,6</w:t>
            </w:r>
          </w:p>
        </w:tc>
        <w:tc>
          <w:tcPr>
            <w:tcW w:w="651" w:type="dxa"/>
            <w:tcBorders>
              <w:top w:val="nil"/>
              <w:left w:val="nil"/>
              <w:bottom w:val="single" w:sz="4" w:space="0" w:color="auto"/>
              <w:right w:val="single" w:sz="4" w:space="0" w:color="auto"/>
            </w:tcBorders>
            <w:shd w:val="clear" w:color="000000" w:fill="F8CBAD"/>
            <w:noWrap/>
            <w:vAlign w:val="center"/>
            <w:hideMark/>
          </w:tcPr>
          <w:p w14:paraId="6766E5CC" w14:textId="77777777" w:rsidR="00331CC2" w:rsidRPr="00331CC2" w:rsidRDefault="00331CC2" w:rsidP="00331CC2">
            <w:pPr>
              <w:spacing w:line="240" w:lineRule="auto"/>
              <w:rPr>
                <w:color w:val="000000"/>
                <w:sz w:val="22"/>
              </w:rPr>
            </w:pPr>
            <w:r w:rsidRPr="00331CC2">
              <w:rPr>
                <w:color w:val="000000"/>
                <w:sz w:val="22"/>
                <w:szCs w:val="22"/>
              </w:rPr>
              <w:t>5,8</w:t>
            </w:r>
          </w:p>
        </w:tc>
        <w:tc>
          <w:tcPr>
            <w:tcW w:w="875" w:type="dxa"/>
            <w:tcBorders>
              <w:top w:val="nil"/>
              <w:left w:val="nil"/>
              <w:bottom w:val="single" w:sz="4" w:space="0" w:color="auto"/>
              <w:right w:val="single" w:sz="4" w:space="0" w:color="auto"/>
            </w:tcBorders>
            <w:shd w:val="clear" w:color="000000" w:fill="FFF2CC"/>
            <w:noWrap/>
            <w:vAlign w:val="center"/>
            <w:hideMark/>
          </w:tcPr>
          <w:p w14:paraId="718ABD17" w14:textId="77777777" w:rsidR="00331CC2" w:rsidRPr="00331CC2" w:rsidRDefault="00331CC2" w:rsidP="00331CC2">
            <w:pPr>
              <w:spacing w:line="240" w:lineRule="auto"/>
              <w:rPr>
                <w:color w:val="000000"/>
                <w:sz w:val="22"/>
              </w:rPr>
            </w:pPr>
            <w:r w:rsidRPr="00331CC2">
              <w:rPr>
                <w:color w:val="000000"/>
                <w:sz w:val="22"/>
                <w:szCs w:val="22"/>
              </w:rPr>
              <w:t>1,4</w:t>
            </w:r>
          </w:p>
        </w:tc>
        <w:tc>
          <w:tcPr>
            <w:tcW w:w="651" w:type="dxa"/>
            <w:tcBorders>
              <w:top w:val="nil"/>
              <w:left w:val="nil"/>
              <w:bottom w:val="single" w:sz="4" w:space="0" w:color="auto"/>
              <w:right w:val="single" w:sz="4" w:space="0" w:color="auto"/>
            </w:tcBorders>
            <w:shd w:val="clear" w:color="auto" w:fill="auto"/>
            <w:noWrap/>
            <w:vAlign w:val="center"/>
            <w:hideMark/>
          </w:tcPr>
          <w:p w14:paraId="72851077" w14:textId="77777777" w:rsidR="00331CC2" w:rsidRPr="00331CC2" w:rsidRDefault="00331CC2" w:rsidP="00331CC2">
            <w:pPr>
              <w:spacing w:line="240" w:lineRule="auto"/>
              <w:rPr>
                <w:color w:val="000000"/>
                <w:sz w:val="22"/>
              </w:rPr>
            </w:pPr>
            <w:r w:rsidRPr="00331CC2">
              <w:rPr>
                <w:color w:val="000000"/>
                <w:sz w:val="22"/>
                <w:szCs w:val="22"/>
              </w:rPr>
              <w:t>1,2</w:t>
            </w:r>
          </w:p>
        </w:tc>
        <w:tc>
          <w:tcPr>
            <w:tcW w:w="875" w:type="dxa"/>
            <w:tcBorders>
              <w:top w:val="nil"/>
              <w:left w:val="nil"/>
              <w:bottom w:val="single" w:sz="4" w:space="0" w:color="auto"/>
              <w:right w:val="single" w:sz="4" w:space="0" w:color="auto"/>
            </w:tcBorders>
            <w:shd w:val="clear" w:color="000000" w:fill="FFF2CC"/>
            <w:noWrap/>
            <w:vAlign w:val="center"/>
            <w:hideMark/>
          </w:tcPr>
          <w:p w14:paraId="75D5A1D5" w14:textId="77777777" w:rsidR="00331CC2" w:rsidRPr="00331CC2" w:rsidRDefault="00331CC2" w:rsidP="00331CC2">
            <w:pPr>
              <w:spacing w:line="240" w:lineRule="auto"/>
              <w:rPr>
                <w:color w:val="000000"/>
                <w:sz w:val="22"/>
              </w:rPr>
            </w:pPr>
            <w:r w:rsidRPr="00331CC2">
              <w:rPr>
                <w:color w:val="000000"/>
                <w:sz w:val="22"/>
                <w:szCs w:val="22"/>
              </w:rPr>
              <w:t>1,6</w:t>
            </w:r>
          </w:p>
        </w:tc>
        <w:tc>
          <w:tcPr>
            <w:tcW w:w="651" w:type="dxa"/>
            <w:tcBorders>
              <w:top w:val="nil"/>
              <w:left w:val="nil"/>
              <w:bottom w:val="single" w:sz="4" w:space="0" w:color="auto"/>
              <w:right w:val="single" w:sz="4" w:space="0" w:color="auto"/>
            </w:tcBorders>
            <w:shd w:val="clear" w:color="000000" w:fill="FFF2CC"/>
            <w:noWrap/>
            <w:vAlign w:val="center"/>
            <w:hideMark/>
          </w:tcPr>
          <w:p w14:paraId="1FAE6B48" w14:textId="77777777" w:rsidR="00331CC2" w:rsidRPr="00331CC2" w:rsidRDefault="00331CC2" w:rsidP="00331CC2">
            <w:pPr>
              <w:spacing w:line="240" w:lineRule="auto"/>
              <w:rPr>
                <w:color w:val="000000"/>
                <w:sz w:val="22"/>
              </w:rPr>
            </w:pPr>
            <w:r w:rsidRPr="00331CC2">
              <w:rPr>
                <w:color w:val="000000"/>
                <w:sz w:val="22"/>
                <w:szCs w:val="22"/>
              </w:rPr>
              <w:t>1,6</w:t>
            </w:r>
          </w:p>
        </w:tc>
        <w:tc>
          <w:tcPr>
            <w:tcW w:w="875" w:type="dxa"/>
            <w:tcBorders>
              <w:top w:val="nil"/>
              <w:left w:val="nil"/>
              <w:bottom w:val="single" w:sz="4" w:space="0" w:color="auto"/>
              <w:right w:val="single" w:sz="4" w:space="0" w:color="auto"/>
            </w:tcBorders>
            <w:shd w:val="clear" w:color="000000" w:fill="FFF2CC"/>
            <w:noWrap/>
            <w:vAlign w:val="center"/>
            <w:hideMark/>
          </w:tcPr>
          <w:p w14:paraId="01566939" w14:textId="77777777" w:rsidR="00331CC2" w:rsidRPr="00331CC2" w:rsidRDefault="00331CC2" w:rsidP="00331CC2">
            <w:pPr>
              <w:spacing w:line="240" w:lineRule="auto"/>
              <w:rPr>
                <w:color w:val="000000"/>
                <w:sz w:val="22"/>
              </w:rPr>
            </w:pPr>
            <w:r w:rsidRPr="00331CC2">
              <w:rPr>
                <w:color w:val="000000"/>
                <w:sz w:val="22"/>
                <w:szCs w:val="22"/>
              </w:rPr>
              <w:t>2,5</w:t>
            </w:r>
          </w:p>
        </w:tc>
        <w:tc>
          <w:tcPr>
            <w:tcW w:w="651" w:type="dxa"/>
            <w:tcBorders>
              <w:top w:val="nil"/>
              <w:left w:val="nil"/>
              <w:bottom w:val="single" w:sz="4" w:space="0" w:color="auto"/>
              <w:right w:val="single" w:sz="4" w:space="0" w:color="auto"/>
            </w:tcBorders>
            <w:shd w:val="clear" w:color="000000" w:fill="F8CBAD"/>
            <w:noWrap/>
            <w:vAlign w:val="center"/>
            <w:hideMark/>
          </w:tcPr>
          <w:p w14:paraId="6B0F6ECB" w14:textId="77777777" w:rsidR="00331CC2" w:rsidRPr="00331CC2" w:rsidRDefault="00331CC2" w:rsidP="00331CC2">
            <w:pPr>
              <w:spacing w:line="240" w:lineRule="auto"/>
              <w:rPr>
                <w:color w:val="000000"/>
                <w:sz w:val="22"/>
              </w:rPr>
            </w:pPr>
            <w:r w:rsidRPr="00331CC2">
              <w:rPr>
                <w:color w:val="000000"/>
                <w:sz w:val="22"/>
                <w:szCs w:val="22"/>
              </w:rPr>
              <w:t>3,8</w:t>
            </w:r>
          </w:p>
        </w:tc>
        <w:tc>
          <w:tcPr>
            <w:tcW w:w="797" w:type="dxa"/>
            <w:tcBorders>
              <w:top w:val="nil"/>
              <w:left w:val="nil"/>
              <w:bottom w:val="single" w:sz="4" w:space="0" w:color="auto"/>
              <w:right w:val="single" w:sz="4" w:space="0" w:color="auto"/>
            </w:tcBorders>
            <w:shd w:val="clear" w:color="000000" w:fill="FFF2CC"/>
            <w:noWrap/>
            <w:vAlign w:val="center"/>
            <w:hideMark/>
          </w:tcPr>
          <w:p w14:paraId="4A1A5FB4" w14:textId="77777777" w:rsidR="00331CC2" w:rsidRPr="00331CC2" w:rsidRDefault="00331CC2" w:rsidP="00331CC2">
            <w:pPr>
              <w:spacing w:line="240" w:lineRule="auto"/>
              <w:rPr>
                <w:color w:val="000000"/>
                <w:sz w:val="22"/>
              </w:rPr>
            </w:pPr>
            <w:r w:rsidRPr="00331CC2">
              <w:rPr>
                <w:color w:val="000000"/>
                <w:sz w:val="22"/>
                <w:szCs w:val="22"/>
              </w:rPr>
              <w:t>3,2</w:t>
            </w:r>
          </w:p>
        </w:tc>
        <w:tc>
          <w:tcPr>
            <w:tcW w:w="1247" w:type="dxa"/>
            <w:tcBorders>
              <w:top w:val="nil"/>
              <w:left w:val="nil"/>
              <w:bottom w:val="single" w:sz="4" w:space="0" w:color="auto"/>
              <w:right w:val="single" w:sz="4" w:space="0" w:color="auto"/>
            </w:tcBorders>
            <w:shd w:val="clear" w:color="auto" w:fill="auto"/>
            <w:noWrap/>
            <w:vAlign w:val="center"/>
            <w:hideMark/>
          </w:tcPr>
          <w:p w14:paraId="70D64871"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67A5FEE6" w14:textId="77777777" w:rsidR="00331CC2" w:rsidRPr="00331CC2" w:rsidRDefault="00331CC2" w:rsidP="00331CC2">
            <w:pPr>
              <w:spacing w:line="240" w:lineRule="auto"/>
              <w:rPr>
                <w:b/>
                <w:bCs/>
                <w:color w:val="000000"/>
                <w:sz w:val="22"/>
              </w:rPr>
            </w:pPr>
            <w:r w:rsidRPr="00331CC2">
              <w:rPr>
                <w:b/>
                <w:bCs/>
                <w:color w:val="000000"/>
                <w:sz w:val="22"/>
                <w:szCs w:val="22"/>
              </w:rPr>
              <w:t>2,9</w:t>
            </w:r>
          </w:p>
        </w:tc>
      </w:tr>
      <w:tr w:rsidR="00331CC2" w:rsidRPr="00331CC2" w14:paraId="6731E278"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75881D2F" w14:textId="77777777" w:rsidR="00331CC2" w:rsidRPr="00331CC2" w:rsidRDefault="00331CC2" w:rsidP="00331CC2">
            <w:pPr>
              <w:spacing w:line="240" w:lineRule="auto"/>
              <w:rPr>
                <w:color w:val="000000"/>
                <w:sz w:val="22"/>
              </w:rPr>
            </w:pPr>
            <w:r w:rsidRPr="00331CC2">
              <w:rPr>
                <w:color w:val="000000"/>
                <w:sz w:val="22"/>
                <w:szCs w:val="22"/>
              </w:rPr>
              <w:t>Пекарни</w:t>
            </w:r>
          </w:p>
        </w:tc>
        <w:tc>
          <w:tcPr>
            <w:tcW w:w="875" w:type="dxa"/>
            <w:tcBorders>
              <w:top w:val="nil"/>
              <w:left w:val="nil"/>
              <w:bottom w:val="single" w:sz="4" w:space="0" w:color="auto"/>
              <w:right w:val="single" w:sz="4" w:space="0" w:color="auto"/>
            </w:tcBorders>
            <w:shd w:val="clear" w:color="auto" w:fill="auto"/>
            <w:noWrap/>
            <w:vAlign w:val="center"/>
            <w:hideMark/>
          </w:tcPr>
          <w:p w14:paraId="01D479C2"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4F4FA752"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000000" w:fill="F8CBAD"/>
            <w:noWrap/>
            <w:vAlign w:val="center"/>
            <w:hideMark/>
          </w:tcPr>
          <w:p w14:paraId="3DD2D633" w14:textId="77777777" w:rsidR="00331CC2" w:rsidRPr="00331CC2" w:rsidRDefault="00331CC2" w:rsidP="00331CC2">
            <w:pPr>
              <w:spacing w:line="240" w:lineRule="auto"/>
              <w:rPr>
                <w:color w:val="000000"/>
                <w:sz w:val="22"/>
              </w:rPr>
            </w:pPr>
            <w:r w:rsidRPr="00331CC2">
              <w:rPr>
                <w:color w:val="000000"/>
                <w:sz w:val="22"/>
                <w:szCs w:val="22"/>
              </w:rPr>
              <w:t>1,9</w:t>
            </w:r>
          </w:p>
        </w:tc>
        <w:tc>
          <w:tcPr>
            <w:tcW w:w="651" w:type="dxa"/>
            <w:tcBorders>
              <w:top w:val="nil"/>
              <w:left w:val="nil"/>
              <w:bottom w:val="single" w:sz="4" w:space="0" w:color="auto"/>
              <w:right w:val="single" w:sz="4" w:space="0" w:color="auto"/>
            </w:tcBorders>
            <w:shd w:val="clear" w:color="000000" w:fill="FFF2CC"/>
            <w:noWrap/>
            <w:vAlign w:val="center"/>
            <w:hideMark/>
          </w:tcPr>
          <w:p w14:paraId="5C70321A" w14:textId="77777777" w:rsidR="00331CC2" w:rsidRPr="00331CC2" w:rsidRDefault="00331CC2" w:rsidP="00331CC2">
            <w:pPr>
              <w:spacing w:line="240" w:lineRule="auto"/>
              <w:rPr>
                <w:color w:val="000000"/>
                <w:sz w:val="22"/>
              </w:rPr>
            </w:pPr>
            <w:r w:rsidRPr="00331CC2">
              <w:rPr>
                <w:color w:val="000000"/>
                <w:sz w:val="22"/>
                <w:szCs w:val="22"/>
              </w:rPr>
              <w:t>2,2</w:t>
            </w:r>
          </w:p>
        </w:tc>
        <w:tc>
          <w:tcPr>
            <w:tcW w:w="651" w:type="dxa"/>
            <w:tcBorders>
              <w:top w:val="nil"/>
              <w:left w:val="nil"/>
              <w:bottom w:val="single" w:sz="4" w:space="0" w:color="auto"/>
              <w:right w:val="single" w:sz="4" w:space="0" w:color="auto"/>
            </w:tcBorders>
            <w:shd w:val="clear" w:color="000000" w:fill="FFF2CC"/>
            <w:noWrap/>
            <w:vAlign w:val="center"/>
            <w:hideMark/>
          </w:tcPr>
          <w:p w14:paraId="573EE589" w14:textId="77777777" w:rsidR="00331CC2" w:rsidRPr="00331CC2" w:rsidRDefault="00331CC2" w:rsidP="00331CC2">
            <w:pPr>
              <w:spacing w:line="240" w:lineRule="auto"/>
              <w:rPr>
                <w:color w:val="000000"/>
                <w:sz w:val="22"/>
              </w:rPr>
            </w:pPr>
            <w:r w:rsidRPr="00331CC2">
              <w:rPr>
                <w:color w:val="000000"/>
                <w:sz w:val="22"/>
                <w:szCs w:val="22"/>
              </w:rPr>
              <w:t>1,9</w:t>
            </w:r>
          </w:p>
        </w:tc>
        <w:tc>
          <w:tcPr>
            <w:tcW w:w="875" w:type="dxa"/>
            <w:tcBorders>
              <w:top w:val="nil"/>
              <w:left w:val="nil"/>
              <w:bottom w:val="single" w:sz="4" w:space="0" w:color="auto"/>
              <w:right w:val="single" w:sz="4" w:space="0" w:color="auto"/>
            </w:tcBorders>
            <w:shd w:val="clear" w:color="auto" w:fill="auto"/>
            <w:noWrap/>
            <w:vAlign w:val="center"/>
            <w:hideMark/>
          </w:tcPr>
          <w:p w14:paraId="22F8ADA9"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392AEDA8" w14:textId="77777777" w:rsidR="00331CC2" w:rsidRPr="00331CC2" w:rsidRDefault="00331CC2" w:rsidP="00331CC2">
            <w:pPr>
              <w:spacing w:line="240" w:lineRule="auto"/>
              <w:rPr>
                <w:color w:val="000000"/>
                <w:sz w:val="22"/>
              </w:rPr>
            </w:pPr>
            <w:r w:rsidRPr="00331CC2">
              <w:rPr>
                <w:color w:val="000000"/>
                <w:sz w:val="22"/>
                <w:szCs w:val="22"/>
              </w:rPr>
              <w:t>1,2</w:t>
            </w:r>
          </w:p>
        </w:tc>
        <w:tc>
          <w:tcPr>
            <w:tcW w:w="875" w:type="dxa"/>
            <w:tcBorders>
              <w:top w:val="nil"/>
              <w:left w:val="nil"/>
              <w:bottom w:val="single" w:sz="4" w:space="0" w:color="auto"/>
              <w:right w:val="single" w:sz="4" w:space="0" w:color="auto"/>
            </w:tcBorders>
            <w:shd w:val="clear" w:color="000000" w:fill="FFF2CC"/>
            <w:noWrap/>
            <w:vAlign w:val="center"/>
            <w:hideMark/>
          </w:tcPr>
          <w:p w14:paraId="3EEC27E3" w14:textId="77777777" w:rsidR="00331CC2" w:rsidRPr="00331CC2" w:rsidRDefault="00331CC2" w:rsidP="00331CC2">
            <w:pPr>
              <w:spacing w:line="240" w:lineRule="auto"/>
              <w:rPr>
                <w:color w:val="000000"/>
                <w:sz w:val="22"/>
              </w:rPr>
            </w:pPr>
            <w:r w:rsidRPr="00331CC2">
              <w:rPr>
                <w:color w:val="000000"/>
                <w:sz w:val="22"/>
                <w:szCs w:val="22"/>
              </w:rPr>
              <w:t>1,5</w:t>
            </w:r>
          </w:p>
        </w:tc>
        <w:tc>
          <w:tcPr>
            <w:tcW w:w="651" w:type="dxa"/>
            <w:tcBorders>
              <w:top w:val="nil"/>
              <w:left w:val="nil"/>
              <w:bottom w:val="single" w:sz="4" w:space="0" w:color="auto"/>
              <w:right w:val="single" w:sz="4" w:space="0" w:color="auto"/>
            </w:tcBorders>
            <w:shd w:val="clear" w:color="000000" w:fill="FFF2CC"/>
            <w:noWrap/>
            <w:vAlign w:val="center"/>
            <w:hideMark/>
          </w:tcPr>
          <w:p w14:paraId="04C311DA" w14:textId="77777777" w:rsidR="00331CC2" w:rsidRPr="00331CC2" w:rsidRDefault="00331CC2" w:rsidP="00331CC2">
            <w:pPr>
              <w:spacing w:line="240" w:lineRule="auto"/>
              <w:rPr>
                <w:color w:val="000000"/>
                <w:sz w:val="22"/>
              </w:rPr>
            </w:pPr>
            <w:r w:rsidRPr="00331CC2">
              <w:rPr>
                <w:color w:val="000000"/>
                <w:sz w:val="22"/>
                <w:szCs w:val="22"/>
              </w:rPr>
              <w:t>1,8</w:t>
            </w:r>
          </w:p>
        </w:tc>
        <w:tc>
          <w:tcPr>
            <w:tcW w:w="875" w:type="dxa"/>
            <w:tcBorders>
              <w:top w:val="nil"/>
              <w:left w:val="nil"/>
              <w:bottom w:val="single" w:sz="4" w:space="0" w:color="auto"/>
              <w:right w:val="single" w:sz="4" w:space="0" w:color="auto"/>
            </w:tcBorders>
            <w:shd w:val="clear" w:color="000000" w:fill="FFF2CC"/>
            <w:noWrap/>
            <w:vAlign w:val="center"/>
            <w:hideMark/>
          </w:tcPr>
          <w:p w14:paraId="4A907844" w14:textId="77777777" w:rsidR="00331CC2" w:rsidRPr="00331CC2" w:rsidRDefault="00331CC2" w:rsidP="00331CC2">
            <w:pPr>
              <w:spacing w:line="240" w:lineRule="auto"/>
              <w:rPr>
                <w:color w:val="000000"/>
                <w:sz w:val="22"/>
              </w:rPr>
            </w:pPr>
            <w:r w:rsidRPr="00331CC2">
              <w:rPr>
                <w:color w:val="000000"/>
                <w:sz w:val="22"/>
                <w:szCs w:val="22"/>
              </w:rPr>
              <w:t>1,9</w:t>
            </w:r>
          </w:p>
        </w:tc>
        <w:tc>
          <w:tcPr>
            <w:tcW w:w="651" w:type="dxa"/>
            <w:tcBorders>
              <w:top w:val="nil"/>
              <w:left w:val="nil"/>
              <w:bottom w:val="single" w:sz="4" w:space="0" w:color="auto"/>
              <w:right w:val="single" w:sz="4" w:space="0" w:color="auto"/>
            </w:tcBorders>
            <w:shd w:val="clear" w:color="auto" w:fill="auto"/>
            <w:noWrap/>
            <w:vAlign w:val="center"/>
            <w:hideMark/>
          </w:tcPr>
          <w:p w14:paraId="236298A7" w14:textId="77777777" w:rsidR="00331CC2" w:rsidRPr="00331CC2" w:rsidRDefault="00331CC2" w:rsidP="00331CC2">
            <w:pPr>
              <w:spacing w:line="240" w:lineRule="auto"/>
              <w:rPr>
                <w:color w:val="000000"/>
                <w:sz w:val="22"/>
              </w:rPr>
            </w:pPr>
            <w:r w:rsidRPr="00331CC2">
              <w:rPr>
                <w:color w:val="000000"/>
                <w:sz w:val="22"/>
                <w:szCs w:val="22"/>
              </w:rPr>
              <w:t>1,4</w:t>
            </w:r>
          </w:p>
        </w:tc>
        <w:tc>
          <w:tcPr>
            <w:tcW w:w="797" w:type="dxa"/>
            <w:tcBorders>
              <w:top w:val="nil"/>
              <w:left w:val="nil"/>
              <w:bottom w:val="single" w:sz="4" w:space="0" w:color="auto"/>
              <w:right w:val="single" w:sz="4" w:space="0" w:color="auto"/>
            </w:tcBorders>
            <w:shd w:val="clear" w:color="000000" w:fill="FFF2CC"/>
            <w:noWrap/>
            <w:vAlign w:val="center"/>
            <w:hideMark/>
          </w:tcPr>
          <w:p w14:paraId="1887113E" w14:textId="77777777" w:rsidR="00331CC2" w:rsidRPr="00331CC2" w:rsidRDefault="00331CC2" w:rsidP="00331CC2">
            <w:pPr>
              <w:spacing w:line="240" w:lineRule="auto"/>
              <w:rPr>
                <w:color w:val="000000"/>
                <w:sz w:val="22"/>
              </w:rPr>
            </w:pPr>
            <w:r w:rsidRPr="00331CC2">
              <w:rPr>
                <w:color w:val="000000"/>
                <w:sz w:val="22"/>
                <w:szCs w:val="22"/>
              </w:rPr>
              <w:t>3,2</w:t>
            </w:r>
          </w:p>
        </w:tc>
        <w:tc>
          <w:tcPr>
            <w:tcW w:w="1247" w:type="dxa"/>
            <w:tcBorders>
              <w:top w:val="nil"/>
              <w:left w:val="nil"/>
              <w:bottom w:val="single" w:sz="4" w:space="0" w:color="auto"/>
              <w:right w:val="single" w:sz="4" w:space="0" w:color="auto"/>
            </w:tcBorders>
            <w:shd w:val="clear" w:color="auto" w:fill="auto"/>
            <w:noWrap/>
            <w:vAlign w:val="center"/>
            <w:hideMark/>
          </w:tcPr>
          <w:p w14:paraId="10AD3172"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5F4EA58C" w14:textId="77777777" w:rsidR="00331CC2" w:rsidRPr="00331CC2" w:rsidRDefault="00331CC2" w:rsidP="00331CC2">
            <w:pPr>
              <w:spacing w:line="240" w:lineRule="auto"/>
              <w:rPr>
                <w:b/>
                <w:bCs/>
                <w:color w:val="000000"/>
                <w:sz w:val="22"/>
              </w:rPr>
            </w:pPr>
            <w:r w:rsidRPr="00331CC2">
              <w:rPr>
                <w:b/>
                <w:bCs/>
                <w:color w:val="000000"/>
                <w:sz w:val="22"/>
                <w:szCs w:val="22"/>
              </w:rPr>
              <w:t>1,8</w:t>
            </w:r>
          </w:p>
        </w:tc>
      </w:tr>
      <w:tr w:rsidR="00331CC2" w:rsidRPr="00331CC2" w14:paraId="5C67DD06"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7FCA0409" w14:textId="77777777" w:rsidR="00331CC2" w:rsidRPr="00331CC2" w:rsidRDefault="00331CC2" w:rsidP="00331CC2">
            <w:pPr>
              <w:spacing w:line="240" w:lineRule="auto"/>
              <w:rPr>
                <w:color w:val="000000"/>
                <w:sz w:val="22"/>
              </w:rPr>
            </w:pPr>
            <w:r w:rsidRPr="00331CC2">
              <w:rPr>
                <w:color w:val="000000"/>
                <w:sz w:val="22"/>
                <w:szCs w:val="22"/>
              </w:rPr>
              <w:t>Кофейни</w:t>
            </w:r>
          </w:p>
        </w:tc>
        <w:tc>
          <w:tcPr>
            <w:tcW w:w="875" w:type="dxa"/>
            <w:tcBorders>
              <w:top w:val="nil"/>
              <w:left w:val="nil"/>
              <w:bottom w:val="single" w:sz="4" w:space="0" w:color="auto"/>
              <w:right w:val="single" w:sz="4" w:space="0" w:color="auto"/>
            </w:tcBorders>
            <w:shd w:val="clear" w:color="auto" w:fill="auto"/>
            <w:noWrap/>
            <w:vAlign w:val="center"/>
            <w:hideMark/>
          </w:tcPr>
          <w:p w14:paraId="0409C36F"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059B3E0A"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2FA7A867"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000000" w:fill="F8CBAD"/>
            <w:noWrap/>
            <w:vAlign w:val="center"/>
            <w:hideMark/>
          </w:tcPr>
          <w:p w14:paraId="4DF435AF" w14:textId="77777777" w:rsidR="00331CC2" w:rsidRPr="00331CC2" w:rsidRDefault="00331CC2" w:rsidP="00331CC2">
            <w:pPr>
              <w:spacing w:line="240" w:lineRule="auto"/>
              <w:rPr>
                <w:color w:val="000000"/>
                <w:sz w:val="22"/>
              </w:rPr>
            </w:pPr>
            <w:r w:rsidRPr="00331CC2">
              <w:rPr>
                <w:color w:val="000000"/>
                <w:sz w:val="22"/>
                <w:szCs w:val="22"/>
              </w:rPr>
              <w:t>2,9</w:t>
            </w:r>
          </w:p>
        </w:tc>
        <w:tc>
          <w:tcPr>
            <w:tcW w:w="651" w:type="dxa"/>
            <w:tcBorders>
              <w:top w:val="nil"/>
              <w:left w:val="nil"/>
              <w:bottom w:val="single" w:sz="4" w:space="0" w:color="auto"/>
              <w:right w:val="single" w:sz="4" w:space="0" w:color="auto"/>
            </w:tcBorders>
            <w:shd w:val="clear" w:color="000000" w:fill="F8CBAD"/>
            <w:noWrap/>
            <w:vAlign w:val="center"/>
            <w:hideMark/>
          </w:tcPr>
          <w:p w14:paraId="2CBC523E" w14:textId="77777777" w:rsidR="00331CC2" w:rsidRPr="00331CC2" w:rsidRDefault="00331CC2" w:rsidP="00331CC2">
            <w:pPr>
              <w:spacing w:line="240" w:lineRule="auto"/>
              <w:rPr>
                <w:color w:val="000000"/>
                <w:sz w:val="22"/>
              </w:rPr>
            </w:pPr>
            <w:r w:rsidRPr="00331CC2">
              <w:rPr>
                <w:color w:val="000000"/>
                <w:sz w:val="22"/>
                <w:szCs w:val="22"/>
              </w:rPr>
              <w:t>3,2</w:t>
            </w:r>
          </w:p>
        </w:tc>
        <w:tc>
          <w:tcPr>
            <w:tcW w:w="875" w:type="dxa"/>
            <w:tcBorders>
              <w:top w:val="nil"/>
              <w:left w:val="nil"/>
              <w:bottom w:val="single" w:sz="4" w:space="0" w:color="auto"/>
              <w:right w:val="single" w:sz="4" w:space="0" w:color="auto"/>
            </w:tcBorders>
            <w:shd w:val="clear" w:color="auto" w:fill="auto"/>
            <w:noWrap/>
            <w:vAlign w:val="center"/>
            <w:hideMark/>
          </w:tcPr>
          <w:p w14:paraId="4FABDBEE"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0F211746" w14:textId="77777777" w:rsidR="00331CC2" w:rsidRPr="00331CC2" w:rsidRDefault="00331CC2" w:rsidP="00331CC2">
            <w:pPr>
              <w:spacing w:line="240" w:lineRule="auto"/>
              <w:rPr>
                <w:color w:val="000000"/>
                <w:sz w:val="22"/>
              </w:rPr>
            </w:pPr>
            <w:r w:rsidRPr="00331CC2">
              <w:rPr>
                <w:color w:val="000000"/>
                <w:sz w:val="22"/>
                <w:szCs w:val="22"/>
              </w:rPr>
              <w:t>1,2</w:t>
            </w:r>
          </w:p>
        </w:tc>
        <w:tc>
          <w:tcPr>
            <w:tcW w:w="875" w:type="dxa"/>
            <w:tcBorders>
              <w:top w:val="nil"/>
              <w:left w:val="nil"/>
              <w:bottom w:val="single" w:sz="4" w:space="0" w:color="auto"/>
              <w:right w:val="single" w:sz="4" w:space="0" w:color="auto"/>
            </w:tcBorders>
            <w:shd w:val="clear" w:color="auto" w:fill="auto"/>
            <w:noWrap/>
            <w:vAlign w:val="center"/>
            <w:hideMark/>
          </w:tcPr>
          <w:p w14:paraId="03869BCB" w14:textId="77777777" w:rsidR="00331CC2" w:rsidRPr="00331CC2" w:rsidRDefault="00331CC2" w:rsidP="00331CC2">
            <w:pPr>
              <w:spacing w:line="240" w:lineRule="auto"/>
              <w:rPr>
                <w:color w:val="000000"/>
                <w:sz w:val="22"/>
              </w:rPr>
            </w:pPr>
            <w:r w:rsidRPr="00331CC2">
              <w:rPr>
                <w:color w:val="000000"/>
                <w:sz w:val="22"/>
                <w:szCs w:val="22"/>
              </w:rPr>
              <w:t>1,4</w:t>
            </w:r>
          </w:p>
        </w:tc>
        <w:tc>
          <w:tcPr>
            <w:tcW w:w="651" w:type="dxa"/>
            <w:tcBorders>
              <w:top w:val="nil"/>
              <w:left w:val="nil"/>
              <w:bottom w:val="single" w:sz="4" w:space="0" w:color="auto"/>
              <w:right w:val="single" w:sz="4" w:space="0" w:color="auto"/>
            </w:tcBorders>
            <w:shd w:val="clear" w:color="000000" w:fill="FFF2CC"/>
            <w:noWrap/>
            <w:vAlign w:val="center"/>
            <w:hideMark/>
          </w:tcPr>
          <w:p w14:paraId="5E137989" w14:textId="77777777" w:rsidR="00331CC2" w:rsidRPr="00331CC2" w:rsidRDefault="00331CC2" w:rsidP="00331CC2">
            <w:pPr>
              <w:spacing w:line="240" w:lineRule="auto"/>
              <w:rPr>
                <w:color w:val="000000"/>
                <w:sz w:val="22"/>
              </w:rPr>
            </w:pPr>
            <w:r w:rsidRPr="00331CC2">
              <w:rPr>
                <w:color w:val="000000"/>
                <w:sz w:val="22"/>
                <w:szCs w:val="22"/>
              </w:rPr>
              <w:t>1,7</w:t>
            </w:r>
          </w:p>
        </w:tc>
        <w:tc>
          <w:tcPr>
            <w:tcW w:w="875" w:type="dxa"/>
            <w:tcBorders>
              <w:top w:val="nil"/>
              <w:left w:val="nil"/>
              <w:bottom w:val="single" w:sz="4" w:space="0" w:color="auto"/>
              <w:right w:val="single" w:sz="4" w:space="0" w:color="auto"/>
            </w:tcBorders>
            <w:shd w:val="clear" w:color="000000" w:fill="FFF2CC"/>
            <w:noWrap/>
            <w:vAlign w:val="center"/>
            <w:hideMark/>
          </w:tcPr>
          <w:p w14:paraId="2C2A5EDA" w14:textId="77777777" w:rsidR="00331CC2" w:rsidRPr="00331CC2" w:rsidRDefault="00331CC2" w:rsidP="00331CC2">
            <w:pPr>
              <w:spacing w:line="240" w:lineRule="auto"/>
              <w:rPr>
                <w:color w:val="000000"/>
                <w:sz w:val="22"/>
              </w:rPr>
            </w:pPr>
            <w:r w:rsidRPr="00331CC2">
              <w:rPr>
                <w:color w:val="000000"/>
                <w:sz w:val="22"/>
                <w:szCs w:val="22"/>
              </w:rPr>
              <w:t>2,2</w:t>
            </w:r>
          </w:p>
        </w:tc>
        <w:tc>
          <w:tcPr>
            <w:tcW w:w="651" w:type="dxa"/>
            <w:tcBorders>
              <w:top w:val="nil"/>
              <w:left w:val="nil"/>
              <w:bottom w:val="single" w:sz="4" w:space="0" w:color="auto"/>
              <w:right w:val="single" w:sz="4" w:space="0" w:color="auto"/>
            </w:tcBorders>
            <w:shd w:val="clear" w:color="000000" w:fill="F8CBAD"/>
            <w:noWrap/>
            <w:vAlign w:val="center"/>
            <w:hideMark/>
          </w:tcPr>
          <w:p w14:paraId="7085A21D" w14:textId="77777777" w:rsidR="00331CC2" w:rsidRPr="00331CC2" w:rsidRDefault="00331CC2" w:rsidP="00331CC2">
            <w:pPr>
              <w:spacing w:line="240" w:lineRule="auto"/>
              <w:rPr>
                <w:color w:val="000000"/>
                <w:sz w:val="22"/>
              </w:rPr>
            </w:pPr>
            <w:r w:rsidRPr="00331CC2">
              <w:rPr>
                <w:color w:val="000000"/>
                <w:sz w:val="22"/>
                <w:szCs w:val="22"/>
              </w:rPr>
              <w:t>2,3</w:t>
            </w:r>
          </w:p>
        </w:tc>
        <w:tc>
          <w:tcPr>
            <w:tcW w:w="797" w:type="dxa"/>
            <w:tcBorders>
              <w:top w:val="nil"/>
              <w:left w:val="nil"/>
              <w:bottom w:val="single" w:sz="4" w:space="0" w:color="auto"/>
              <w:right w:val="single" w:sz="4" w:space="0" w:color="auto"/>
            </w:tcBorders>
            <w:shd w:val="clear" w:color="000000" w:fill="FFF2CC"/>
            <w:noWrap/>
            <w:vAlign w:val="center"/>
            <w:hideMark/>
          </w:tcPr>
          <w:p w14:paraId="51A93955" w14:textId="77777777" w:rsidR="00331CC2" w:rsidRPr="00331CC2" w:rsidRDefault="00331CC2" w:rsidP="00331CC2">
            <w:pPr>
              <w:spacing w:line="240" w:lineRule="auto"/>
              <w:rPr>
                <w:color w:val="000000"/>
                <w:sz w:val="22"/>
              </w:rPr>
            </w:pPr>
            <w:r w:rsidRPr="00331CC2">
              <w:rPr>
                <w:color w:val="000000"/>
                <w:sz w:val="22"/>
                <w:szCs w:val="22"/>
              </w:rPr>
              <w:t>3,9</w:t>
            </w:r>
          </w:p>
        </w:tc>
        <w:tc>
          <w:tcPr>
            <w:tcW w:w="1247" w:type="dxa"/>
            <w:tcBorders>
              <w:top w:val="nil"/>
              <w:left w:val="nil"/>
              <w:bottom w:val="single" w:sz="4" w:space="0" w:color="auto"/>
              <w:right w:val="single" w:sz="4" w:space="0" w:color="auto"/>
            </w:tcBorders>
            <w:shd w:val="clear" w:color="auto" w:fill="auto"/>
            <w:noWrap/>
            <w:vAlign w:val="center"/>
            <w:hideMark/>
          </w:tcPr>
          <w:p w14:paraId="64094306"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525D3284" w14:textId="77777777" w:rsidR="00331CC2" w:rsidRPr="00331CC2" w:rsidRDefault="00331CC2" w:rsidP="00331CC2">
            <w:pPr>
              <w:spacing w:line="240" w:lineRule="auto"/>
              <w:rPr>
                <w:b/>
                <w:bCs/>
                <w:color w:val="000000"/>
                <w:sz w:val="22"/>
              </w:rPr>
            </w:pPr>
            <w:r w:rsidRPr="00331CC2">
              <w:rPr>
                <w:b/>
                <w:bCs/>
                <w:color w:val="000000"/>
                <w:sz w:val="22"/>
                <w:szCs w:val="22"/>
              </w:rPr>
              <w:t>2,2</w:t>
            </w:r>
          </w:p>
        </w:tc>
      </w:tr>
      <w:tr w:rsidR="00331CC2" w:rsidRPr="00331CC2" w14:paraId="54C711B1"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17971EAD" w14:textId="77777777" w:rsidR="00331CC2" w:rsidRPr="00331CC2" w:rsidRDefault="00331CC2" w:rsidP="00331CC2">
            <w:pPr>
              <w:spacing w:line="240" w:lineRule="auto"/>
              <w:rPr>
                <w:color w:val="000000"/>
                <w:sz w:val="22"/>
              </w:rPr>
            </w:pPr>
            <w:r w:rsidRPr="00331CC2">
              <w:rPr>
                <w:color w:val="000000"/>
                <w:sz w:val="22"/>
                <w:szCs w:val="22"/>
              </w:rPr>
              <w:t>Рестораны</w:t>
            </w:r>
          </w:p>
        </w:tc>
        <w:tc>
          <w:tcPr>
            <w:tcW w:w="875" w:type="dxa"/>
            <w:tcBorders>
              <w:top w:val="nil"/>
              <w:left w:val="nil"/>
              <w:bottom w:val="single" w:sz="4" w:space="0" w:color="auto"/>
              <w:right w:val="single" w:sz="4" w:space="0" w:color="auto"/>
            </w:tcBorders>
            <w:shd w:val="clear" w:color="auto" w:fill="auto"/>
            <w:noWrap/>
            <w:vAlign w:val="center"/>
            <w:hideMark/>
          </w:tcPr>
          <w:p w14:paraId="1B80911E"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2E4BDD34"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2F71DB4C"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DF6D06C"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000000" w:fill="F8CBAD"/>
            <w:noWrap/>
            <w:vAlign w:val="center"/>
            <w:hideMark/>
          </w:tcPr>
          <w:p w14:paraId="40A68298" w14:textId="77777777" w:rsidR="00331CC2" w:rsidRPr="00331CC2" w:rsidRDefault="00331CC2" w:rsidP="00331CC2">
            <w:pPr>
              <w:spacing w:line="240" w:lineRule="auto"/>
              <w:rPr>
                <w:color w:val="000000"/>
                <w:sz w:val="22"/>
              </w:rPr>
            </w:pPr>
            <w:r w:rsidRPr="00331CC2">
              <w:rPr>
                <w:color w:val="000000"/>
                <w:sz w:val="22"/>
                <w:szCs w:val="22"/>
              </w:rPr>
              <w:t>5,1</w:t>
            </w:r>
          </w:p>
        </w:tc>
        <w:tc>
          <w:tcPr>
            <w:tcW w:w="875" w:type="dxa"/>
            <w:tcBorders>
              <w:top w:val="nil"/>
              <w:left w:val="nil"/>
              <w:bottom w:val="single" w:sz="4" w:space="0" w:color="auto"/>
              <w:right w:val="single" w:sz="4" w:space="0" w:color="auto"/>
            </w:tcBorders>
            <w:shd w:val="clear" w:color="auto" w:fill="auto"/>
            <w:noWrap/>
            <w:vAlign w:val="center"/>
            <w:hideMark/>
          </w:tcPr>
          <w:p w14:paraId="4EECE65F"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714EAC97" w14:textId="77777777" w:rsidR="00331CC2" w:rsidRPr="00331CC2" w:rsidRDefault="00331CC2" w:rsidP="00331CC2">
            <w:pPr>
              <w:spacing w:line="240" w:lineRule="auto"/>
              <w:rPr>
                <w:color w:val="000000"/>
                <w:sz w:val="22"/>
              </w:rPr>
            </w:pPr>
            <w:r w:rsidRPr="00331CC2">
              <w:rPr>
                <w:color w:val="000000"/>
                <w:sz w:val="22"/>
                <w:szCs w:val="22"/>
              </w:rPr>
              <w:t>1,1</w:t>
            </w:r>
          </w:p>
        </w:tc>
        <w:tc>
          <w:tcPr>
            <w:tcW w:w="875" w:type="dxa"/>
            <w:tcBorders>
              <w:top w:val="nil"/>
              <w:left w:val="nil"/>
              <w:bottom w:val="single" w:sz="4" w:space="0" w:color="auto"/>
              <w:right w:val="single" w:sz="4" w:space="0" w:color="auto"/>
            </w:tcBorders>
            <w:shd w:val="clear" w:color="000000" w:fill="FFF2CC"/>
            <w:noWrap/>
            <w:vAlign w:val="center"/>
            <w:hideMark/>
          </w:tcPr>
          <w:p w14:paraId="72401423" w14:textId="77777777" w:rsidR="00331CC2" w:rsidRPr="00331CC2" w:rsidRDefault="00331CC2" w:rsidP="00331CC2">
            <w:pPr>
              <w:spacing w:line="240" w:lineRule="auto"/>
              <w:rPr>
                <w:color w:val="000000"/>
                <w:sz w:val="22"/>
              </w:rPr>
            </w:pPr>
            <w:r w:rsidRPr="00331CC2">
              <w:rPr>
                <w:color w:val="000000"/>
                <w:sz w:val="22"/>
                <w:szCs w:val="22"/>
              </w:rPr>
              <w:t>1,5</w:t>
            </w:r>
          </w:p>
        </w:tc>
        <w:tc>
          <w:tcPr>
            <w:tcW w:w="651" w:type="dxa"/>
            <w:tcBorders>
              <w:top w:val="nil"/>
              <w:left w:val="nil"/>
              <w:bottom w:val="single" w:sz="4" w:space="0" w:color="auto"/>
              <w:right w:val="single" w:sz="4" w:space="0" w:color="auto"/>
            </w:tcBorders>
            <w:shd w:val="clear" w:color="auto" w:fill="auto"/>
            <w:noWrap/>
            <w:vAlign w:val="center"/>
            <w:hideMark/>
          </w:tcPr>
          <w:p w14:paraId="1F518983" w14:textId="77777777" w:rsidR="00331CC2" w:rsidRPr="00331CC2" w:rsidRDefault="00331CC2" w:rsidP="00331CC2">
            <w:pPr>
              <w:spacing w:line="240" w:lineRule="auto"/>
              <w:rPr>
                <w:color w:val="000000"/>
                <w:sz w:val="22"/>
              </w:rPr>
            </w:pPr>
            <w:r w:rsidRPr="00331CC2">
              <w:rPr>
                <w:color w:val="000000"/>
                <w:sz w:val="22"/>
                <w:szCs w:val="22"/>
              </w:rPr>
              <w:t>1,5</w:t>
            </w:r>
          </w:p>
        </w:tc>
        <w:tc>
          <w:tcPr>
            <w:tcW w:w="875" w:type="dxa"/>
            <w:tcBorders>
              <w:top w:val="nil"/>
              <w:left w:val="nil"/>
              <w:bottom w:val="single" w:sz="4" w:space="0" w:color="auto"/>
              <w:right w:val="single" w:sz="4" w:space="0" w:color="auto"/>
            </w:tcBorders>
            <w:shd w:val="clear" w:color="000000" w:fill="FFF2CC"/>
            <w:noWrap/>
            <w:vAlign w:val="center"/>
            <w:hideMark/>
          </w:tcPr>
          <w:p w14:paraId="161537BD" w14:textId="77777777" w:rsidR="00331CC2" w:rsidRPr="00331CC2" w:rsidRDefault="00331CC2" w:rsidP="00331CC2">
            <w:pPr>
              <w:spacing w:line="240" w:lineRule="auto"/>
              <w:rPr>
                <w:color w:val="000000"/>
                <w:sz w:val="22"/>
              </w:rPr>
            </w:pPr>
            <w:r w:rsidRPr="00331CC2">
              <w:rPr>
                <w:color w:val="000000"/>
                <w:sz w:val="22"/>
                <w:szCs w:val="22"/>
              </w:rPr>
              <w:t>2,3</w:t>
            </w:r>
          </w:p>
        </w:tc>
        <w:tc>
          <w:tcPr>
            <w:tcW w:w="651" w:type="dxa"/>
            <w:tcBorders>
              <w:top w:val="nil"/>
              <w:left w:val="nil"/>
              <w:bottom w:val="single" w:sz="4" w:space="0" w:color="auto"/>
              <w:right w:val="single" w:sz="4" w:space="0" w:color="auto"/>
            </w:tcBorders>
            <w:shd w:val="clear" w:color="000000" w:fill="F8CBAD"/>
            <w:noWrap/>
            <w:vAlign w:val="center"/>
            <w:hideMark/>
          </w:tcPr>
          <w:p w14:paraId="47081CA2" w14:textId="77777777" w:rsidR="00331CC2" w:rsidRPr="00331CC2" w:rsidRDefault="00331CC2" w:rsidP="00331CC2">
            <w:pPr>
              <w:spacing w:line="240" w:lineRule="auto"/>
              <w:rPr>
                <w:color w:val="000000"/>
                <w:sz w:val="22"/>
              </w:rPr>
            </w:pPr>
            <w:r w:rsidRPr="00331CC2">
              <w:rPr>
                <w:color w:val="000000"/>
                <w:sz w:val="22"/>
                <w:szCs w:val="22"/>
              </w:rPr>
              <w:t>3,4</w:t>
            </w:r>
          </w:p>
        </w:tc>
        <w:tc>
          <w:tcPr>
            <w:tcW w:w="797" w:type="dxa"/>
            <w:tcBorders>
              <w:top w:val="nil"/>
              <w:left w:val="nil"/>
              <w:bottom w:val="single" w:sz="4" w:space="0" w:color="auto"/>
              <w:right w:val="single" w:sz="4" w:space="0" w:color="auto"/>
            </w:tcBorders>
            <w:shd w:val="clear" w:color="000000" w:fill="FFF2CC"/>
            <w:noWrap/>
            <w:vAlign w:val="center"/>
            <w:hideMark/>
          </w:tcPr>
          <w:p w14:paraId="1D3F5DED" w14:textId="77777777" w:rsidR="00331CC2" w:rsidRPr="00331CC2" w:rsidRDefault="00331CC2" w:rsidP="00331CC2">
            <w:pPr>
              <w:spacing w:line="240" w:lineRule="auto"/>
              <w:rPr>
                <w:color w:val="000000"/>
                <w:sz w:val="22"/>
              </w:rPr>
            </w:pPr>
            <w:r w:rsidRPr="00331CC2">
              <w:rPr>
                <w:color w:val="000000"/>
                <w:sz w:val="22"/>
                <w:szCs w:val="22"/>
              </w:rPr>
              <w:t>3,6</w:t>
            </w:r>
          </w:p>
        </w:tc>
        <w:tc>
          <w:tcPr>
            <w:tcW w:w="1247" w:type="dxa"/>
            <w:tcBorders>
              <w:top w:val="nil"/>
              <w:left w:val="nil"/>
              <w:bottom w:val="single" w:sz="4" w:space="0" w:color="auto"/>
              <w:right w:val="single" w:sz="4" w:space="0" w:color="auto"/>
            </w:tcBorders>
            <w:shd w:val="clear" w:color="auto" w:fill="auto"/>
            <w:noWrap/>
            <w:vAlign w:val="center"/>
            <w:hideMark/>
          </w:tcPr>
          <w:p w14:paraId="2303163B"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487893B3" w14:textId="77777777" w:rsidR="00331CC2" w:rsidRPr="00331CC2" w:rsidRDefault="00331CC2" w:rsidP="00331CC2">
            <w:pPr>
              <w:spacing w:line="240" w:lineRule="auto"/>
              <w:rPr>
                <w:b/>
                <w:bCs/>
                <w:color w:val="000000"/>
                <w:sz w:val="22"/>
              </w:rPr>
            </w:pPr>
            <w:r w:rsidRPr="00331CC2">
              <w:rPr>
                <w:b/>
                <w:bCs/>
                <w:color w:val="000000"/>
                <w:sz w:val="22"/>
                <w:szCs w:val="22"/>
              </w:rPr>
              <w:t>2,6</w:t>
            </w:r>
          </w:p>
        </w:tc>
      </w:tr>
      <w:tr w:rsidR="00331CC2" w:rsidRPr="00331CC2" w14:paraId="2F1F08AA" w14:textId="77777777" w:rsidTr="00BA1E3E">
        <w:trPr>
          <w:trHeight w:val="251"/>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73FEA111" w14:textId="77777777" w:rsidR="00331CC2" w:rsidRPr="00331CC2" w:rsidRDefault="00331CC2" w:rsidP="00331CC2">
            <w:pPr>
              <w:spacing w:line="240" w:lineRule="auto"/>
              <w:rPr>
                <w:color w:val="000000"/>
                <w:sz w:val="22"/>
              </w:rPr>
            </w:pPr>
            <w:r w:rsidRPr="00331CC2">
              <w:rPr>
                <w:color w:val="000000"/>
                <w:sz w:val="22"/>
                <w:szCs w:val="22"/>
              </w:rPr>
              <w:t>Гипермаркеты и супермаркеты</w:t>
            </w:r>
          </w:p>
        </w:tc>
        <w:tc>
          <w:tcPr>
            <w:tcW w:w="875" w:type="dxa"/>
            <w:tcBorders>
              <w:top w:val="nil"/>
              <w:left w:val="nil"/>
              <w:bottom w:val="single" w:sz="4" w:space="0" w:color="auto"/>
              <w:right w:val="single" w:sz="4" w:space="0" w:color="auto"/>
            </w:tcBorders>
            <w:shd w:val="clear" w:color="auto" w:fill="auto"/>
            <w:noWrap/>
            <w:vAlign w:val="center"/>
            <w:hideMark/>
          </w:tcPr>
          <w:p w14:paraId="0A760D5A"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6DEAF90E"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A61733D"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78ECD64"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C6A542F"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162C8DA2" w14:textId="77777777" w:rsidR="00331CC2" w:rsidRPr="00331CC2" w:rsidRDefault="00331CC2" w:rsidP="00331CC2">
            <w:pPr>
              <w:spacing w:line="240" w:lineRule="auto"/>
              <w:rPr>
                <w:color w:val="000000"/>
                <w:sz w:val="22"/>
              </w:rPr>
            </w:pPr>
            <w:r w:rsidRPr="00331CC2">
              <w:rPr>
                <w:color w:val="000000"/>
                <w:sz w:val="22"/>
                <w:szCs w:val="22"/>
              </w:rPr>
              <w:t>1,1</w:t>
            </w:r>
          </w:p>
        </w:tc>
        <w:tc>
          <w:tcPr>
            <w:tcW w:w="651" w:type="dxa"/>
            <w:tcBorders>
              <w:top w:val="nil"/>
              <w:left w:val="nil"/>
              <w:bottom w:val="single" w:sz="4" w:space="0" w:color="auto"/>
              <w:right w:val="single" w:sz="4" w:space="0" w:color="auto"/>
            </w:tcBorders>
            <w:shd w:val="clear" w:color="000000" w:fill="FFF2CC"/>
            <w:noWrap/>
            <w:vAlign w:val="center"/>
            <w:hideMark/>
          </w:tcPr>
          <w:p w14:paraId="46422B63" w14:textId="77777777" w:rsidR="00331CC2" w:rsidRPr="00331CC2" w:rsidRDefault="00331CC2" w:rsidP="00331CC2">
            <w:pPr>
              <w:spacing w:line="240" w:lineRule="auto"/>
              <w:rPr>
                <w:color w:val="000000"/>
                <w:sz w:val="22"/>
              </w:rPr>
            </w:pPr>
            <w:r w:rsidRPr="00331CC2">
              <w:rPr>
                <w:color w:val="000000"/>
                <w:sz w:val="22"/>
                <w:szCs w:val="22"/>
              </w:rPr>
              <w:t>1,3</w:t>
            </w:r>
          </w:p>
        </w:tc>
        <w:tc>
          <w:tcPr>
            <w:tcW w:w="875" w:type="dxa"/>
            <w:tcBorders>
              <w:top w:val="nil"/>
              <w:left w:val="nil"/>
              <w:bottom w:val="single" w:sz="4" w:space="0" w:color="auto"/>
              <w:right w:val="single" w:sz="4" w:space="0" w:color="auto"/>
            </w:tcBorders>
            <w:shd w:val="clear" w:color="auto" w:fill="auto"/>
            <w:noWrap/>
            <w:vAlign w:val="center"/>
            <w:hideMark/>
          </w:tcPr>
          <w:p w14:paraId="73873CE5" w14:textId="77777777" w:rsidR="00331CC2" w:rsidRPr="00331CC2" w:rsidRDefault="00331CC2" w:rsidP="00331CC2">
            <w:pPr>
              <w:spacing w:line="240" w:lineRule="auto"/>
              <w:rPr>
                <w:color w:val="000000"/>
                <w:sz w:val="22"/>
              </w:rPr>
            </w:pPr>
            <w:r w:rsidRPr="00331CC2">
              <w:rPr>
                <w:color w:val="000000"/>
                <w:sz w:val="22"/>
                <w:szCs w:val="22"/>
              </w:rPr>
              <w:t>1,4</w:t>
            </w:r>
          </w:p>
        </w:tc>
        <w:tc>
          <w:tcPr>
            <w:tcW w:w="651" w:type="dxa"/>
            <w:tcBorders>
              <w:top w:val="nil"/>
              <w:left w:val="nil"/>
              <w:bottom w:val="single" w:sz="4" w:space="0" w:color="auto"/>
              <w:right w:val="single" w:sz="4" w:space="0" w:color="auto"/>
            </w:tcBorders>
            <w:shd w:val="clear" w:color="auto" w:fill="auto"/>
            <w:noWrap/>
            <w:vAlign w:val="center"/>
            <w:hideMark/>
          </w:tcPr>
          <w:p w14:paraId="2638056B" w14:textId="77777777" w:rsidR="00331CC2" w:rsidRPr="00331CC2" w:rsidRDefault="00331CC2" w:rsidP="00331CC2">
            <w:pPr>
              <w:spacing w:line="240" w:lineRule="auto"/>
              <w:rPr>
                <w:color w:val="000000"/>
                <w:sz w:val="22"/>
              </w:rPr>
            </w:pPr>
            <w:r w:rsidRPr="00331CC2">
              <w:rPr>
                <w:color w:val="000000"/>
                <w:sz w:val="22"/>
                <w:szCs w:val="22"/>
              </w:rPr>
              <w:t>1,3</w:t>
            </w:r>
          </w:p>
        </w:tc>
        <w:tc>
          <w:tcPr>
            <w:tcW w:w="875" w:type="dxa"/>
            <w:tcBorders>
              <w:top w:val="nil"/>
              <w:left w:val="nil"/>
              <w:bottom w:val="single" w:sz="4" w:space="0" w:color="auto"/>
              <w:right w:val="single" w:sz="4" w:space="0" w:color="auto"/>
            </w:tcBorders>
            <w:shd w:val="clear" w:color="auto" w:fill="auto"/>
            <w:noWrap/>
            <w:vAlign w:val="center"/>
            <w:hideMark/>
          </w:tcPr>
          <w:p w14:paraId="4E34A6D2"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54F0B508" w14:textId="77777777" w:rsidR="00331CC2" w:rsidRPr="00331CC2" w:rsidRDefault="00331CC2" w:rsidP="00331CC2">
            <w:pPr>
              <w:spacing w:line="240" w:lineRule="auto"/>
              <w:rPr>
                <w:color w:val="000000"/>
                <w:sz w:val="22"/>
              </w:rPr>
            </w:pPr>
            <w:r w:rsidRPr="00331CC2">
              <w:rPr>
                <w:color w:val="000000"/>
                <w:sz w:val="22"/>
                <w:szCs w:val="22"/>
              </w:rPr>
              <w:t>1,1</w:t>
            </w:r>
          </w:p>
        </w:tc>
        <w:tc>
          <w:tcPr>
            <w:tcW w:w="797" w:type="dxa"/>
            <w:tcBorders>
              <w:top w:val="nil"/>
              <w:left w:val="nil"/>
              <w:bottom w:val="single" w:sz="4" w:space="0" w:color="auto"/>
              <w:right w:val="single" w:sz="4" w:space="0" w:color="auto"/>
            </w:tcBorders>
            <w:shd w:val="clear" w:color="000000" w:fill="FFF2CC"/>
            <w:noWrap/>
            <w:vAlign w:val="center"/>
            <w:hideMark/>
          </w:tcPr>
          <w:p w14:paraId="315DDF94" w14:textId="77777777" w:rsidR="00331CC2" w:rsidRPr="00331CC2" w:rsidRDefault="00331CC2" w:rsidP="00331CC2">
            <w:pPr>
              <w:spacing w:line="240" w:lineRule="auto"/>
              <w:rPr>
                <w:color w:val="000000"/>
                <w:sz w:val="22"/>
              </w:rPr>
            </w:pPr>
            <w:r w:rsidRPr="00331CC2">
              <w:rPr>
                <w:color w:val="000000"/>
                <w:sz w:val="22"/>
                <w:szCs w:val="22"/>
              </w:rPr>
              <w:t>1,5</w:t>
            </w:r>
          </w:p>
        </w:tc>
        <w:tc>
          <w:tcPr>
            <w:tcW w:w="1247" w:type="dxa"/>
            <w:tcBorders>
              <w:top w:val="nil"/>
              <w:left w:val="nil"/>
              <w:bottom w:val="single" w:sz="4" w:space="0" w:color="auto"/>
              <w:right w:val="single" w:sz="4" w:space="0" w:color="auto"/>
            </w:tcBorders>
            <w:shd w:val="clear" w:color="auto" w:fill="auto"/>
            <w:noWrap/>
            <w:vAlign w:val="center"/>
            <w:hideMark/>
          </w:tcPr>
          <w:p w14:paraId="79570B47"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1B588CD2" w14:textId="77777777" w:rsidR="00331CC2" w:rsidRPr="00331CC2" w:rsidRDefault="00331CC2" w:rsidP="00331CC2">
            <w:pPr>
              <w:spacing w:line="240" w:lineRule="auto"/>
              <w:rPr>
                <w:b/>
                <w:bCs/>
                <w:color w:val="000000"/>
                <w:sz w:val="22"/>
              </w:rPr>
            </w:pPr>
            <w:r w:rsidRPr="00331CC2">
              <w:rPr>
                <w:b/>
                <w:bCs/>
                <w:color w:val="000000"/>
                <w:sz w:val="22"/>
                <w:szCs w:val="22"/>
              </w:rPr>
              <w:t>1,3</w:t>
            </w:r>
          </w:p>
        </w:tc>
      </w:tr>
      <w:tr w:rsidR="00331CC2" w:rsidRPr="00331CC2" w14:paraId="61CAD8B9"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549C3A52" w14:textId="77777777" w:rsidR="00331CC2" w:rsidRPr="00331CC2" w:rsidRDefault="00331CC2" w:rsidP="00331CC2">
            <w:pPr>
              <w:spacing w:line="240" w:lineRule="auto"/>
              <w:rPr>
                <w:color w:val="000000"/>
                <w:sz w:val="22"/>
              </w:rPr>
            </w:pPr>
            <w:r w:rsidRPr="00331CC2">
              <w:rPr>
                <w:color w:val="000000"/>
                <w:sz w:val="22"/>
                <w:szCs w:val="22"/>
              </w:rPr>
              <w:t>Минимаркеты</w:t>
            </w:r>
          </w:p>
        </w:tc>
        <w:tc>
          <w:tcPr>
            <w:tcW w:w="875" w:type="dxa"/>
            <w:tcBorders>
              <w:top w:val="nil"/>
              <w:left w:val="nil"/>
              <w:bottom w:val="single" w:sz="4" w:space="0" w:color="auto"/>
              <w:right w:val="single" w:sz="4" w:space="0" w:color="auto"/>
            </w:tcBorders>
            <w:shd w:val="clear" w:color="auto" w:fill="auto"/>
            <w:noWrap/>
            <w:vAlign w:val="center"/>
            <w:hideMark/>
          </w:tcPr>
          <w:p w14:paraId="08765075"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3DF944DD"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1ED39A25"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6CD3856"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9F70C3D"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159D6790"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529ACC43" w14:textId="77777777" w:rsidR="00331CC2" w:rsidRPr="00331CC2" w:rsidRDefault="00331CC2" w:rsidP="00331CC2">
            <w:pPr>
              <w:spacing w:line="240" w:lineRule="auto"/>
              <w:rPr>
                <w:color w:val="000000"/>
                <w:sz w:val="22"/>
              </w:rPr>
            </w:pPr>
            <w:r w:rsidRPr="00331CC2">
              <w:rPr>
                <w:color w:val="000000"/>
                <w:sz w:val="22"/>
                <w:szCs w:val="22"/>
              </w:rPr>
              <w:t>1,1</w:t>
            </w:r>
          </w:p>
        </w:tc>
        <w:tc>
          <w:tcPr>
            <w:tcW w:w="875" w:type="dxa"/>
            <w:tcBorders>
              <w:top w:val="nil"/>
              <w:left w:val="nil"/>
              <w:bottom w:val="single" w:sz="4" w:space="0" w:color="auto"/>
              <w:right w:val="single" w:sz="4" w:space="0" w:color="auto"/>
            </w:tcBorders>
            <w:shd w:val="clear" w:color="000000" w:fill="FFF2CC"/>
            <w:noWrap/>
            <w:vAlign w:val="center"/>
            <w:hideMark/>
          </w:tcPr>
          <w:p w14:paraId="179B1516" w14:textId="77777777" w:rsidR="00331CC2" w:rsidRPr="00331CC2" w:rsidRDefault="00331CC2" w:rsidP="00331CC2">
            <w:pPr>
              <w:spacing w:line="240" w:lineRule="auto"/>
              <w:rPr>
                <w:color w:val="000000"/>
                <w:sz w:val="22"/>
              </w:rPr>
            </w:pPr>
            <w:r w:rsidRPr="00331CC2">
              <w:rPr>
                <w:color w:val="000000"/>
                <w:sz w:val="22"/>
                <w:szCs w:val="22"/>
              </w:rPr>
              <w:t>1,4</w:t>
            </w:r>
          </w:p>
        </w:tc>
        <w:tc>
          <w:tcPr>
            <w:tcW w:w="651" w:type="dxa"/>
            <w:tcBorders>
              <w:top w:val="nil"/>
              <w:left w:val="nil"/>
              <w:bottom w:val="single" w:sz="4" w:space="0" w:color="auto"/>
              <w:right w:val="single" w:sz="4" w:space="0" w:color="auto"/>
            </w:tcBorders>
            <w:shd w:val="clear" w:color="auto" w:fill="auto"/>
            <w:noWrap/>
            <w:vAlign w:val="center"/>
            <w:hideMark/>
          </w:tcPr>
          <w:p w14:paraId="3384B24D" w14:textId="77777777" w:rsidR="00331CC2" w:rsidRPr="00331CC2" w:rsidRDefault="00331CC2" w:rsidP="00331CC2">
            <w:pPr>
              <w:spacing w:line="240" w:lineRule="auto"/>
              <w:rPr>
                <w:color w:val="000000"/>
                <w:sz w:val="22"/>
              </w:rPr>
            </w:pPr>
            <w:r w:rsidRPr="00331CC2">
              <w:rPr>
                <w:color w:val="000000"/>
                <w:sz w:val="22"/>
                <w:szCs w:val="22"/>
              </w:rPr>
              <w:t>1,2</w:t>
            </w:r>
          </w:p>
        </w:tc>
        <w:tc>
          <w:tcPr>
            <w:tcW w:w="875" w:type="dxa"/>
            <w:tcBorders>
              <w:top w:val="nil"/>
              <w:left w:val="nil"/>
              <w:bottom w:val="single" w:sz="4" w:space="0" w:color="auto"/>
              <w:right w:val="single" w:sz="4" w:space="0" w:color="auto"/>
            </w:tcBorders>
            <w:shd w:val="clear" w:color="000000" w:fill="FFF2CC"/>
            <w:noWrap/>
            <w:vAlign w:val="center"/>
            <w:hideMark/>
          </w:tcPr>
          <w:p w14:paraId="04B90E7D" w14:textId="77777777" w:rsidR="00331CC2" w:rsidRPr="00331CC2" w:rsidRDefault="00331CC2" w:rsidP="00331CC2">
            <w:pPr>
              <w:spacing w:line="240" w:lineRule="auto"/>
              <w:rPr>
                <w:color w:val="000000"/>
                <w:sz w:val="22"/>
              </w:rPr>
            </w:pPr>
            <w:r w:rsidRPr="00331CC2">
              <w:rPr>
                <w:color w:val="000000"/>
                <w:sz w:val="22"/>
                <w:szCs w:val="22"/>
              </w:rPr>
              <w:t>1,3</w:t>
            </w:r>
          </w:p>
        </w:tc>
        <w:tc>
          <w:tcPr>
            <w:tcW w:w="651" w:type="dxa"/>
            <w:tcBorders>
              <w:top w:val="nil"/>
              <w:left w:val="nil"/>
              <w:bottom w:val="single" w:sz="4" w:space="0" w:color="auto"/>
              <w:right w:val="single" w:sz="4" w:space="0" w:color="auto"/>
            </w:tcBorders>
            <w:shd w:val="clear" w:color="auto" w:fill="auto"/>
            <w:noWrap/>
            <w:vAlign w:val="center"/>
            <w:hideMark/>
          </w:tcPr>
          <w:p w14:paraId="4A6D9512" w14:textId="77777777" w:rsidR="00331CC2" w:rsidRPr="00331CC2" w:rsidRDefault="00331CC2" w:rsidP="00331CC2">
            <w:pPr>
              <w:spacing w:line="240" w:lineRule="auto"/>
              <w:rPr>
                <w:color w:val="000000"/>
                <w:sz w:val="22"/>
              </w:rPr>
            </w:pPr>
            <w:r w:rsidRPr="00331CC2">
              <w:rPr>
                <w:color w:val="000000"/>
                <w:sz w:val="22"/>
                <w:szCs w:val="22"/>
              </w:rPr>
              <w:t>1,0</w:t>
            </w:r>
          </w:p>
        </w:tc>
        <w:tc>
          <w:tcPr>
            <w:tcW w:w="797" w:type="dxa"/>
            <w:tcBorders>
              <w:top w:val="nil"/>
              <w:left w:val="nil"/>
              <w:bottom w:val="single" w:sz="4" w:space="0" w:color="auto"/>
              <w:right w:val="single" w:sz="4" w:space="0" w:color="auto"/>
            </w:tcBorders>
            <w:shd w:val="clear" w:color="000000" w:fill="FFF2CC"/>
            <w:noWrap/>
            <w:vAlign w:val="center"/>
            <w:hideMark/>
          </w:tcPr>
          <w:p w14:paraId="68FCAE33" w14:textId="77777777" w:rsidR="00331CC2" w:rsidRPr="00331CC2" w:rsidRDefault="00331CC2" w:rsidP="00331CC2">
            <w:pPr>
              <w:spacing w:line="240" w:lineRule="auto"/>
              <w:rPr>
                <w:color w:val="000000"/>
                <w:sz w:val="22"/>
              </w:rPr>
            </w:pPr>
            <w:r w:rsidRPr="00331CC2">
              <w:rPr>
                <w:color w:val="000000"/>
                <w:sz w:val="22"/>
                <w:szCs w:val="22"/>
              </w:rPr>
              <w:t>1,6</w:t>
            </w:r>
          </w:p>
        </w:tc>
        <w:tc>
          <w:tcPr>
            <w:tcW w:w="1247" w:type="dxa"/>
            <w:tcBorders>
              <w:top w:val="nil"/>
              <w:left w:val="nil"/>
              <w:bottom w:val="single" w:sz="4" w:space="0" w:color="auto"/>
              <w:right w:val="single" w:sz="4" w:space="0" w:color="auto"/>
            </w:tcBorders>
            <w:shd w:val="clear" w:color="auto" w:fill="auto"/>
            <w:noWrap/>
            <w:vAlign w:val="center"/>
            <w:hideMark/>
          </w:tcPr>
          <w:p w14:paraId="40B3D27D"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4D9ED7D5" w14:textId="77777777" w:rsidR="00331CC2" w:rsidRPr="00331CC2" w:rsidRDefault="00331CC2" w:rsidP="00331CC2">
            <w:pPr>
              <w:spacing w:line="240" w:lineRule="auto"/>
              <w:rPr>
                <w:b/>
                <w:bCs/>
                <w:color w:val="000000"/>
                <w:sz w:val="22"/>
              </w:rPr>
            </w:pPr>
            <w:r w:rsidRPr="00331CC2">
              <w:rPr>
                <w:b/>
                <w:bCs/>
                <w:color w:val="000000"/>
                <w:sz w:val="22"/>
                <w:szCs w:val="22"/>
              </w:rPr>
              <w:t>1,2</w:t>
            </w:r>
          </w:p>
        </w:tc>
      </w:tr>
      <w:tr w:rsidR="00331CC2" w:rsidRPr="00331CC2" w14:paraId="699995AF" w14:textId="77777777" w:rsidTr="00BA1E3E">
        <w:trPr>
          <w:trHeight w:val="548"/>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3DE922F3" w14:textId="77777777" w:rsidR="00331CC2" w:rsidRPr="00331CC2" w:rsidRDefault="00331CC2" w:rsidP="00331CC2">
            <w:pPr>
              <w:spacing w:line="240" w:lineRule="auto"/>
              <w:rPr>
                <w:color w:val="000000"/>
                <w:sz w:val="22"/>
              </w:rPr>
            </w:pPr>
            <w:r w:rsidRPr="00331CC2">
              <w:rPr>
                <w:color w:val="000000"/>
                <w:sz w:val="22"/>
                <w:szCs w:val="22"/>
              </w:rPr>
              <w:t>Круглосуточные продуктовые магазины</w:t>
            </w:r>
          </w:p>
        </w:tc>
        <w:tc>
          <w:tcPr>
            <w:tcW w:w="875" w:type="dxa"/>
            <w:tcBorders>
              <w:top w:val="nil"/>
              <w:left w:val="nil"/>
              <w:bottom w:val="single" w:sz="4" w:space="0" w:color="auto"/>
              <w:right w:val="single" w:sz="4" w:space="0" w:color="auto"/>
            </w:tcBorders>
            <w:shd w:val="clear" w:color="auto" w:fill="auto"/>
            <w:noWrap/>
            <w:vAlign w:val="center"/>
            <w:hideMark/>
          </w:tcPr>
          <w:p w14:paraId="33EE93C7"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62A8086A"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357C384"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8F48634"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17CD5E45"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3CA64DB1"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52FF43DC"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25DB307B" w14:textId="77777777" w:rsidR="00331CC2" w:rsidRPr="00331CC2" w:rsidRDefault="00331CC2" w:rsidP="00331CC2">
            <w:pPr>
              <w:spacing w:line="240" w:lineRule="auto"/>
              <w:rPr>
                <w:color w:val="000000"/>
                <w:sz w:val="22"/>
              </w:rPr>
            </w:pPr>
            <w:r w:rsidRPr="00331CC2">
              <w:rPr>
                <w:color w:val="000000"/>
                <w:sz w:val="22"/>
                <w:szCs w:val="22"/>
              </w:rPr>
              <w:t>1,4</w:t>
            </w:r>
          </w:p>
        </w:tc>
        <w:tc>
          <w:tcPr>
            <w:tcW w:w="651" w:type="dxa"/>
            <w:tcBorders>
              <w:top w:val="nil"/>
              <w:left w:val="nil"/>
              <w:bottom w:val="single" w:sz="4" w:space="0" w:color="auto"/>
              <w:right w:val="single" w:sz="4" w:space="0" w:color="auto"/>
            </w:tcBorders>
            <w:shd w:val="clear" w:color="auto" w:fill="auto"/>
            <w:noWrap/>
            <w:vAlign w:val="center"/>
            <w:hideMark/>
          </w:tcPr>
          <w:p w14:paraId="64DFA530" w14:textId="77777777" w:rsidR="00331CC2" w:rsidRPr="00331CC2" w:rsidRDefault="00331CC2" w:rsidP="00331CC2">
            <w:pPr>
              <w:spacing w:line="240" w:lineRule="auto"/>
              <w:rPr>
                <w:color w:val="000000"/>
                <w:sz w:val="22"/>
              </w:rPr>
            </w:pPr>
            <w:r w:rsidRPr="00331CC2">
              <w:rPr>
                <w:color w:val="000000"/>
                <w:sz w:val="22"/>
                <w:szCs w:val="22"/>
              </w:rPr>
              <w:t>1,4</w:t>
            </w:r>
          </w:p>
        </w:tc>
        <w:tc>
          <w:tcPr>
            <w:tcW w:w="875" w:type="dxa"/>
            <w:tcBorders>
              <w:top w:val="nil"/>
              <w:left w:val="nil"/>
              <w:bottom w:val="single" w:sz="4" w:space="0" w:color="auto"/>
              <w:right w:val="single" w:sz="4" w:space="0" w:color="auto"/>
            </w:tcBorders>
            <w:shd w:val="clear" w:color="000000" w:fill="FFF2CC"/>
            <w:noWrap/>
            <w:vAlign w:val="center"/>
            <w:hideMark/>
          </w:tcPr>
          <w:p w14:paraId="72D11FB7" w14:textId="77777777" w:rsidR="00331CC2" w:rsidRPr="00331CC2" w:rsidRDefault="00331CC2" w:rsidP="00331CC2">
            <w:pPr>
              <w:spacing w:line="240" w:lineRule="auto"/>
              <w:rPr>
                <w:color w:val="000000"/>
                <w:sz w:val="22"/>
              </w:rPr>
            </w:pPr>
            <w:r w:rsidRPr="00331CC2">
              <w:rPr>
                <w:color w:val="000000"/>
                <w:sz w:val="22"/>
                <w:szCs w:val="22"/>
              </w:rPr>
              <w:t>1,5</w:t>
            </w:r>
          </w:p>
        </w:tc>
        <w:tc>
          <w:tcPr>
            <w:tcW w:w="651" w:type="dxa"/>
            <w:tcBorders>
              <w:top w:val="nil"/>
              <w:left w:val="nil"/>
              <w:bottom w:val="single" w:sz="4" w:space="0" w:color="auto"/>
              <w:right w:val="single" w:sz="4" w:space="0" w:color="auto"/>
            </w:tcBorders>
            <w:shd w:val="clear" w:color="auto" w:fill="auto"/>
            <w:noWrap/>
            <w:vAlign w:val="center"/>
            <w:hideMark/>
          </w:tcPr>
          <w:p w14:paraId="5BBAA44B" w14:textId="77777777" w:rsidR="00331CC2" w:rsidRPr="00331CC2" w:rsidRDefault="00331CC2" w:rsidP="00331CC2">
            <w:pPr>
              <w:spacing w:line="240" w:lineRule="auto"/>
              <w:rPr>
                <w:color w:val="000000"/>
                <w:sz w:val="22"/>
              </w:rPr>
            </w:pPr>
            <w:r w:rsidRPr="00331CC2">
              <w:rPr>
                <w:color w:val="000000"/>
                <w:sz w:val="22"/>
                <w:szCs w:val="22"/>
              </w:rPr>
              <w:t>1,2</w:t>
            </w:r>
          </w:p>
        </w:tc>
        <w:tc>
          <w:tcPr>
            <w:tcW w:w="797" w:type="dxa"/>
            <w:tcBorders>
              <w:top w:val="nil"/>
              <w:left w:val="nil"/>
              <w:bottom w:val="single" w:sz="4" w:space="0" w:color="auto"/>
              <w:right w:val="single" w:sz="4" w:space="0" w:color="auto"/>
            </w:tcBorders>
            <w:shd w:val="clear" w:color="000000" w:fill="FFF2CC"/>
            <w:noWrap/>
            <w:vAlign w:val="center"/>
            <w:hideMark/>
          </w:tcPr>
          <w:p w14:paraId="223DB1FB" w14:textId="77777777" w:rsidR="00331CC2" w:rsidRPr="00331CC2" w:rsidRDefault="00331CC2" w:rsidP="00331CC2">
            <w:pPr>
              <w:spacing w:line="240" w:lineRule="auto"/>
              <w:rPr>
                <w:color w:val="000000"/>
                <w:sz w:val="22"/>
              </w:rPr>
            </w:pPr>
            <w:r w:rsidRPr="00331CC2">
              <w:rPr>
                <w:color w:val="000000"/>
                <w:sz w:val="22"/>
                <w:szCs w:val="22"/>
              </w:rPr>
              <w:t>2,0</w:t>
            </w:r>
          </w:p>
        </w:tc>
        <w:tc>
          <w:tcPr>
            <w:tcW w:w="1247" w:type="dxa"/>
            <w:tcBorders>
              <w:top w:val="nil"/>
              <w:left w:val="nil"/>
              <w:bottom w:val="single" w:sz="4" w:space="0" w:color="auto"/>
              <w:right w:val="single" w:sz="4" w:space="0" w:color="auto"/>
            </w:tcBorders>
            <w:shd w:val="clear" w:color="auto" w:fill="auto"/>
            <w:noWrap/>
            <w:vAlign w:val="center"/>
            <w:hideMark/>
          </w:tcPr>
          <w:p w14:paraId="33E1B0C4"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74472D16" w14:textId="77777777" w:rsidR="00331CC2" w:rsidRPr="00331CC2" w:rsidRDefault="00331CC2" w:rsidP="00331CC2">
            <w:pPr>
              <w:spacing w:line="240" w:lineRule="auto"/>
              <w:rPr>
                <w:b/>
                <w:bCs/>
                <w:color w:val="000000"/>
                <w:sz w:val="22"/>
              </w:rPr>
            </w:pPr>
            <w:r w:rsidRPr="00331CC2">
              <w:rPr>
                <w:b/>
                <w:bCs/>
                <w:color w:val="000000"/>
                <w:sz w:val="22"/>
                <w:szCs w:val="22"/>
              </w:rPr>
              <w:t>1,4</w:t>
            </w:r>
          </w:p>
        </w:tc>
      </w:tr>
      <w:tr w:rsidR="00331CC2" w:rsidRPr="00331CC2" w14:paraId="35720B7C"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44103B9B" w14:textId="77777777" w:rsidR="00331CC2" w:rsidRPr="00331CC2" w:rsidRDefault="00331CC2" w:rsidP="00331CC2">
            <w:pPr>
              <w:spacing w:line="240" w:lineRule="auto"/>
              <w:rPr>
                <w:color w:val="000000"/>
                <w:sz w:val="22"/>
              </w:rPr>
            </w:pPr>
            <w:r w:rsidRPr="00331CC2">
              <w:rPr>
                <w:color w:val="000000"/>
                <w:sz w:val="22"/>
                <w:szCs w:val="22"/>
              </w:rPr>
              <w:t>Аптеки</w:t>
            </w:r>
          </w:p>
        </w:tc>
        <w:tc>
          <w:tcPr>
            <w:tcW w:w="875" w:type="dxa"/>
            <w:tcBorders>
              <w:top w:val="nil"/>
              <w:left w:val="nil"/>
              <w:bottom w:val="single" w:sz="4" w:space="0" w:color="auto"/>
              <w:right w:val="single" w:sz="4" w:space="0" w:color="auto"/>
            </w:tcBorders>
            <w:shd w:val="clear" w:color="auto" w:fill="auto"/>
            <w:noWrap/>
            <w:vAlign w:val="center"/>
            <w:hideMark/>
          </w:tcPr>
          <w:p w14:paraId="3DCB8BC4"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44BDAB9B"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B6D2523"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53682A9"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73F6A27"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56D8556D"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45208CB"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1A28378E"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13E7F3F7" w14:textId="77777777" w:rsidR="00331CC2" w:rsidRPr="00331CC2" w:rsidRDefault="00331CC2" w:rsidP="00331CC2">
            <w:pPr>
              <w:spacing w:line="240" w:lineRule="auto"/>
              <w:rPr>
                <w:color w:val="000000"/>
                <w:sz w:val="22"/>
              </w:rPr>
            </w:pPr>
            <w:r w:rsidRPr="00331CC2">
              <w:rPr>
                <w:color w:val="000000"/>
                <w:sz w:val="22"/>
                <w:szCs w:val="22"/>
              </w:rPr>
              <w:t>1,4</w:t>
            </w:r>
          </w:p>
        </w:tc>
        <w:tc>
          <w:tcPr>
            <w:tcW w:w="875" w:type="dxa"/>
            <w:tcBorders>
              <w:top w:val="nil"/>
              <w:left w:val="nil"/>
              <w:bottom w:val="single" w:sz="4" w:space="0" w:color="auto"/>
              <w:right w:val="single" w:sz="4" w:space="0" w:color="auto"/>
            </w:tcBorders>
            <w:shd w:val="clear" w:color="000000" w:fill="FFF2CC"/>
            <w:noWrap/>
            <w:vAlign w:val="center"/>
            <w:hideMark/>
          </w:tcPr>
          <w:p w14:paraId="4487191B" w14:textId="77777777" w:rsidR="00331CC2" w:rsidRPr="00331CC2" w:rsidRDefault="00331CC2" w:rsidP="00331CC2">
            <w:pPr>
              <w:spacing w:line="240" w:lineRule="auto"/>
              <w:rPr>
                <w:color w:val="000000"/>
                <w:sz w:val="22"/>
              </w:rPr>
            </w:pPr>
            <w:r w:rsidRPr="00331CC2">
              <w:rPr>
                <w:color w:val="000000"/>
                <w:sz w:val="22"/>
                <w:szCs w:val="22"/>
              </w:rPr>
              <w:t>1,7</w:t>
            </w:r>
          </w:p>
        </w:tc>
        <w:tc>
          <w:tcPr>
            <w:tcW w:w="651" w:type="dxa"/>
            <w:tcBorders>
              <w:top w:val="nil"/>
              <w:left w:val="nil"/>
              <w:bottom w:val="single" w:sz="4" w:space="0" w:color="auto"/>
              <w:right w:val="single" w:sz="4" w:space="0" w:color="auto"/>
            </w:tcBorders>
            <w:shd w:val="clear" w:color="auto" w:fill="auto"/>
            <w:noWrap/>
            <w:vAlign w:val="center"/>
            <w:hideMark/>
          </w:tcPr>
          <w:p w14:paraId="0DDAFA80" w14:textId="77777777" w:rsidR="00331CC2" w:rsidRPr="00331CC2" w:rsidRDefault="00331CC2" w:rsidP="00331CC2">
            <w:pPr>
              <w:spacing w:line="240" w:lineRule="auto"/>
              <w:rPr>
                <w:color w:val="000000"/>
                <w:sz w:val="22"/>
              </w:rPr>
            </w:pPr>
            <w:r w:rsidRPr="00331CC2">
              <w:rPr>
                <w:color w:val="000000"/>
                <w:sz w:val="22"/>
                <w:szCs w:val="22"/>
              </w:rPr>
              <w:t>1,1</w:t>
            </w:r>
          </w:p>
        </w:tc>
        <w:tc>
          <w:tcPr>
            <w:tcW w:w="797" w:type="dxa"/>
            <w:tcBorders>
              <w:top w:val="nil"/>
              <w:left w:val="nil"/>
              <w:bottom w:val="single" w:sz="4" w:space="0" w:color="auto"/>
              <w:right w:val="single" w:sz="4" w:space="0" w:color="auto"/>
            </w:tcBorders>
            <w:shd w:val="clear" w:color="000000" w:fill="FFF2CC"/>
            <w:noWrap/>
            <w:vAlign w:val="center"/>
            <w:hideMark/>
          </w:tcPr>
          <w:p w14:paraId="24C8C43D" w14:textId="77777777" w:rsidR="00331CC2" w:rsidRPr="00331CC2" w:rsidRDefault="00331CC2" w:rsidP="00331CC2">
            <w:pPr>
              <w:spacing w:line="240" w:lineRule="auto"/>
              <w:rPr>
                <w:color w:val="000000"/>
                <w:sz w:val="22"/>
              </w:rPr>
            </w:pPr>
            <w:r w:rsidRPr="00331CC2">
              <w:rPr>
                <w:color w:val="000000"/>
                <w:sz w:val="22"/>
                <w:szCs w:val="22"/>
              </w:rPr>
              <w:t>2,8</w:t>
            </w:r>
          </w:p>
        </w:tc>
        <w:tc>
          <w:tcPr>
            <w:tcW w:w="1247" w:type="dxa"/>
            <w:tcBorders>
              <w:top w:val="nil"/>
              <w:left w:val="nil"/>
              <w:bottom w:val="single" w:sz="4" w:space="0" w:color="auto"/>
              <w:right w:val="single" w:sz="4" w:space="0" w:color="auto"/>
            </w:tcBorders>
            <w:shd w:val="clear" w:color="auto" w:fill="auto"/>
            <w:noWrap/>
            <w:vAlign w:val="center"/>
            <w:hideMark/>
          </w:tcPr>
          <w:p w14:paraId="451D136E"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077F3071" w14:textId="77777777" w:rsidR="00331CC2" w:rsidRPr="00331CC2" w:rsidRDefault="00331CC2" w:rsidP="00331CC2">
            <w:pPr>
              <w:spacing w:line="240" w:lineRule="auto"/>
              <w:rPr>
                <w:b/>
                <w:bCs/>
                <w:color w:val="000000"/>
                <w:sz w:val="22"/>
              </w:rPr>
            </w:pPr>
            <w:r w:rsidRPr="00331CC2">
              <w:rPr>
                <w:b/>
                <w:bCs/>
                <w:color w:val="000000"/>
                <w:sz w:val="22"/>
                <w:szCs w:val="22"/>
              </w:rPr>
              <w:t>1,5</w:t>
            </w:r>
          </w:p>
        </w:tc>
      </w:tr>
      <w:tr w:rsidR="00331CC2" w:rsidRPr="00331CC2" w14:paraId="17D0C70F"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732F62DE" w14:textId="77777777" w:rsidR="00331CC2" w:rsidRPr="00331CC2" w:rsidRDefault="00331CC2" w:rsidP="00331CC2">
            <w:pPr>
              <w:spacing w:line="240" w:lineRule="auto"/>
              <w:rPr>
                <w:color w:val="000000"/>
                <w:sz w:val="22"/>
              </w:rPr>
            </w:pPr>
            <w:r w:rsidRPr="00331CC2">
              <w:rPr>
                <w:color w:val="000000"/>
                <w:sz w:val="22"/>
                <w:szCs w:val="22"/>
              </w:rPr>
              <w:t>Цветочные магазины</w:t>
            </w:r>
          </w:p>
        </w:tc>
        <w:tc>
          <w:tcPr>
            <w:tcW w:w="875" w:type="dxa"/>
            <w:tcBorders>
              <w:top w:val="nil"/>
              <w:left w:val="nil"/>
              <w:bottom w:val="single" w:sz="4" w:space="0" w:color="auto"/>
              <w:right w:val="single" w:sz="4" w:space="0" w:color="auto"/>
            </w:tcBorders>
            <w:shd w:val="clear" w:color="auto" w:fill="auto"/>
            <w:noWrap/>
            <w:vAlign w:val="center"/>
            <w:hideMark/>
          </w:tcPr>
          <w:p w14:paraId="7BF0E225"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63209D40"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53D8B2B"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5510F88A"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071BB328"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4CB4C405"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DD0E063"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613D175F"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FB67671"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000000" w:fill="F8CBAD"/>
            <w:noWrap/>
            <w:vAlign w:val="center"/>
            <w:hideMark/>
          </w:tcPr>
          <w:p w14:paraId="15EAD293" w14:textId="77777777" w:rsidR="00331CC2" w:rsidRPr="00331CC2" w:rsidRDefault="00331CC2" w:rsidP="00331CC2">
            <w:pPr>
              <w:spacing w:line="240" w:lineRule="auto"/>
              <w:rPr>
                <w:color w:val="000000"/>
                <w:sz w:val="22"/>
              </w:rPr>
            </w:pPr>
            <w:r w:rsidRPr="00331CC2">
              <w:rPr>
                <w:color w:val="000000"/>
                <w:sz w:val="22"/>
                <w:szCs w:val="22"/>
              </w:rPr>
              <w:t>2,3</w:t>
            </w:r>
          </w:p>
        </w:tc>
        <w:tc>
          <w:tcPr>
            <w:tcW w:w="651" w:type="dxa"/>
            <w:tcBorders>
              <w:top w:val="nil"/>
              <w:left w:val="nil"/>
              <w:bottom w:val="single" w:sz="4" w:space="0" w:color="auto"/>
              <w:right w:val="single" w:sz="4" w:space="0" w:color="auto"/>
            </w:tcBorders>
            <w:shd w:val="clear" w:color="auto" w:fill="auto"/>
            <w:noWrap/>
            <w:vAlign w:val="center"/>
            <w:hideMark/>
          </w:tcPr>
          <w:p w14:paraId="6C9D1F40" w14:textId="77777777" w:rsidR="00331CC2" w:rsidRPr="00331CC2" w:rsidRDefault="00331CC2" w:rsidP="00331CC2">
            <w:pPr>
              <w:spacing w:line="240" w:lineRule="auto"/>
              <w:rPr>
                <w:color w:val="000000"/>
                <w:sz w:val="22"/>
              </w:rPr>
            </w:pPr>
            <w:r w:rsidRPr="00331CC2">
              <w:rPr>
                <w:color w:val="000000"/>
                <w:sz w:val="22"/>
                <w:szCs w:val="22"/>
              </w:rPr>
              <w:t>1,9</w:t>
            </w:r>
          </w:p>
        </w:tc>
        <w:tc>
          <w:tcPr>
            <w:tcW w:w="797" w:type="dxa"/>
            <w:tcBorders>
              <w:top w:val="nil"/>
              <w:left w:val="nil"/>
              <w:bottom w:val="single" w:sz="4" w:space="0" w:color="auto"/>
              <w:right w:val="single" w:sz="4" w:space="0" w:color="auto"/>
            </w:tcBorders>
            <w:shd w:val="clear" w:color="000000" w:fill="FFF2CC"/>
            <w:noWrap/>
            <w:vAlign w:val="center"/>
            <w:hideMark/>
          </w:tcPr>
          <w:p w14:paraId="62C4CFE3" w14:textId="77777777" w:rsidR="00331CC2" w:rsidRPr="00331CC2" w:rsidRDefault="00331CC2" w:rsidP="00331CC2">
            <w:pPr>
              <w:spacing w:line="240" w:lineRule="auto"/>
              <w:rPr>
                <w:color w:val="000000"/>
                <w:sz w:val="22"/>
              </w:rPr>
            </w:pPr>
            <w:r w:rsidRPr="00331CC2">
              <w:rPr>
                <w:color w:val="000000"/>
                <w:sz w:val="22"/>
                <w:szCs w:val="22"/>
              </w:rPr>
              <w:t>3,1</w:t>
            </w:r>
          </w:p>
        </w:tc>
        <w:tc>
          <w:tcPr>
            <w:tcW w:w="1247" w:type="dxa"/>
            <w:tcBorders>
              <w:top w:val="nil"/>
              <w:left w:val="nil"/>
              <w:bottom w:val="single" w:sz="4" w:space="0" w:color="auto"/>
              <w:right w:val="single" w:sz="4" w:space="0" w:color="auto"/>
            </w:tcBorders>
            <w:shd w:val="clear" w:color="auto" w:fill="auto"/>
            <w:noWrap/>
            <w:vAlign w:val="center"/>
            <w:hideMark/>
          </w:tcPr>
          <w:p w14:paraId="33681833" w14:textId="77777777" w:rsidR="00331CC2" w:rsidRPr="00331CC2" w:rsidRDefault="00331CC2" w:rsidP="00331CC2">
            <w:pPr>
              <w:spacing w:line="240" w:lineRule="auto"/>
              <w:rPr>
                <w:color w:val="000000"/>
                <w:sz w:val="22"/>
              </w:rPr>
            </w:pPr>
            <w:r w:rsidRPr="00331CC2">
              <w:rPr>
                <w:color w:val="000000"/>
                <w:sz w:val="22"/>
                <w:szCs w:val="22"/>
              </w:rPr>
              <w:t>0,9</w:t>
            </w:r>
          </w:p>
        </w:tc>
        <w:tc>
          <w:tcPr>
            <w:tcW w:w="743" w:type="dxa"/>
            <w:tcBorders>
              <w:top w:val="nil"/>
              <w:left w:val="nil"/>
              <w:bottom w:val="single" w:sz="4" w:space="0" w:color="auto"/>
              <w:right w:val="single" w:sz="4" w:space="0" w:color="auto"/>
            </w:tcBorders>
            <w:shd w:val="clear" w:color="auto" w:fill="auto"/>
            <w:noWrap/>
            <w:vAlign w:val="center"/>
            <w:hideMark/>
          </w:tcPr>
          <w:p w14:paraId="3B75231C" w14:textId="77777777" w:rsidR="00331CC2" w:rsidRPr="00331CC2" w:rsidRDefault="00331CC2" w:rsidP="00331CC2">
            <w:pPr>
              <w:spacing w:line="240" w:lineRule="auto"/>
              <w:rPr>
                <w:b/>
                <w:bCs/>
                <w:color w:val="000000"/>
                <w:sz w:val="22"/>
              </w:rPr>
            </w:pPr>
            <w:r w:rsidRPr="00331CC2">
              <w:rPr>
                <w:b/>
                <w:bCs/>
                <w:color w:val="000000"/>
                <w:sz w:val="22"/>
                <w:szCs w:val="22"/>
              </w:rPr>
              <w:t>1,9</w:t>
            </w:r>
          </w:p>
        </w:tc>
      </w:tr>
      <w:tr w:rsidR="00331CC2" w:rsidRPr="00331CC2" w14:paraId="45C78684"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3F7154C7" w14:textId="77777777" w:rsidR="00331CC2" w:rsidRPr="00331CC2" w:rsidRDefault="00331CC2" w:rsidP="00331CC2">
            <w:pPr>
              <w:spacing w:line="240" w:lineRule="auto"/>
              <w:rPr>
                <w:color w:val="000000"/>
                <w:sz w:val="22"/>
              </w:rPr>
            </w:pPr>
            <w:r w:rsidRPr="00331CC2">
              <w:rPr>
                <w:color w:val="000000"/>
                <w:sz w:val="22"/>
                <w:szCs w:val="22"/>
              </w:rPr>
              <w:t>Образование (университеты и колледжи)</w:t>
            </w:r>
          </w:p>
        </w:tc>
        <w:tc>
          <w:tcPr>
            <w:tcW w:w="875" w:type="dxa"/>
            <w:tcBorders>
              <w:top w:val="nil"/>
              <w:left w:val="nil"/>
              <w:bottom w:val="single" w:sz="4" w:space="0" w:color="auto"/>
              <w:right w:val="single" w:sz="4" w:space="0" w:color="auto"/>
            </w:tcBorders>
            <w:shd w:val="clear" w:color="auto" w:fill="auto"/>
            <w:noWrap/>
            <w:vAlign w:val="center"/>
            <w:hideMark/>
          </w:tcPr>
          <w:p w14:paraId="79CE3752"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772D4D9B"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2007273A"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D788F8C"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2527BF88"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00EB9DCD"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A116955"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3902D3FF"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C8BB514"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56AE9921"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000000" w:fill="F8CBAD"/>
            <w:noWrap/>
            <w:vAlign w:val="center"/>
            <w:hideMark/>
          </w:tcPr>
          <w:p w14:paraId="0335712A" w14:textId="77777777" w:rsidR="00331CC2" w:rsidRPr="00331CC2" w:rsidRDefault="00331CC2" w:rsidP="00331CC2">
            <w:pPr>
              <w:spacing w:line="240" w:lineRule="auto"/>
              <w:rPr>
                <w:color w:val="000000"/>
                <w:sz w:val="22"/>
              </w:rPr>
            </w:pPr>
            <w:r w:rsidRPr="00331CC2">
              <w:rPr>
                <w:color w:val="000000"/>
                <w:sz w:val="22"/>
                <w:szCs w:val="22"/>
              </w:rPr>
              <w:t>4,4</w:t>
            </w:r>
          </w:p>
        </w:tc>
        <w:tc>
          <w:tcPr>
            <w:tcW w:w="797" w:type="dxa"/>
            <w:tcBorders>
              <w:top w:val="nil"/>
              <w:left w:val="nil"/>
              <w:bottom w:val="single" w:sz="4" w:space="0" w:color="auto"/>
              <w:right w:val="single" w:sz="4" w:space="0" w:color="auto"/>
            </w:tcBorders>
            <w:shd w:val="clear" w:color="000000" w:fill="FFF2CC"/>
            <w:noWrap/>
            <w:vAlign w:val="center"/>
            <w:hideMark/>
          </w:tcPr>
          <w:p w14:paraId="34431A7F" w14:textId="77777777" w:rsidR="00331CC2" w:rsidRPr="00331CC2" w:rsidRDefault="00331CC2" w:rsidP="00331CC2">
            <w:pPr>
              <w:spacing w:line="240" w:lineRule="auto"/>
              <w:rPr>
                <w:color w:val="000000"/>
                <w:sz w:val="22"/>
              </w:rPr>
            </w:pPr>
            <w:r w:rsidRPr="00331CC2">
              <w:rPr>
                <w:color w:val="000000"/>
                <w:sz w:val="22"/>
                <w:szCs w:val="22"/>
              </w:rPr>
              <w:t>2,1</w:t>
            </w:r>
          </w:p>
        </w:tc>
        <w:tc>
          <w:tcPr>
            <w:tcW w:w="1247" w:type="dxa"/>
            <w:tcBorders>
              <w:top w:val="nil"/>
              <w:left w:val="nil"/>
              <w:bottom w:val="single" w:sz="4" w:space="0" w:color="auto"/>
              <w:right w:val="single" w:sz="4" w:space="0" w:color="auto"/>
            </w:tcBorders>
            <w:shd w:val="clear" w:color="auto" w:fill="auto"/>
            <w:noWrap/>
            <w:vAlign w:val="center"/>
            <w:hideMark/>
          </w:tcPr>
          <w:p w14:paraId="0D5C437F"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279622F3" w14:textId="77777777" w:rsidR="00331CC2" w:rsidRPr="00331CC2" w:rsidRDefault="00331CC2" w:rsidP="00331CC2">
            <w:pPr>
              <w:spacing w:line="240" w:lineRule="auto"/>
              <w:rPr>
                <w:b/>
                <w:bCs/>
                <w:color w:val="000000"/>
                <w:sz w:val="22"/>
              </w:rPr>
            </w:pPr>
            <w:r w:rsidRPr="00331CC2">
              <w:rPr>
                <w:b/>
                <w:bCs/>
                <w:color w:val="000000"/>
                <w:sz w:val="22"/>
                <w:szCs w:val="22"/>
              </w:rPr>
              <w:t>2,0</w:t>
            </w:r>
          </w:p>
        </w:tc>
      </w:tr>
      <w:tr w:rsidR="00331CC2" w:rsidRPr="00331CC2" w14:paraId="5ACBFBA6" w14:textId="77777777" w:rsidTr="00BA1E3E">
        <w:trPr>
          <w:trHeight w:val="274"/>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12803F50" w14:textId="77777777" w:rsidR="00331CC2" w:rsidRPr="00331CC2" w:rsidRDefault="00331CC2" w:rsidP="00331CC2">
            <w:pPr>
              <w:spacing w:line="240" w:lineRule="auto"/>
              <w:rPr>
                <w:color w:val="000000"/>
                <w:sz w:val="22"/>
              </w:rPr>
            </w:pPr>
            <w:r w:rsidRPr="00331CC2">
              <w:rPr>
                <w:color w:val="000000"/>
                <w:sz w:val="22"/>
                <w:szCs w:val="22"/>
              </w:rPr>
              <w:t>Станции метро</w:t>
            </w:r>
          </w:p>
        </w:tc>
        <w:tc>
          <w:tcPr>
            <w:tcW w:w="875" w:type="dxa"/>
            <w:tcBorders>
              <w:top w:val="nil"/>
              <w:left w:val="nil"/>
              <w:bottom w:val="single" w:sz="4" w:space="0" w:color="auto"/>
              <w:right w:val="single" w:sz="4" w:space="0" w:color="auto"/>
            </w:tcBorders>
            <w:shd w:val="clear" w:color="auto" w:fill="auto"/>
            <w:noWrap/>
            <w:vAlign w:val="center"/>
            <w:hideMark/>
          </w:tcPr>
          <w:p w14:paraId="5D098CDE"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526E1250"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3C175F4"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0FD70B41"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7D76885"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2DD1A117"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5E1DC2F9"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36CDBF92"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0E3B1A36"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0C6938C0"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3BB2DAE4" w14:textId="77777777" w:rsidR="00331CC2" w:rsidRPr="00331CC2" w:rsidRDefault="00331CC2" w:rsidP="00331CC2">
            <w:pPr>
              <w:spacing w:line="240" w:lineRule="auto"/>
              <w:rPr>
                <w:color w:val="000000"/>
                <w:sz w:val="22"/>
              </w:rPr>
            </w:pPr>
            <w:r w:rsidRPr="00331CC2">
              <w:rPr>
                <w:color w:val="000000"/>
                <w:sz w:val="22"/>
                <w:szCs w:val="22"/>
              </w:rPr>
              <w:t> </w:t>
            </w:r>
          </w:p>
        </w:tc>
        <w:tc>
          <w:tcPr>
            <w:tcW w:w="797" w:type="dxa"/>
            <w:tcBorders>
              <w:top w:val="nil"/>
              <w:left w:val="nil"/>
              <w:bottom w:val="single" w:sz="4" w:space="0" w:color="auto"/>
              <w:right w:val="single" w:sz="4" w:space="0" w:color="auto"/>
            </w:tcBorders>
            <w:shd w:val="clear" w:color="000000" w:fill="F8CBAD"/>
            <w:noWrap/>
            <w:vAlign w:val="center"/>
            <w:hideMark/>
          </w:tcPr>
          <w:p w14:paraId="57843F0F" w14:textId="77777777" w:rsidR="00331CC2" w:rsidRPr="00331CC2" w:rsidRDefault="00331CC2" w:rsidP="00331CC2">
            <w:pPr>
              <w:spacing w:line="240" w:lineRule="auto"/>
              <w:rPr>
                <w:color w:val="000000"/>
                <w:sz w:val="22"/>
              </w:rPr>
            </w:pPr>
            <w:r w:rsidRPr="00331CC2">
              <w:rPr>
                <w:color w:val="000000"/>
                <w:sz w:val="22"/>
                <w:szCs w:val="22"/>
              </w:rPr>
              <w:t>24,0</w:t>
            </w:r>
          </w:p>
        </w:tc>
        <w:tc>
          <w:tcPr>
            <w:tcW w:w="1247" w:type="dxa"/>
            <w:tcBorders>
              <w:top w:val="nil"/>
              <w:left w:val="nil"/>
              <w:bottom w:val="single" w:sz="4" w:space="0" w:color="auto"/>
              <w:right w:val="single" w:sz="4" w:space="0" w:color="auto"/>
            </w:tcBorders>
            <w:shd w:val="clear" w:color="000000" w:fill="FFF2CC"/>
            <w:noWrap/>
            <w:vAlign w:val="center"/>
            <w:hideMark/>
          </w:tcPr>
          <w:p w14:paraId="07740150" w14:textId="77777777" w:rsidR="00331CC2" w:rsidRPr="00331CC2" w:rsidRDefault="00331CC2" w:rsidP="00331CC2">
            <w:pPr>
              <w:spacing w:line="240" w:lineRule="auto"/>
              <w:rPr>
                <w:color w:val="000000"/>
                <w:sz w:val="22"/>
              </w:rPr>
            </w:pPr>
            <w:r w:rsidRPr="00331CC2">
              <w:rPr>
                <w:color w:val="000000"/>
                <w:sz w:val="22"/>
                <w:szCs w:val="22"/>
              </w:rPr>
              <w:t>1,4</w:t>
            </w:r>
          </w:p>
        </w:tc>
        <w:tc>
          <w:tcPr>
            <w:tcW w:w="743" w:type="dxa"/>
            <w:tcBorders>
              <w:top w:val="nil"/>
              <w:left w:val="nil"/>
              <w:bottom w:val="single" w:sz="4" w:space="0" w:color="auto"/>
              <w:right w:val="single" w:sz="4" w:space="0" w:color="auto"/>
            </w:tcBorders>
            <w:shd w:val="clear" w:color="auto" w:fill="auto"/>
            <w:noWrap/>
            <w:vAlign w:val="center"/>
            <w:hideMark/>
          </w:tcPr>
          <w:p w14:paraId="08630BE5" w14:textId="77777777" w:rsidR="00331CC2" w:rsidRPr="00331CC2" w:rsidRDefault="00331CC2" w:rsidP="00331CC2">
            <w:pPr>
              <w:spacing w:line="240" w:lineRule="auto"/>
              <w:rPr>
                <w:b/>
                <w:bCs/>
                <w:color w:val="000000"/>
                <w:sz w:val="22"/>
              </w:rPr>
            </w:pPr>
            <w:r w:rsidRPr="00331CC2">
              <w:rPr>
                <w:b/>
                <w:bCs/>
                <w:color w:val="000000"/>
                <w:sz w:val="22"/>
                <w:szCs w:val="22"/>
              </w:rPr>
              <w:t>4,2</w:t>
            </w:r>
          </w:p>
        </w:tc>
      </w:tr>
      <w:tr w:rsidR="00331CC2" w:rsidRPr="00331CC2" w14:paraId="60FDE40A" w14:textId="77777777" w:rsidTr="00BA1E3E">
        <w:trPr>
          <w:trHeight w:val="548"/>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5E81F6A1" w14:textId="77777777" w:rsidR="00331CC2" w:rsidRPr="00331CC2" w:rsidRDefault="00331CC2" w:rsidP="00331CC2">
            <w:pPr>
              <w:spacing w:line="240" w:lineRule="auto"/>
              <w:rPr>
                <w:color w:val="000000"/>
                <w:sz w:val="22"/>
              </w:rPr>
            </w:pPr>
            <w:r w:rsidRPr="00331CC2">
              <w:rPr>
                <w:color w:val="000000"/>
                <w:sz w:val="22"/>
                <w:szCs w:val="22"/>
              </w:rPr>
              <w:t>Остановки общественного транспорта</w:t>
            </w:r>
          </w:p>
        </w:tc>
        <w:tc>
          <w:tcPr>
            <w:tcW w:w="875" w:type="dxa"/>
            <w:tcBorders>
              <w:top w:val="nil"/>
              <w:left w:val="nil"/>
              <w:bottom w:val="single" w:sz="4" w:space="0" w:color="auto"/>
              <w:right w:val="single" w:sz="4" w:space="0" w:color="auto"/>
            </w:tcBorders>
            <w:shd w:val="clear" w:color="auto" w:fill="auto"/>
            <w:noWrap/>
            <w:vAlign w:val="center"/>
            <w:hideMark/>
          </w:tcPr>
          <w:p w14:paraId="3ADF6AD6"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2812603F"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40315D2"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6568F752"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06E5036C"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1AC0F8AA"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78104E99"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24A4304E"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9DDE964" w14:textId="77777777" w:rsidR="00331CC2" w:rsidRPr="00331CC2" w:rsidRDefault="00331CC2" w:rsidP="00331CC2">
            <w:pPr>
              <w:spacing w:line="240" w:lineRule="auto"/>
              <w:rPr>
                <w:color w:val="000000"/>
                <w:sz w:val="22"/>
              </w:rPr>
            </w:pPr>
            <w:r w:rsidRPr="00331CC2">
              <w:rPr>
                <w:color w:val="000000"/>
                <w:sz w:val="22"/>
                <w:szCs w:val="22"/>
              </w:rPr>
              <w:t> </w:t>
            </w:r>
          </w:p>
        </w:tc>
        <w:tc>
          <w:tcPr>
            <w:tcW w:w="875" w:type="dxa"/>
            <w:tcBorders>
              <w:top w:val="nil"/>
              <w:left w:val="nil"/>
              <w:bottom w:val="single" w:sz="4" w:space="0" w:color="auto"/>
              <w:right w:val="single" w:sz="4" w:space="0" w:color="auto"/>
            </w:tcBorders>
            <w:shd w:val="clear" w:color="auto" w:fill="auto"/>
            <w:noWrap/>
            <w:vAlign w:val="center"/>
            <w:hideMark/>
          </w:tcPr>
          <w:p w14:paraId="614F7EFD" w14:textId="77777777" w:rsidR="00331CC2" w:rsidRPr="00331CC2" w:rsidRDefault="00331CC2" w:rsidP="00331CC2">
            <w:pPr>
              <w:spacing w:line="240" w:lineRule="auto"/>
              <w:rPr>
                <w:color w:val="000000"/>
                <w:sz w:val="22"/>
              </w:rPr>
            </w:pPr>
            <w:r w:rsidRPr="00331CC2">
              <w:rPr>
                <w:color w:val="000000"/>
                <w:sz w:val="22"/>
                <w:szCs w:val="22"/>
              </w:rPr>
              <w:t> </w:t>
            </w:r>
          </w:p>
        </w:tc>
        <w:tc>
          <w:tcPr>
            <w:tcW w:w="651" w:type="dxa"/>
            <w:tcBorders>
              <w:top w:val="nil"/>
              <w:left w:val="nil"/>
              <w:bottom w:val="single" w:sz="4" w:space="0" w:color="auto"/>
              <w:right w:val="single" w:sz="4" w:space="0" w:color="auto"/>
            </w:tcBorders>
            <w:shd w:val="clear" w:color="auto" w:fill="auto"/>
            <w:noWrap/>
            <w:vAlign w:val="center"/>
            <w:hideMark/>
          </w:tcPr>
          <w:p w14:paraId="41C78BB3" w14:textId="77777777" w:rsidR="00331CC2" w:rsidRPr="00331CC2" w:rsidRDefault="00331CC2" w:rsidP="00331CC2">
            <w:pPr>
              <w:spacing w:line="240" w:lineRule="auto"/>
              <w:rPr>
                <w:color w:val="000000"/>
                <w:sz w:val="22"/>
              </w:rPr>
            </w:pPr>
            <w:r w:rsidRPr="00331CC2">
              <w:rPr>
                <w:color w:val="000000"/>
                <w:sz w:val="22"/>
                <w:szCs w:val="22"/>
              </w:rPr>
              <w:t> </w:t>
            </w:r>
          </w:p>
        </w:tc>
        <w:tc>
          <w:tcPr>
            <w:tcW w:w="797" w:type="dxa"/>
            <w:tcBorders>
              <w:top w:val="nil"/>
              <w:left w:val="nil"/>
              <w:bottom w:val="single" w:sz="4" w:space="0" w:color="auto"/>
              <w:right w:val="single" w:sz="4" w:space="0" w:color="auto"/>
            </w:tcBorders>
            <w:shd w:val="clear" w:color="auto" w:fill="auto"/>
            <w:noWrap/>
            <w:vAlign w:val="center"/>
            <w:hideMark/>
          </w:tcPr>
          <w:p w14:paraId="1F471910" w14:textId="77777777" w:rsidR="00331CC2" w:rsidRPr="00331CC2" w:rsidRDefault="00331CC2" w:rsidP="00331CC2">
            <w:pPr>
              <w:spacing w:line="240" w:lineRule="auto"/>
              <w:rPr>
                <w:color w:val="000000"/>
                <w:sz w:val="22"/>
              </w:rPr>
            </w:pPr>
            <w:r w:rsidRPr="00331CC2">
              <w:rPr>
                <w:color w:val="000000"/>
                <w:sz w:val="22"/>
                <w:szCs w:val="22"/>
              </w:rPr>
              <w:t> </w:t>
            </w:r>
          </w:p>
        </w:tc>
        <w:tc>
          <w:tcPr>
            <w:tcW w:w="1247" w:type="dxa"/>
            <w:tcBorders>
              <w:top w:val="nil"/>
              <w:left w:val="nil"/>
              <w:bottom w:val="single" w:sz="4" w:space="0" w:color="auto"/>
              <w:right w:val="single" w:sz="4" w:space="0" w:color="auto"/>
            </w:tcBorders>
            <w:shd w:val="clear" w:color="auto" w:fill="auto"/>
            <w:noWrap/>
            <w:vAlign w:val="center"/>
            <w:hideMark/>
          </w:tcPr>
          <w:p w14:paraId="059935C9" w14:textId="77777777" w:rsidR="00331CC2" w:rsidRPr="00331CC2" w:rsidRDefault="00331CC2" w:rsidP="00331CC2">
            <w:pPr>
              <w:spacing w:line="240" w:lineRule="auto"/>
              <w:rPr>
                <w:color w:val="000000"/>
                <w:sz w:val="22"/>
              </w:rPr>
            </w:pPr>
            <w:r w:rsidRPr="00331CC2">
              <w:rPr>
                <w:color w:val="000000"/>
                <w:sz w:val="22"/>
                <w:szCs w:val="22"/>
              </w:rPr>
              <w:t>0,8</w:t>
            </w:r>
          </w:p>
        </w:tc>
        <w:tc>
          <w:tcPr>
            <w:tcW w:w="743" w:type="dxa"/>
            <w:tcBorders>
              <w:top w:val="nil"/>
              <w:left w:val="nil"/>
              <w:bottom w:val="single" w:sz="4" w:space="0" w:color="auto"/>
              <w:right w:val="single" w:sz="4" w:space="0" w:color="auto"/>
            </w:tcBorders>
            <w:shd w:val="clear" w:color="auto" w:fill="auto"/>
            <w:noWrap/>
            <w:vAlign w:val="center"/>
            <w:hideMark/>
          </w:tcPr>
          <w:p w14:paraId="61B1119F" w14:textId="77777777" w:rsidR="00331CC2" w:rsidRPr="00331CC2" w:rsidRDefault="00331CC2" w:rsidP="00331CC2">
            <w:pPr>
              <w:spacing w:line="240" w:lineRule="auto"/>
              <w:rPr>
                <w:b/>
                <w:bCs/>
                <w:color w:val="000000"/>
                <w:sz w:val="22"/>
              </w:rPr>
            </w:pPr>
            <w:r w:rsidRPr="00331CC2">
              <w:rPr>
                <w:b/>
                <w:bCs/>
                <w:color w:val="000000"/>
                <w:sz w:val="22"/>
                <w:szCs w:val="22"/>
              </w:rPr>
              <w:t>0,9</w:t>
            </w:r>
          </w:p>
        </w:tc>
      </w:tr>
    </w:tbl>
    <w:p w14:paraId="07224753" w14:textId="73D94948" w:rsidR="00331CC2" w:rsidRPr="00331CC2" w:rsidRDefault="00AB59C5" w:rsidP="00331CC2">
      <w:pPr>
        <w:spacing w:before="160"/>
        <w:rPr>
          <w:rFonts w:eastAsiaTheme="minorHAnsi"/>
          <w:szCs w:val="32"/>
          <w:lang w:eastAsia="en-US"/>
        </w:rPr>
      </w:pPr>
      <w:r>
        <w:pict w14:anchorId="7A463E84">
          <v:rect id="Rectangle 12" o:spid="_x0000_s1027" style="width:39.2pt;height:17.1pt;visibility:visible;mso-left-percent:-10001;mso-top-percent:-10001;mso-position-horizontal:absolute;mso-position-horizontal-relative:char;mso-position-vertical:absolute;mso-position-vertical-relative:line;mso-left-percent:-10001;mso-top-percent:-10001;v-text-anchor:middle" fillcolor="#f8cbad" strokecolor="#2f528f" strokeweight="1pt">
            <w10:anchorlock/>
          </v:rect>
        </w:pict>
      </w:r>
      <w:r w:rsidR="00331CC2" w:rsidRPr="00331CC2">
        <w:rPr>
          <w:rFonts w:eastAsiaTheme="minorHAnsi"/>
          <w:szCs w:val="32"/>
          <w:lang w:eastAsia="en-US"/>
        </w:rPr>
        <w:t xml:space="preserve"> – взаимная кластеризация        </w:t>
      </w:r>
      <w:r>
        <w:pict w14:anchorId="3226373E">
          <v:rect id="Rectangle 100" o:spid="_x0000_s1026" style="width:39.2pt;height:17.1pt;visibility:visible;mso-left-percent:-10001;mso-top-percent:-10001;mso-position-horizontal:absolute;mso-position-horizontal-relative:char;mso-position-vertical:absolute;mso-position-vertical-relative:line;mso-left-percent:-10001;mso-top-percent:-10001;v-text-anchor:middle" fillcolor="#fff2cc" strokecolor="#2f528f" strokeweight="1pt">
            <w10:anchorlock/>
          </v:rect>
        </w:pict>
      </w:r>
      <w:r w:rsidR="00331CC2" w:rsidRPr="00331CC2">
        <w:rPr>
          <w:rFonts w:eastAsiaTheme="minorHAnsi"/>
          <w:szCs w:val="32"/>
          <w:lang w:eastAsia="en-US"/>
        </w:rPr>
        <w:t xml:space="preserve"> – односторонняя кластеризации</w:t>
      </w:r>
    </w:p>
    <w:p w14:paraId="43417F91" w14:textId="77777777" w:rsidR="00331CC2" w:rsidRDefault="00331CC2" w:rsidP="00331CC2">
      <w:pPr>
        <w:rPr>
          <w:rFonts w:eastAsiaTheme="minorHAnsi"/>
          <w:sz w:val="22"/>
          <w:szCs w:val="28"/>
          <w:lang w:eastAsia="en-US"/>
        </w:rPr>
        <w:sectPr w:rsidR="00331CC2" w:rsidSect="00331CC2">
          <w:pgSz w:w="16838" w:h="11906" w:orient="landscape" w:code="9"/>
          <w:pgMar w:top="1701" w:right="1134" w:bottom="567" w:left="1134" w:header="709" w:footer="709" w:gutter="0"/>
          <w:cols w:space="708"/>
          <w:docGrid w:linePitch="360"/>
        </w:sectPr>
      </w:pPr>
      <w:r w:rsidRPr="00331CC2">
        <w:rPr>
          <w:rFonts w:eastAsiaTheme="minorHAnsi"/>
          <w:sz w:val="22"/>
          <w:szCs w:val="28"/>
          <w:lang w:eastAsia="en-US"/>
        </w:rPr>
        <w:t>*Составлено автором</w:t>
      </w:r>
    </w:p>
    <w:p w14:paraId="79F8B385" w14:textId="70B1C15E" w:rsidR="0074719F" w:rsidRDefault="0074719F" w:rsidP="00F4416A">
      <w:pPr>
        <w:pStyle w:val="Heading1"/>
        <w:spacing w:before="0" w:after="160"/>
        <w:ind w:firstLine="851"/>
        <w:jc w:val="center"/>
        <w:rPr>
          <w:rFonts w:ascii="Times New Roman" w:eastAsiaTheme="minorHAnsi" w:hAnsi="Times New Roman" w:cs="Times New Roman"/>
          <w:b/>
          <w:bCs/>
          <w:color w:val="auto"/>
          <w:sz w:val="28"/>
          <w:szCs w:val="28"/>
        </w:rPr>
      </w:pPr>
      <w:bookmarkStart w:id="38" w:name="_Toc103641038"/>
      <w:r>
        <w:rPr>
          <w:rFonts w:ascii="Times New Roman" w:eastAsiaTheme="minorHAnsi" w:hAnsi="Times New Roman" w:cs="Times New Roman"/>
          <w:b/>
          <w:bCs/>
          <w:color w:val="auto"/>
          <w:sz w:val="28"/>
          <w:szCs w:val="28"/>
        </w:rPr>
        <w:lastRenderedPageBreak/>
        <w:t>Заключение</w:t>
      </w:r>
      <w:bookmarkEnd w:id="38"/>
    </w:p>
    <w:p w14:paraId="7A049556" w14:textId="407A2198" w:rsidR="00B209A2" w:rsidRDefault="009345F9" w:rsidP="00B209A2">
      <w:pPr>
        <w:ind w:firstLine="851"/>
        <w:jc w:val="both"/>
      </w:pPr>
      <w:r w:rsidRPr="00E25939">
        <w:t>Р</w:t>
      </w:r>
      <w:r w:rsidR="00B209A2" w:rsidRPr="00E25939">
        <w:t>азмещение объектов общественного питания является сложным процессом, требующем комплексного рассмотрения социальных, экон</w:t>
      </w:r>
      <w:r w:rsidR="00E169C3">
        <w:t>о</w:t>
      </w:r>
      <w:r w:rsidR="00B209A2" w:rsidRPr="00E25939">
        <w:t>мических, территориальных, демографических и других факторов городского пространства.</w:t>
      </w:r>
      <w:r w:rsidR="00B209A2">
        <w:t xml:space="preserve"> </w:t>
      </w:r>
      <w:r w:rsidR="00B209A2">
        <w:rPr>
          <w:rFonts w:eastAsiaTheme="minorHAnsi"/>
          <w:lang w:eastAsia="en-US"/>
        </w:rPr>
        <w:t xml:space="preserve">Целью данной работы являлось </w:t>
      </w:r>
      <w:r w:rsidR="00B209A2" w:rsidRPr="00B25B32">
        <w:t>выявление особенностей размещения объектов общественного питания</w:t>
      </w:r>
      <w:r w:rsidR="00B209A2">
        <w:t xml:space="preserve"> на примере пекарен, кофеен и питейных заведений и специализированной алкогольной розницы на территории Санкт-Петербурга. Все поставленные в рамках работы цели и задачи были успешно выполнены.</w:t>
      </w:r>
    </w:p>
    <w:p w14:paraId="1CE1EF78" w14:textId="77777777" w:rsidR="00B209A2" w:rsidRDefault="00B209A2" w:rsidP="00B209A2">
      <w:pPr>
        <w:ind w:firstLine="851"/>
        <w:jc w:val="both"/>
      </w:pPr>
      <w:r>
        <w:t xml:space="preserve">Теоретическая часть исследования была посвящена обзору основных понятий и подходов к определению понятия «геомаркетинг», его целей и задач, основных направлений. Были также рассмотрены основные модели пространственного взаимодействия (полигоны Тиссена, гравитационные модели Рейли и Хаффа) и факторы размещения объектов розничной торговли и общественного питания (транспортная доступность, плотный человеческий трафик, близость к дому/работу потребителей, размер объекта, агломерационный эффект и др.). Особое внимание уделялось </w:t>
      </w:r>
      <w:r w:rsidRPr="003A1C3F">
        <w:t>истории развития розничной торговли и общественного питания на территории Санкт-Петербурга</w:t>
      </w:r>
      <w:r>
        <w:t>: рассматривались</w:t>
      </w:r>
      <w:r w:rsidRPr="003A1C3F">
        <w:t xml:space="preserve"> этапы</w:t>
      </w:r>
      <w:r>
        <w:t xml:space="preserve"> </w:t>
      </w:r>
      <w:r w:rsidRPr="003A1C3F">
        <w:t>трансформаци</w:t>
      </w:r>
      <w:r>
        <w:t>и</w:t>
      </w:r>
      <w:r w:rsidRPr="003A1C3F">
        <w:t xml:space="preserve"> городской среды на протяжении постсоветского периода</w:t>
      </w:r>
      <w:r>
        <w:t xml:space="preserve"> («социалистический город», «трансформационный» и «посттрансформационный»)</w:t>
      </w:r>
      <w:r w:rsidRPr="003A1C3F">
        <w:t>, влияющие на нее процессы и факторы, особенности каждого этапа трансформации. Также акцент отдельно уделяется изменениям, происходившим в отраслях общественного питания и розничной торговли.</w:t>
      </w:r>
    </w:p>
    <w:p w14:paraId="22AC7F60" w14:textId="21696627" w:rsidR="00B209A2" w:rsidRDefault="00B209A2" w:rsidP="00B209A2">
      <w:pPr>
        <w:ind w:firstLine="851"/>
        <w:jc w:val="both"/>
      </w:pPr>
      <w:r>
        <w:t xml:space="preserve">В рамках исследовательской части был проведен </w:t>
      </w:r>
      <w:r w:rsidRPr="00C47707">
        <w:t>обзор географии рынков</w:t>
      </w:r>
      <w:r>
        <w:t xml:space="preserve"> специализированной алкогольной розницы и общественного питания (на примере пекарен, кофеен и питейных заведений), предприняты попытки выявления</w:t>
      </w:r>
      <w:r w:rsidRPr="00C47707">
        <w:t xml:space="preserve"> взаимосвязей с социально-экономическими характеристиками населения. Также </w:t>
      </w:r>
      <w:r>
        <w:t>были определены</w:t>
      </w:r>
      <w:r w:rsidRPr="00C47707">
        <w:t xml:space="preserve"> сходств</w:t>
      </w:r>
      <w:r>
        <w:t>а</w:t>
      </w:r>
      <w:r w:rsidRPr="00C47707">
        <w:t xml:space="preserve"> и различи</w:t>
      </w:r>
      <w:r>
        <w:t>я</w:t>
      </w:r>
      <w:r w:rsidRPr="00C47707">
        <w:t xml:space="preserve"> в этих взаимосвязях</w:t>
      </w:r>
      <w:r>
        <w:t xml:space="preserve"> среди рассматриваемых отраслей рынка</w:t>
      </w:r>
      <w:r w:rsidRPr="00C47707">
        <w:t xml:space="preserve">. </w:t>
      </w:r>
      <w:r>
        <w:t>Также в рамках работы п</w:t>
      </w:r>
      <w:r w:rsidRPr="00C47707">
        <w:t>роведен анализ кластеризации рассматриваемых рынков между собой и с другими объектами городского пространства</w:t>
      </w:r>
      <w:r>
        <w:t>.</w:t>
      </w:r>
    </w:p>
    <w:p w14:paraId="4E9F42DE" w14:textId="4742F759" w:rsidR="00B209A2" w:rsidRDefault="00B209A2" w:rsidP="00B209A2">
      <w:pPr>
        <w:ind w:firstLine="851"/>
        <w:jc w:val="both"/>
      </w:pPr>
      <w:r w:rsidRPr="00E25939">
        <w:t xml:space="preserve">Основой для формирования базы данных </w:t>
      </w:r>
      <w:r>
        <w:t>объектов рассматриваемых рынков</w:t>
      </w:r>
      <w:r w:rsidRPr="00E25939">
        <w:t xml:space="preserve"> Санкт-Петербурга стала геоинформационная система «2ГИС», поскольку она обладает достоверным</w:t>
      </w:r>
      <w:r w:rsidR="00E169C3">
        <w:t>и</w:t>
      </w:r>
      <w:r w:rsidRPr="00E25939">
        <w:t xml:space="preserve"> и регулярно обновляемыми данными. На </w:t>
      </w:r>
      <w:r w:rsidR="00E169C3">
        <w:t xml:space="preserve">этой основе </w:t>
      </w:r>
      <w:r w:rsidRPr="00E25939">
        <w:t>был</w:t>
      </w:r>
      <w:r>
        <w:t>и</w:t>
      </w:r>
      <w:r w:rsidRPr="00E25939">
        <w:t xml:space="preserve"> составлен</w:t>
      </w:r>
      <w:r w:rsidR="00E169C3">
        <w:t>а</w:t>
      </w:r>
      <w:r w:rsidRPr="00E25939">
        <w:t xml:space="preserve"> баз</w:t>
      </w:r>
      <w:r w:rsidR="00E169C3">
        <w:t>а</w:t>
      </w:r>
      <w:r>
        <w:t xml:space="preserve"> дынных</w:t>
      </w:r>
      <w:r w:rsidRPr="00E25939">
        <w:t>, куда вошли</w:t>
      </w:r>
      <w:r>
        <w:t xml:space="preserve"> 1267 объектов алкогольной розницы, 1464 питейных заведения, 1480 пекарен и 2152 кофейни.</w:t>
      </w:r>
    </w:p>
    <w:p w14:paraId="4ED512F1" w14:textId="77777777" w:rsidR="00B209A2" w:rsidRDefault="00B209A2" w:rsidP="00B209A2">
      <w:pPr>
        <w:ind w:firstLine="851"/>
        <w:jc w:val="both"/>
      </w:pPr>
      <w:r>
        <w:lastRenderedPageBreak/>
        <w:t>Объекты каждого из рассмотренных рынков были рассмотрены по показателям принадлежности к сетям и графикам работы. Сетевой сегмент на рынке алкогольной розницы составляет 73%; для питейных заведений этот показатель минимален среди всех рассмотренных рынков – 13%; для пекарен – 65%; для кофеен – 48%. Также были рассмотрены территориальные особенности размещения объектов каждого из рынков и зависимость местоположения объектов от социально-экономических характеристик территории (численность постоянного и занятого населения, средний уровень заработной платы). На этой основе можно сделать следующие общие выводы:</w:t>
      </w:r>
    </w:p>
    <w:p w14:paraId="5F448EA7" w14:textId="77777777" w:rsidR="00B209A2" w:rsidRPr="00B078B9" w:rsidRDefault="00B209A2" w:rsidP="00B209A2">
      <w:pPr>
        <w:numPr>
          <w:ilvl w:val="0"/>
          <w:numId w:val="7"/>
        </w:numPr>
        <w:spacing w:after="160"/>
        <w:ind w:left="357" w:hanging="357"/>
        <w:contextualSpacing/>
        <w:jc w:val="both"/>
        <w:rPr>
          <w:rFonts w:eastAsiaTheme="minorHAnsi"/>
          <w:szCs w:val="32"/>
          <w:lang w:eastAsia="en-US"/>
        </w:rPr>
      </w:pPr>
      <w:r w:rsidRPr="00B078B9">
        <w:rPr>
          <w:rFonts w:eastAsiaTheme="minorHAnsi"/>
          <w:szCs w:val="32"/>
          <w:lang w:eastAsia="en-US"/>
        </w:rPr>
        <w:t>Ось «Север-Юг», проходящая через центр Санкт-Петербурга, характеризуется наибольшей концентрацией объект</w:t>
      </w:r>
      <w:r>
        <w:rPr>
          <w:rFonts w:eastAsiaTheme="minorHAnsi"/>
          <w:szCs w:val="32"/>
          <w:lang w:eastAsia="en-US"/>
        </w:rPr>
        <w:t>ов, что говорит о неоднородности развития рынков общественного питания и алкогольной розницы</w:t>
      </w:r>
      <w:r w:rsidRPr="00B078B9">
        <w:rPr>
          <w:rFonts w:eastAsiaTheme="minorHAnsi"/>
          <w:szCs w:val="32"/>
          <w:lang w:eastAsia="en-US"/>
        </w:rPr>
        <w:t xml:space="preserve">. Для кофеен и питейных заведений характерна ориентация в большей степени на </w:t>
      </w:r>
      <w:r>
        <w:rPr>
          <w:rFonts w:eastAsiaTheme="minorHAnsi"/>
          <w:szCs w:val="32"/>
          <w:lang w:eastAsia="en-US"/>
        </w:rPr>
        <w:t>исторический центр города</w:t>
      </w:r>
      <w:r w:rsidRPr="00B078B9">
        <w:rPr>
          <w:rFonts w:eastAsiaTheme="minorHAnsi"/>
          <w:szCs w:val="32"/>
          <w:lang w:eastAsia="en-US"/>
        </w:rPr>
        <w:t>; для алкогольных магазинов и пекарен – на территории ближней и дальней периферии. Лидерами по числ</w:t>
      </w:r>
      <w:r>
        <w:rPr>
          <w:rFonts w:eastAsiaTheme="minorHAnsi"/>
          <w:szCs w:val="32"/>
          <w:lang w:eastAsia="en-US"/>
        </w:rPr>
        <w:t>у</w:t>
      </w:r>
      <w:r w:rsidRPr="00B078B9">
        <w:rPr>
          <w:rFonts w:eastAsiaTheme="minorHAnsi"/>
          <w:szCs w:val="32"/>
          <w:lang w:eastAsia="en-US"/>
        </w:rPr>
        <w:t xml:space="preserve"> торговых точек являются</w:t>
      </w:r>
      <w:r>
        <w:rPr>
          <w:rFonts w:eastAsiaTheme="minorHAnsi"/>
          <w:szCs w:val="32"/>
          <w:lang w:eastAsia="en-US"/>
        </w:rPr>
        <w:t xml:space="preserve"> о</w:t>
      </w:r>
      <w:r w:rsidRPr="00B078B9">
        <w:rPr>
          <w:rFonts w:eastAsiaTheme="minorHAnsi"/>
          <w:szCs w:val="32"/>
          <w:lang w:eastAsia="en-US"/>
        </w:rPr>
        <w:t>круга</w:t>
      </w:r>
      <w:r>
        <w:rPr>
          <w:rFonts w:eastAsiaTheme="minorHAnsi"/>
          <w:szCs w:val="32"/>
          <w:lang w:eastAsia="en-US"/>
        </w:rPr>
        <w:t>:</w:t>
      </w:r>
      <w:r w:rsidRPr="00B078B9">
        <w:rPr>
          <w:rFonts w:eastAsiaTheme="minorHAnsi"/>
          <w:szCs w:val="32"/>
          <w:lang w:eastAsia="en-US"/>
        </w:rPr>
        <w:t xml:space="preserve"> МО №65, Смольнинское, Владимирский округ, Литейный </w:t>
      </w:r>
      <w:r>
        <w:rPr>
          <w:rFonts w:eastAsiaTheme="minorHAnsi"/>
          <w:szCs w:val="32"/>
          <w:lang w:eastAsia="en-US"/>
        </w:rPr>
        <w:t>о</w:t>
      </w:r>
      <w:r w:rsidRPr="00B078B9">
        <w:rPr>
          <w:rFonts w:eastAsiaTheme="minorHAnsi"/>
          <w:szCs w:val="32"/>
          <w:lang w:eastAsia="en-US"/>
        </w:rPr>
        <w:t>круг, Южно-Приморский округ. Минимальное количество</w:t>
      </w:r>
      <w:r>
        <w:rPr>
          <w:rFonts w:eastAsiaTheme="minorHAnsi"/>
          <w:szCs w:val="32"/>
          <w:lang w:eastAsia="en-US"/>
        </w:rPr>
        <w:t xml:space="preserve">/отсутствие </w:t>
      </w:r>
      <w:r w:rsidRPr="00B078B9">
        <w:rPr>
          <w:rFonts w:eastAsiaTheme="minorHAnsi"/>
          <w:szCs w:val="32"/>
          <w:lang w:eastAsia="en-US"/>
        </w:rPr>
        <w:t>наблюдается в округах северной периферии Невского района (Смолячково, Молодёжное, Серово, Ушково, Белоостров, Левашово и др.)</w:t>
      </w:r>
      <w:r>
        <w:rPr>
          <w:rFonts w:eastAsiaTheme="minorHAnsi"/>
          <w:szCs w:val="32"/>
          <w:lang w:eastAsia="en-US"/>
        </w:rPr>
        <w:t>.</w:t>
      </w:r>
    </w:p>
    <w:p w14:paraId="6421741B" w14:textId="3DDB1B0E" w:rsidR="00B209A2" w:rsidRPr="00331CC2" w:rsidRDefault="00B209A2" w:rsidP="00B209A2">
      <w:pPr>
        <w:numPr>
          <w:ilvl w:val="0"/>
          <w:numId w:val="7"/>
        </w:numPr>
        <w:spacing w:after="160"/>
        <w:ind w:left="357" w:hanging="357"/>
        <w:contextualSpacing/>
        <w:jc w:val="both"/>
        <w:rPr>
          <w:rFonts w:eastAsiaTheme="minorHAnsi"/>
          <w:szCs w:val="32"/>
          <w:lang w:eastAsia="en-US"/>
        </w:rPr>
      </w:pPr>
      <w:r>
        <w:rPr>
          <w:rFonts w:eastAsiaTheme="minorHAnsi"/>
          <w:szCs w:val="32"/>
          <w:lang w:eastAsia="en-US"/>
        </w:rPr>
        <w:t>Повышенная обеспеченность населения объектами торговли и общественного питания в центральных округах Санкт-Петербурга объясняется</w:t>
      </w:r>
      <w:r w:rsidRPr="00331CC2">
        <w:rPr>
          <w:rFonts w:eastAsiaTheme="minorHAnsi"/>
          <w:szCs w:val="32"/>
          <w:lang w:eastAsia="en-US"/>
        </w:rPr>
        <w:t xml:space="preserve"> </w:t>
      </w:r>
      <w:r>
        <w:rPr>
          <w:rFonts w:eastAsiaTheme="minorHAnsi"/>
          <w:szCs w:val="32"/>
          <w:lang w:eastAsia="en-US"/>
        </w:rPr>
        <w:t>низкой</w:t>
      </w:r>
      <w:r w:rsidRPr="00331CC2">
        <w:rPr>
          <w:rFonts w:eastAsiaTheme="minorHAnsi"/>
          <w:szCs w:val="32"/>
          <w:lang w:eastAsia="en-US"/>
        </w:rPr>
        <w:t xml:space="preserve"> численностью постоянного населения и большим количеством </w:t>
      </w:r>
      <w:r>
        <w:rPr>
          <w:rFonts w:eastAsiaTheme="minorHAnsi"/>
          <w:szCs w:val="32"/>
          <w:lang w:eastAsia="en-US"/>
        </w:rPr>
        <w:t>объектов, ориентированных на «дневное» население</w:t>
      </w:r>
      <w:r w:rsidRPr="00331CC2">
        <w:rPr>
          <w:rFonts w:eastAsiaTheme="minorHAnsi"/>
          <w:szCs w:val="32"/>
          <w:lang w:eastAsia="en-US"/>
        </w:rPr>
        <w:t>.</w:t>
      </w:r>
      <w:r>
        <w:rPr>
          <w:rFonts w:eastAsiaTheme="minorHAnsi"/>
          <w:szCs w:val="32"/>
          <w:lang w:eastAsia="en-US"/>
        </w:rPr>
        <w:t xml:space="preserve"> С</w:t>
      </w:r>
      <w:r w:rsidRPr="00331CC2">
        <w:rPr>
          <w:rFonts w:eastAsiaTheme="minorHAnsi"/>
          <w:szCs w:val="32"/>
          <w:lang w:eastAsia="en-US"/>
        </w:rPr>
        <w:t>еверная периферия города также отличается завышенными показателями обеспеченности, что связано с низкой численностью постоянного населения. Данную закономерность можно назвать «ложной».</w:t>
      </w:r>
    </w:p>
    <w:p w14:paraId="72702F09" w14:textId="77777777" w:rsidR="00B209A2" w:rsidRDefault="00B209A2" w:rsidP="00B209A2">
      <w:pPr>
        <w:numPr>
          <w:ilvl w:val="0"/>
          <w:numId w:val="7"/>
        </w:numPr>
        <w:ind w:left="357" w:hanging="357"/>
        <w:contextualSpacing/>
        <w:jc w:val="both"/>
        <w:rPr>
          <w:rFonts w:eastAsiaTheme="minorHAnsi"/>
          <w:szCs w:val="32"/>
          <w:lang w:eastAsia="en-US"/>
        </w:rPr>
      </w:pPr>
      <w:r w:rsidRPr="00331CC2">
        <w:rPr>
          <w:rFonts w:eastAsiaTheme="minorHAnsi"/>
          <w:szCs w:val="32"/>
          <w:lang w:eastAsia="en-US"/>
        </w:rPr>
        <w:t>География сет</w:t>
      </w:r>
      <w:r>
        <w:rPr>
          <w:rFonts w:eastAsiaTheme="minorHAnsi"/>
          <w:szCs w:val="32"/>
          <w:lang w:eastAsia="en-US"/>
        </w:rPr>
        <w:t>ей</w:t>
      </w:r>
      <w:r w:rsidRPr="00331CC2">
        <w:rPr>
          <w:rFonts w:eastAsiaTheme="minorHAnsi"/>
          <w:szCs w:val="32"/>
          <w:lang w:eastAsia="en-US"/>
        </w:rPr>
        <w:t xml:space="preserve"> различна и сильно дифференцирована. </w:t>
      </w:r>
      <w:r>
        <w:rPr>
          <w:rFonts w:eastAsiaTheme="minorHAnsi"/>
          <w:szCs w:val="32"/>
          <w:lang w:eastAsia="en-US"/>
        </w:rPr>
        <w:t>Общей тенденцией является</w:t>
      </w:r>
      <w:r w:rsidRPr="00331CC2">
        <w:rPr>
          <w:rFonts w:eastAsiaTheme="minorHAnsi"/>
          <w:szCs w:val="32"/>
          <w:lang w:eastAsia="en-US"/>
        </w:rPr>
        <w:t xml:space="preserve"> </w:t>
      </w:r>
      <w:r>
        <w:rPr>
          <w:rFonts w:eastAsiaTheme="minorHAnsi"/>
          <w:szCs w:val="32"/>
          <w:lang w:eastAsia="en-US"/>
        </w:rPr>
        <w:t xml:space="preserve">то, что </w:t>
      </w:r>
      <w:r w:rsidRPr="00331CC2">
        <w:rPr>
          <w:rFonts w:eastAsiaTheme="minorHAnsi"/>
          <w:szCs w:val="32"/>
          <w:lang w:eastAsia="en-US"/>
        </w:rPr>
        <w:t xml:space="preserve">наибольшая доля сетей характерна для ближней периферии, дальней южной и юго-западной (за исключением рынка питейных заведений). </w:t>
      </w:r>
    </w:p>
    <w:p w14:paraId="54C95671" w14:textId="77777777" w:rsidR="00B209A2" w:rsidRDefault="00B209A2" w:rsidP="00B209A2">
      <w:pPr>
        <w:numPr>
          <w:ilvl w:val="0"/>
          <w:numId w:val="7"/>
        </w:numPr>
        <w:spacing w:after="160"/>
        <w:ind w:left="357" w:hanging="357"/>
        <w:contextualSpacing/>
        <w:jc w:val="both"/>
        <w:rPr>
          <w:rFonts w:eastAsiaTheme="minorHAnsi"/>
          <w:szCs w:val="32"/>
          <w:lang w:eastAsia="en-US"/>
        </w:rPr>
      </w:pPr>
      <w:r>
        <w:rPr>
          <w:rFonts w:eastAsiaTheme="minorHAnsi"/>
          <w:szCs w:val="32"/>
          <w:lang w:eastAsia="en-US"/>
        </w:rPr>
        <w:t>Общей чертой рассмотренных рынков является ориентация в большей степени</w:t>
      </w:r>
      <w:r w:rsidRPr="00331CC2">
        <w:rPr>
          <w:rFonts w:eastAsiaTheme="minorHAnsi"/>
          <w:szCs w:val="32"/>
          <w:lang w:eastAsia="en-US"/>
        </w:rPr>
        <w:t xml:space="preserve"> на «дневное»</w:t>
      </w:r>
      <w:r>
        <w:rPr>
          <w:rFonts w:eastAsiaTheme="minorHAnsi"/>
          <w:szCs w:val="32"/>
          <w:lang w:eastAsia="en-US"/>
        </w:rPr>
        <w:t xml:space="preserve"> (</w:t>
      </w:r>
      <w:r w:rsidRPr="00331CC2">
        <w:rPr>
          <w:rFonts w:eastAsiaTheme="minorHAnsi"/>
          <w:szCs w:val="32"/>
          <w:lang w:eastAsia="en-US"/>
        </w:rPr>
        <w:t>работающее население</w:t>
      </w:r>
      <w:r>
        <w:rPr>
          <w:rFonts w:eastAsiaTheme="minorHAnsi"/>
          <w:szCs w:val="32"/>
          <w:lang w:eastAsia="en-US"/>
        </w:rPr>
        <w:t>)</w:t>
      </w:r>
      <w:r w:rsidRPr="00331CC2">
        <w:rPr>
          <w:rFonts w:eastAsiaTheme="minorHAnsi"/>
          <w:szCs w:val="32"/>
          <w:lang w:eastAsia="en-US"/>
        </w:rPr>
        <w:t xml:space="preserve">, чем на «ночное» </w:t>
      </w:r>
      <w:r>
        <w:rPr>
          <w:rFonts w:eastAsiaTheme="minorHAnsi"/>
          <w:szCs w:val="32"/>
          <w:lang w:eastAsia="en-US"/>
        </w:rPr>
        <w:t>(</w:t>
      </w:r>
      <w:r w:rsidRPr="00331CC2">
        <w:rPr>
          <w:rFonts w:eastAsiaTheme="minorHAnsi"/>
          <w:szCs w:val="32"/>
          <w:lang w:eastAsia="en-US"/>
        </w:rPr>
        <w:t>постоянно проживающее на территории</w:t>
      </w:r>
      <w:r>
        <w:rPr>
          <w:rFonts w:eastAsiaTheme="minorHAnsi"/>
          <w:szCs w:val="32"/>
          <w:lang w:eastAsia="en-US"/>
        </w:rPr>
        <w:t>)</w:t>
      </w:r>
      <w:r w:rsidRPr="00331CC2">
        <w:rPr>
          <w:rFonts w:eastAsiaTheme="minorHAnsi"/>
          <w:szCs w:val="32"/>
          <w:lang w:eastAsia="en-US"/>
        </w:rPr>
        <w:t>.</w:t>
      </w:r>
      <w:r>
        <w:rPr>
          <w:rFonts w:eastAsiaTheme="minorHAnsi"/>
          <w:szCs w:val="32"/>
          <w:lang w:eastAsia="en-US"/>
        </w:rPr>
        <w:t xml:space="preserve"> Однако для рынков пекарен и алкогольной розницы можно отметить ориентацию также и на «ночное» население. Для кофеен она очень слаба, а в отношении питейных заведений можно говорить об отсутствии взаимосвязи с численностью постоянного населения.</w:t>
      </w:r>
    </w:p>
    <w:p w14:paraId="437C50E5" w14:textId="34D7DB95" w:rsidR="00B209A2" w:rsidRPr="001B02E3" w:rsidRDefault="00B209A2" w:rsidP="001B02E3">
      <w:pPr>
        <w:numPr>
          <w:ilvl w:val="0"/>
          <w:numId w:val="7"/>
        </w:numPr>
        <w:spacing w:after="160"/>
        <w:ind w:left="357" w:hanging="357"/>
        <w:contextualSpacing/>
        <w:jc w:val="both"/>
        <w:rPr>
          <w:rFonts w:eastAsiaTheme="minorHAnsi"/>
          <w:szCs w:val="32"/>
          <w:lang w:eastAsia="en-US"/>
        </w:rPr>
      </w:pPr>
      <w:r>
        <w:rPr>
          <w:rFonts w:eastAsiaTheme="minorHAnsi"/>
          <w:szCs w:val="32"/>
          <w:lang w:eastAsia="en-US"/>
        </w:rPr>
        <w:t>Отмечена высокая степень взаимосвязи показателя средней заработной платы с численностью кофеен</w:t>
      </w:r>
      <w:r w:rsidRPr="00331CC2">
        <w:rPr>
          <w:rFonts w:eastAsiaTheme="minorHAnsi"/>
          <w:szCs w:val="32"/>
          <w:lang w:eastAsia="en-US"/>
        </w:rPr>
        <w:t xml:space="preserve"> (чем выше значение заработной платы в округе, тем больше кофеен концентрируется на этой территории и наоборот). Аналогичную, но более слабую </w:t>
      </w:r>
      <w:r w:rsidRPr="00331CC2">
        <w:rPr>
          <w:rFonts w:eastAsiaTheme="minorHAnsi"/>
          <w:szCs w:val="32"/>
          <w:lang w:eastAsia="en-US"/>
        </w:rPr>
        <w:lastRenderedPageBreak/>
        <w:t>связь можно проследить для рынка питейных заведений. Распределение объектов пекарного бизнеса и алкогольной розницы не зависит от показателей заработных плат территорий.</w:t>
      </w:r>
    </w:p>
    <w:p w14:paraId="1338303E" w14:textId="77777777" w:rsidR="00B209A2" w:rsidRPr="00331CC2" w:rsidRDefault="00B209A2" w:rsidP="00B209A2">
      <w:pPr>
        <w:numPr>
          <w:ilvl w:val="0"/>
          <w:numId w:val="7"/>
        </w:numPr>
        <w:spacing w:after="160"/>
        <w:ind w:left="357" w:hanging="357"/>
        <w:contextualSpacing/>
        <w:jc w:val="both"/>
        <w:rPr>
          <w:rFonts w:eastAsiaTheme="minorHAnsi"/>
          <w:szCs w:val="32"/>
          <w:lang w:eastAsia="en-US"/>
        </w:rPr>
      </w:pPr>
      <w:r>
        <w:rPr>
          <w:rFonts w:eastAsiaTheme="minorHAnsi"/>
          <w:szCs w:val="32"/>
          <w:lang w:eastAsia="en-US"/>
        </w:rPr>
        <w:t>О взаимосвязи между обеспеченностью населения торговыми точками и социально-экономическими показателями территории можно говорить только для рынка</w:t>
      </w:r>
      <w:r w:rsidRPr="00331CC2">
        <w:rPr>
          <w:rFonts w:eastAsiaTheme="minorHAnsi"/>
          <w:szCs w:val="32"/>
          <w:lang w:eastAsia="en-US"/>
        </w:rPr>
        <w:t xml:space="preserve"> пекарен, где наблюдается прямая взаимосвязь</w:t>
      </w:r>
      <w:r>
        <w:rPr>
          <w:rFonts w:eastAsiaTheme="minorHAnsi"/>
          <w:szCs w:val="32"/>
          <w:lang w:eastAsia="en-US"/>
        </w:rPr>
        <w:t xml:space="preserve"> </w:t>
      </w:r>
      <w:r w:rsidRPr="00331CC2">
        <w:rPr>
          <w:rFonts w:eastAsiaTheme="minorHAnsi"/>
          <w:szCs w:val="32"/>
          <w:lang w:eastAsia="en-US"/>
        </w:rPr>
        <w:t>с численностью занятого населения (чем больше</w:t>
      </w:r>
      <w:r>
        <w:rPr>
          <w:rFonts w:eastAsiaTheme="minorHAnsi"/>
          <w:szCs w:val="32"/>
          <w:lang w:eastAsia="en-US"/>
        </w:rPr>
        <w:t xml:space="preserve"> </w:t>
      </w:r>
      <w:r w:rsidRPr="00331CC2">
        <w:rPr>
          <w:rFonts w:eastAsiaTheme="minorHAnsi"/>
          <w:szCs w:val="32"/>
          <w:lang w:eastAsia="en-US"/>
        </w:rPr>
        <w:t>численность занят</w:t>
      </w:r>
      <w:r>
        <w:rPr>
          <w:rFonts w:eastAsiaTheme="minorHAnsi"/>
          <w:szCs w:val="32"/>
          <w:lang w:eastAsia="en-US"/>
        </w:rPr>
        <w:t>ых на территории</w:t>
      </w:r>
      <w:r w:rsidRPr="00331CC2">
        <w:rPr>
          <w:rFonts w:eastAsiaTheme="minorHAnsi"/>
          <w:szCs w:val="32"/>
          <w:lang w:eastAsia="en-US"/>
        </w:rPr>
        <w:t>, тем выше обеспеченность).</w:t>
      </w:r>
    </w:p>
    <w:p w14:paraId="6D9F8633" w14:textId="5108F784" w:rsidR="00B209A2" w:rsidRDefault="00B209A2" w:rsidP="00B209A2">
      <w:pPr>
        <w:ind w:firstLine="851"/>
        <w:jc w:val="both"/>
      </w:pPr>
      <w:r>
        <w:t>Итогом работы стал анализ кластеризации рынков общественного питания и алкогольной розницы</w:t>
      </w:r>
      <w:r w:rsidR="00B930F8">
        <w:t xml:space="preserve">, который </w:t>
      </w:r>
      <w:r>
        <w:t>дал представление о характере тяготения объектов различных рынков друг к другу и к другим объектам городской инфраструктуры, а также степени стремления торговых точек одного рынка располагаться вблизи «себе подобных».</w:t>
      </w:r>
    </w:p>
    <w:p w14:paraId="1BEC3DE7" w14:textId="77777777" w:rsidR="00B209A2" w:rsidRDefault="00B209A2" w:rsidP="00B209A2">
      <w:pPr>
        <w:ind w:firstLine="851"/>
        <w:jc w:val="both"/>
      </w:pPr>
      <w:r>
        <w:t>Показатели внутренней кластеризации высоки для питейных заведений, пекарен и кофеен. Это свидетельствует о том, что объекты данных типов имеют тенденцию располагаться вблизи торговых точек своих же отраслей, тем самым образуя однородные кластеры, состоящие из объектов одного типа.</w:t>
      </w:r>
    </w:p>
    <w:p w14:paraId="510F85A2" w14:textId="77777777" w:rsidR="00B209A2" w:rsidRDefault="00B209A2" w:rsidP="00B209A2">
      <w:pPr>
        <w:ind w:firstLine="851"/>
        <w:jc w:val="both"/>
      </w:pPr>
      <w:r>
        <w:t xml:space="preserve">Взаимная кластеризация, когда </w:t>
      </w:r>
      <w:r w:rsidRPr="00331CC2">
        <w:rPr>
          <w:rFonts w:eastAsiaTheme="minorHAnsi"/>
          <w:lang w:eastAsia="en-US"/>
        </w:rPr>
        <w:t>показатель взаимной кластеризации между двумя типами объектов выше средних значений по их группам</w:t>
      </w:r>
      <w:r>
        <w:rPr>
          <w:rFonts w:eastAsiaTheme="minorHAnsi"/>
          <w:lang w:eastAsia="en-US"/>
        </w:rPr>
        <w:t>,</w:t>
      </w:r>
      <w:r>
        <w:t xml:space="preserve"> наблюдается у питейных заведений с кофейнями, ресторанами и объектами высшего и специального образования и у кофеен с ресторанами и объектами образования. Это означает, что объекты различных типов тяготеют друг к другу, образуя тем самым кластеры, состоящие из разных типов объектов.</w:t>
      </w:r>
    </w:p>
    <w:p w14:paraId="5B8672F7" w14:textId="77777777" w:rsidR="00B209A2" w:rsidRDefault="00B209A2" w:rsidP="00B209A2">
      <w:pPr>
        <w:ind w:firstLine="851"/>
        <w:jc w:val="both"/>
      </w:pPr>
      <w:r>
        <w:t xml:space="preserve">Односторонняя кластеризация оказалась более часто встречающейся, чем взаимная. Для магазинов алкогольной розницы она наблюдается с </w:t>
      </w:r>
      <w:r w:rsidRPr="001F6654">
        <w:t xml:space="preserve">питейными заведениями, пекарнями, кофейнями, ресторанами и цветочными магазинами. Данные показатели превышают среднее </w:t>
      </w:r>
      <w:r>
        <w:t xml:space="preserve">значение кластеризации </w:t>
      </w:r>
      <w:r w:rsidRPr="001F6654">
        <w:t>по группе для алкогольных магазинов. Это означает, что алкогольные магазины более часто размешаются возле вышеперечисленных объектов других сфер розничной торговли и общественного питания, однако они, в свою очередь</w:t>
      </w:r>
      <w:r>
        <w:t>,</w:t>
      </w:r>
      <w:r w:rsidRPr="001F6654">
        <w:t xml:space="preserve"> не тяготеют к алкогольным магазинам (симбиотическое соседство).</w:t>
      </w:r>
      <w:r>
        <w:t xml:space="preserve"> </w:t>
      </w:r>
    </w:p>
    <w:p w14:paraId="4FF542C6" w14:textId="77777777" w:rsidR="00B209A2" w:rsidRDefault="00B209A2" w:rsidP="00B209A2">
      <w:pPr>
        <w:ind w:firstLine="851"/>
        <w:jc w:val="both"/>
        <w:rPr>
          <w:rFonts w:eastAsiaTheme="minorHAnsi"/>
          <w:szCs w:val="36"/>
          <w:lang w:eastAsia="en-US"/>
        </w:rPr>
      </w:pPr>
      <w:r>
        <w:rPr>
          <w:rFonts w:eastAsiaTheme="minorHAnsi"/>
          <w:szCs w:val="36"/>
          <w:lang w:eastAsia="en-US"/>
        </w:rPr>
        <w:t>Для питейных заведений о</w:t>
      </w:r>
      <w:r w:rsidRPr="00331CC2">
        <w:rPr>
          <w:rFonts w:eastAsiaTheme="minorHAnsi"/>
          <w:szCs w:val="36"/>
          <w:lang w:eastAsia="en-US"/>
        </w:rPr>
        <w:t xml:space="preserve">дносторонняя </w:t>
      </w:r>
      <w:r>
        <w:rPr>
          <w:rFonts w:eastAsiaTheme="minorHAnsi"/>
          <w:szCs w:val="36"/>
          <w:lang w:eastAsia="en-US"/>
        </w:rPr>
        <w:t xml:space="preserve">кластеризация </w:t>
      </w:r>
      <w:r w:rsidRPr="00331CC2">
        <w:rPr>
          <w:rFonts w:eastAsiaTheme="minorHAnsi"/>
          <w:szCs w:val="36"/>
          <w:lang w:eastAsia="en-US"/>
        </w:rPr>
        <w:t xml:space="preserve">наблюдается с алкогольными магазинами, пекарнями, гипермаркетами и супермаркетами, круглосуточными продуктовыми магазинами, аптеками и станциями метро. При этом наблюдается </w:t>
      </w:r>
      <w:r>
        <w:rPr>
          <w:rFonts w:eastAsiaTheme="minorHAnsi"/>
          <w:szCs w:val="36"/>
          <w:lang w:eastAsia="en-US"/>
        </w:rPr>
        <w:t xml:space="preserve">их </w:t>
      </w:r>
      <w:r w:rsidRPr="00331CC2">
        <w:rPr>
          <w:rFonts w:eastAsiaTheme="minorHAnsi"/>
          <w:szCs w:val="36"/>
          <w:lang w:eastAsia="en-US"/>
        </w:rPr>
        <w:t xml:space="preserve">тяготение только к станциям метро. Остальные перечисленные типы объектов </w:t>
      </w:r>
      <w:r>
        <w:rPr>
          <w:rFonts w:eastAsiaTheme="minorHAnsi"/>
          <w:szCs w:val="36"/>
          <w:lang w:eastAsia="en-US"/>
        </w:rPr>
        <w:t>стремятся расположиться вблизи с</w:t>
      </w:r>
      <w:r w:rsidRPr="00331CC2">
        <w:rPr>
          <w:rFonts w:eastAsiaTheme="minorHAnsi"/>
          <w:szCs w:val="36"/>
          <w:lang w:eastAsia="en-US"/>
        </w:rPr>
        <w:t xml:space="preserve"> питейным</w:t>
      </w:r>
      <w:r>
        <w:rPr>
          <w:rFonts w:eastAsiaTheme="minorHAnsi"/>
          <w:szCs w:val="36"/>
          <w:lang w:eastAsia="en-US"/>
        </w:rPr>
        <w:t>и</w:t>
      </w:r>
      <w:r w:rsidRPr="00331CC2">
        <w:rPr>
          <w:rFonts w:eastAsiaTheme="minorHAnsi"/>
          <w:szCs w:val="36"/>
          <w:lang w:eastAsia="en-US"/>
        </w:rPr>
        <w:t xml:space="preserve"> заведениям</w:t>
      </w:r>
      <w:r>
        <w:rPr>
          <w:rFonts w:eastAsiaTheme="minorHAnsi"/>
          <w:szCs w:val="36"/>
          <w:lang w:eastAsia="en-US"/>
        </w:rPr>
        <w:t>и</w:t>
      </w:r>
      <w:r w:rsidRPr="00331CC2">
        <w:rPr>
          <w:rFonts w:eastAsiaTheme="minorHAnsi"/>
          <w:szCs w:val="36"/>
          <w:lang w:eastAsia="en-US"/>
        </w:rPr>
        <w:t>.</w:t>
      </w:r>
      <w:r>
        <w:rPr>
          <w:rFonts w:eastAsiaTheme="minorHAnsi"/>
          <w:szCs w:val="36"/>
          <w:lang w:eastAsia="en-US"/>
        </w:rPr>
        <w:t xml:space="preserve"> </w:t>
      </w:r>
    </w:p>
    <w:p w14:paraId="0F0F85FE" w14:textId="77777777" w:rsidR="00B209A2" w:rsidRDefault="00B209A2" w:rsidP="00B209A2">
      <w:pPr>
        <w:ind w:firstLine="851"/>
        <w:jc w:val="both"/>
        <w:rPr>
          <w:rFonts w:eastAsiaTheme="minorHAnsi"/>
          <w:szCs w:val="36"/>
          <w:lang w:eastAsia="en-US"/>
        </w:rPr>
      </w:pPr>
      <w:r w:rsidRPr="00A25609">
        <w:rPr>
          <w:rFonts w:eastAsiaTheme="minorHAnsi"/>
          <w:szCs w:val="36"/>
          <w:lang w:eastAsia="en-US"/>
        </w:rPr>
        <w:t xml:space="preserve">Пекарни имеют тенденцию ориентироваться на местоположения кофеен, питейных заведений, ресторанов, цветочных магазинов и метро, будучи зависимым от них типом (показатель внешней кластеризации между объектами выше среднего показателя </w:t>
      </w:r>
      <w:r w:rsidRPr="00A25609">
        <w:rPr>
          <w:rFonts w:eastAsiaTheme="minorHAnsi"/>
          <w:szCs w:val="36"/>
          <w:lang w:eastAsia="en-US"/>
        </w:rPr>
        <w:lastRenderedPageBreak/>
        <w:t>кластеризации для пекарен).</w:t>
      </w:r>
      <w:r>
        <w:rPr>
          <w:rFonts w:eastAsiaTheme="minorHAnsi"/>
          <w:szCs w:val="36"/>
          <w:lang w:eastAsia="en-US"/>
        </w:rPr>
        <w:t xml:space="preserve"> </w:t>
      </w:r>
      <w:r w:rsidRPr="00A25609">
        <w:rPr>
          <w:rFonts w:eastAsiaTheme="minorHAnsi"/>
          <w:szCs w:val="36"/>
          <w:lang w:eastAsia="en-US"/>
        </w:rPr>
        <w:t>«Подчиняющим</w:t>
      </w:r>
      <w:r>
        <w:rPr>
          <w:rFonts w:eastAsiaTheme="minorHAnsi"/>
          <w:szCs w:val="36"/>
          <w:lang w:eastAsia="en-US"/>
        </w:rPr>
        <w:t>и</w:t>
      </w:r>
      <w:r w:rsidRPr="00A25609">
        <w:rPr>
          <w:rFonts w:eastAsiaTheme="minorHAnsi"/>
          <w:szCs w:val="36"/>
          <w:lang w:eastAsia="en-US"/>
        </w:rPr>
        <w:t>ся» тип</w:t>
      </w:r>
      <w:r>
        <w:rPr>
          <w:rFonts w:eastAsiaTheme="minorHAnsi"/>
          <w:szCs w:val="36"/>
          <w:lang w:eastAsia="en-US"/>
        </w:rPr>
        <w:t>ами</w:t>
      </w:r>
      <w:r w:rsidRPr="00A25609">
        <w:rPr>
          <w:rFonts w:eastAsiaTheme="minorHAnsi"/>
          <w:szCs w:val="36"/>
          <w:lang w:eastAsia="en-US"/>
        </w:rPr>
        <w:t xml:space="preserve"> объектов для пекарен являются алкогольные магазины, круглосуточные продуктовые магазины и аптеки (показатель внешней кластеризации с пекарнями ниже среднего для пекарен, но выше внутригруппового для рассматриваемых объектов).</w:t>
      </w:r>
    </w:p>
    <w:p w14:paraId="30069935" w14:textId="77777777" w:rsidR="006B3847" w:rsidRDefault="00B209A2" w:rsidP="006B3847">
      <w:pPr>
        <w:ind w:firstLine="851"/>
        <w:jc w:val="both"/>
        <w:rPr>
          <w:rFonts w:eastAsiaTheme="minorHAnsi"/>
          <w:szCs w:val="36"/>
          <w:lang w:eastAsia="en-US"/>
        </w:rPr>
      </w:pPr>
      <w:r>
        <w:rPr>
          <w:rFonts w:eastAsiaTheme="minorHAnsi"/>
          <w:szCs w:val="36"/>
          <w:lang w:eastAsia="en-US"/>
        </w:rPr>
        <w:t>У кофеен о</w:t>
      </w:r>
      <w:r w:rsidRPr="00A25609">
        <w:rPr>
          <w:rFonts w:eastAsiaTheme="minorHAnsi"/>
          <w:szCs w:val="36"/>
          <w:lang w:eastAsia="en-US"/>
        </w:rPr>
        <w:t>дносторонняя кластеризация наблюдается с алкогольными магазинами, пекарнями, аптеками, цветочными</w:t>
      </w:r>
      <w:r>
        <w:rPr>
          <w:rFonts w:eastAsiaTheme="minorHAnsi"/>
          <w:szCs w:val="36"/>
          <w:lang w:eastAsia="en-US"/>
        </w:rPr>
        <w:t xml:space="preserve"> магазинами</w:t>
      </w:r>
      <w:r w:rsidRPr="00A25609">
        <w:rPr>
          <w:rFonts w:eastAsiaTheme="minorHAnsi"/>
          <w:szCs w:val="36"/>
          <w:lang w:eastAsia="en-US"/>
        </w:rPr>
        <w:t xml:space="preserve"> и станциями метро. </w:t>
      </w:r>
      <w:r>
        <w:rPr>
          <w:rFonts w:eastAsiaTheme="minorHAnsi"/>
          <w:szCs w:val="36"/>
          <w:lang w:eastAsia="en-US"/>
        </w:rPr>
        <w:t>Они</w:t>
      </w:r>
      <w:r w:rsidRPr="00A25609">
        <w:rPr>
          <w:rFonts w:eastAsiaTheme="minorHAnsi"/>
          <w:szCs w:val="36"/>
          <w:lang w:eastAsia="en-US"/>
        </w:rPr>
        <w:t xml:space="preserve"> являются зависимым типом только для станций метро, ориентируясь </w:t>
      </w:r>
      <w:r>
        <w:rPr>
          <w:rFonts w:eastAsiaTheme="minorHAnsi"/>
          <w:szCs w:val="36"/>
          <w:lang w:eastAsia="en-US"/>
        </w:rPr>
        <w:t>на их</w:t>
      </w:r>
      <w:r w:rsidRPr="00A25609">
        <w:rPr>
          <w:rFonts w:eastAsiaTheme="minorHAnsi"/>
          <w:szCs w:val="36"/>
          <w:lang w:eastAsia="en-US"/>
        </w:rPr>
        <w:t xml:space="preserve"> местоположении. Алкогольные магазины, пекарни, аптеки и цветочные, напротив, </w:t>
      </w:r>
      <w:r>
        <w:rPr>
          <w:rFonts w:eastAsiaTheme="minorHAnsi"/>
          <w:szCs w:val="36"/>
          <w:lang w:eastAsia="en-US"/>
        </w:rPr>
        <w:t>тяготеют к кофейням</w:t>
      </w:r>
      <w:r w:rsidRPr="00A25609">
        <w:rPr>
          <w:rFonts w:eastAsiaTheme="minorHAnsi"/>
          <w:szCs w:val="36"/>
          <w:lang w:eastAsia="en-US"/>
        </w:rPr>
        <w:t>.</w:t>
      </w:r>
    </w:p>
    <w:p w14:paraId="3D5CFD7A" w14:textId="4CB5EDD1" w:rsidR="00B209A2" w:rsidRPr="001B02E3" w:rsidRDefault="006B3847" w:rsidP="006B3847">
      <w:pPr>
        <w:ind w:firstLine="851"/>
        <w:jc w:val="both"/>
        <w:rPr>
          <w:rFonts w:eastAsiaTheme="minorHAnsi"/>
          <w:szCs w:val="36"/>
          <w:lang w:eastAsia="en-US"/>
        </w:rPr>
      </w:pPr>
      <w:r>
        <w:rPr>
          <w:rFonts w:eastAsiaTheme="minorHAnsi"/>
          <w:szCs w:val="36"/>
          <w:lang w:eastAsia="en-US"/>
        </w:rPr>
        <w:t>Д</w:t>
      </w:r>
      <w:r w:rsidRPr="006B3847">
        <w:rPr>
          <w:rFonts w:eastAsiaTheme="minorHAnsi"/>
          <w:szCs w:val="36"/>
          <w:lang w:eastAsia="en-US"/>
        </w:rPr>
        <w:t>анная работа может послужить основой для дальнейших исследований рынка розничной торговли и общественного питания в Санкт-Петербурге и других крупных городах, в том числе - для более детальных локальных и микрогеографических городских исследований</w:t>
      </w:r>
      <w:r>
        <w:rPr>
          <w:rFonts w:eastAsiaTheme="minorHAnsi"/>
          <w:szCs w:val="36"/>
          <w:lang w:eastAsia="en-US"/>
        </w:rPr>
        <w:t>.</w:t>
      </w:r>
      <w:r w:rsidR="001B02E3">
        <w:rPr>
          <w:rFonts w:eastAsiaTheme="minorHAnsi"/>
          <w:szCs w:val="36"/>
          <w:lang w:eastAsia="en-US"/>
        </w:rPr>
        <w:br w:type="page"/>
      </w:r>
    </w:p>
    <w:p w14:paraId="613A2397" w14:textId="070A52AC" w:rsidR="00A4105E" w:rsidRPr="00A4105E" w:rsidRDefault="00A4105E" w:rsidP="00A4105E">
      <w:pPr>
        <w:pStyle w:val="Heading1"/>
        <w:spacing w:before="0" w:after="160"/>
        <w:ind w:firstLine="0"/>
        <w:jc w:val="center"/>
        <w:rPr>
          <w:rFonts w:ascii="Times New Roman" w:eastAsiaTheme="minorHAnsi" w:hAnsi="Times New Roman" w:cs="Times New Roman"/>
          <w:b/>
          <w:bCs/>
          <w:color w:val="auto"/>
          <w:sz w:val="28"/>
          <w:szCs w:val="28"/>
        </w:rPr>
      </w:pPr>
      <w:bookmarkStart w:id="39" w:name="_Toc103641039"/>
      <w:r w:rsidRPr="00A4105E">
        <w:rPr>
          <w:rFonts w:ascii="Times New Roman" w:eastAsiaTheme="minorHAnsi" w:hAnsi="Times New Roman" w:cs="Times New Roman"/>
          <w:b/>
          <w:bCs/>
          <w:color w:val="auto"/>
          <w:sz w:val="28"/>
          <w:szCs w:val="28"/>
        </w:rPr>
        <w:lastRenderedPageBreak/>
        <w:t>Приложение</w:t>
      </w:r>
      <w:bookmarkEnd w:id="39"/>
    </w:p>
    <w:p w14:paraId="1DC43EAE" w14:textId="6E07A501" w:rsidR="00B24652" w:rsidRPr="00B24652" w:rsidRDefault="00B24652" w:rsidP="00331CC2">
      <w:pPr>
        <w:ind w:firstLine="851"/>
        <w:jc w:val="both"/>
        <w:rPr>
          <w:rFonts w:eastAsiaTheme="minorHAnsi"/>
          <w:szCs w:val="32"/>
          <w:lang w:eastAsia="en-US"/>
        </w:rPr>
      </w:pPr>
      <w:r w:rsidRPr="00B24652">
        <w:rPr>
          <w:rFonts w:eastAsiaTheme="minorHAnsi"/>
          <w:b/>
          <w:bCs/>
          <w:sz w:val="22"/>
          <w:szCs w:val="22"/>
          <w:lang w:eastAsia="en-US"/>
        </w:rPr>
        <w:t>Приложение 1.</w:t>
      </w:r>
      <w:r w:rsidRPr="00B24652">
        <w:rPr>
          <w:rFonts w:eastAsiaTheme="minorHAnsi"/>
          <w:sz w:val="22"/>
          <w:szCs w:val="22"/>
          <w:lang w:eastAsia="en-US"/>
        </w:rPr>
        <w:t xml:space="preserve"> Стадии пространственной организации характерных трансформационных и пост-трансформационных форм торговли в Ленинграде – Санкт-Петербурге, 1989-2016гг.</w:t>
      </w:r>
    </w:p>
    <w:p w14:paraId="0CA555C2" w14:textId="77777777" w:rsidR="00B24652" w:rsidRPr="00B24652" w:rsidRDefault="00B24652" w:rsidP="00B24652">
      <w:pPr>
        <w:rPr>
          <w:rFonts w:eastAsiaTheme="minorHAnsi"/>
          <w:lang w:eastAsia="en-US"/>
        </w:rPr>
      </w:pPr>
      <w:r w:rsidRPr="00B24652">
        <w:rPr>
          <w:rFonts w:eastAsiaTheme="minorHAnsi"/>
          <w:noProof/>
          <w:lang w:eastAsia="en-US"/>
        </w:rPr>
        <w:drawing>
          <wp:inline distT="0" distB="0" distL="0" distR="0" wp14:anchorId="23FE53BF" wp14:editId="6BF6A2BF">
            <wp:extent cx="4214191" cy="8114920"/>
            <wp:effectExtent l="0" t="0" r="0" b="635"/>
            <wp:docPr id="50" name="Picture 5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imelin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41045" cy="8166631"/>
                    </a:xfrm>
                    <a:prstGeom prst="rect">
                      <a:avLst/>
                    </a:prstGeom>
                    <a:noFill/>
                  </pic:spPr>
                </pic:pic>
              </a:graphicData>
            </a:graphic>
          </wp:inline>
        </w:drawing>
      </w:r>
    </w:p>
    <w:p w14:paraId="3DD79DF6" w14:textId="77777777" w:rsidR="00B24652" w:rsidRPr="00B24652" w:rsidRDefault="00B24652" w:rsidP="00B24652">
      <w:pPr>
        <w:rPr>
          <w:rFonts w:eastAsiaTheme="minorHAnsi"/>
          <w:lang w:eastAsia="en-US"/>
        </w:rPr>
      </w:pPr>
      <w:r w:rsidRPr="00B24652">
        <w:rPr>
          <w:rFonts w:eastAsiaTheme="minorHAnsi"/>
          <w:noProof/>
          <w:lang w:eastAsia="en-US"/>
        </w:rPr>
        <w:lastRenderedPageBreak/>
        <w:drawing>
          <wp:inline distT="0" distB="0" distL="0" distR="0" wp14:anchorId="0FF69214" wp14:editId="014EC86F">
            <wp:extent cx="4498975" cy="2592944"/>
            <wp:effectExtent l="0" t="0" r="0" b="0"/>
            <wp:docPr id="1025" name="Picture 49" descr="A picture containing timeline&#10;&#10;Description automatically generated">
              <a:extLst xmlns:a="http://schemas.openxmlformats.org/drawingml/2006/main">
                <a:ext uri="{FF2B5EF4-FFF2-40B4-BE49-F238E27FC236}">
                  <a16:creationId xmlns:a16="http://schemas.microsoft.com/office/drawing/2014/main" id="{03A18782-3D67-4A67-A608-B08819231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49" descr="A picture containing timeline&#10;&#10;Description automatically generated">
                      <a:extLst>
                        <a:ext uri="{FF2B5EF4-FFF2-40B4-BE49-F238E27FC236}">
                          <a16:creationId xmlns:a16="http://schemas.microsoft.com/office/drawing/2014/main" id="{03A18782-3D67-4A67-A608-B088192317C2}"/>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98975" cy="259294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E35C5F8" w14:textId="77777777" w:rsidR="0073749E" w:rsidRDefault="00B24652" w:rsidP="00A4105E">
      <w:pPr>
        <w:rPr>
          <w:rFonts w:eastAsiaTheme="minorHAnsi"/>
          <w:sz w:val="22"/>
          <w:szCs w:val="22"/>
          <w:lang w:eastAsia="en-US"/>
        </w:rPr>
      </w:pPr>
      <w:r w:rsidRPr="00B24652">
        <w:rPr>
          <w:rFonts w:eastAsiaTheme="minorHAnsi"/>
          <w:sz w:val="22"/>
          <w:szCs w:val="22"/>
          <w:lang w:eastAsia="en-US"/>
        </w:rPr>
        <w:t>Источник: Аксенов, 2016, с. 52-53</w:t>
      </w:r>
    </w:p>
    <w:p w14:paraId="74B85D25" w14:textId="421CD256" w:rsidR="00D77B29" w:rsidRDefault="00D77B29" w:rsidP="00D77B29">
      <w:pPr>
        <w:spacing w:before="160"/>
        <w:ind w:firstLine="851"/>
        <w:jc w:val="both"/>
        <w:rPr>
          <w:rFonts w:eastAsiaTheme="minorHAnsi"/>
          <w:b/>
          <w:bCs/>
          <w:sz w:val="22"/>
          <w:szCs w:val="22"/>
          <w:lang w:eastAsia="en-US"/>
        </w:rPr>
      </w:pPr>
      <w:r w:rsidRPr="0073749E">
        <w:rPr>
          <w:rFonts w:eastAsiaTheme="minorHAnsi"/>
          <w:b/>
          <w:bCs/>
          <w:sz w:val="22"/>
          <w:szCs w:val="22"/>
          <w:lang w:eastAsia="en-US"/>
        </w:rPr>
        <w:t xml:space="preserve">Приложение </w:t>
      </w:r>
      <w:r>
        <w:rPr>
          <w:rFonts w:eastAsiaTheme="minorHAnsi"/>
          <w:b/>
          <w:bCs/>
          <w:sz w:val="22"/>
          <w:szCs w:val="22"/>
          <w:lang w:eastAsia="en-US"/>
        </w:rPr>
        <w:t>2</w:t>
      </w:r>
      <w:r w:rsidRPr="0073749E">
        <w:rPr>
          <w:rFonts w:eastAsiaTheme="minorHAnsi"/>
          <w:b/>
          <w:bCs/>
          <w:sz w:val="22"/>
          <w:szCs w:val="22"/>
          <w:lang w:eastAsia="en-US"/>
        </w:rPr>
        <w:t>.</w:t>
      </w:r>
      <w:r w:rsidRPr="0073749E">
        <w:rPr>
          <w:rFonts w:eastAsiaTheme="minorHAnsi"/>
          <w:sz w:val="22"/>
          <w:szCs w:val="22"/>
          <w:lang w:eastAsia="en-US"/>
        </w:rPr>
        <w:t xml:space="preserve"> </w:t>
      </w:r>
      <w:r>
        <w:rPr>
          <w:bCs/>
          <w:iCs/>
        </w:rPr>
        <w:t>Уровень разнообразия алкогольных сетей в разрезе административных районов</w:t>
      </w:r>
    </w:p>
    <w:p w14:paraId="13887B1B" w14:textId="0EE77E57" w:rsidR="00D77B29" w:rsidRDefault="00D77B29" w:rsidP="00D77B29">
      <w:pPr>
        <w:spacing w:before="160"/>
        <w:rPr>
          <w:rFonts w:eastAsiaTheme="minorHAnsi"/>
          <w:b/>
          <w:bCs/>
          <w:sz w:val="22"/>
          <w:szCs w:val="22"/>
          <w:lang w:eastAsia="en-US"/>
        </w:rPr>
      </w:pPr>
      <w:r w:rsidRPr="002B025F">
        <w:rPr>
          <w:noProof/>
          <w:sz w:val="28"/>
          <w:szCs w:val="28"/>
        </w:rPr>
        <w:drawing>
          <wp:inline distT="0" distB="0" distL="0" distR="0" wp14:anchorId="4D43E95B" wp14:editId="1CE17901">
            <wp:extent cx="4247773" cy="2559924"/>
            <wp:effectExtent l="0" t="0" r="0" b="0"/>
            <wp:docPr id="62" name="Рисунок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9" descr="Map&#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351" t="18814" r="8892" b="3354"/>
                    <a:stretch/>
                  </pic:blipFill>
                  <pic:spPr bwMode="auto">
                    <a:xfrm>
                      <a:off x="0" y="0"/>
                      <a:ext cx="4252982" cy="2563063"/>
                    </a:xfrm>
                    <a:prstGeom prst="rect">
                      <a:avLst/>
                    </a:prstGeom>
                    <a:noFill/>
                    <a:ln>
                      <a:noFill/>
                    </a:ln>
                    <a:extLst>
                      <a:ext uri="{53640926-AAD7-44D8-BBD7-CCE9431645EC}">
                        <a14:shadowObscured xmlns:a14="http://schemas.microsoft.com/office/drawing/2010/main"/>
                      </a:ext>
                    </a:extLst>
                  </pic:spPr>
                </pic:pic>
              </a:graphicData>
            </a:graphic>
          </wp:inline>
        </w:drawing>
      </w:r>
    </w:p>
    <w:p w14:paraId="61E67C90" w14:textId="1E54FCE0" w:rsidR="00947DDA" w:rsidRPr="00947DDA" w:rsidRDefault="00947DDA" w:rsidP="00947DDA">
      <w:pPr>
        <w:spacing w:after="160" w:line="240" w:lineRule="auto"/>
        <w:rPr>
          <w:bCs/>
          <w:iCs/>
        </w:rPr>
      </w:pPr>
      <w:r w:rsidRPr="007D2E08">
        <w:rPr>
          <w:bCs/>
          <w:iCs/>
          <w:sz w:val="22"/>
          <w:szCs w:val="22"/>
        </w:rPr>
        <w:t>* Составлено автором</w:t>
      </w:r>
    </w:p>
    <w:p w14:paraId="5EB664A5" w14:textId="587D89A5" w:rsidR="00D77B29" w:rsidRPr="00D77B29" w:rsidRDefault="00947DDA" w:rsidP="00D77B29">
      <w:pPr>
        <w:spacing w:before="160"/>
        <w:ind w:firstLine="851"/>
        <w:jc w:val="both"/>
        <w:rPr>
          <w:rFonts w:eastAsiaTheme="minorHAnsi"/>
          <w:sz w:val="22"/>
          <w:szCs w:val="22"/>
          <w:lang w:eastAsia="en-US"/>
        </w:rPr>
      </w:pPr>
      <w:r>
        <w:rPr>
          <w:rFonts w:eastAsiaTheme="minorHAnsi"/>
          <w:sz w:val="22"/>
          <w:szCs w:val="22"/>
          <w:lang w:eastAsia="en-US"/>
        </w:rPr>
        <w:t>Для</w:t>
      </w:r>
      <w:r w:rsidR="00D77B29" w:rsidRPr="00D77B29">
        <w:rPr>
          <w:rFonts w:eastAsiaTheme="minorHAnsi"/>
          <w:sz w:val="22"/>
          <w:szCs w:val="22"/>
          <w:lang w:eastAsia="en-US"/>
        </w:rPr>
        <w:t xml:space="preserve"> оценк</w:t>
      </w:r>
      <w:r>
        <w:rPr>
          <w:rFonts w:eastAsiaTheme="minorHAnsi"/>
          <w:sz w:val="22"/>
          <w:szCs w:val="22"/>
          <w:lang w:eastAsia="en-US"/>
        </w:rPr>
        <w:t>и уровня</w:t>
      </w:r>
      <w:r w:rsidR="00D77B29" w:rsidRPr="00D77B29">
        <w:rPr>
          <w:rFonts w:eastAsiaTheme="minorHAnsi"/>
          <w:sz w:val="22"/>
          <w:szCs w:val="22"/>
          <w:lang w:eastAsia="en-US"/>
        </w:rPr>
        <w:t xml:space="preserve"> разнообразия алкогольных сетей использовался индекс разнообразия Шеннона:</w:t>
      </w:r>
    </w:p>
    <w:p w14:paraId="79A6A5DA" w14:textId="77777777" w:rsidR="00D77B29" w:rsidRPr="00D77B29" w:rsidRDefault="00D77B29" w:rsidP="00D77B29">
      <w:pPr>
        <w:ind w:firstLine="709"/>
        <w:jc w:val="both"/>
        <w:rPr>
          <w:rFonts w:eastAsiaTheme="minorEastAsia"/>
          <w:sz w:val="22"/>
          <w:szCs w:val="22"/>
        </w:rPr>
      </w:pPr>
      <m:oMathPara>
        <m:oMathParaPr>
          <m:jc m:val="left"/>
        </m:oMathParaPr>
        <m:oMath>
          <m:r>
            <w:rPr>
              <w:rFonts w:ascii="Cambria Math" w:hAnsi="Cambria Math"/>
              <w:sz w:val="22"/>
              <w:szCs w:val="22"/>
            </w:rPr>
            <m:t>H=</m:t>
          </m:r>
          <m:nary>
            <m:naryPr>
              <m:chr m:val="∑"/>
              <m:limLoc m:val="undOvr"/>
              <m:grow m:val="1"/>
              <m:ctrlPr>
                <w:rPr>
                  <w:rFonts w:ascii="Cambria Math" w:hAnsi="Cambria Math"/>
                  <w:i/>
                  <w:sz w:val="22"/>
                  <w:szCs w:val="22"/>
                </w:rPr>
              </m:ctrlPr>
            </m:naryPr>
            <m:sub>
              <m:r>
                <w:rPr>
                  <w:rFonts w:ascii="Cambria Math" w:hAnsi="Cambria Math"/>
                  <w:sz w:val="22"/>
                  <w:szCs w:val="22"/>
                </w:rPr>
                <m:t>i=1</m:t>
              </m:r>
            </m:sub>
            <m:sup>
              <m:r>
                <w:rPr>
                  <w:rFonts w:ascii="Cambria Math" w:hAnsi="Cambria Math"/>
                  <w:sz w:val="22"/>
                  <w:szCs w:val="22"/>
                </w:rPr>
                <m:t>n</m:t>
              </m:r>
            </m:sup>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i</m:t>
                  </m:r>
                </m:sub>
              </m:sSub>
              <m:func>
                <m:funcPr>
                  <m:ctrlPr>
                    <w:rPr>
                      <w:rFonts w:ascii="Cambria Math" w:hAnsi="Cambria Math"/>
                      <w:i/>
                      <w:sz w:val="22"/>
                      <w:szCs w:val="22"/>
                    </w:rPr>
                  </m:ctrlPr>
                </m:funcPr>
                <m:fName>
                  <m:sSub>
                    <m:sSubPr>
                      <m:ctrlPr>
                        <w:rPr>
                          <w:rFonts w:ascii="Cambria Math" w:hAnsi="Cambria Math"/>
                          <w:i/>
                          <w:sz w:val="22"/>
                          <w:szCs w:val="22"/>
                        </w:rPr>
                      </m:ctrlPr>
                    </m:sSubPr>
                    <m:e>
                      <m:r>
                        <m:rPr>
                          <m:sty m:val="p"/>
                        </m:rPr>
                        <w:rPr>
                          <w:rFonts w:ascii="Cambria Math" w:hAnsi="Cambria Math"/>
                          <w:sz w:val="22"/>
                          <w:szCs w:val="22"/>
                        </w:rPr>
                        <m:t>log</m:t>
                      </m:r>
                    </m:e>
                    <m:sub>
                      <m:r>
                        <w:rPr>
                          <w:rFonts w:ascii="Cambria Math" w:hAnsi="Cambria Math"/>
                          <w:sz w:val="22"/>
                          <w:szCs w:val="22"/>
                        </w:rPr>
                        <m:t>2</m:t>
                      </m:r>
                    </m:sub>
                  </m:sSub>
                </m:fName>
                <m:e>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i</m:t>
                      </m:r>
                    </m:sub>
                  </m:sSub>
                </m:e>
              </m:func>
            </m:e>
          </m:nary>
          <m:r>
            <w:rPr>
              <w:rFonts w:ascii="Cambria Math" w:hAnsi="Cambria Math"/>
              <w:sz w:val="22"/>
              <w:szCs w:val="22"/>
            </w:rPr>
            <m:t xml:space="preserve">  </m:t>
          </m:r>
        </m:oMath>
      </m:oMathPara>
    </w:p>
    <w:p w14:paraId="0935A05F" w14:textId="77777777" w:rsidR="00D77B29" w:rsidRPr="00D77B29" w:rsidRDefault="00AB59C5" w:rsidP="00D77B29">
      <w:pPr>
        <w:jc w:val="both"/>
        <w:rPr>
          <w:rFonts w:eastAsiaTheme="minorEastAsia"/>
          <w:sz w:val="22"/>
          <w:szCs w:val="22"/>
        </w:rPr>
      </w:pPr>
      <m:oMathPara>
        <m:oMathParaPr>
          <m:jc m:val="left"/>
        </m:oMathParaPr>
        <m:oMath>
          <m:sSub>
            <m:sSubPr>
              <m:ctrlPr>
                <w:rPr>
                  <w:rFonts w:ascii="Cambria Math" w:hAnsi="Cambria Math"/>
                  <w:i/>
                  <w:sz w:val="22"/>
                  <w:szCs w:val="22"/>
                </w:rPr>
              </m:ctrlPr>
            </m:sSubPr>
            <m:e>
              <m:r>
                <w:rPr>
                  <w:rFonts w:ascii="Cambria Math" w:hAnsi="Cambria Math"/>
                  <w:sz w:val="22"/>
                  <w:szCs w:val="22"/>
                </w:rPr>
                <m:t>H</m:t>
              </m:r>
            </m:e>
            <m:sub>
              <m:r>
                <m:rPr>
                  <m:sty m:val="p"/>
                </m:rPr>
                <w:rPr>
                  <w:rFonts w:ascii="Cambria Math" w:hAnsi="Cambria Math"/>
                  <w:sz w:val="22"/>
                  <w:szCs w:val="22"/>
                </w:rPr>
                <m:t>max</m:t>
              </m:r>
            </m:sub>
          </m:sSub>
          <m:r>
            <w:rPr>
              <w:rFonts w:ascii="Cambria Math" w:hAnsi="Cambria Math"/>
              <w:sz w:val="22"/>
              <w:szCs w:val="22"/>
            </w:rPr>
            <m:t>=</m:t>
          </m:r>
          <m:func>
            <m:funcPr>
              <m:ctrlPr>
                <w:rPr>
                  <w:rFonts w:ascii="Cambria Math" w:hAnsi="Cambria Math"/>
                  <w:i/>
                  <w:sz w:val="22"/>
                  <w:szCs w:val="22"/>
                </w:rPr>
              </m:ctrlPr>
            </m:funcPr>
            <m:fName>
              <m:sSub>
                <m:sSubPr>
                  <m:ctrlPr>
                    <w:rPr>
                      <w:rFonts w:ascii="Cambria Math" w:hAnsi="Cambria Math"/>
                      <w:i/>
                      <w:sz w:val="22"/>
                      <w:szCs w:val="22"/>
                    </w:rPr>
                  </m:ctrlPr>
                </m:sSubPr>
                <m:e>
                  <m:r>
                    <m:rPr>
                      <m:sty m:val="p"/>
                    </m:rPr>
                    <w:rPr>
                      <w:rFonts w:ascii="Cambria Math" w:hAnsi="Cambria Math"/>
                      <w:sz w:val="22"/>
                      <w:szCs w:val="22"/>
                    </w:rPr>
                    <m:t>log</m:t>
                  </m:r>
                </m:e>
                <m:sub>
                  <m:r>
                    <w:rPr>
                      <w:rFonts w:ascii="Cambria Math" w:hAnsi="Cambria Math"/>
                      <w:sz w:val="22"/>
                      <w:szCs w:val="22"/>
                    </w:rPr>
                    <m:t>2</m:t>
                  </m:r>
                </m:sub>
              </m:sSub>
            </m:fName>
            <m:e>
              <m:r>
                <w:rPr>
                  <w:rFonts w:ascii="Cambria Math" w:hAnsi="Cambria Math"/>
                  <w:sz w:val="22"/>
                  <w:szCs w:val="22"/>
                </w:rPr>
                <m:t>N</m:t>
              </m:r>
            </m:e>
          </m:func>
        </m:oMath>
      </m:oMathPara>
    </w:p>
    <w:p w14:paraId="69561FDF" w14:textId="77777777" w:rsidR="00D77B29" w:rsidRPr="00D77B29" w:rsidRDefault="00D77B29" w:rsidP="00D77B29">
      <w:pPr>
        <w:ind w:firstLine="709"/>
        <w:jc w:val="both"/>
        <w:rPr>
          <w:rFonts w:eastAsiaTheme="minorEastAsia"/>
          <w:sz w:val="22"/>
          <w:szCs w:val="22"/>
        </w:rPr>
      </w:pPr>
      <m:oMathPara>
        <m:oMathParaPr>
          <m:jc m:val="left"/>
        </m:oMathParaPr>
        <m:oMath>
          <m:r>
            <w:rPr>
              <w:rFonts w:ascii="Cambria Math" w:eastAsiaTheme="minorEastAsia" w:hAnsi="Cambria Math"/>
              <w:sz w:val="22"/>
              <w:szCs w:val="22"/>
            </w:rPr>
            <m:t>I=</m:t>
          </m:r>
          <m:f>
            <m:fPr>
              <m:ctrlPr>
                <w:rPr>
                  <w:rFonts w:ascii="Cambria Math" w:eastAsiaTheme="minorEastAsia" w:hAnsi="Cambria Math"/>
                  <w:i/>
                  <w:sz w:val="22"/>
                  <w:szCs w:val="22"/>
                </w:rPr>
              </m:ctrlPr>
            </m:fPr>
            <m:num>
              <m:r>
                <w:rPr>
                  <w:rFonts w:ascii="Cambria Math" w:eastAsiaTheme="minorEastAsia" w:hAnsi="Cambria Math"/>
                  <w:sz w:val="22"/>
                  <w:szCs w:val="22"/>
                </w:rPr>
                <m:t>H</m:t>
              </m:r>
            </m:num>
            <m:den>
              <w:bookmarkStart w:id="40" w:name="_Hlk40648751"/>
              <m:sSub>
                <m:sSubPr>
                  <m:ctrlPr>
                    <w:rPr>
                      <w:rFonts w:ascii="Cambria Math" w:eastAsiaTheme="minorEastAsia" w:hAnsi="Cambria Math"/>
                      <w:i/>
                      <w:sz w:val="22"/>
                      <w:szCs w:val="22"/>
                    </w:rPr>
                  </m:ctrlPr>
                </m:sSubPr>
                <m:e>
                  <m:r>
                    <w:rPr>
                      <w:rFonts w:ascii="Cambria Math" w:eastAsiaTheme="minorEastAsia" w:hAnsi="Cambria Math"/>
                      <w:sz w:val="22"/>
                      <w:szCs w:val="22"/>
                    </w:rPr>
                    <m:t>H</m:t>
                  </m:r>
                </m:e>
                <m:sub>
                  <m:r>
                    <m:rPr>
                      <m:sty m:val="p"/>
                    </m:rPr>
                    <w:rPr>
                      <w:rFonts w:ascii="Cambria Math" w:eastAsiaTheme="minorEastAsia" w:hAnsi="Cambria Math"/>
                      <w:sz w:val="22"/>
                      <w:szCs w:val="22"/>
                    </w:rPr>
                    <m:t>max</m:t>
                  </m:r>
                </m:sub>
              </m:sSub>
              <w:bookmarkEnd w:id="40"/>
            </m:den>
          </m:f>
        </m:oMath>
      </m:oMathPara>
    </w:p>
    <w:p w14:paraId="2811932B" w14:textId="77777777" w:rsidR="00D77B29" w:rsidRPr="00D77B29" w:rsidRDefault="00D77B29" w:rsidP="00D77B29">
      <w:pPr>
        <w:ind w:firstLine="709"/>
        <w:jc w:val="both"/>
        <w:rPr>
          <w:rFonts w:eastAsiaTheme="minorEastAsia"/>
          <w:sz w:val="22"/>
          <w:szCs w:val="22"/>
        </w:rPr>
      </w:pPr>
      <w:r w:rsidRPr="00D77B29">
        <w:rPr>
          <w:rFonts w:eastAsiaTheme="minorEastAsia"/>
          <w:sz w:val="22"/>
          <w:szCs w:val="22"/>
        </w:rPr>
        <w:t xml:space="preserve">где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i</m:t>
            </m:r>
          </m:sub>
        </m:sSub>
      </m:oMath>
      <w:r w:rsidRPr="00D77B29">
        <w:rPr>
          <w:rFonts w:eastAsiaTheme="minorEastAsia"/>
          <w:sz w:val="22"/>
          <w:szCs w:val="22"/>
        </w:rPr>
        <w:t xml:space="preserve"> – количество алкогольных магазинов отдельной сети, отнесенное к суммарному числу сетевых алкогольных точек в районе;</w:t>
      </w:r>
    </w:p>
    <w:p w14:paraId="45479457" w14:textId="77777777" w:rsidR="00D77B29" w:rsidRPr="00D77B29" w:rsidRDefault="00D77B29" w:rsidP="00D77B29">
      <w:pPr>
        <w:ind w:firstLine="709"/>
        <w:jc w:val="both"/>
        <w:rPr>
          <w:rFonts w:eastAsiaTheme="minorEastAsia"/>
          <w:sz w:val="22"/>
          <w:szCs w:val="22"/>
        </w:rPr>
      </w:pPr>
      <w:r w:rsidRPr="00D77B29">
        <w:rPr>
          <w:rFonts w:eastAsiaTheme="minorEastAsia"/>
          <w:sz w:val="22"/>
          <w:szCs w:val="22"/>
        </w:rPr>
        <w:t xml:space="preserve"> </w:t>
      </w:r>
      <m:oMath>
        <m:r>
          <w:rPr>
            <w:rFonts w:ascii="Cambria Math" w:hAnsi="Cambria Math"/>
            <w:sz w:val="22"/>
            <w:szCs w:val="22"/>
          </w:rPr>
          <m:t>N</m:t>
        </m:r>
      </m:oMath>
      <w:r w:rsidRPr="00D77B29">
        <w:rPr>
          <w:rFonts w:eastAsiaTheme="minorEastAsia"/>
          <w:sz w:val="22"/>
          <w:szCs w:val="22"/>
        </w:rPr>
        <w:t xml:space="preserve"> – количество сетевых алкогольных магазинов в районе;</w:t>
      </w:r>
    </w:p>
    <w:p w14:paraId="66129E87" w14:textId="77777777" w:rsidR="00D77B29" w:rsidRPr="00D77B29" w:rsidRDefault="00D77B29" w:rsidP="00D77B29">
      <w:pPr>
        <w:ind w:firstLine="709"/>
        <w:jc w:val="both"/>
        <w:rPr>
          <w:rFonts w:eastAsiaTheme="minorEastAsia"/>
          <w:sz w:val="22"/>
          <w:szCs w:val="22"/>
        </w:rPr>
      </w:pPr>
      <w:r w:rsidRPr="00D77B29">
        <w:rPr>
          <w:sz w:val="22"/>
          <w:szCs w:val="22"/>
        </w:rPr>
        <w:t xml:space="preserve"> </w:t>
      </w:r>
      <m:oMath>
        <m:sSub>
          <m:sSubPr>
            <m:ctrlPr>
              <w:rPr>
                <w:rFonts w:ascii="Cambria Math" w:hAnsi="Cambria Math"/>
                <w:i/>
                <w:sz w:val="22"/>
                <w:szCs w:val="22"/>
              </w:rPr>
            </m:ctrlPr>
          </m:sSubPr>
          <m:e>
            <m:r>
              <w:rPr>
                <w:rFonts w:ascii="Cambria Math" w:hAnsi="Cambria Math"/>
                <w:sz w:val="22"/>
                <w:szCs w:val="22"/>
              </w:rPr>
              <m:t>H</m:t>
            </m:r>
          </m:e>
          <m:sub>
            <m:r>
              <m:rPr>
                <m:sty m:val="p"/>
              </m:rPr>
              <w:rPr>
                <w:rFonts w:ascii="Cambria Math" w:hAnsi="Cambria Math"/>
                <w:sz w:val="22"/>
                <w:szCs w:val="22"/>
              </w:rPr>
              <m:t>max</m:t>
            </m:r>
          </m:sub>
        </m:sSub>
      </m:oMath>
      <w:r w:rsidRPr="00D77B29">
        <w:rPr>
          <w:rFonts w:eastAsiaTheme="minorEastAsia"/>
          <w:sz w:val="22"/>
          <w:szCs w:val="22"/>
        </w:rPr>
        <w:t xml:space="preserve"> – максимально возможное разнообразие алкогольных сетей;</w:t>
      </w:r>
    </w:p>
    <w:p w14:paraId="73588179" w14:textId="77777777" w:rsidR="00D77B29" w:rsidRPr="00D77B29" w:rsidRDefault="00D77B29" w:rsidP="00D77B29">
      <w:pPr>
        <w:ind w:firstLine="709"/>
        <w:jc w:val="both"/>
        <w:rPr>
          <w:rFonts w:eastAsiaTheme="minorEastAsia"/>
          <w:sz w:val="22"/>
          <w:szCs w:val="22"/>
        </w:rPr>
      </w:pPr>
      <w:r w:rsidRPr="00D77B29">
        <w:rPr>
          <w:rFonts w:eastAsiaTheme="minorEastAsia"/>
          <w:sz w:val="22"/>
          <w:szCs w:val="22"/>
        </w:rPr>
        <w:lastRenderedPageBreak/>
        <w:t xml:space="preserve"> </w:t>
      </w:r>
      <m:oMath>
        <m:r>
          <w:rPr>
            <w:rFonts w:ascii="Cambria Math" w:eastAsiaTheme="minorEastAsia" w:hAnsi="Cambria Math"/>
            <w:sz w:val="22"/>
            <w:szCs w:val="22"/>
          </w:rPr>
          <m:t>I</m:t>
        </m:r>
      </m:oMath>
      <w:r w:rsidRPr="00D77B29">
        <w:rPr>
          <w:rFonts w:eastAsiaTheme="minorEastAsia"/>
          <w:sz w:val="22"/>
          <w:szCs w:val="22"/>
        </w:rPr>
        <w:t xml:space="preserve"> – индекс разнообразия алкогольных сетей.</w:t>
      </w:r>
    </w:p>
    <w:p w14:paraId="223C8CA6" w14:textId="6B4E4905" w:rsidR="00D77B29" w:rsidRPr="00D77B29" w:rsidRDefault="00D77B29" w:rsidP="00D77B29">
      <w:pPr>
        <w:ind w:firstLine="851"/>
        <w:jc w:val="both"/>
        <w:rPr>
          <w:rFonts w:eastAsiaTheme="minorHAnsi"/>
          <w:sz w:val="22"/>
          <w:szCs w:val="22"/>
          <w:lang w:eastAsia="en-US"/>
        </w:rPr>
      </w:pPr>
      <w:r w:rsidRPr="00D77B29">
        <w:rPr>
          <w:rFonts w:eastAsiaTheme="minorHAnsi"/>
          <w:sz w:val="22"/>
          <w:szCs w:val="22"/>
          <w:lang w:eastAsia="en-US"/>
        </w:rPr>
        <w:t>Максимальный индекс разнообразия составил 68% в Пушкинском районе, что свидетельствует о наибольшей конкуренции торговых объектов в нём; минимальный наблюдается в Петродворцовом (43%) и Кронштадтском (48%) районах. В целом можно сделать вывод об относительно однородной степени конкуренции точек розничной торговли алкоголем на большей части территории города, в среднем она колеблется от 50% до 60%</w:t>
      </w:r>
      <w:r w:rsidR="00947DDA">
        <w:rPr>
          <w:rFonts w:eastAsiaTheme="minorHAnsi"/>
          <w:sz w:val="22"/>
          <w:szCs w:val="22"/>
          <w:lang w:eastAsia="en-US"/>
        </w:rPr>
        <w:t>.</w:t>
      </w:r>
    </w:p>
    <w:p w14:paraId="1B52DAE2" w14:textId="311E1D39" w:rsidR="007D2E08" w:rsidRDefault="007D2E08" w:rsidP="007D2E08">
      <w:pPr>
        <w:spacing w:before="160"/>
        <w:ind w:firstLine="851"/>
        <w:jc w:val="both"/>
        <w:rPr>
          <w:rFonts w:eastAsiaTheme="minorHAnsi"/>
          <w:b/>
          <w:bCs/>
          <w:sz w:val="22"/>
          <w:szCs w:val="22"/>
          <w:lang w:eastAsia="en-US"/>
        </w:rPr>
      </w:pPr>
      <w:r w:rsidRPr="0073749E">
        <w:rPr>
          <w:rFonts w:eastAsiaTheme="minorHAnsi"/>
          <w:b/>
          <w:bCs/>
          <w:sz w:val="22"/>
          <w:szCs w:val="22"/>
          <w:lang w:eastAsia="en-US"/>
        </w:rPr>
        <w:t xml:space="preserve">Приложение </w:t>
      </w:r>
      <w:r w:rsidR="00947DDA">
        <w:rPr>
          <w:rFonts w:eastAsiaTheme="minorHAnsi"/>
          <w:b/>
          <w:bCs/>
          <w:sz w:val="22"/>
          <w:szCs w:val="22"/>
          <w:lang w:eastAsia="en-US"/>
        </w:rPr>
        <w:t>3</w:t>
      </w:r>
      <w:r w:rsidRPr="0073749E">
        <w:rPr>
          <w:rFonts w:eastAsiaTheme="minorHAnsi"/>
          <w:b/>
          <w:bCs/>
          <w:sz w:val="22"/>
          <w:szCs w:val="22"/>
          <w:lang w:eastAsia="en-US"/>
        </w:rPr>
        <w:t>.</w:t>
      </w:r>
      <w:r w:rsidRPr="0073749E">
        <w:rPr>
          <w:rFonts w:eastAsiaTheme="minorHAnsi"/>
          <w:sz w:val="22"/>
          <w:szCs w:val="22"/>
          <w:lang w:eastAsia="en-US"/>
        </w:rPr>
        <w:t xml:space="preserve"> </w:t>
      </w:r>
      <w:r w:rsidRPr="00E25939">
        <w:rPr>
          <w:bCs/>
          <w:iCs/>
        </w:rPr>
        <w:t xml:space="preserve">География крупнейших сетевых </w:t>
      </w:r>
      <w:r w:rsidR="00D77B29">
        <w:rPr>
          <w:bCs/>
          <w:iCs/>
        </w:rPr>
        <w:t>алкогольных магазинов</w:t>
      </w:r>
    </w:p>
    <w:p w14:paraId="1A121204" w14:textId="4A112538" w:rsidR="007D2E08" w:rsidRDefault="007D2E08" w:rsidP="007D2E08">
      <w:pPr>
        <w:spacing w:before="160"/>
        <w:rPr>
          <w:rFonts w:eastAsiaTheme="minorHAnsi"/>
          <w:b/>
          <w:bCs/>
          <w:sz w:val="22"/>
          <w:szCs w:val="22"/>
          <w:lang w:eastAsia="en-US"/>
        </w:rPr>
      </w:pPr>
      <w:r>
        <w:rPr>
          <w:rFonts w:eastAsiaTheme="minorHAnsi"/>
          <w:b/>
          <w:bCs/>
          <w:noProof/>
          <w:sz w:val="22"/>
          <w:szCs w:val="22"/>
          <w:lang w:eastAsia="en-US"/>
        </w:rPr>
        <w:drawing>
          <wp:inline distT="0" distB="0" distL="0" distR="0" wp14:anchorId="16F90470" wp14:editId="59E61163">
            <wp:extent cx="5629522" cy="689874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8689" cy="6922229"/>
                    </a:xfrm>
                    <a:prstGeom prst="rect">
                      <a:avLst/>
                    </a:prstGeom>
                    <a:noFill/>
                  </pic:spPr>
                </pic:pic>
              </a:graphicData>
            </a:graphic>
          </wp:inline>
        </w:drawing>
      </w:r>
    </w:p>
    <w:p w14:paraId="0ECDC358" w14:textId="4EB7105D" w:rsidR="007D2E08" w:rsidRPr="007D2E08" w:rsidRDefault="007D2E08" w:rsidP="007D2E08">
      <w:pPr>
        <w:spacing w:line="240" w:lineRule="auto"/>
        <w:rPr>
          <w:bCs/>
          <w:iCs/>
        </w:rPr>
      </w:pPr>
      <w:r w:rsidRPr="007D2E08">
        <w:rPr>
          <w:bCs/>
          <w:iCs/>
          <w:sz w:val="22"/>
          <w:szCs w:val="22"/>
        </w:rPr>
        <w:t>* Составлено автором</w:t>
      </w:r>
    </w:p>
    <w:p w14:paraId="2C85F41C" w14:textId="0BA4FE5E" w:rsidR="00947DDA" w:rsidRDefault="00947DDA" w:rsidP="00947DDA">
      <w:pPr>
        <w:spacing w:before="160"/>
        <w:ind w:firstLine="851"/>
        <w:jc w:val="both"/>
        <w:rPr>
          <w:rFonts w:eastAsiaTheme="minorHAnsi"/>
          <w:b/>
          <w:bCs/>
          <w:sz w:val="22"/>
          <w:szCs w:val="22"/>
          <w:lang w:eastAsia="en-US"/>
        </w:rPr>
      </w:pPr>
      <w:r w:rsidRPr="0073749E">
        <w:rPr>
          <w:rFonts w:eastAsiaTheme="minorHAnsi"/>
          <w:b/>
          <w:bCs/>
          <w:sz w:val="22"/>
          <w:szCs w:val="22"/>
          <w:lang w:eastAsia="en-US"/>
        </w:rPr>
        <w:lastRenderedPageBreak/>
        <w:t xml:space="preserve">Приложение </w:t>
      </w:r>
      <w:r>
        <w:rPr>
          <w:rFonts w:eastAsiaTheme="minorHAnsi"/>
          <w:b/>
          <w:bCs/>
          <w:sz w:val="22"/>
          <w:szCs w:val="22"/>
          <w:lang w:eastAsia="en-US"/>
        </w:rPr>
        <w:t>4</w:t>
      </w:r>
      <w:r w:rsidRPr="0073749E">
        <w:rPr>
          <w:rFonts w:eastAsiaTheme="minorHAnsi"/>
          <w:b/>
          <w:bCs/>
          <w:sz w:val="22"/>
          <w:szCs w:val="22"/>
          <w:lang w:eastAsia="en-US"/>
        </w:rPr>
        <w:t>.</w:t>
      </w:r>
      <w:r w:rsidRPr="0073749E">
        <w:rPr>
          <w:rFonts w:eastAsiaTheme="minorHAnsi"/>
          <w:sz w:val="22"/>
          <w:szCs w:val="22"/>
          <w:lang w:eastAsia="en-US"/>
        </w:rPr>
        <w:t xml:space="preserve"> </w:t>
      </w:r>
      <w:r>
        <w:rPr>
          <w:bCs/>
          <w:iCs/>
        </w:rPr>
        <w:t>Уровень разнообразия пекарен в разрезе муниципальных округов</w:t>
      </w:r>
    </w:p>
    <w:p w14:paraId="29F2A932" w14:textId="77777777" w:rsidR="00947DDA" w:rsidRDefault="00947DDA" w:rsidP="00947DDA">
      <w:pPr>
        <w:spacing w:before="160"/>
        <w:rPr>
          <w:rFonts w:eastAsiaTheme="minorHAnsi"/>
          <w:b/>
          <w:bCs/>
          <w:sz w:val="22"/>
          <w:szCs w:val="22"/>
          <w:lang w:eastAsia="en-US"/>
        </w:rPr>
      </w:pPr>
      <w:r w:rsidRPr="00E25939">
        <w:rPr>
          <w:noProof/>
        </w:rPr>
        <w:drawing>
          <wp:inline distT="0" distB="0" distL="0" distR="0" wp14:anchorId="4BC58135" wp14:editId="1BBE9E3D">
            <wp:extent cx="5000376" cy="4182701"/>
            <wp:effectExtent l="0" t="0" r="0" b="0"/>
            <wp:docPr id="70" name="Рисунок 7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Diagram, map&#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6409" t="15167" r="9210" b="8702"/>
                    <a:stretch/>
                  </pic:blipFill>
                  <pic:spPr bwMode="auto">
                    <a:xfrm>
                      <a:off x="0" y="0"/>
                      <a:ext cx="5044461" cy="4219577"/>
                    </a:xfrm>
                    <a:prstGeom prst="rect">
                      <a:avLst/>
                    </a:prstGeom>
                    <a:noFill/>
                    <a:ln>
                      <a:noFill/>
                    </a:ln>
                    <a:extLst>
                      <a:ext uri="{53640926-AAD7-44D8-BBD7-CCE9431645EC}">
                        <a14:shadowObscured xmlns:a14="http://schemas.microsoft.com/office/drawing/2010/main"/>
                      </a:ext>
                    </a:extLst>
                  </pic:spPr>
                </pic:pic>
              </a:graphicData>
            </a:graphic>
          </wp:inline>
        </w:drawing>
      </w:r>
    </w:p>
    <w:p w14:paraId="5D51A087" w14:textId="77777777" w:rsidR="00947DDA" w:rsidRPr="00947DDA" w:rsidRDefault="00947DDA" w:rsidP="00947DDA">
      <w:pPr>
        <w:spacing w:after="160" w:line="240" w:lineRule="auto"/>
        <w:rPr>
          <w:bCs/>
          <w:iCs/>
        </w:rPr>
      </w:pPr>
      <w:r w:rsidRPr="007D2E08">
        <w:rPr>
          <w:bCs/>
          <w:iCs/>
          <w:sz w:val="22"/>
          <w:szCs w:val="22"/>
        </w:rPr>
        <w:t>* Составлено автором</w:t>
      </w:r>
    </w:p>
    <w:p w14:paraId="332BA5D7" w14:textId="14FB534D" w:rsidR="00947DDA" w:rsidRPr="00947DDA" w:rsidRDefault="00947DDA" w:rsidP="00947DDA">
      <w:pPr>
        <w:ind w:firstLine="851"/>
        <w:jc w:val="both"/>
      </w:pPr>
      <w:r w:rsidRPr="00E25939">
        <w:t xml:space="preserve">Максимальный зарегистрированный индекс разнообразия сетевых </w:t>
      </w:r>
      <w:r>
        <w:t>пекарен</w:t>
      </w:r>
      <w:r w:rsidRPr="00E25939">
        <w:t xml:space="preserve"> составляет 100% и наблюдается в 30 округах, что свидетельствует о наибольшей конкуренции торговых объектов в них. Минимальное значение составило 0% в округах, где сетевые пекарни отсутствуют (в 24 округах). В целом можно сделать вывод об относительно однородной степени конкуренции пекарен на большей части территории города, в среднем она колеблется в районе 80%. Максимальная конкуренция наблюдается как в центральных районах, ориентированных на «дневное» население, так и в «спальных» районах Санкт-Петербурга, где проживает основная часть граждан.</w:t>
      </w:r>
    </w:p>
    <w:p w14:paraId="0F440177" w14:textId="77777777" w:rsidR="00947DDA" w:rsidRDefault="00947DDA" w:rsidP="007D2E08">
      <w:pPr>
        <w:spacing w:before="160"/>
        <w:ind w:firstLine="851"/>
        <w:jc w:val="both"/>
        <w:rPr>
          <w:rFonts w:eastAsiaTheme="minorHAnsi"/>
          <w:b/>
          <w:bCs/>
          <w:sz w:val="22"/>
          <w:szCs w:val="22"/>
          <w:lang w:eastAsia="en-US"/>
        </w:rPr>
      </w:pPr>
      <w:r>
        <w:rPr>
          <w:rFonts w:eastAsiaTheme="minorHAnsi"/>
          <w:b/>
          <w:bCs/>
          <w:sz w:val="22"/>
          <w:szCs w:val="22"/>
          <w:lang w:eastAsia="en-US"/>
        </w:rPr>
        <w:br w:type="page"/>
      </w:r>
    </w:p>
    <w:p w14:paraId="53C583DC" w14:textId="53BF00F0" w:rsidR="0073749E" w:rsidRPr="0073749E" w:rsidRDefault="0073749E" w:rsidP="007D2E08">
      <w:pPr>
        <w:spacing w:before="160"/>
        <w:ind w:firstLine="851"/>
        <w:jc w:val="both"/>
        <w:rPr>
          <w:rFonts w:eastAsiaTheme="minorHAnsi"/>
          <w:b/>
          <w:bCs/>
          <w:sz w:val="22"/>
          <w:szCs w:val="22"/>
          <w:lang w:eastAsia="en-US"/>
        </w:rPr>
      </w:pPr>
      <w:r w:rsidRPr="0073749E">
        <w:rPr>
          <w:rFonts w:eastAsiaTheme="minorHAnsi"/>
          <w:b/>
          <w:bCs/>
          <w:sz w:val="22"/>
          <w:szCs w:val="22"/>
          <w:lang w:eastAsia="en-US"/>
        </w:rPr>
        <w:lastRenderedPageBreak/>
        <w:t xml:space="preserve">Приложение </w:t>
      </w:r>
      <w:r w:rsidR="00947DDA">
        <w:rPr>
          <w:rFonts w:eastAsiaTheme="minorHAnsi"/>
          <w:b/>
          <w:bCs/>
          <w:sz w:val="22"/>
          <w:szCs w:val="22"/>
          <w:lang w:eastAsia="en-US"/>
        </w:rPr>
        <w:t>5</w:t>
      </w:r>
      <w:r w:rsidRPr="0073749E">
        <w:rPr>
          <w:rFonts w:eastAsiaTheme="minorHAnsi"/>
          <w:b/>
          <w:bCs/>
          <w:sz w:val="22"/>
          <w:szCs w:val="22"/>
          <w:lang w:eastAsia="en-US"/>
        </w:rPr>
        <w:t>.</w:t>
      </w:r>
      <w:r w:rsidRPr="0073749E">
        <w:rPr>
          <w:rFonts w:eastAsiaTheme="minorHAnsi"/>
          <w:sz w:val="22"/>
          <w:szCs w:val="22"/>
          <w:lang w:eastAsia="en-US"/>
        </w:rPr>
        <w:t xml:space="preserve"> </w:t>
      </w:r>
      <w:r w:rsidR="007D2E08" w:rsidRPr="00E25939">
        <w:rPr>
          <w:bCs/>
          <w:iCs/>
        </w:rPr>
        <w:t>География крупнейших сетевых пекарен</w:t>
      </w:r>
    </w:p>
    <w:p w14:paraId="62524090" w14:textId="77777777" w:rsidR="007D2E08" w:rsidRDefault="0073749E" w:rsidP="00947DDA">
      <w:pPr>
        <w:spacing w:before="160"/>
        <w:rPr>
          <w:rFonts w:eastAsiaTheme="minorHAnsi"/>
          <w:sz w:val="22"/>
          <w:szCs w:val="22"/>
          <w:lang w:eastAsia="en-US"/>
        </w:rPr>
      </w:pPr>
      <w:r w:rsidRPr="00E25939">
        <w:rPr>
          <w:noProof/>
        </w:rPr>
        <w:drawing>
          <wp:inline distT="0" distB="0" distL="0" distR="0" wp14:anchorId="1BF81354" wp14:editId="2FC26916">
            <wp:extent cx="5820844" cy="8383509"/>
            <wp:effectExtent l="0" t="0" r="0" b="0"/>
            <wp:docPr id="77" name="Рисунок 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Map&#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74365" cy="8460593"/>
                    </a:xfrm>
                    <a:prstGeom prst="rect">
                      <a:avLst/>
                    </a:prstGeom>
                    <a:noFill/>
                  </pic:spPr>
                </pic:pic>
              </a:graphicData>
            </a:graphic>
          </wp:inline>
        </w:drawing>
      </w:r>
    </w:p>
    <w:p w14:paraId="0F7773CC" w14:textId="345176B0" w:rsidR="007D2E08" w:rsidRDefault="007D2E08" w:rsidP="007D2E08">
      <w:pPr>
        <w:spacing w:line="240" w:lineRule="auto"/>
        <w:rPr>
          <w:bCs/>
          <w:iCs/>
          <w:sz w:val="22"/>
          <w:szCs w:val="22"/>
        </w:rPr>
      </w:pPr>
      <w:bookmarkStart w:id="41" w:name="_Hlk103548371"/>
      <w:r w:rsidRPr="007D2E08">
        <w:rPr>
          <w:bCs/>
          <w:iCs/>
          <w:sz w:val="22"/>
          <w:szCs w:val="22"/>
        </w:rPr>
        <w:t>* Составлено автором</w:t>
      </w:r>
    </w:p>
    <w:bookmarkEnd w:id="41"/>
    <w:p w14:paraId="08A150C2" w14:textId="13B7AF10" w:rsidR="0068595E" w:rsidRPr="0073749E" w:rsidRDefault="0068595E" w:rsidP="0068595E">
      <w:pPr>
        <w:spacing w:before="160"/>
        <w:ind w:firstLine="851"/>
        <w:jc w:val="both"/>
        <w:rPr>
          <w:rFonts w:eastAsiaTheme="minorHAnsi"/>
          <w:b/>
          <w:bCs/>
          <w:sz w:val="22"/>
          <w:szCs w:val="22"/>
          <w:lang w:eastAsia="en-US"/>
        </w:rPr>
      </w:pPr>
      <w:r w:rsidRPr="0073749E">
        <w:rPr>
          <w:rFonts w:eastAsiaTheme="minorHAnsi"/>
          <w:b/>
          <w:bCs/>
          <w:sz w:val="22"/>
          <w:szCs w:val="22"/>
          <w:lang w:eastAsia="en-US"/>
        </w:rPr>
        <w:lastRenderedPageBreak/>
        <w:t xml:space="preserve">Приложение </w:t>
      </w:r>
      <w:r>
        <w:rPr>
          <w:rFonts w:eastAsiaTheme="minorHAnsi"/>
          <w:b/>
          <w:bCs/>
          <w:sz w:val="22"/>
          <w:szCs w:val="22"/>
          <w:lang w:eastAsia="en-US"/>
        </w:rPr>
        <w:t>6</w:t>
      </w:r>
      <w:r w:rsidRPr="0073749E">
        <w:rPr>
          <w:rFonts w:eastAsiaTheme="minorHAnsi"/>
          <w:b/>
          <w:bCs/>
          <w:sz w:val="22"/>
          <w:szCs w:val="22"/>
          <w:lang w:eastAsia="en-US"/>
        </w:rPr>
        <w:t>.</w:t>
      </w:r>
      <w:r w:rsidRPr="0073749E">
        <w:rPr>
          <w:rFonts w:eastAsiaTheme="minorHAnsi"/>
          <w:sz w:val="22"/>
          <w:szCs w:val="22"/>
          <w:lang w:eastAsia="en-US"/>
        </w:rPr>
        <w:t xml:space="preserve"> </w:t>
      </w:r>
      <w:r>
        <w:rPr>
          <w:bCs/>
          <w:iCs/>
        </w:rPr>
        <w:t>Уровень монополизации рынка пекарен Васильевского острова с применением модели Хаффа</w:t>
      </w:r>
    </w:p>
    <w:p w14:paraId="3442FAEE" w14:textId="35E8644C" w:rsidR="0068595E" w:rsidRPr="00E25939" w:rsidRDefault="0068595E" w:rsidP="0068595E">
      <w:pPr>
        <w:spacing w:before="160" w:line="240" w:lineRule="auto"/>
        <w:rPr>
          <w:bCs/>
          <w:iCs/>
        </w:rPr>
      </w:pPr>
      <w:r w:rsidRPr="00E25939">
        <w:rPr>
          <w:noProof/>
        </w:rPr>
        <w:drawing>
          <wp:inline distT="0" distB="0" distL="0" distR="0" wp14:anchorId="2F5C9738" wp14:editId="46C05AE9">
            <wp:extent cx="5392046" cy="4110273"/>
            <wp:effectExtent l="0" t="0" r="0" b="0"/>
            <wp:docPr id="88" name="Рисунок 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Map&#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l="3870" t="13301" r="24403" b="7021"/>
                    <a:stretch/>
                  </pic:blipFill>
                  <pic:spPr bwMode="auto">
                    <a:xfrm>
                      <a:off x="0" y="0"/>
                      <a:ext cx="5401128" cy="4117196"/>
                    </a:xfrm>
                    <a:prstGeom prst="rect">
                      <a:avLst/>
                    </a:prstGeom>
                    <a:noFill/>
                    <a:ln>
                      <a:noFill/>
                    </a:ln>
                    <a:extLst>
                      <a:ext uri="{53640926-AAD7-44D8-BBD7-CCE9431645EC}">
                        <a14:shadowObscured xmlns:a14="http://schemas.microsoft.com/office/drawing/2010/main"/>
                      </a:ext>
                    </a:extLst>
                  </pic:spPr>
                </pic:pic>
              </a:graphicData>
            </a:graphic>
          </wp:inline>
        </w:drawing>
      </w:r>
    </w:p>
    <w:p w14:paraId="2387580E" w14:textId="77777777" w:rsidR="0068595E" w:rsidRDefault="0068595E" w:rsidP="0068595E">
      <w:pPr>
        <w:spacing w:after="160"/>
        <w:rPr>
          <w:rFonts w:eastAsiaTheme="minorHAnsi"/>
          <w:sz w:val="22"/>
          <w:szCs w:val="22"/>
          <w:lang w:eastAsia="en-US"/>
        </w:rPr>
      </w:pPr>
      <w:r w:rsidRPr="0068595E">
        <w:rPr>
          <w:rFonts w:eastAsiaTheme="minorHAnsi"/>
          <w:sz w:val="22"/>
          <w:szCs w:val="22"/>
          <w:lang w:eastAsia="en-US"/>
        </w:rPr>
        <w:t>* Составлено автором</w:t>
      </w:r>
    </w:p>
    <w:p w14:paraId="4690C27A" w14:textId="6DE92067" w:rsidR="00C52C9A" w:rsidRPr="00E25939" w:rsidRDefault="0068595E" w:rsidP="00C52C9A">
      <w:pPr>
        <w:ind w:firstLine="709"/>
        <w:jc w:val="both"/>
      </w:pPr>
      <w:r>
        <w:rPr>
          <w:rFonts w:eastAsiaTheme="minorHAnsi"/>
          <w:sz w:val="22"/>
          <w:szCs w:val="22"/>
          <w:lang w:eastAsia="en-US"/>
        </w:rPr>
        <w:t>На основе модели Хаффа был рассчитан уровень привлекательности пекарен для клиентов, постоянно проживающих на территории Васильевского острова.</w:t>
      </w:r>
      <w:r w:rsidR="00C52C9A">
        <w:rPr>
          <w:rFonts w:eastAsiaTheme="minorHAnsi"/>
          <w:sz w:val="22"/>
          <w:szCs w:val="22"/>
          <w:lang w:eastAsia="en-US"/>
        </w:rPr>
        <w:t xml:space="preserve"> </w:t>
      </w:r>
      <w:r w:rsidR="00C52C9A" w:rsidRPr="00E25939">
        <w:t>Данный показатель можно назвать индикатором уровня монополизации торговли: чем он выше в каждой точке пространства, тем значительнее привязанность жителей домов данной территории к какому-либо одному торговому объекту (красная зона). Напротив, чем он ниже, тем ниже привязанность к какой-то одной торговой точке, тем выше уровень конкуренции (синие зоны). На значительных территориях Васильевского острова наблюдается высокий показатель конкуренции среди пекарен. Однако это не совсем так, поскольку те территории, где пекарни отсутствуют –</w:t>
      </w:r>
      <w:r w:rsidR="00C52C9A">
        <w:t xml:space="preserve"> </w:t>
      </w:r>
      <w:r w:rsidR="00C52C9A" w:rsidRPr="00E25939">
        <w:t>это в наибольшей степени промышленные зоны, в которых строительство пекарен нецелесообразно. Центральная часть острова, южнее Смоленского кладбища может быть рассмотрена как территория высокой конкуренции, поскольку местные жители не имеют поблизости пекарен</w:t>
      </w:r>
      <w:r w:rsidR="00C52C9A">
        <w:t xml:space="preserve"> и</w:t>
      </w:r>
      <w:r w:rsidR="00C52C9A" w:rsidRPr="00E25939">
        <w:t xml:space="preserve"> вынуждены выбирать более дальние торговые точки.</w:t>
      </w:r>
    </w:p>
    <w:p w14:paraId="3AAF3679" w14:textId="3A818A1A" w:rsidR="00510E95" w:rsidRPr="00814CD8" w:rsidRDefault="00A4105E" w:rsidP="0068595E">
      <w:pPr>
        <w:spacing w:after="160"/>
        <w:ind w:firstLine="851"/>
        <w:jc w:val="both"/>
        <w:rPr>
          <w:rFonts w:eastAsiaTheme="minorHAnsi"/>
          <w:sz w:val="22"/>
          <w:szCs w:val="22"/>
          <w:lang w:eastAsia="en-US"/>
        </w:rPr>
      </w:pPr>
      <w:r>
        <w:rPr>
          <w:rFonts w:eastAsiaTheme="minorHAnsi"/>
          <w:sz w:val="22"/>
          <w:szCs w:val="22"/>
          <w:lang w:eastAsia="en-US"/>
        </w:rPr>
        <w:br w:type="page"/>
      </w:r>
    </w:p>
    <w:p w14:paraId="497A51FD" w14:textId="488B3C4D" w:rsidR="00814CD8" w:rsidRPr="00860DD8" w:rsidRDefault="00860DD8" w:rsidP="00A4105E">
      <w:pPr>
        <w:pStyle w:val="Heading1"/>
        <w:spacing w:before="0" w:after="160"/>
        <w:jc w:val="center"/>
        <w:rPr>
          <w:rFonts w:ascii="Times New Roman" w:eastAsiaTheme="minorHAnsi" w:hAnsi="Times New Roman" w:cs="Times New Roman"/>
          <w:b/>
          <w:bCs/>
          <w:color w:val="auto"/>
          <w:sz w:val="28"/>
          <w:szCs w:val="28"/>
        </w:rPr>
      </w:pPr>
      <w:bookmarkStart w:id="42" w:name="_Toc103641040"/>
      <w:r w:rsidRPr="00860DD8">
        <w:rPr>
          <w:rFonts w:ascii="Times New Roman" w:eastAsiaTheme="minorHAnsi" w:hAnsi="Times New Roman" w:cs="Times New Roman"/>
          <w:b/>
          <w:bCs/>
          <w:color w:val="auto"/>
          <w:sz w:val="28"/>
          <w:szCs w:val="28"/>
        </w:rPr>
        <w:lastRenderedPageBreak/>
        <w:t>Список литературы</w:t>
      </w:r>
      <w:bookmarkEnd w:id="42"/>
    </w:p>
    <w:p w14:paraId="7E810995" w14:textId="77777777" w:rsidR="0008287B" w:rsidRPr="0008287B" w:rsidRDefault="0008287B" w:rsidP="0008287B">
      <w:pPr>
        <w:numPr>
          <w:ilvl w:val="0"/>
          <w:numId w:val="1"/>
        </w:numPr>
        <w:contextualSpacing/>
        <w:jc w:val="both"/>
        <w:rPr>
          <w:rFonts w:eastAsiaTheme="minorHAnsi"/>
          <w:szCs w:val="22"/>
          <w:lang w:val="en-US" w:eastAsia="en-US"/>
        </w:rPr>
      </w:pPr>
      <w:r w:rsidRPr="0008287B">
        <w:rPr>
          <w:rFonts w:eastAsiaTheme="minorHAnsi"/>
          <w:szCs w:val="22"/>
          <w:lang w:val="en-US" w:eastAsia="en-US"/>
        </w:rPr>
        <w:t>Axenov K., Brade I., Bondarchuk E. The Transformation of Urban Space in Post-Soviet Russia // Abingdon, Oxon. – 2006.</w:t>
      </w:r>
    </w:p>
    <w:p w14:paraId="3759A386"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val="en-US" w:eastAsia="en-US"/>
        </w:rPr>
        <w:t xml:space="preserve">Dicken, P., &amp; Lloyd, P. E. Location in space: Theoretical perspectives in economic geography. </w:t>
      </w:r>
      <w:r w:rsidRPr="0008287B">
        <w:rPr>
          <w:rFonts w:eastAsiaTheme="minorHAnsi"/>
          <w:szCs w:val="22"/>
          <w:lang w:eastAsia="en-US"/>
        </w:rPr>
        <w:t>Newyork: Harper and Row, 1990.</w:t>
      </w:r>
    </w:p>
    <w:p w14:paraId="04E3120B" w14:textId="24E48DA3" w:rsidR="0008287B" w:rsidRDefault="0008287B" w:rsidP="0008287B">
      <w:pPr>
        <w:numPr>
          <w:ilvl w:val="0"/>
          <w:numId w:val="1"/>
        </w:numPr>
        <w:contextualSpacing/>
        <w:jc w:val="both"/>
        <w:rPr>
          <w:rFonts w:eastAsiaTheme="minorHAnsi"/>
          <w:szCs w:val="22"/>
          <w:lang w:val="en-US" w:eastAsia="en-US"/>
        </w:rPr>
      </w:pPr>
      <w:r w:rsidRPr="0008287B">
        <w:rPr>
          <w:rFonts w:eastAsiaTheme="minorHAnsi"/>
          <w:szCs w:val="22"/>
          <w:lang w:val="en-US" w:eastAsia="en-US"/>
        </w:rPr>
        <w:t>Jones, L. L., &amp; Woods, M. D. Economic location theory and practice // Texas A and M University. – 2002.</w:t>
      </w:r>
    </w:p>
    <w:p w14:paraId="6F1A59FD" w14:textId="20DF2DB0" w:rsidR="00465D12" w:rsidRPr="00465D12" w:rsidRDefault="00465D12" w:rsidP="00465D12">
      <w:pPr>
        <w:pStyle w:val="ListParagraph"/>
        <w:numPr>
          <w:ilvl w:val="0"/>
          <w:numId w:val="1"/>
        </w:numPr>
      </w:pPr>
      <w:r w:rsidRPr="00465D12">
        <w:t>Neoanalytics. Анализ российского рынка хлеба и хлебобулочных изделий: итоги 2019 г., прогноз до 2022 г.</w:t>
      </w:r>
      <w:r w:rsidR="00874CAB">
        <w:t xml:space="preserve"> </w:t>
      </w:r>
      <w:r w:rsidRPr="00465D12">
        <w:t>// [Электронный ресурс]</w:t>
      </w:r>
      <w:r w:rsidR="00874CAB">
        <w:t>. 2020.</w:t>
      </w:r>
      <w:r w:rsidRPr="00465D12">
        <w:t xml:space="preserve"> </w:t>
      </w:r>
      <w:r>
        <w:t>Режим доступа</w:t>
      </w:r>
      <w:r w:rsidRPr="00465D12">
        <w:t>: https://marketing.rbc.ru/articles/11527/#:~:text=%D0%94%D0%BE%D0%BB%D1%8F%20%D0%BF%D1%80%D0%BE%D0%BC%D1%8B%D1%88%D0%BB%D0%B5%D0%BD%D0%BD%D1%8B%D1%85%20(%D0%BA%D1%80%D1%83%D0%BF%D0%BD%D1%8B%D1%85%20%D0%B8%20%D1%81%D1%80%D0%B5%D0%B4%D0%BD%D0%B8%D1%85,%D0%92%202019%20%D0%B3.</w:t>
      </w:r>
    </w:p>
    <w:p w14:paraId="1637D29E" w14:textId="77777777" w:rsidR="0008287B" w:rsidRPr="0008287B" w:rsidRDefault="0008287B" w:rsidP="0008287B">
      <w:pPr>
        <w:numPr>
          <w:ilvl w:val="0"/>
          <w:numId w:val="1"/>
        </w:numPr>
        <w:contextualSpacing/>
        <w:jc w:val="both"/>
        <w:rPr>
          <w:rFonts w:eastAsiaTheme="minorHAnsi"/>
          <w:szCs w:val="22"/>
          <w:lang w:val="en-US" w:eastAsia="en-US"/>
        </w:rPr>
      </w:pPr>
      <w:r w:rsidRPr="0008287B">
        <w:rPr>
          <w:rFonts w:eastAsiaTheme="minorHAnsi"/>
          <w:szCs w:val="22"/>
          <w:lang w:val="en-US" w:eastAsia="en-US"/>
        </w:rPr>
        <w:t>Pred, A. Behavior and Location: Foundations for a Geographic and Dynamic Location Theory. Vol. 1. Lund Studies in Geography, Series B, No. 27. Lund: Gleerup, 1967.</w:t>
      </w:r>
    </w:p>
    <w:p w14:paraId="7697A7B9" w14:textId="546718BE"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val="en-US" w:eastAsia="en-US"/>
        </w:rPr>
        <w:t xml:space="preserve">Renner, G. T. (1947). Geography of industrial localisation. </w:t>
      </w:r>
      <w:r w:rsidRPr="0008287B">
        <w:rPr>
          <w:rFonts w:eastAsiaTheme="minorHAnsi"/>
          <w:szCs w:val="22"/>
          <w:lang w:eastAsia="en-US"/>
        </w:rPr>
        <w:t xml:space="preserve">Economic Geography, 23(3). </w:t>
      </w:r>
      <w:r>
        <w:rPr>
          <w:rFonts w:eastAsiaTheme="minorHAnsi"/>
          <w:szCs w:val="22"/>
          <w:lang w:val="en-US" w:eastAsia="en-US"/>
        </w:rPr>
        <w:t>P.</w:t>
      </w:r>
      <w:r w:rsidRPr="0008287B">
        <w:rPr>
          <w:rFonts w:eastAsiaTheme="minorHAnsi"/>
          <w:szCs w:val="22"/>
          <w:lang w:eastAsia="en-US"/>
        </w:rPr>
        <w:t>167–189</w:t>
      </w:r>
      <w:r w:rsidR="00056CC2">
        <w:rPr>
          <w:rFonts w:eastAsiaTheme="minorHAnsi"/>
          <w:szCs w:val="22"/>
          <w:lang w:eastAsia="en-US"/>
        </w:rPr>
        <w:t>.</w:t>
      </w:r>
    </w:p>
    <w:p w14:paraId="330A6A7B" w14:textId="6B4653AB" w:rsidR="0008287B" w:rsidRPr="00874CAB" w:rsidRDefault="0008287B" w:rsidP="00056CC2">
      <w:pPr>
        <w:numPr>
          <w:ilvl w:val="0"/>
          <w:numId w:val="1"/>
        </w:numPr>
        <w:contextualSpacing/>
        <w:jc w:val="both"/>
        <w:rPr>
          <w:rFonts w:eastAsiaTheme="minorHAnsi"/>
          <w:szCs w:val="22"/>
          <w:lang w:eastAsia="en-US"/>
        </w:rPr>
      </w:pPr>
      <w:r w:rsidRPr="0008287B">
        <w:rPr>
          <w:rFonts w:eastAsiaTheme="minorHAnsi"/>
          <w:szCs w:val="22"/>
          <w:lang w:val="en-US" w:eastAsia="en-US"/>
        </w:rPr>
        <w:t>Towhidur Rahman S. M. &amp; Ahsanul Kabir. Factors influencing location choice and cluster pattern of manufacturing small and medium enterprises in cities: evidence from Khulna City of Bangladesh</w:t>
      </w:r>
      <w:r>
        <w:rPr>
          <w:rFonts w:eastAsiaTheme="minorHAnsi"/>
          <w:szCs w:val="22"/>
          <w:lang w:val="en-US" w:eastAsia="en-US"/>
        </w:rPr>
        <w:t xml:space="preserve"> // </w:t>
      </w:r>
      <w:r w:rsidRPr="0008287B">
        <w:rPr>
          <w:rFonts w:eastAsiaTheme="minorHAnsi"/>
          <w:szCs w:val="22"/>
          <w:lang w:val="en-US" w:eastAsia="en-US"/>
        </w:rPr>
        <w:t>Journal of Global Entrepreneurship Research volume 9, Article number: 61</w:t>
      </w:r>
      <w:r w:rsidR="00056CC2" w:rsidRPr="00056CC2">
        <w:rPr>
          <w:rFonts w:eastAsiaTheme="minorHAnsi"/>
          <w:szCs w:val="22"/>
          <w:lang w:val="en-US" w:eastAsia="en-US"/>
        </w:rPr>
        <w:t xml:space="preserve"> </w:t>
      </w:r>
      <w:r w:rsidRPr="0008287B">
        <w:rPr>
          <w:rFonts w:eastAsiaTheme="minorHAnsi"/>
          <w:szCs w:val="22"/>
          <w:lang w:val="en-US" w:eastAsia="en-US"/>
        </w:rPr>
        <w:t>(2019) [</w:t>
      </w:r>
      <w:r w:rsidRPr="0008287B">
        <w:rPr>
          <w:rFonts w:eastAsiaTheme="minorHAnsi"/>
          <w:szCs w:val="22"/>
          <w:lang w:eastAsia="en-US"/>
        </w:rPr>
        <w:t>Электронный</w:t>
      </w:r>
      <w:r w:rsidRPr="0008287B">
        <w:rPr>
          <w:rFonts w:eastAsiaTheme="minorHAnsi"/>
          <w:szCs w:val="22"/>
          <w:lang w:val="en-US" w:eastAsia="en-US"/>
        </w:rPr>
        <w:t xml:space="preserve"> </w:t>
      </w:r>
      <w:r w:rsidRPr="0008287B">
        <w:rPr>
          <w:rFonts w:eastAsiaTheme="minorHAnsi"/>
          <w:szCs w:val="22"/>
          <w:lang w:eastAsia="en-US"/>
        </w:rPr>
        <w:t>ресурс</w:t>
      </w:r>
      <w:r w:rsidRPr="0008287B">
        <w:rPr>
          <w:rFonts w:eastAsiaTheme="minorHAnsi"/>
          <w:szCs w:val="22"/>
          <w:lang w:val="en-US" w:eastAsia="en-US"/>
        </w:rPr>
        <w:t>]</w:t>
      </w:r>
      <w:r w:rsidR="00874CAB" w:rsidRPr="00874CAB">
        <w:rPr>
          <w:rFonts w:eastAsiaTheme="minorHAnsi"/>
          <w:szCs w:val="22"/>
          <w:lang w:val="en-US" w:eastAsia="en-US"/>
        </w:rPr>
        <w:t>.</w:t>
      </w:r>
      <w:r w:rsidR="00056CC2" w:rsidRPr="00056CC2">
        <w:rPr>
          <w:rFonts w:eastAsiaTheme="minorHAnsi"/>
          <w:szCs w:val="22"/>
          <w:lang w:val="en-US" w:eastAsia="en-US"/>
        </w:rPr>
        <w:t xml:space="preserve"> </w:t>
      </w:r>
      <w:r w:rsidR="00A31AEA" w:rsidRPr="00056CC2">
        <w:rPr>
          <w:rFonts w:eastAsiaTheme="minorHAnsi"/>
          <w:szCs w:val="22"/>
          <w:lang w:eastAsia="en-US"/>
        </w:rPr>
        <w:t>Режим</w:t>
      </w:r>
      <w:r w:rsidR="00A31AEA" w:rsidRPr="00874CAB">
        <w:rPr>
          <w:rFonts w:eastAsiaTheme="minorHAnsi"/>
          <w:szCs w:val="22"/>
          <w:lang w:eastAsia="en-US"/>
        </w:rPr>
        <w:t xml:space="preserve"> </w:t>
      </w:r>
      <w:r w:rsidR="00A31AEA" w:rsidRPr="00056CC2">
        <w:rPr>
          <w:rFonts w:eastAsiaTheme="minorHAnsi"/>
          <w:szCs w:val="22"/>
          <w:lang w:eastAsia="en-US"/>
        </w:rPr>
        <w:t>доступа</w:t>
      </w:r>
      <w:r w:rsidRPr="00874CAB">
        <w:rPr>
          <w:rFonts w:eastAsiaTheme="minorHAnsi"/>
          <w:szCs w:val="22"/>
          <w:lang w:eastAsia="en-US"/>
        </w:rPr>
        <w:t>:</w:t>
      </w:r>
      <w:r w:rsidRPr="00874CAB">
        <w:rPr>
          <w:rFonts w:eastAsiaTheme="minorHAnsi"/>
          <w:szCs w:val="22"/>
          <w:lang w:eastAsia="en-US"/>
        </w:rPr>
        <w:tab/>
      </w:r>
      <w:r w:rsidRPr="00056CC2">
        <w:rPr>
          <w:rFonts w:eastAsiaTheme="minorHAnsi"/>
          <w:szCs w:val="22"/>
          <w:lang w:val="en-US" w:eastAsia="en-US"/>
        </w:rPr>
        <w:t>https</w:t>
      </w:r>
      <w:r w:rsidRPr="00874CAB">
        <w:rPr>
          <w:rFonts w:eastAsiaTheme="minorHAnsi"/>
          <w:szCs w:val="22"/>
          <w:lang w:eastAsia="en-US"/>
        </w:rPr>
        <w:t>://</w:t>
      </w:r>
      <w:r w:rsidRPr="00056CC2">
        <w:rPr>
          <w:rFonts w:eastAsiaTheme="minorHAnsi"/>
          <w:szCs w:val="22"/>
          <w:lang w:val="en-US" w:eastAsia="en-US"/>
        </w:rPr>
        <w:t>journal</w:t>
      </w:r>
      <w:r w:rsidR="00056CC2" w:rsidRPr="00874CAB">
        <w:rPr>
          <w:rFonts w:eastAsiaTheme="minorHAnsi"/>
          <w:szCs w:val="22"/>
          <w:lang w:eastAsia="en-US"/>
        </w:rPr>
        <w:t>-</w:t>
      </w:r>
      <w:r w:rsidRPr="00056CC2">
        <w:rPr>
          <w:rFonts w:eastAsiaTheme="minorHAnsi"/>
          <w:szCs w:val="22"/>
          <w:lang w:val="en-US" w:eastAsia="en-US"/>
        </w:rPr>
        <w:t>jger</w:t>
      </w:r>
      <w:r w:rsidRPr="00874CAB">
        <w:rPr>
          <w:rFonts w:eastAsiaTheme="minorHAnsi"/>
          <w:szCs w:val="22"/>
          <w:lang w:eastAsia="en-US"/>
        </w:rPr>
        <w:t>.</w:t>
      </w:r>
      <w:r w:rsidRPr="00056CC2">
        <w:rPr>
          <w:rFonts w:eastAsiaTheme="minorHAnsi"/>
          <w:szCs w:val="22"/>
          <w:lang w:val="en-US" w:eastAsia="en-US"/>
        </w:rPr>
        <w:t>springeropen</w:t>
      </w:r>
      <w:r w:rsidRPr="00874CAB">
        <w:rPr>
          <w:rFonts w:eastAsiaTheme="minorHAnsi"/>
          <w:szCs w:val="22"/>
          <w:lang w:eastAsia="en-US"/>
        </w:rPr>
        <w:t>.</w:t>
      </w:r>
      <w:r w:rsidRPr="00056CC2">
        <w:rPr>
          <w:rFonts w:eastAsiaTheme="minorHAnsi"/>
          <w:szCs w:val="22"/>
          <w:lang w:val="en-US" w:eastAsia="en-US"/>
        </w:rPr>
        <w:t>com</w:t>
      </w:r>
      <w:r w:rsidRPr="00874CAB">
        <w:rPr>
          <w:rFonts w:eastAsiaTheme="minorHAnsi"/>
          <w:szCs w:val="22"/>
          <w:lang w:eastAsia="en-US"/>
        </w:rPr>
        <w:t>/</w:t>
      </w:r>
      <w:r w:rsidRPr="00056CC2">
        <w:rPr>
          <w:rFonts w:eastAsiaTheme="minorHAnsi"/>
          <w:szCs w:val="22"/>
          <w:lang w:val="en-US" w:eastAsia="en-US"/>
        </w:rPr>
        <w:t>articles</w:t>
      </w:r>
      <w:r w:rsidRPr="00874CAB">
        <w:rPr>
          <w:rFonts w:eastAsiaTheme="minorHAnsi"/>
          <w:szCs w:val="22"/>
          <w:lang w:eastAsia="en-US"/>
        </w:rPr>
        <w:t>/10.1186/</w:t>
      </w:r>
      <w:r w:rsidRPr="00056CC2">
        <w:rPr>
          <w:rFonts w:eastAsiaTheme="minorHAnsi"/>
          <w:szCs w:val="22"/>
          <w:lang w:val="en-US" w:eastAsia="en-US"/>
        </w:rPr>
        <w:t>s</w:t>
      </w:r>
      <w:r w:rsidRPr="00874CAB">
        <w:rPr>
          <w:rFonts w:eastAsiaTheme="minorHAnsi"/>
          <w:szCs w:val="22"/>
          <w:lang w:eastAsia="en-US"/>
        </w:rPr>
        <w:t>40497-019-0187-</w:t>
      </w:r>
      <w:r w:rsidRPr="00056CC2">
        <w:rPr>
          <w:rFonts w:eastAsiaTheme="minorHAnsi"/>
          <w:szCs w:val="22"/>
          <w:lang w:val="en-US" w:eastAsia="en-US"/>
        </w:rPr>
        <w:t>x</w:t>
      </w:r>
      <w:r w:rsidRPr="00874CAB">
        <w:rPr>
          <w:rFonts w:eastAsiaTheme="minorHAnsi"/>
          <w:szCs w:val="22"/>
          <w:lang w:eastAsia="en-US"/>
        </w:rPr>
        <w:t>.</w:t>
      </w:r>
    </w:p>
    <w:p w14:paraId="31A3B758"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val="en-US" w:eastAsia="en-US"/>
        </w:rPr>
        <w:t xml:space="preserve">Van Noort, E. A., &amp; Reijmer, I. A. Location choice of SMEs: The most important determinants. </w:t>
      </w:r>
      <w:r w:rsidRPr="0008287B">
        <w:rPr>
          <w:rFonts w:eastAsiaTheme="minorHAnsi"/>
          <w:szCs w:val="22"/>
          <w:lang w:eastAsia="en-US"/>
        </w:rPr>
        <w:t>EIM Small Business Research and Consultancy: Zoetermeer, 1999.</w:t>
      </w:r>
    </w:p>
    <w:p w14:paraId="70BD6975" w14:textId="77777777" w:rsidR="0008287B" w:rsidRPr="0008287B" w:rsidRDefault="0008287B" w:rsidP="0008287B">
      <w:pPr>
        <w:numPr>
          <w:ilvl w:val="0"/>
          <w:numId w:val="1"/>
        </w:numPr>
        <w:contextualSpacing/>
        <w:jc w:val="both"/>
        <w:rPr>
          <w:rFonts w:eastAsiaTheme="minorHAnsi"/>
          <w:szCs w:val="22"/>
          <w:lang w:val="en-US" w:eastAsia="en-US"/>
        </w:rPr>
      </w:pPr>
      <w:r w:rsidRPr="0008287B">
        <w:rPr>
          <w:rFonts w:eastAsiaTheme="minorHAnsi"/>
          <w:szCs w:val="22"/>
          <w:lang w:val="en-US" w:eastAsia="en-US"/>
        </w:rPr>
        <w:t xml:space="preserve">Weber, A. Theory of the location of industries // Chicago, Ill., The University of Chicago Press – 1929. </w:t>
      </w:r>
    </w:p>
    <w:p w14:paraId="2CBAAC63"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Аксенов </w:t>
      </w:r>
      <w:proofErr w:type="gramStart"/>
      <w:r w:rsidRPr="0008287B">
        <w:rPr>
          <w:rFonts w:eastAsiaTheme="minorHAnsi"/>
          <w:szCs w:val="22"/>
          <w:lang w:eastAsia="en-US"/>
        </w:rPr>
        <w:t>К.Э.</w:t>
      </w:r>
      <w:proofErr w:type="gramEnd"/>
      <w:r w:rsidRPr="0008287B">
        <w:rPr>
          <w:rFonts w:eastAsiaTheme="minorHAnsi"/>
          <w:szCs w:val="22"/>
          <w:lang w:eastAsia="en-US"/>
        </w:rPr>
        <w:t xml:space="preserve"> Трансформация общественно-географического пространства метрополиса в постсоветской России. Автореферат // Санкт-Петербургский государственный университет. – 2011. </w:t>
      </w:r>
    </w:p>
    <w:p w14:paraId="10741182" w14:textId="72CFFB18"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Аксенов </w:t>
      </w:r>
      <w:proofErr w:type="gramStart"/>
      <w:r w:rsidRPr="0008287B">
        <w:rPr>
          <w:rFonts w:eastAsiaTheme="minorHAnsi"/>
          <w:szCs w:val="22"/>
          <w:lang w:eastAsia="en-US"/>
        </w:rPr>
        <w:t>К.Э.</w:t>
      </w:r>
      <w:proofErr w:type="gramEnd"/>
      <w:r w:rsidRPr="0008287B">
        <w:rPr>
          <w:rFonts w:eastAsiaTheme="minorHAnsi"/>
          <w:szCs w:val="22"/>
          <w:lang w:eastAsia="en-US"/>
        </w:rPr>
        <w:t xml:space="preserve"> Эволюция типов шопинга и пространственная организация розничной торговли в постсоветском метрополисе // Известия Русского географического общества. – 2016. - №6. – С. 39-56.</w:t>
      </w:r>
    </w:p>
    <w:p w14:paraId="2FE0B56A" w14:textId="7AF28FC1"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lastRenderedPageBreak/>
        <w:t xml:space="preserve">Аксенов </w:t>
      </w:r>
      <w:proofErr w:type="gramStart"/>
      <w:r w:rsidRPr="0008287B">
        <w:rPr>
          <w:rFonts w:eastAsiaTheme="minorHAnsi"/>
          <w:szCs w:val="22"/>
          <w:lang w:eastAsia="en-US"/>
        </w:rPr>
        <w:t>К.Э.</w:t>
      </w:r>
      <w:proofErr w:type="gramEnd"/>
      <w:r w:rsidRPr="0008287B">
        <w:rPr>
          <w:rFonts w:eastAsiaTheme="minorHAnsi"/>
          <w:szCs w:val="22"/>
          <w:lang w:eastAsia="en-US"/>
        </w:rPr>
        <w:t xml:space="preserve"> Трансформация городских пространственно-временных систем (на примере влияния ритейла на районы массовой жилой застройки в Ленинграде-Санкт-Петербурге, 1989-2016 гг.) // Известия Русского географического общества. –  2019. –  №1. – С. 29-44.</w:t>
      </w:r>
    </w:p>
    <w:p w14:paraId="4FD05CE7" w14:textId="10C9B820"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Афонькин С. Петербург обошел Москву по кафе и барам на душу населения // Ведомости Санкт-Петербург</w:t>
      </w:r>
      <w:r w:rsidR="00874CAB" w:rsidRPr="00874CAB">
        <w:rPr>
          <w:rFonts w:eastAsiaTheme="minorHAnsi"/>
          <w:szCs w:val="22"/>
          <w:lang w:eastAsia="en-US"/>
        </w:rPr>
        <w:t>.</w:t>
      </w:r>
      <w:r w:rsidR="00A31AEA">
        <w:rPr>
          <w:rFonts w:eastAsiaTheme="minorHAnsi"/>
          <w:szCs w:val="22"/>
          <w:lang w:eastAsia="en-US"/>
        </w:rPr>
        <w:t xml:space="preserve"> </w:t>
      </w:r>
      <w:r w:rsidRPr="0008287B">
        <w:rPr>
          <w:rFonts w:eastAsiaTheme="minorHAnsi"/>
          <w:szCs w:val="22"/>
          <w:lang w:eastAsia="en-US"/>
        </w:rPr>
        <w:t>[Электронный ресурс]</w:t>
      </w:r>
      <w:r w:rsidR="00874CAB">
        <w:rPr>
          <w:rFonts w:eastAsiaTheme="minorHAnsi"/>
          <w:szCs w:val="22"/>
          <w:lang w:eastAsia="en-US"/>
        </w:rPr>
        <w:t>. 2021.</w:t>
      </w:r>
      <w:r w:rsidRPr="0008287B">
        <w:rPr>
          <w:rFonts w:eastAsiaTheme="minorHAnsi"/>
          <w:szCs w:val="22"/>
          <w:lang w:eastAsia="en-US"/>
        </w:rPr>
        <w:t xml:space="preserve"> </w:t>
      </w:r>
      <w:r w:rsidR="00A31AEA">
        <w:rPr>
          <w:rFonts w:eastAsiaTheme="minorHAnsi"/>
          <w:szCs w:val="22"/>
          <w:lang w:eastAsia="en-US"/>
        </w:rPr>
        <w:t>Режим доступа</w:t>
      </w:r>
      <w:r w:rsidRPr="0008287B">
        <w:rPr>
          <w:rFonts w:eastAsiaTheme="minorHAnsi"/>
          <w:szCs w:val="22"/>
          <w:lang w:eastAsia="en-US"/>
        </w:rPr>
        <w:t>: https://vedomosti-spb.ru/economics/articles/2021/04/27/867920-peterburg-oboshel-moskvu-po-kafe-baram (дата обращения: 08.03.2022)</w:t>
      </w:r>
      <w:r w:rsidR="00056CC2">
        <w:rPr>
          <w:rFonts w:eastAsiaTheme="minorHAnsi"/>
          <w:szCs w:val="22"/>
          <w:lang w:eastAsia="en-US"/>
        </w:rPr>
        <w:t>.</w:t>
      </w:r>
    </w:p>
    <w:p w14:paraId="08D53B1E" w14:textId="560E5CD3" w:rsidR="00056CC2" w:rsidRPr="00056CC2" w:rsidRDefault="00056CC2" w:rsidP="00056CC2">
      <w:pPr>
        <w:numPr>
          <w:ilvl w:val="0"/>
          <w:numId w:val="1"/>
        </w:numPr>
        <w:spacing w:after="160"/>
        <w:contextualSpacing/>
        <w:jc w:val="both"/>
      </w:pPr>
      <w:r w:rsidRPr="00E25939">
        <w:t xml:space="preserve">Бакаева </w:t>
      </w:r>
      <w:proofErr w:type="gramStart"/>
      <w:r w:rsidRPr="00E25939">
        <w:t>В.В.</w:t>
      </w:r>
      <w:proofErr w:type="gramEnd"/>
      <w:r w:rsidRPr="00E25939">
        <w:t>, Курушина Н.В. Подходы к оптимизации размещения предприятий розничной торговли // Российское предпринимательство. – 2011. – № 6-2. – С. 160-166.</w:t>
      </w:r>
    </w:p>
    <w:p w14:paraId="0788D7FF" w14:textId="65CDC47C"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Богомолова </w:t>
      </w:r>
      <w:proofErr w:type="gramStart"/>
      <w:r w:rsidRPr="0008287B">
        <w:rPr>
          <w:rFonts w:eastAsiaTheme="minorHAnsi"/>
          <w:szCs w:val="22"/>
          <w:lang w:eastAsia="en-US"/>
        </w:rPr>
        <w:t>О.Н.</w:t>
      </w:r>
      <w:proofErr w:type="gramEnd"/>
      <w:r w:rsidRPr="0008287B">
        <w:rPr>
          <w:rFonts w:eastAsiaTheme="minorHAnsi"/>
          <w:szCs w:val="22"/>
          <w:lang w:eastAsia="en-US"/>
        </w:rPr>
        <w:t xml:space="preserve"> Особенности применения ГИС в геомаркетинге // Томский государственный университет систем управления и радиоэлектроники. – 2014. - №2. – С.105-107. </w:t>
      </w:r>
    </w:p>
    <w:p w14:paraId="21F7BA9A" w14:textId="69473D8F" w:rsidR="001B02E3" w:rsidRPr="001B02E3" w:rsidRDefault="001B02E3" w:rsidP="001B02E3">
      <w:pPr>
        <w:numPr>
          <w:ilvl w:val="0"/>
          <w:numId w:val="1"/>
        </w:numPr>
        <w:spacing w:after="160"/>
        <w:contextualSpacing/>
        <w:jc w:val="both"/>
      </w:pPr>
      <w:r w:rsidRPr="00E25939">
        <w:t>Верещагина Е. Нас могут спасти «пятнадцатиминутные города». Что это такое? // [Электронный ресурс]</w:t>
      </w:r>
      <w:r w:rsidR="00874CAB">
        <w:t>. 2020.</w:t>
      </w:r>
      <w:r w:rsidRPr="00E25939">
        <w:t xml:space="preserve"> </w:t>
      </w:r>
      <w:r>
        <w:rPr>
          <w:rFonts w:eastAsiaTheme="minorHAnsi"/>
          <w:szCs w:val="22"/>
          <w:lang w:eastAsia="en-US"/>
        </w:rPr>
        <w:t>Режим доступа</w:t>
      </w:r>
      <w:r w:rsidRPr="00E25939">
        <w:t xml:space="preserve">: </w:t>
      </w:r>
      <w:hyperlink r:id="rId74" w:history="1">
        <w:r w:rsidRPr="001B02E3">
          <w:rPr>
            <w:rStyle w:val="Hyperlink"/>
            <w:color w:val="auto"/>
            <w:u w:val="none"/>
          </w:rPr>
          <w:t>https://daily.afisha.ru/cities/15086-nas-mogut-spasti-pyatnadcatiminutnye-goroda-chto-eto-takoe/</w:t>
        </w:r>
      </w:hyperlink>
      <w:r>
        <w:t xml:space="preserve"> (дата обращения: 15.04.2022).</w:t>
      </w:r>
    </w:p>
    <w:p w14:paraId="27D30F74" w14:textId="707FF3F4"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Глыбченко М.П. Актуальность использования геомаркетингового подхода в размещении объектов ритейла и обслуживания // Таврический национальный университет имени В. И. Вернадского. –  2014. – №2. – С.222-226.</w:t>
      </w:r>
    </w:p>
    <w:p w14:paraId="77BEDD29" w14:textId="6850CC10" w:rsidR="000F0C8F" w:rsidRDefault="000F0C8F" w:rsidP="000F0C8F">
      <w:pPr>
        <w:numPr>
          <w:ilvl w:val="0"/>
          <w:numId w:val="1"/>
        </w:numPr>
        <w:spacing w:after="160"/>
        <w:contextualSpacing/>
        <w:jc w:val="both"/>
      </w:pPr>
      <w:r w:rsidRPr="00E25939">
        <w:t>Григорьянц И.А. Маркетинговое исследование системы розничной торговли городского округа Самара // Самарский государственный университет. – 2016. – С.36-45.</w:t>
      </w:r>
    </w:p>
    <w:p w14:paraId="7EB16F5B" w14:textId="4A7141E4" w:rsidR="00056CC2" w:rsidRPr="000F0C8F" w:rsidRDefault="00056CC2" w:rsidP="00056CC2">
      <w:pPr>
        <w:numPr>
          <w:ilvl w:val="0"/>
          <w:numId w:val="1"/>
        </w:numPr>
        <w:spacing w:after="160"/>
        <w:contextualSpacing/>
        <w:jc w:val="both"/>
      </w:pPr>
      <w:r w:rsidRPr="00E25939">
        <w:t>Домброва Е. РБК Петербург составил топ городских пекарен</w:t>
      </w:r>
      <w:r w:rsidR="00465D12" w:rsidRPr="00465D12">
        <w:t xml:space="preserve"> </w:t>
      </w:r>
      <w:r w:rsidRPr="00E25939">
        <w:t>// [Электронный ресурс]</w:t>
      </w:r>
      <w:r w:rsidR="00465D12" w:rsidRPr="00465D12">
        <w:t>. 2018</w:t>
      </w:r>
      <w:r w:rsidR="00465D12">
        <w:rPr>
          <w:lang w:val="en-US"/>
        </w:rPr>
        <w:t>.</w:t>
      </w:r>
      <w:r w:rsidRPr="00E25939">
        <w:t xml:space="preserve"> </w:t>
      </w:r>
      <w:r w:rsidR="00465D12">
        <w:rPr>
          <w:rFonts w:eastAsiaTheme="minorHAnsi"/>
          <w:szCs w:val="22"/>
          <w:lang w:eastAsia="en-US"/>
        </w:rPr>
        <w:t>Режим доступа</w:t>
      </w:r>
      <w:r w:rsidRPr="00E25939">
        <w:t>: https://www.rbc.ru/spb_sz/07/11/2018/5be2c25c9a794786791eaeaa.</w:t>
      </w:r>
    </w:p>
    <w:p w14:paraId="38E20E8E" w14:textId="33F91B70"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Имангалин А.Ф. Пространственные модели потребительского поведения, применяемые при оценке размещения рыночных услуг // Вестник Московского университета, Серия 5. География. –  2013. –  №4. – С.62-68</w:t>
      </w:r>
      <w:r w:rsidR="00056CC2">
        <w:rPr>
          <w:rFonts w:eastAsiaTheme="minorHAnsi"/>
          <w:szCs w:val="22"/>
          <w:lang w:eastAsia="en-US"/>
        </w:rPr>
        <w:t>.</w:t>
      </w:r>
    </w:p>
    <w:p w14:paraId="53553926"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Имангалин А.Ф. Факторы и типы кластеризации объектов уличной торговли в большом городе // Региональные исследования. – 2014. – №1 (43). –  С. 21-28.</w:t>
      </w:r>
    </w:p>
    <w:p w14:paraId="09EA5277" w14:textId="21214F16"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Имангалин А.Ф. Геомаркетинг, от простого к сложному</w:t>
      </w:r>
      <w:r w:rsidR="00874CAB">
        <w:rPr>
          <w:rFonts w:eastAsiaTheme="minorHAnsi"/>
          <w:szCs w:val="22"/>
          <w:lang w:eastAsia="en-US"/>
        </w:rPr>
        <w:t xml:space="preserve"> </w:t>
      </w:r>
      <w:r w:rsidR="00A31AEA">
        <w:rPr>
          <w:rFonts w:eastAsiaTheme="minorHAnsi"/>
          <w:szCs w:val="22"/>
          <w:lang w:eastAsia="en-US"/>
        </w:rPr>
        <w:t>//</w:t>
      </w:r>
      <w:r w:rsidRPr="0008287B">
        <w:rPr>
          <w:rFonts w:eastAsiaTheme="minorHAnsi"/>
          <w:szCs w:val="22"/>
          <w:lang w:eastAsia="en-US"/>
        </w:rPr>
        <w:t xml:space="preserve"> [Электронный ресурс]</w:t>
      </w:r>
      <w:r w:rsidR="00874CAB">
        <w:rPr>
          <w:rFonts w:eastAsiaTheme="minorHAnsi"/>
          <w:szCs w:val="22"/>
          <w:lang w:eastAsia="en-US"/>
        </w:rPr>
        <w:t>. 2015.</w:t>
      </w:r>
      <w:r w:rsidRPr="0008287B">
        <w:rPr>
          <w:rFonts w:eastAsiaTheme="minorHAnsi"/>
          <w:szCs w:val="22"/>
          <w:lang w:eastAsia="en-US"/>
        </w:rPr>
        <w:t xml:space="preserve"> </w:t>
      </w:r>
      <w:r w:rsidR="00A31AEA">
        <w:rPr>
          <w:rFonts w:eastAsiaTheme="minorHAnsi"/>
          <w:szCs w:val="22"/>
          <w:lang w:eastAsia="en-US"/>
        </w:rPr>
        <w:t>Режим доступа</w:t>
      </w:r>
      <w:r w:rsidRPr="0008287B">
        <w:rPr>
          <w:rFonts w:eastAsiaTheme="minorHAnsi"/>
          <w:szCs w:val="22"/>
          <w:lang w:eastAsia="en-US"/>
        </w:rPr>
        <w:t>: http://smartloc.ru/list/blog/articles/geomarketin/ (дата обращения: 31.02.2022).</w:t>
      </w:r>
    </w:p>
    <w:p w14:paraId="18D47131" w14:textId="323193C3" w:rsidR="00056CC2" w:rsidRPr="00056CC2" w:rsidRDefault="00056CC2" w:rsidP="00056CC2">
      <w:pPr>
        <w:numPr>
          <w:ilvl w:val="0"/>
          <w:numId w:val="1"/>
        </w:numPr>
        <w:spacing w:after="160"/>
        <w:contextualSpacing/>
        <w:jc w:val="both"/>
      </w:pPr>
      <w:r w:rsidRPr="00E25939">
        <w:t>Коварская А. Как на дрожжах: пекарни как прибыльный бизнес Петербурга</w:t>
      </w:r>
      <w:r>
        <w:t xml:space="preserve"> </w:t>
      </w:r>
      <w:r w:rsidRPr="00E25939">
        <w:t>// [Электронный ресурс]</w:t>
      </w:r>
      <w:r w:rsidR="00874CAB">
        <w:t>. 2019.</w:t>
      </w:r>
      <w:r w:rsidRPr="00E25939">
        <w:t xml:space="preserve"> </w:t>
      </w:r>
      <w:r>
        <w:rPr>
          <w:rFonts w:eastAsiaTheme="minorHAnsi"/>
          <w:szCs w:val="22"/>
          <w:lang w:eastAsia="en-US"/>
        </w:rPr>
        <w:t>Режим доступа</w:t>
      </w:r>
      <w:r w:rsidRPr="00E25939">
        <w:t xml:space="preserve">: </w:t>
      </w:r>
      <w:hyperlink r:id="rId75" w:history="1">
        <w:r w:rsidRPr="0045350B">
          <w:rPr>
            <w:rStyle w:val="Hyperlink"/>
            <w:color w:val="auto"/>
            <w:u w:val="none"/>
          </w:rPr>
          <w:t>https://www.cafe-future.ru/analytics/kak-na-drozhzhakh-pekarni-kak-pribylnyy-biznes-peterburga/</w:t>
        </w:r>
      </w:hyperlink>
      <w:r>
        <w:t xml:space="preserve"> (дата обращения </w:t>
      </w:r>
      <w:r w:rsidRPr="00E25939">
        <w:t>03.</w:t>
      </w:r>
      <w:r>
        <w:t>04</w:t>
      </w:r>
      <w:r w:rsidRPr="00E25939">
        <w:t>.20</w:t>
      </w:r>
      <w:r>
        <w:t>22)</w:t>
      </w:r>
      <w:r w:rsidRPr="00E25939">
        <w:t>.</w:t>
      </w:r>
    </w:p>
    <w:p w14:paraId="114F0DF2"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lastRenderedPageBreak/>
        <w:t>Козерод Л.А. Методы выбора и модели оценки месторасположения розничного торгового предприятия // Мат-лы Междунар. науч.-практ. конф. “Модернизация экономики России в контексте глобализации”. Т. 2. Хабаровск, 2011. С. 136—146.</w:t>
      </w:r>
    </w:p>
    <w:p w14:paraId="20D6AD65" w14:textId="304DCE89"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Лазарева </w:t>
      </w:r>
      <w:proofErr w:type="gramStart"/>
      <w:r w:rsidRPr="0008287B">
        <w:rPr>
          <w:rFonts w:eastAsiaTheme="minorHAnsi"/>
          <w:szCs w:val="22"/>
          <w:lang w:eastAsia="en-US"/>
        </w:rPr>
        <w:t>Н.В.</w:t>
      </w:r>
      <w:proofErr w:type="gramEnd"/>
      <w:r w:rsidRPr="0008287B">
        <w:rPr>
          <w:rFonts w:eastAsiaTheme="minorHAnsi"/>
          <w:szCs w:val="22"/>
          <w:lang w:eastAsia="en-US"/>
        </w:rPr>
        <w:t>, Фурсов В.А. Управление региональными рынками на основе концепции геомаркетинга // Северо-Кавказский государственный технический университет // Стратегия устойчивого развития регионов России. – 2010. – С.197-202</w:t>
      </w:r>
      <w:r w:rsidR="00056CC2">
        <w:rPr>
          <w:rFonts w:eastAsiaTheme="minorHAnsi"/>
          <w:szCs w:val="22"/>
          <w:lang w:eastAsia="en-US"/>
        </w:rPr>
        <w:t>.</w:t>
      </w:r>
    </w:p>
    <w:p w14:paraId="66C6C32C" w14:textId="4BA2D07A" w:rsid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Лунькова В. В Санкт-Петербурге закрылось более 400 заведений общепита</w:t>
      </w:r>
      <w:r w:rsidR="00CD58EC">
        <w:rPr>
          <w:rFonts w:eastAsiaTheme="minorHAnsi"/>
          <w:szCs w:val="22"/>
          <w:lang w:eastAsia="en-US"/>
        </w:rPr>
        <w:t xml:space="preserve"> //</w:t>
      </w:r>
      <w:r w:rsidRPr="0008287B">
        <w:rPr>
          <w:rFonts w:eastAsiaTheme="minorHAnsi"/>
          <w:szCs w:val="22"/>
          <w:lang w:eastAsia="en-US"/>
        </w:rPr>
        <w:t xml:space="preserve"> РБК [Электронный ресурс]</w:t>
      </w:r>
      <w:r w:rsidR="00874CAB">
        <w:rPr>
          <w:rFonts w:eastAsiaTheme="minorHAnsi"/>
          <w:szCs w:val="22"/>
          <w:lang w:eastAsia="en-US"/>
        </w:rPr>
        <w:t>. 2020.</w:t>
      </w:r>
      <w:r w:rsidRPr="0008287B">
        <w:rPr>
          <w:rFonts w:eastAsiaTheme="minorHAnsi"/>
          <w:szCs w:val="22"/>
          <w:lang w:eastAsia="en-US"/>
        </w:rPr>
        <w:t xml:space="preserve"> </w:t>
      </w:r>
      <w:r w:rsidR="00CD58EC">
        <w:rPr>
          <w:rFonts w:eastAsiaTheme="minorHAnsi"/>
          <w:szCs w:val="22"/>
          <w:lang w:eastAsia="en-US"/>
        </w:rPr>
        <w:t>Режим доступа</w:t>
      </w:r>
      <w:r w:rsidRPr="0008287B">
        <w:rPr>
          <w:rFonts w:eastAsiaTheme="minorHAnsi"/>
          <w:szCs w:val="22"/>
          <w:lang w:eastAsia="en-US"/>
        </w:rPr>
        <w:t>: https://realty.rbc.ru/news/5f4cbf7c9a79473bb07f512c (дата обращения 08.03.2022)</w:t>
      </w:r>
      <w:r w:rsidR="00056CC2">
        <w:rPr>
          <w:rFonts w:eastAsiaTheme="minorHAnsi"/>
          <w:szCs w:val="22"/>
          <w:lang w:eastAsia="en-US"/>
        </w:rPr>
        <w:t>.</w:t>
      </w:r>
    </w:p>
    <w:p w14:paraId="666BEC64" w14:textId="18910305" w:rsidR="007F0FE7" w:rsidRPr="007F0FE7" w:rsidRDefault="007F0FE7" w:rsidP="007F0FE7">
      <w:pPr>
        <w:numPr>
          <w:ilvl w:val="0"/>
          <w:numId w:val="1"/>
        </w:numPr>
        <w:spacing w:after="160"/>
        <w:contextualSpacing/>
        <w:jc w:val="both"/>
      </w:pPr>
      <w:r w:rsidRPr="00E25939">
        <w:t>Митленко С. Из истории ресторанного дела Российской Империи и СССР раннего периода</w:t>
      </w:r>
      <w:r>
        <w:t xml:space="preserve"> </w:t>
      </w:r>
      <w:r w:rsidRPr="00E25939">
        <w:t>// [Электронный ресурс]</w:t>
      </w:r>
      <w:r w:rsidR="00874CAB">
        <w:t xml:space="preserve">. </w:t>
      </w:r>
      <w:r w:rsidR="0045350B">
        <w:t>2018.</w:t>
      </w:r>
      <w:r w:rsidRPr="00E25939">
        <w:t xml:space="preserve"> </w:t>
      </w:r>
      <w:r>
        <w:rPr>
          <w:rFonts w:eastAsiaTheme="minorHAnsi"/>
          <w:szCs w:val="22"/>
          <w:lang w:eastAsia="en-US"/>
        </w:rPr>
        <w:t>Режим доступа</w:t>
      </w:r>
      <w:r w:rsidRPr="00E25939">
        <w:t xml:space="preserve">: </w:t>
      </w:r>
      <w:hyperlink r:id="rId76" w:history="1">
        <w:r w:rsidRPr="007F0FE7">
          <w:rPr>
            <w:rStyle w:val="Hyperlink"/>
            <w:color w:val="auto"/>
            <w:u w:val="none"/>
          </w:rPr>
          <w:t>https://zhiznteatr.mirtesen.ru/blog/43623573673/Iz-istorii-restorannogo-dela-Rossiyskoy-Imperii-i-SSSR-rannego-p</w:t>
        </w:r>
      </w:hyperlink>
      <w:r>
        <w:t xml:space="preserve"> (дата обращения 09.04.2022).</w:t>
      </w:r>
    </w:p>
    <w:p w14:paraId="70398C4F" w14:textId="3976CE73"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РБК исследования рынков. Алкогольный ритейл России 2018 // РБК Москва. – 2018. – С. 27-272.</w:t>
      </w:r>
    </w:p>
    <w:p w14:paraId="723A53C3" w14:textId="3C32A104"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Российский рынок кофеен и кафе-кондитерских 2021</w:t>
      </w:r>
      <w:r w:rsidR="002A5796">
        <w:rPr>
          <w:rFonts w:eastAsiaTheme="minorHAnsi"/>
          <w:szCs w:val="22"/>
          <w:lang w:eastAsia="en-US"/>
        </w:rPr>
        <w:t xml:space="preserve"> // </w:t>
      </w:r>
      <w:r w:rsidR="002A5796" w:rsidRPr="0008287B">
        <w:rPr>
          <w:rFonts w:eastAsiaTheme="minorHAnsi"/>
          <w:szCs w:val="22"/>
          <w:lang w:eastAsia="en-US"/>
        </w:rPr>
        <w:t>РБК Исследования Рынков</w:t>
      </w:r>
      <w:r w:rsidRPr="0008287B">
        <w:rPr>
          <w:rFonts w:eastAsiaTheme="minorHAnsi"/>
          <w:szCs w:val="22"/>
          <w:lang w:eastAsia="en-US"/>
        </w:rPr>
        <w:t xml:space="preserve"> [Электронный ресурс]</w:t>
      </w:r>
      <w:r w:rsidR="0045350B">
        <w:rPr>
          <w:rFonts w:eastAsiaTheme="minorHAnsi"/>
          <w:szCs w:val="22"/>
          <w:lang w:eastAsia="en-US"/>
        </w:rPr>
        <w:t>. 2022.</w:t>
      </w:r>
      <w:r w:rsidRPr="0008287B">
        <w:rPr>
          <w:rFonts w:eastAsiaTheme="minorHAnsi"/>
          <w:szCs w:val="22"/>
          <w:lang w:eastAsia="en-US"/>
        </w:rPr>
        <w:t xml:space="preserve"> </w:t>
      </w:r>
      <w:r w:rsidR="002A5796">
        <w:rPr>
          <w:rFonts w:eastAsiaTheme="minorHAnsi"/>
          <w:szCs w:val="22"/>
          <w:lang w:eastAsia="en-US"/>
        </w:rPr>
        <w:t>Режим доступа</w:t>
      </w:r>
      <w:r w:rsidRPr="0008287B">
        <w:rPr>
          <w:rFonts w:eastAsiaTheme="minorHAnsi"/>
          <w:szCs w:val="22"/>
          <w:lang w:eastAsia="en-US"/>
        </w:rPr>
        <w:t>: https://marketing.rbc.ru/articles/13226/ (дата обращения: 08.03.2022)</w:t>
      </w:r>
      <w:r w:rsidR="00056CC2">
        <w:rPr>
          <w:rFonts w:eastAsiaTheme="minorHAnsi"/>
          <w:szCs w:val="22"/>
          <w:lang w:eastAsia="en-US"/>
        </w:rPr>
        <w:t>.</w:t>
      </w:r>
    </w:p>
    <w:p w14:paraId="65F0E594" w14:textId="54637F1F"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Рудой В.А., Павлюкова </w:t>
      </w:r>
      <w:proofErr w:type="gramStart"/>
      <w:r w:rsidRPr="0008287B">
        <w:rPr>
          <w:rFonts w:eastAsiaTheme="minorHAnsi"/>
          <w:szCs w:val="22"/>
          <w:lang w:eastAsia="en-US"/>
        </w:rPr>
        <w:t>О.М.</w:t>
      </w:r>
      <w:proofErr w:type="gramEnd"/>
      <w:r w:rsidRPr="0008287B">
        <w:rPr>
          <w:rFonts w:eastAsiaTheme="minorHAnsi"/>
          <w:szCs w:val="22"/>
          <w:lang w:eastAsia="en-US"/>
        </w:rPr>
        <w:t xml:space="preserve"> Геомаркетинг: теория и основные понятия // Кубанский государственный университет // Географические исследования Краснодарского края. – 2009. – С.250-253</w:t>
      </w:r>
      <w:r w:rsidR="00056CC2">
        <w:rPr>
          <w:rFonts w:eastAsiaTheme="minorHAnsi"/>
          <w:szCs w:val="22"/>
          <w:lang w:eastAsia="en-US"/>
        </w:rPr>
        <w:t>.</w:t>
      </w:r>
    </w:p>
    <w:p w14:paraId="65A43D53" w14:textId="4366EF6C"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Слободчиков А. Франшиза кофе</w:t>
      </w:r>
      <w:r w:rsidR="002A5796">
        <w:rPr>
          <w:rFonts w:eastAsiaTheme="minorHAnsi"/>
          <w:szCs w:val="22"/>
          <w:lang w:eastAsia="en-US"/>
        </w:rPr>
        <w:t xml:space="preserve"> //</w:t>
      </w:r>
      <w:r w:rsidRPr="0008287B">
        <w:rPr>
          <w:rFonts w:eastAsiaTheme="minorHAnsi"/>
          <w:szCs w:val="22"/>
          <w:lang w:eastAsia="en-US"/>
        </w:rPr>
        <w:t xml:space="preserve"> [Электронный ресурс]</w:t>
      </w:r>
      <w:r w:rsidR="0045350B">
        <w:rPr>
          <w:rFonts w:eastAsiaTheme="minorHAnsi"/>
          <w:szCs w:val="22"/>
          <w:lang w:eastAsia="en-US"/>
        </w:rPr>
        <w:t>. 2021.</w:t>
      </w:r>
      <w:r w:rsidRPr="0008287B">
        <w:rPr>
          <w:rFonts w:eastAsiaTheme="minorHAnsi"/>
          <w:szCs w:val="22"/>
          <w:lang w:eastAsia="en-US"/>
        </w:rPr>
        <w:t xml:space="preserve"> </w:t>
      </w:r>
      <w:r w:rsidR="002A5796">
        <w:rPr>
          <w:rFonts w:eastAsiaTheme="minorHAnsi"/>
          <w:szCs w:val="22"/>
          <w:lang w:eastAsia="en-US"/>
        </w:rPr>
        <w:t>Режим доступа</w:t>
      </w:r>
      <w:r w:rsidRPr="0008287B">
        <w:rPr>
          <w:rFonts w:eastAsiaTheme="minorHAnsi"/>
          <w:szCs w:val="22"/>
          <w:lang w:eastAsia="en-US"/>
        </w:rPr>
        <w:t>: https://topfranchiz.ru/franshizy/kofeini (дата обращения: 08.03.2022)</w:t>
      </w:r>
      <w:r w:rsidR="00056CC2">
        <w:rPr>
          <w:rFonts w:eastAsiaTheme="minorHAnsi"/>
          <w:szCs w:val="22"/>
          <w:lang w:eastAsia="en-US"/>
        </w:rPr>
        <w:t>.</w:t>
      </w:r>
    </w:p>
    <w:p w14:paraId="68D17BD5" w14:textId="7ED58ED5"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Стефанова </w:t>
      </w:r>
      <w:proofErr w:type="gramStart"/>
      <w:r w:rsidRPr="0008287B">
        <w:rPr>
          <w:rFonts w:eastAsiaTheme="minorHAnsi"/>
          <w:szCs w:val="22"/>
          <w:lang w:eastAsia="en-US"/>
        </w:rPr>
        <w:t>И.В.</w:t>
      </w:r>
      <w:proofErr w:type="gramEnd"/>
      <w:r w:rsidRPr="0008287B">
        <w:rPr>
          <w:rFonts w:eastAsiaTheme="minorHAnsi"/>
          <w:szCs w:val="22"/>
          <w:lang w:eastAsia="en-US"/>
        </w:rPr>
        <w:t xml:space="preserve"> Геомаркетинг как форма маркетингового исследования: особенности, задачи, инструменты // Южный Федеральный университет // Экономика и предпринимательство. – 2019. - №10 (111). – С. 731-734</w:t>
      </w:r>
      <w:r w:rsidR="00056CC2">
        <w:rPr>
          <w:rFonts w:eastAsiaTheme="minorHAnsi"/>
          <w:szCs w:val="22"/>
          <w:lang w:eastAsia="en-US"/>
        </w:rPr>
        <w:t>.</w:t>
      </w:r>
    </w:p>
    <w:p w14:paraId="47887CAF" w14:textId="686ED45B"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 xml:space="preserve">Тхориков Б.А, Ломовцева </w:t>
      </w:r>
      <w:proofErr w:type="gramStart"/>
      <w:r w:rsidRPr="0008287B">
        <w:rPr>
          <w:rFonts w:eastAsiaTheme="minorHAnsi"/>
          <w:szCs w:val="22"/>
          <w:lang w:eastAsia="en-US"/>
        </w:rPr>
        <w:t>О.А.</w:t>
      </w:r>
      <w:proofErr w:type="gramEnd"/>
      <w:r w:rsidRPr="0008287B">
        <w:rPr>
          <w:rFonts w:eastAsiaTheme="minorHAnsi"/>
          <w:szCs w:val="22"/>
          <w:lang w:eastAsia="en-US"/>
        </w:rPr>
        <w:t xml:space="preserve">, Герасименко О.А., Саблина О.М., Титова И.Н. Геомаркетинг – новый концепт или прикладной инструмент бизнеса? // </w:t>
      </w:r>
      <w:r w:rsidRPr="0008287B">
        <w:rPr>
          <w:rFonts w:eastAsiaTheme="minorHAnsi"/>
          <w:szCs w:val="22"/>
          <w:lang w:eastAsia="en-US"/>
        </w:rPr>
        <w:tab/>
        <w:t>Вестник</w:t>
      </w:r>
      <w:r w:rsidR="00056CC2">
        <w:rPr>
          <w:rFonts w:eastAsiaTheme="minorHAnsi"/>
          <w:szCs w:val="22"/>
          <w:lang w:eastAsia="en-US"/>
        </w:rPr>
        <w:t xml:space="preserve"> </w:t>
      </w:r>
      <w:r w:rsidRPr="0008287B">
        <w:rPr>
          <w:rFonts w:eastAsiaTheme="minorHAnsi"/>
          <w:szCs w:val="22"/>
          <w:lang w:eastAsia="en-US"/>
        </w:rPr>
        <w:t>Томского государственного университета. Экономика. – 2020. – №49. – С. 199-213</w:t>
      </w:r>
      <w:r w:rsidR="00056CC2">
        <w:rPr>
          <w:rFonts w:eastAsiaTheme="minorHAnsi"/>
          <w:szCs w:val="22"/>
          <w:lang w:eastAsia="en-US"/>
        </w:rPr>
        <w:t>.</w:t>
      </w:r>
    </w:p>
    <w:p w14:paraId="5A242B67" w14:textId="77777777" w:rsidR="0008287B" w:rsidRPr="0008287B" w:rsidRDefault="0008287B" w:rsidP="0008287B">
      <w:pPr>
        <w:numPr>
          <w:ilvl w:val="0"/>
          <w:numId w:val="1"/>
        </w:numPr>
        <w:contextualSpacing/>
        <w:jc w:val="both"/>
        <w:rPr>
          <w:rFonts w:eastAsiaTheme="minorHAnsi"/>
          <w:szCs w:val="22"/>
          <w:lang w:eastAsia="en-US"/>
        </w:rPr>
      </w:pPr>
      <w:r w:rsidRPr="0008287B">
        <w:rPr>
          <w:rFonts w:eastAsiaTheme="minorHAnsi"/>
          <w:szCs w:val="22"/>
          <w:lang w:eastAsia="en-US"/>
        </w:rPr>
        <w:t>Угаров А.С. Методы выбора местоположения торговой точки // Маркетинг в России и за рубежом. 2005. № 6. С. 99.</w:t>
      </w:r>
    </w:p>
    <w:p w14:paraId="67080101" w14:textId="56E7A8EE" w:rsidR="00BA1E3E" w:rsidRPr="0008287B" w:rsidRDefault="0008287B" w:rsidP="0008287B">
      <w:pPr>
        <w:numPr>
          <w:ilvl w:val="0"/>
          <w:numId w:val="1"/>
        </w:numPr>
        <w:contextualSpacing/>
        <w:jc w:val="both"/>
        <w:rPr>
          <w:rFonts w:eastAsiaTheme="minorHAnsi"/>
          <w:lang w:eastAsia="en-US"/>
        </w:rPr>
      </w:pPr>
      <w:r w:rsidRPr="0008287B">
        <w:rPr>
          <w:rFonts w:eastAsiaTheme="minorHAnsi"/>
          <w:szCs w:val="22"/>
          <w:lang w:eastAsia="en-US"/>
        </w:rPr>
        <w:t xml:space="preserve">Цветков </w:t>
      </w:r>
      <w:proofErr w:type="gramStart"/>
      <w:r w:rsidRPr="0008287B">
        <w:rPr>
          <w:rFonts w:eastAsiaTheme="minorHAnsi"/>
          <w:szCs w:val="22"/>
          <w:lang w:eastAsia="en-US"/>
        </w:rPr>
        <w:t>В.Я.</w:t>
      </w:r>
      <w:proofErr w:type="gramEnd"/>
      <w:r w:rsidRPr="0008287B">
        <w:rPr>
          <w:rFonts w:eastAsiaTheme="minorHAnsi"/>
          <w:szCs w:val="22"/>
          <w:lang w:eastAsia="en-US"/>
        </w:rPr>
        <w:t xml:space="preserve"> Задачи геомаркетинга // Московский государственный университет геодезии и картографии. – 2000. </w:t>
      </w:r>
      <w:r w:rsidR="0045350B" w:rsidRPr="0008287B">
        <w:rPr>
          <w:rFonts w:eastAsiaTheme="minorHAnsi"/>
          <w:szCs w:val="22"/>
          <w:lang w:eastAsia="en-US"/>
        </w:rPr>
        <w:t xml:space="preserve">– </w:t>
      </w:r>
      <w:r w:rsidRPr="0008287B">
        <w:rPr>
          <w:rFonts w:eastAsiaTheme="minorHAnsi"/>
          <w:szCs w:val="22"/>
          <w:lang w:eastAsia="en-US"/>
        </w:rPr>
        <w:t>№5. – С.145-154.</w:t>
      </w:r>
    </w:p>
    <w:sectPr w:rsidR="00BA1E3E" w:rsidRPr="0008287B" w:rsidSect="00331CC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771DD0" w14:textId="77777777" w:rsidR="00AB59C5" w:rsidRDefault="00AB59C5" w:rsidP="00A4105E">
      <w:pPr>
        <w:spacing w:line="240" w:lineRule="auto"/>
      </w:pPr>
      <w:r>
        <w:separator/>
      </w:r>
    </w:p>
  </w:endnote>
  <w:endnote w:type="continuationSeparator" w:id="0">
    <w:p w14:paraId="7ED024BD" w14:textId="77777777" w:rsidR="00AB59C5" w:rsidRDefault="00AB59C5" w:rsidP="00A410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496211"/>
      <w:docPartObj>
        <w:docPartGallery w:val="Page Numbers (Bottom of Page)"/>
        <w:docPartUnique/>
      </w:docPartObj>
    </w:sdtPr>
    <w:sdtEndPr>
      <w:rPr>
        <w:noProof/>
      </w:rPr>
    </w:sdtEndPr>
    <w:sdtContent>
      <w:p w14:paraId="43F6DC94" w14:textId="1E6E31AF" w:rsidR="00D54080" w:rsidRPr="00D54080" w:rsidRDefault="00D54080">
        <w:pPr>
          <w:pStyle w:val="Footer"/>
        </w:pPr>
        <w:r w:rsidRPr="00D54080">
          <w:fldChar w:fldCharType="begin"/>
        </w:r>
        <w:r w:rsidRPr="00D54080">
          <w:instrText xml:space="preserve"> PAGE   \* MERGEFORMAT </w:instrText>
        </w:r>
        <w:r w:rsidRPr="00D54080">
          <w:fldChar w:fldCharType="separate"/>
        </w:r>
        <w:r w:rsidRPr="00D54080">
          <w:rPr>
            <w:noProof/>
          </w:rPr>
          <w:t>2</w:t>
        </w:r>
        <w:r w:rsidRPr="00D54080">
          <w:rPr>
            <w:noProof/>
          </w:rPr>
          <w:fldChar w:fldCharType="end"/>
        </w:r>
      </w:p>
    </w:sdtContent>
  </w:sdt>
  <w:p w14:paraId="55F4F420" w14:textId="77777777" w:rsidR="00D54080" w:rsidRDefault="00D540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33BAE9" w14:textId="77777777" w:rsidR="00AB59C5" w:rsidRDefault="00AB59C5" w:rsidP="00A4105E">
      <w:pPr>
        <w:spacing w:line="240" w:lineRule="auto"/>
      </w:pPr>
      <w:r>
        <w:separator/>
      </w:r>
    </w:p>
  </w:footnote>
  <w:footnote w:type="continuationSeparator" w:id="0">
    <w:p w14:paraId="4ED457FD" w14:textId="77777777" w:rsidR="00AB59C5" w:rsidRDefault="00AB59C5" w:rsidP="00A4105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81EF3"/>
    <w:multiLevelType w:val="hybridMultilevel"/>
    <w:tmpl w:val="ED187536"/>
    <w:lvl w:ilvl="0" w:tplc="4CDC0414">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C8D2C39"/>
    <w:multiLevelType w:val="multilevel"/>
    <w:tmpl w:val="0419001F"/>
    <w:lvl w:ilvl="0">
      <w:start w:val="1"/>
      <w:numFmt w:val="decimal"/>
      <w:lvlText w:val="%1."/>
      <w:lvlJc w:val="left"/>
      <w:pPr>
        <w:ind w:left="360" w:hanging="360"/>
      </w:pPr>
    </w:lvl>
    <w:lvl w:ilvl="1">
      <w:start w:val="1"/>
      <w:numFmt w:val="decimal"/>
      <w:lvlText w:val="%1.%2."/>
      <w:lvlJc w:val="left"/>
      <w:pPr>
        <w:ind w:left="199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D1F1BAE"/>
    <w:multiLevelType w:val="multilevel"/>
    <w:tmpl w:val="988236A6"/>
    <w:lvl w:ilvl="0">
      <w:start w:val="1"/>
      <w:numFmt w:val="bullet"/>
      <w:lvlText w:val=""/>
      <w:lvlJc w:val="left"/>
      <w:pPr>
        <w:ind w:left="400" w:hanging="400"/>
      </w:pPr>
      <w:rPr>
        <w:rFonts w:ascii="Symbol" w:hAnsi="Symbol"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 w15:restartNumberingAfterBreak="0">
    <w:nsid w:val="16340E8E"/>
    <w:multiLevelType w:val="hybridMultilevel"/>
    <w:tmpl w:val="43EC10DE"/>
    <w:lvl w:ilvl="0" w:tplc="0419000F">
      <w:start w:val="1"/>
      <w:numFmt w:val="decimal"/>
      <w:lvlText w:val="%1."/>
      <w:lvlJc w:val="left"/>
      <w:pPr>
        <w:ind w:left="1210" w:hanging="360"/>
      </w:p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4" w15:restartNumberingAfterBreak="0">
    <w:nsid w:val="1729350E"/>
    <w:multiLevelType w:val="hybridMultilevel"/>
    <w:tmpl w:val="169E296E"/>
    <w:lvl w:ilvl="0" w:tplc="74CC479C">
      <w:start w:val="1"/>
      <w:numFmt w:val="bullet"/>
      <w:lvlText w:val=""/>
      <w:lvlJc w:val="left"/>
      <w:pPr>
        <w:ind w:left="720" w:hanging="360"/>
      </w:pPr>
      <w:rPr>
        <w:rFonts w:ascii="Symbol" w:hAnsi="Symbol" w:hint="default"/>
        <w:b w:val="0"/>
        <w:i w:val="0"/>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C841D9C"/>
    <w:multiLevelType w:val="hybridMultilevel"/>
    <w:tmpl w:val="45AA0AF0"/>
    <w:lvl w:ilvl="0" w:tplc="4132A48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F87E00"/>
    <w:multiLevelType w:val="hybridMultilevel"/>
    <w:tmpl w:val="D7CE8EC4"/>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E31792E"/>
    <w:multiLevelType w:val="hybridMultilevel"/>
    <w:tmpl w:val="4998B174"/>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1142D2A"/>
    <w:multiLevelType w:val="hybridMultilevel"/>
    <w:tmpl w:val="5944E1F0"/>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F620840"/>
    <w:multiLevelType w:val="hybridMultilevel"/>
    <w:tmpl w:val="5EA08C08"/>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1456320"/>
    <w:multiLevelType w:val="hybridMultilevel"/>
    <w:tmpl w:val="54301A84"/>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A383711"/>
    <w:multiLevelType w:val="hybridMultilevel"/>
    <w:tmpl w:val="92C05A70"/>
    <w:lvl w:ilvl="0" w:tplc="74CC479C">
      <w:start w:val="1"/>
      <w:numFmt w:val="bullet"/>
      <w:lvlText w:val=""/>
      <w:lvlJc w:val="left"/>
      <w:pPr>
        <w:ind w:left="644" w:hanging="360"/>
      </w:pPr>
      <w:rPr>
        <w:rFonts w:ascii="Symbol" w:hAnsi="Symbol" w:hint="default"/>
        <w:b w:val="0"/>
        <w:i w:val="0"/>
        <w:color w:val="auto"/>
        <w:sz w:val="24"/>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15:restartNumberingAfterBreak="0">
    <w:nsid w:val="3ACF6A35"/>
    <w:multiLevelType w:val="hybridMultilevel"/>
    <w:tmpl w:val="7A80E6BA"/>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E480B4A"/>
    <w:multiLevelType w:val="hybridMultilevel"/>
    <w:tmpl w:val="34BC60E4"/>
    <w:lvl w:ilvl="0" w:tplc="3E1AD7E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3FD5170E"/>
    <w:multiLevelType w:val="hybridMultilevel"/>
    <w:tmpl w:val="4DF870E2"/>
    <w:lvl w:ilvl="0" w:tplc="04190001">
      <w:start w:val="1"/>
      <w:numFmt w:val="bullet"/>
      <w:lvlText w:val=""/>
      <w:lvlJc w:val="left"/>
      <w:pPr>
        <w:ind w:left="1789" w:hanging="360"/>
      </w:pPr>
      <w:rPr>
        <w:rFonts w:ascii="Symbol" w:hAnsi="Symbol" w:hint="default"/>
        <w:b w:val="0"/>
        <w:i w:val="0"/>
        <w:color w:val="auto"/>
        <w:sz w:val="24"/>
      </w:rPr>
    </w:lvl>
    <w:lvl w:ilvl="1" w:tplc="FFFFFFFF" w:tentative="1">
      <w:start w:val="1"/>
      <w:numFmt w:val="bullet"/>
      <w:lvlText w:val="o"/>
      <w:lvlJc w:val="left"/>
      <w:pPr>
        <w:ind w:left="2509" w:hanging="360"/>
      </w:pPr>
      <w:rPr>
        <w:rFonts w:ascii="Courier New" w:hAnsi="Courier New" w:cs="Courier New" w:hint="default"/>
      </w:rPr>
    </w:lvl>
    <w:lvl w:ilvl="2" w:tplc="FFFFFFFF" w:tentative="1">
      <w:start w:val="1"/>
      <w:numFmt w:val="bullet"/>
      <w:lvlText w:val=""/>
      <w:lvlJc w:val="left"/>
      <w:pPr>
        <w:ind w:left="3229" w:hanging="360"/>
      </w:pPr>
      <w:rPr>
        <w:rFonts w:ascii="Wingdings" w:hAnsi="Wingdings" w:hint="default"/>
      </w:rPr>
    </w:lvl>
    <w:lvl w:ilvl="3" w:tplc="FFFFFFFF" w:tentative="1">
      <w:start w:val="1"/>
      <w:numFmt w:val="bullet"/>
      <w:lvlText w:val=""/>
      <w:lvlJc w:val="left"/>
      <w:pPr>
        <w:ind w:left="3949" w:hanging="360"/>
      </w:pPr>
      <w:rPr>
        <w:rFonts w:ascii="Symbol" w:hAnsi="Symbol" w:hint="default"/>
      </w:rPr>
    </w:lvl>
    <w:lvl w:ilvl="4" w:tplc="FFFFFFFF" w:tentative="1">
      <w:start w:val="1"/>
      <w:numFmt w:val="bullet"/>
      <w:lvlText w:val="o"/>
      <w:lvlJc w:val="left"/>
      <w:pPr>
        <w:ind w:left="4669" w:hanging="360"/>
      </w:pPr>
      <w:rPr>
        <w:rFonts w:ascii="Courier New" w:hAnsi="Courier New" w:cs="Courier New" w:hint="default"/>
      </w:rPr>
    </w:lvl>
    <w:lvl w:ilvl="5" w:tplc="FFFFFFFF" w:tentative="1">
      <w:start w:val="1"/>
      <w:numFmt w:val="bullet"/>
      <w:lvlText w:val=""/>
      <w:lvlJc w:val="left"/>
      <w:pPr>
        <w:ind w:left="5389" w:hanging="360"/>
      </w:pPr>
      <w:rPr>
        <w:rFonts w:ascii="Wingdings" w:hAnsi="Wingdings" w:hint="default"/>
      </w:rPr>
    </w:lvl>
    <w:lvl w:ilvl="6" w:tplc="FFFFFFFF" w:tentative="1">
      <w:start w:val="1"/>
      <w:numFmt w:val="bullet"/>
      <w:lvlText w:val=""/>
      <w:lvlJc w:val="left"/>
      <w:pPr>
        <w:ind w:left="6109" w:hanging="360"/>
      </w:pPr>
      <w:rPr>
        <w:rFonts w:ascii="Symbol" w:hAnsi="Symbol" w:hint="default"/>
      </w:rPr>
    </w:lvl>
    <w:lvl w:ilvl="7" w:tplc="FFFFFFFF" w:tentative="1">
      <w:start w:val="1"/>
      <w:numFmt w:val="bullet"/>
      <w:lvlText w:val="o"/>
      <w:lvlJc w:val="left"/>
      <w:pPr>
        <w:ind w:left="6829" w:hanging="360"/>
      </w:pPr>
      <w:rPr>
        <w:rFonts w:ascii="Courier New" w:hAnsi="Courier New" w:cs="Courier New" w:hint="default"/>
      </w:rPr>
    </w:lvl>
    <w:lvl w:ilvl="8" w:tplc="FFFFFFFF" w:tentative="1">
      <w:start w:val="1"/>
      <w:numFmt w:val="bullet"/>
      <w:lvlText w:val=""/>
      <w:lvlJc w:val="left"/>
      <w:pPr>
        <w:ind w:left="7549" w:hanging="360"/>
      </w:pPr>
      <w:rPr>
        <w:rFonts w:ascii="Wingdings" w:hAnsi="Wingdings" w:hint="default"/>
      </w:rPr>
    </w:lvl>
  </w:abstractNum>
  <w:abstractNum w:abstractNumId="15" w15:restartNumberingAfterBreak="0">
    <w:nsid w:val="44AE7FCE"/>
    <w:multiLevelType w:val="hybridMultilevel"/>
    <w:tmpl w:val="600898A0"/>
    <w:lvl w:ilvl="0" w:tplc="4132A48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4EC4E4F"/>
    <w:multiLevelType w:val="hybridMultilevel"/>
    <w:tmpl w:val="939A1D26"/>
    <w:lvl w:ilvl="0" w:tplc="041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45AC1995"/>
    <w:multiLevelType w:val="hybridMultilevel"/>
    <w:tmpl w:val="1F046382"/>
    <w:lvl w:ilvl="0" w:tplc="04190001">
      <w:start w:val="1"/>
      <w:numFmt w:val="bullet"/>
      <w:lvlText w:val=""/>
      <w:lvlJc w:val="left"/>
      <w:pPr>
        <w:ind w:left="1211" w:hanging="360"/>
      </w:pPr>
      <w:rPr>
        <w:rFonts w:ascii="Symbol" w:hAnsi="Symbol" w:hint="default"/>
        <w:b w:val="0"/>
        <w:i w:val="0"/>
        <w:color w:val="auto"/>
        <w:sz w:val="24"/>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8" w15:restartNumberingAfterBreak="0">
    <w:nsid w:val="4C261643"/>
    <w:multiLevelType w:val="hybridMultilevel"/>
    <w:tmpl w:val="54B8A172"/>
    <w:lvl w:ilvl="0" w:tplc="04190001">
      <w:start w:val="1"/>
      <w:numFmt w:val="bullet"/>
      <w:lvlText w:val=""/>
      <w:lvlJc w:val="left"/>
      <w:pPr>
        <w:ind w:left="1211" w:hanging="360"/>
      </w:pPr>
      <w:rPr>
        <w:rFonts w:ascii="Symbol" w:hAnsi="Symbol" w:hint="default"/>
        <w:b w:val="0"/>
        <w:i w:val="0"/>
        <w:color w:val="auto"/>
        <w:sz w:val="24"/>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9" w15:restartNumberingAfterBreak="0">
    <w:nsid w:val="4FC44E72"/>
    <w:multiLevelType w:val="hybridMultilevel"/>
    <w:tmpl w:val="6C882E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51A61F83"/>
    <w:multiLevelType w:val="hybridMultilevel"/>
    <w:tmpl w:val="4EBE5D12"/>
    <w:lvl w:ilvl="0" w:tplc="4132A486">
      <w:start w:val="1"/>
      <w:numFmt w:val="bullet"/>
      <w:lvlText w:val="-"/>
      <w:lvlJc w:val="left"/>
      <w:pPr>
        <w:ind w:left="1060" w:hanging="360"/>
      </w:pPr>
      <w:rPr>
        <w:rFonts w:ascii="Times New Roman" w:hAnsi="Times New Roman" w:cs="Times New Roman"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21" w15:restartNumberingAfterBreak="0">
    <w:nsid w:val="52A558EA"/>
    <w:multiLevelType w:val="hybridMultilevel"/>
    <w:tmpl w:val="17544A62"/>
    <w:lvl w:ilvl="0" w:tplc="A4AAB2F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53BE5527"/>
    <w:multiLevelType w:val="hybridMultilevel"/>
    <w:tmpl w:val="E60CD85E"/>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DCD47B3"/>
    <w:multiLevelType w:val="hybridMultilevel"/>
    <w:tmpl w:val="CECE3016"/>
    <w:lvl w:ilvl="0" w:tplc="04190001">
      <w:start w:val="1"/>
      <w:numFmt w:val="bullet"/>
      <w:lvlText w:val=""/>
      <w:lvlJc w:val="left"/>
      <w:pPr>
        <w:ind w:left="720" w:hanging="360"/>
      </w:pPr>
      <w:rPr>
        <w:rFonts w:ascii="Symbol" w:hAnsi="Symbol" w:hint="default"/>
        <w:b w:val="0"/>
        <w:i w:val="0"/>
        <w:color w:val="auto"/>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0D647F2"/>
    <w:multiLevelType w:val="multilevel"/>
    <w:tmpl w:val="045A6486"/>
    <w:lvl w:ilvl="0">
      <w:start w:val="1"/>
      <w:numFmt w:val="decimal"/>
      <w:lvlText w:val="%1."/>
      <w:lvlJc w:val="left"/>
      <w:pPr>
        <w:ind w:left="360" w:hanging="360"/>
      </w:pPr>
      <w:rPr>
        <w:rFonts w:ascii="Times New Roman" w:eastAsiaTheme="majorEastAsia" w:hAnsi="Times New Roman" w:cs="Times New Roman" w:hint="default"/>
        <w:color w:val="0563C1" w:themeColor="hyperlink"/>
        <w:sz w:val="24"/>
        <w:u w:val="single"/>
      </w:rPr>
    </w:lvl>
    <w:lvl w:ilvl="1">
      <w:start w:val="1"/>
      <w:numFmt w:val="decimal"/>
      <w:lvlText w:val="%1.%2."/>
      <w:lvlJc w:val="left"/>
      <w:pPr>
        <w:ind w:left="360" w:hanging="360"/>
      </w:pPr>
      <w:rPr>
        <w:rFonts w:ascii="Times New Roman" w:eastAsiaTheme="majorEastAsia" w:hAnsi="Times New Roman" w:cs="Times New Roman" w:hint="default"/>
        <w:color w:val="auto"/>
        <w:sz w:val="24"/>
        <w:u w:val="none"/>
      </w:rPr>
    </w:lvl>
    <w:lvl w:ilvl="2">
      <w:start w:val="1"/>
      <w:numFmt w:val="decimal"/>
      <w:lvlText w:val="%1.%2.%3."/>
      <w:lvlJc w:val="left"/>
      <w:pPr>
        <w:ind w:left="1196" w:hanging="720"/>
      </w:pPr>
      <w:rPr>
        <w:rFonts w:ascii="Times New Roman" w:eastAsiaTheme="majorEastAsia" w:hAnsi="Times New Roman" w:cs="Times New Roman" w:hint="default"/>
        <w:color w:val="0563C1" w:themeColor="hyperlink"/>
        <w:sz w:val="24"/>
        <w:u w:val="single"/>
      </w:rPr>
    </w:lvl>
    <w:lvl w:ilvl="3">
      <w:start w:val="1"/>
      <w:numFmt w:val="decimal"/>
      <w:lvlText w:val="%1.%2.%3.%4."/>
      <w:lvlJc w:val="left"/>
      <w:pPr>
        <w:ind w:left="1434" w:hanging="720"/>
      </w:pPr>
      <w:rPr>
        <w:rFonts w:ascii="Times New Roman" w:eastAsiaTheme="majorEastAsia" w:hAnsi="Times New Roman" w:cs="Times New Roman" w:hint="default"/>
        <w:color w:val="0563C1" w:themeColor="hyperlink"/>
        <w:sz w:val="24"/>
        <w:u w:val="single"/>
      </w:rPr>
    </w:lvl>
    <w:lvl w:ilvl="4">
      <w:start w:val="1"/>
      <w:numFmt w:val="decimal"/>
      <w:lvlText w:val="%1.%2.%3.%4.%5."/>
      <w:lvlJc w:val="left"/>
      <w:pPr>
        <w:ind w:left="2032" w:hanging="1080"/>
      </w:pPr>
      <w:rPr>
        <w:rFonts w:ascii="Times New Roman" w:eastAsiaTheme="majorEastAsia" w:hAnsi="Times New Roman" w:cs="Times New Roman" w:hint="default"/>
        <w:color w:val="0563C1" w:themeColor="hyperlink"/>
        <w:sz w:val="24"/>
        <w:u w:val="single"/>
      </w:rPr>
    </w:lvl>
    <w:lvl w:ilvl="5">
      <w:start w:val="1"/>
      <w:numFmt w:val="decimal"/>
      <w:lvlText w:val="%1.%2.%3.%4.%5.%6."/>
      <w:lvlJc w:val="left"/>
      <w:pPr>
        <w:ind w:left="2270" w:hanging="1080"/>
      </w:pPr>
      <w:rPr>
        <w:rFonts w:ascii="Times New Roman" w:eastAsiaTheme="majorEastAsia" w:hAnsi="Times New Roman" w:cs="Times New Roman" w:hint="default"/>
        <w:color w:val="0563C1" w:themeColor="hyperlink"/>
        <w:sz w:val="24"/>
        <w:u w:val="single"/>
      </w:rPr>
    </w:lvl>
    <w:lvl w:ilvl="6">
      <w:start w:val="1"/>
      <w:numFmt w:val="decimal"/>
      <w:lvlText w:val="%1.%2.%3.%4.%5.%6.%7."/>
      <w:lvlJc w:val="left"/>
      <w:pPr>
        <w:ind w:left="2868" w:hanging="1440"/>
      </w:pPr>
      <w:rPr>
        <w:rFonts w:ascii="Times New Roman" w:eastAsiaTheme="majorEastAsia" w:hAnsi="Times New Roman" w:cs="Times New Roman" w:hint="default"/>
        <w:color w:val="0563C1" w:themeColor="hyperlink"/>
        <w:sz w:val="24"/>
        <w:u w:val="single"/>
      </w:rPr>
    </w:lvl>
    <w:lvl w:ilvl="7">
      <w:start w:val="1"/>
      <w:numFmt w:val="decimal"/>
      <w:lvlText w:val="%1.%2.%3.%4.%5.%6.%7.%8."/>
      <w:lvlJc w:val="left"/>
      <w:pPr>
        <w:ind w:left="3106" w:hanging="1440"/>
      </w:pPr>
      <w:rPr>
        <w:rFonts w:ascii="Times New Roman" w:eastAsiaTheme="majorEastAsia" w:hAnsi="Times New Roman" w:cs="Times New Roman" w:hint="default"/>
        <w:color w:val="0563C1" w:themeColor="hyperlink"/>
        <w:sz w:val="24"/>
        <w:u w:val="single"/>
      </w:rPr>
    </w:lvl>
    <w:lvl w:ilvl="8">
      <w:start w:val="1"/>
      <w:numFmt w:val="decimal"/>
      <w:lvlText w:val="%1.%2.%3.%4.%5.%6.%7.%8.%9."/>
      <w:lvlJc w:val="left"/>
      <w:pPr>
        <w:ind w:left="3704" w:hanging="1800"/>
      </w:pPr>
      <w:rPr>
        <w:rFonts w:ascii="Times New Roman" w:eastAsiaTheme="majorEastAsia" w:hAnsi="Times New Roman" w:cs="Times New Roman" w:hint="default"/>
        <w:color w:val="0563C1" w:themeColor="hyperlink"/>
        <w:sz w:val="24"/>
        <w:u w:val="single"/>
      </w:rPr>
    </w:lvl>
  </w:abstractNum>
  <w:abstractNum w:abstractNumId="25" w15:restartNumberingAfterBreak="0">
    <w:nsid w:val="621F0515"/>
    <w:multiLevelType w:val="hybridMultilevel"/>
    <w:tmpl w:val="28F4A06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15:restartNumberingAfterBreak="0">
    <w:nsid w:val="66493ED0"/>
    <w:multiLevelType w:val="hybridMultilevel"/>
    <w:tmpl w:val="E3CC8F72"/>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67F70CF"/>
    <w:multiLevelType w:val="multilevel"/>
    <w:tmpl w:val="6DD89B02"/>
    <w:lvl w:ilvl="0">
      <w:start w:val="1"/>
      <w:numFmt w:val="decimal"/>
      <w:lvlText w:val="%1."/>
      <w:lvlJc w:val="left"/>
      <w:pPr>
        <w:ind w:left="360" w:hanging="360"/>
      </w:pPr>
      <w:rPr>
        <w:rFonts w:ascii="Times New Roman" w:eastAsiaTheme="majorEastAsia" w:hAnsi="Times New Roman" w:cs="Times New Roman" w:hint="default"/>
        <w:color w:val="0563C1" w:themeColor="hyperlink"/>
        <w:sz w:val="24"/>
        <w:u w:val="single"/>
      </w:rPr>
    </w:lvl>
    <w:lvl w:ilvl="1">
      <w:start w:val="1"/>
      <w:numFmt w:val="decimal"/>
      <w:lvlText w:val="%1.%2."/>
      <w:lvlJc w:val="left"/>
      <w:pPr>
        <w:ind w:left="643" w:hanging="360"/>
      </w:pPr>
      <w:rPr>
        <w:rFonts w:ascii="Times New Roman" w:eastAsiaTheme="majorEastAsia" w:hAnsi="Times New Roman" w:cs="Times New Roman" w:hint="default"/>
        <w:color w:val="auto"/>
        <w:sz w:val="24"/>
        <w:u w:val="none"/>
      </w:rPr>
    </w:lvl>
    <w:lvl w:ilvl="2">
      <w:start w:val="1"/>
      <w:numFmt w:val="decimal"/>
      <w:lvlText w:val="%1.%2.%3."/>
      <w:lvlJc w:val="left"/>
      <w:pPr>
        <w:ind w:left="720" w:hanging="720"/>
      </w:pPr>
      <w:rPr>
        <w:rFonts w:ascii="Times New Roman" w:eastAsiaTheme="majorEastAsia" w:hAnsi="Times New Roman" w:cs="Times New Roman" w:hint="default"/>
        <w:color w:val="0563C1" w:themeColor="hyperlink"/>
        <w:sz w:val="24"/>
        <w:u w:val="single"/>
      </w:rPr>
    </w:lvl>
    <w:lvl w:ilvl="3">
      <w:start w:val="1"/>
      <w:numFmt w:val="decimal"/>
      <w:lvlText w:val="%1.%2.%3.%4."/>
      <w:lvlJc w:val="left"/>
      <w:pPr>
        <w:ind w:left="720" w:hanging="720"/>
      </w:pPr>
      <w:rPr>
        <w:rFonts w:ascii="Times New Roman" w:eastAsiaTheme="majorEastAsia" w:hAnsi="Times New Roman" w:cs="Times New Roman" w:hint="default"/>
        <w:color w:val="0563C1" w:themeColor="hyperlink"/>
        <w:sz w:val="24"/>
        <w:u w:val="single"/>
      </w:rPr>
    </w:lvl>
    <w:lvl w:ilvl="4">
      <w:start w:val="1"/>
      <w:numFmt w:val="decimal"/>
      <w:lvlText w:val="%1.%2.%3.%4.%5."/>
      <w:lvlJc w:val="left"/>
      <w:pPr>
        <w:ind w:left="1080" w:hanging="1080"/>
      </w:pPr>
      <w:rPr>
        <w:rFonts w:ascii="Times New Roman" w:eastAsiaTheme="majorEastAsia" w:hAnsi="Times New Roman" w:cs="Times New Roman" w:hint="default"/>
        <w:color w:val="0563C1" w:themeColor="hyperlink"/>
        <w:sz w:val="24"/>
        <w:u w:val="single"/>
      </w:rPr>
    </w:lvl>
    <w:lvl w:ilvl="5">
      <w:start w:val="1"/>
      <w:numFmt w:val="decimal"/>
      <w:lvlText w:val="%1.%2.%3.%4.%5.%6."/>
      <w:lvlJc w:val="left"/>
      <w:pPr>
        <w:ind w:left="1080" w:hanging="1080"/>
      </w:pPr>
      <w:rPr>
        <w:rFonts w:ascii="Times New Roman" w:eastAsiaTheme="majorEastAsia" w:hAnsi="Times New Roman" w:cs="Times New Roman" w:hint="default"/>
        <w:color w:val="0563C1" w:themeColor="hyperlink"/>
        <w:sz w:val="24"/>
        <w:u w:val="single"/>
      </w:rPr>
    </w:lvl>
    <w:lvl w:ilvl="6">
      <w:start w:val="1"/>
      <w:numFmt w:val="decimal"/>
      <w:lvlText w:val="%1.%2.%3.%4.%5.%6.%7."/>
      <w:lvlJc w:val="left"/>
      <w:pPr>
        <w:ind w:left="1440" w:hanging="1440"/>
      </w:pPr>
      <w:rPr>
        <w:rFonts w:ascii="Times New Roman" w:eastAsiaTheme="majorEastAsia" w:hAnsi="Times New Roman" w:cs="Times New Roman" w:hint="default"/>
        <w:color w:val="0563C1" w:themeColor="hyperlink"/>
        <w:sz w:val="24"/>
        <w:u w:val="single"/>
      </w:rPr>
    </w:lvl>
    <w:lvl w:ilvl="7">
      <w:start w:val="1"/>
      <w:numFmt w:val="decimal"/>
      <w:lvlText w:val="%1.%2.%3.%4.%5.%6.%7.%8."/>
      <w:lvlJc w:val="left"/>
      <w:pPr>
        <w:ind w:left="1440" w:hanging="1440"/>
      </w:pPr>
      <w:rPr>
        <w:rFonts w:ascii="Times New Roman" w:eastAsiaTheme="majorEastAsia" w:hAnsi="Times New Roman" w:cs="Times New Roman" w:hint="default"/>
        <w:color w:val="0563C1" w:themeColor="hyperlink"/>
        <w:sz w:val="24"/>
        <w:u w:val="single"/>
      </w:rPr>
    </w:lvl>
    <w:lvl w:ilvl="8">
      <w:start w:val="1"/>
      <w:numFmt w:val="decimal"/>
      <w:lvlText w:val="%1.%2.%3.%4.%5.%6.%7.%8.%9."/>
      <w:lvlJc w:val="left"/>
      <w:pPr>
        <w:ind w:left="1800" w:hanging="1800"/>
      </w:pPr>
      <w:rPr>
        <w:rFonts w:ascii="Times New Roman" w:eastAsiaTheme="majorEastAsia" w:hAnsi="Times New Roman" w:cs="Times New Roman" w:hint="default"/>
        <w:color w:val="0563C1" w:themeColor="hyperlink"/>
        <w:sz w:val="24"/>
        <w:u w:val="single"/>
      </w:rPr>
    </w:lvl>
  </w:abstractNum>
  <w:abstractNum w:abstractNumId="28" w15:restartNumberingAfterBreak="0">
    <w:nsid w:val="66AB6A02"/>
    <w:multiLevelType w:val="multilevel"/>
    <w:tmpl w:val="D08E8A50"/>
    <w:lvl w:ilvl="0">
      <w:start w:val="1"/>
      <w:numFmt w:val="bullet"/>
      <w:lvlText w:val=""/>
      <w:lvlJc w:val="left"/>
      <w:pPr>
        <w:ind w:left="400" w:hanging="400"/>
      </w:pPr>
      <w:rPr>
        <w:rFonts w:ascii="Symbol" w:hAnsi="Symbol"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9" w15:restartNumberingAfterBreak="0">
    <w:nsid w:val="71CB4EAD"/>
    <w:multiLevelType w:val="multilevel"/>
    <w:tmpl w:val="1EB6934E"/>
    <w:lvl w:ilvl="0">
      <w:start w:val="1"/>
      <w:numFmt w:val="decimal"/>
      <w:lvlText w:val="%1."/>
      <w:lvlJc w:val="left"/>
      <w:pPr>
        <w:ind w:left="360" w:hanging="360"/>
      </w:pPr>
      <w:rPr>
        <w:rFonts w:ascii="Times New Roman" w:eastAsiaTheme="majorEastAsia" w:hAnsi="Times New Roman" w:cs="Times New Roman" w:hint="default"/>
        <w:color w:val="0563C1" w:themeColor="hyperlink"/>
        <w:sz w:val="24"/>
        <w:u w:val="single"/>
      </w:rPr>
    </w:lvl>
    <w:lvl w:ilvl="1">
      <w:start w:val="1"/>
      <w:numFmt w:val="decimal"/>
      <w:lvlText w:val="%1.%2."/>
      <w:lvlJc w:val="left"/>
      <w:pPr>
        <w:ind w:left="360" w:hanging="360"/>
      </w:pPr>
      <w:rPr>
        <w:rFonts w:ascii="Times New Roman" w:eastAsiaTheme="majorEastAsia" w:hAnsi="Times New Roman" w:cs="Times New Roman" w:hint="default"/>
        <w:color w:val="auto"/>
        <w:sz w:val="24"/>
        <w:u w:val="none"/>
      </w:rPr>
    </w:lvl>
    <w:lvl w:ilvl="2">
      <w:start w:val="1"/>
      <w:numFmt w:val="decimal"/>
      <w:lvlText w:val="%1.%2.%3."/>
      <w:lvlJc w:val="left"/>
      <w:pPr>
        <w:ind w:left="720" w:hanging="720"/>
      </w:pPr>
      <w:rPr>
        <w:rFonts w:ascii="Times New Roman" w:eastAsiaTheme="majorEastAsia" w:hAnsi="Times New Roman" w:cs="Times New Roman" w:hint="default"/>
        <w:color w:val="0563C1" w:themeColor="hyperlink"/>
        <w:sz w:val="24"/>
        <w:u w:val="single"/>
      </w:rPr>
    </w:lvl>
    <w:lvl w:ilvl="3">
      <w:start w:val="1"/>
      <w:numFmt w:val="decimal"/>
      <w:lvlText w:val="%1.%2.%3.%4."/>
      <w:lvlJc w:val="left"/>
      <w:pPr>
        <w:ind w:left="720" w:hanging="720"/>
      </w:pPr>
      <w:rPr>
        <w:rFonts w:ascii="Times New Roman" w:eastAsiaTheme="majorEastAsia" w:hAnsi="Times New Roman" w:cs="Times New Roman" w:hint="default"/>
        <w:color w:val="0563C1" w:themeColor="hyperlink"/>
        <w:sz w:val="24"/>
        <w:u w:val="single"/>
      </w:rPr>
    </w:lvl>
    <w:lvl w:ilvl="4">
      <w:start w:val="1"/>
      <w:numFmt w:val="decimal"/>
      <w:lvlText w:val="%1.%2.%3.%4.%5."/>
      <w:lvlJc w:val="left"/>
      <w:pPr>
        <w:ind w:left="1080" w:hanging="1080"/>
      </w:pPr>
      <w:rPr>
        <w:rFonts w:ascii="Times New Roman" w:eastAsiaTheme="majorEastAsia" w:hAnsi="Times New Roman" w:cs="Times New Roman" w:hint="default"/>
        <w:color w:val="0563C1" w:themeColor="hyperlink"/>
        <w:sz w:val="24"/>
        <w:u w:val="single"/>
      </w:rPr>
    </w:lvl>
    <w:lvl w:ilvl="5">
      <w:start w:val="1"/>
      <w:numFmt w:val="decimal"/>
      <w:lvlText w:val="%1.%2.%3.%4.%5.%6."/>
      <w:lvlJc w:val="left"/>
      <w:pPr>
        <w:ind w:left="1080" w:hanging="1080"/>
      </w:pPr>
      <w:rPr>
        <w:rFonts w:ascii="Times New Roman" w:eastAsiaTheme="majorEastAsia" w:hAnsi="Times New Roman" w:cs="Times New Roman" w:hint="default"/>
        <w:color w:val="0563C1" w:themeColor="hyperlink"/>
        <w:sz w:val="24"/>
        <w:u w:val="single"/>
      </w:rPr>
    </w:lvl>
    <w:lvl w:ilvl="6">
      <w:start w:val="1"/>
      <w:numFmt w:val="decimal"/>
      <w:lvlText w:val="%1.%2.%3.%4.%5.%6.%7."/>
      <w:lvlJc w:val="left"/>
      <w:pPr>
        <w:ind w:left="1440" w:hanging="1440"/>
      </w:pPr>
      <w:rPr>
        <w:rFonts w:ascii="Times New Roman" w:eastAsiaTheme="majorEastAsia" w:hAnsi="Times New Roman" w:cs="Times New Roman" w:hint="default"/>
        <w:color w:val="0563C1" w:themeColor="hyperlink"/>
        <w:sz w:val="24"/>
        <w:u w:val="single"/>
      </w:rPr>
    </w:lvl>
    <w:lvl w:ilvl="7">
      <w:start w:val="1"/>
      <w:numFmt w:val="decimal"/>
      <w:lvlText w:val="%1.%2.%3.%4.%5.%6.%7.%8."/>
      <w:lvlJc w:val="left"/>
      <w:pPr>
        <w:ind w:left="1440" w:hanging="1440"/>
      </w:pPr>
      <w:rPr>
        <w:rFonts w:ascii="Times New Roman" w:eastAsiaTheme="majorEastAsia" w:hAnsi="Times New Roman" w:cs="Times New Roman" w:hint="default"/>
        <w:color w:val="0563C1" w:themeColor="hyperlink"/>
        <w:sz w:val="24"/>
        <w:u w:val="single"/>
      </w:rPr>
    </w:lvl>
    <w:lvl w:ilvl="8">
      <w:start w:val="1"/>
      <w:numFmt w:val="decimal"/>
      <w:lvlText w:val="%1.%2.%3.%4.%5.%6.%7.%8.%9."/>
      <w:lvlJc w:val="left"/>
      <w:pPr>
        <w:ind w:left="1800" w:hanging="1800"/>
      </w:pPr>
      <w:rPr>
        <w:rFonts w:ascii="Times New Roman" w:eastAsiaTheme="majorEastAsia" w:hAnsi="Times New Roman" w:cs="Times New Roman" w:hint="default"/>
        <w:color w:val="0563C1" w:themeColor="hyperlink"/>
        <w:sz w:val="24"/>
        <w:u w:val="single"/>
      </w:rPr>
    </w:lvl>
  </w:abstractNum>
  <w:abstractNum w:abstractNumId="30" w15:restartNumberingAfterBreak="0">
    <w:nsid w:val="76823893"/>
    <w:multiLevelType w:val="multilevel"/>
    <w:tmpl w:val="615A15E8"/>
    <w:lvl w:ilvl="0">
      <w:start w:val="1"/>
      <w:numFmt w:val="decimal"/>
      <w:lvlText w:val="%1."/>
      <w:lvlJc w:val="left"/>
      <w:pPr>
        <w:ind w:left="400" w:hanging="40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1" w15:restartNumberingAfterBreak="0">
    <w:nsid w:val="774C66CE"/>
    <w:multiLevelType w:val="multilevel"/>
    <w:tmpl w:val="F3C46992"/>
    <w:lvl w:ilvl="0">
      <w:start w:val="1"/>
      <w:numFmt w:val="decimal"/>
      <w:lvlText w:val="%1."/>
      <w:lvlJc w:val="left"/>
      <w:pPr>
        <w:ind w:left="360" w:hanging="360"/>
      </w:pPr>
      <w:rPr>
        <w:rFonts w:ascii="Times New Roman" w:eastAsiaTheme="majorEastAsia" w:hAnsi="Times New Roman" w:cs="Times New Roman" w:hint="default"/>
        <w:color w:val="0563C1" w:themeColor="hyperlink"/>
        <w:sz w:val="24"/>
        <w:u w:val="single"/>
      </w:rPr>
    </w:lvl>
    <w:lvl w:ilvl="1">
      <w:start w:val="1"/>
      <w:numFmt w:val="decimal"/>
      <w:lvlText w:val="%1.%2."/>
      <w:lvlJc w:val="left"/>
      <w:pPr>
        <w:ind w:left="643" w:hanging="360"/>
      </w:pPr>
      <w:rPr>
        <w:rFonts w:ascii="Times New Roman" w:eastAsiaTheme="majorEastAsia" w:hAnsi="Times New Roman" w:cs="Times New Roman" w:hint="default"/>
        <w:color w:val="auto"/>
        <w:sz w:val="24"/>
        <w:u w:val="none"/>
      </w:rPr>
    </w:lvl>
    <w:lvl w:ilvl="2">
      <w:start w:val="1"/>
      <w:numFmt w:val="decimal"/>
      <w:lvlText w:val="%1.%2.%3."/>
      <w:lvlJc w:val="left"/>
      <w:pPr>
        <w:ind w:left="1286" w:hanging="720"/>
      </w:pPr>
      <w:rPr>
        <w:rFonts w:ascii="Times New Roman" w:eastAsiaTheme="majorEastAsia" w:hAnsi="Times New Roman" w:cs="Times New Roman" w:hint="default"/>
        <w:color w:val="0563C1" w:themeColor="hyperlink"/>
        <w:sz w:val="24"/>
        <w:u w:val="single"/>
      </w:rPr>
    </w:lvl>
    <w:lvl w:ilvl="3">
      <w:start w:val="1"/>
      <w:numFmt w:val="decimal"/>
      <w:lvlText w:val="%1.%2.%3.%4."/>
      <w:lvlJc w:val="left"/>
      <w:pPr>
        <w:ind w:left="1569" w:hanging="720"/>
      </w:pPr>
      <w:rPr>
        <w:rFonts w:ascii="Times New Roman" w:eastAsiaTheme="majorEastAsia" w:hAnsi="Times New Roman" w:cs="Times New Roman" w:hint="default"/>
        <w:color w:val="0563C1" w:themeColor="hyperlink"/>
        <w:sz w:val="24"/>
        <w:u w:val="single"/>
      </w:rPr>
    </w:lvl>
    <w:lvl w:ilvl="4">
      <w:start w:val="1"/>
      <w:numFmt w:val="decimal"/>
      <w:lvlText w:val="%1.%2.%3.%4.%5."/>
      <w:lvlJc w:val="left"/>
      <w:pPr>
        <w:ind w:left="2212" w:hanging="1080"/>
      </w:pPr>
      <w:rPr>
        <w:rFonts w:ascii="Times New Roman" w:eastAsiaTheme="majorEastAsia" w:hAnsi="Times New Roman" w:cs="Times New Roman" w:hint="default"/>
        <w:color w:val="0563C1" w:themeColor="hyperlink"/>
        <w:sz w:val="24"/>
        <w:u w:val="single"/>
      </w:rPr>
    </w:lvl>
    <w:lvl w:ilvl="5">
      <w:start w:val="1"/>
      <w:numFmt w:val="decimal"/>
      <w:lvlText w:val="%1.%2.%3.%4.%5.%6."/>
      <w:lvlJc w:val="left"/>
      <w:pPr>
        <w:ind w:left="2495" w:hanging="1080"/>
      </w:pPr>
      <w:rPr>
        <w:rFonts w:ascii="Times New Roman" w:eastAsiaTheme="majorEastAsia" w:hAnsi="Times New Roman" w:cs="Times New Roman" w:hint="default"/>
        <w:color w:val="0563C1" w:themeColor="hyperlink"/>
        <w:sz w:val="24"/>
        <w:u w:val="single"/>
      </w:rPr>
    </w:lvl>
    <w:lvl w:ilvl="6">
      <w:start w:val="1"/>
      <w:numFmt w:val="decimal"/>
      <w:lvlText w:val="%1.%2.%3.%4.%5.%6.%7."/>
      <w:lvlJc w:val="left"/>
      <w:pPr>
        <w:ind w:left="3138" w:hanging="1440"/>
      </w:pPr>
      <w:rPr>
        <w:rFonts w:ascii="Times New Roman" w:eastAsiaTheme="majorEastAsia" w:hAnsi="Times New Roman" w:cs="Times New Roman" w:hint="default"/>
        <w:color w:val="0563C1" w:themeColor="hyperlink"/>
        <w:sz w:val="24"/>
        <w:u w:val="single"/>
      </w:rPr>
    </w:lvl>
    <w:lvl w:ilvl="7">
      <w:start w:val="1"/>
      <w:numFmt w:val="decimal"/>
      <w:lvlText w:val="%1.%2.%3.%4.%5.%6.%7.%8."/>
      <w:lvlJc w:val="left"/>
      <w:pPr>
        <w:ind w:left="3421" w:hanging="1440"/>
      </w:pPr>
      <w:rPr>
        <w:rFonts w:ascii="Times New Roman" w:eastAsiaTheme="majorEastAsia" w:hAnsi="Times New Roman" w:cs="Times New Roman" w:hint="default"/>
        <w:color w:val="0563C1" w:themeColor="hyperlink"/>
        <w:sz w:val="24"/>
        <w:u w:val="single"/>
      </w:rPr>
    </w:lvl>
    <w:lvl w:ilvl="8">
      <w:start w:val="1"/>
      <w:numFmt w:val="decimal"/>
      <w:lvlText w:val="%1.%2.%3.%4.%5.%6.%7.%8.%9."/>
      <w:lvlJc w:val="left"/>
      <w:pPr>
        <w:ind w:left="4064" w:hanging="1800"/>
      </w:pPr>
      <w:rPr>
        <w:rFonts w:ascii="Times New Roman" w:eastAsiaTheme="majorEastAsia" w:hAnsi="Times New Roman" w:cs="Times New Roman" w:hint="default"/>
        <w:color w:val="0563C1" w:themeColor="hyperlink"/>
        <w:sz w:val="24"/>
        <w:u w:val="single"/>
      </w:rPr>
    </w:lvl>
  </w:abstractNum>
  <w:abstractNum w:abstractNumId="32" w15:restartNumberingAfterBreak="0">
    <w:nsid w:val="7F1F0F03"/>
    <w:multiLevelType w:val="hybridMultilevel"/>
    <w:tmpl w:val="31F2606E"/>
    <w:lvl w:ilvl="0" w:tplc="74CC479C">
      <w:start w:val="1"/>
      <w:numFmt w:val="bullet"/>
      <w:lvlText w:val=""/>
      <w:lvlJc w:val="left"/>
      <w:pPr>
        <w:ind w:left="360" w:hanging="360"/>
      </w:pPr>
      <w:rPr>
        <w:rFonts w:ascii="Symbol" w:hAnsi="Symbol" w:hint="default"/>
        <w:b w:val="0"/>
        <w:i w:val="0"/>
        <w:color w:val="auto"/>
        <w:sz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7F9133D8"/>
    <w:multiLevelType w:val="hybridMultilevel"/>
    <w:tmpl w:val="60A872FC"/>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num w:numId="1" w16cid:durableId="1890149121">
    <w:abstractNumId w:val="0"/>
  </w:num>
  <w:num w:numId="2" w16cid:durableId="1864174682">
    <w:abstractNumId w:val="30"/>
  </w:num>
  <w:num w:numId="3" w16cid:durableId="1657344014">
    <w:abstractNumId w:val="1"/>
  </w:num>
  <w:num w:numId="4" w16cid:durableId="818380467">
    <w:abstractNumId w:val="26"/>
  </w:num>
  <w:num w:numId="5" w16cid:durableId="1507087604">
    <w:abstractNumId w:val="3"/>
  </w:num>
  <w:num w:numId="6" w16cid:durableId="986402370">
    <w:abstractNumId w:val="13"/>
  </w:num>
  <w:num w:numId="7" w16cid:durableId="1208761533">
    <w:abstractNumId w:val="32"/>
  </w:num>
  <w:num w:numId="8" w16cid:durableId="1688946677">
    <w:abstractNumId w:val="7"/>
  </w:num>
  <w:num w:numId="9" w16cid:durableId="1877541564">
    <w:abstractNumId w:val="4"/>
  </w:num>
  <w:num w:numId="10" w16cid:durableId="61369450">
    <w:abstractNumId w:val="11"/>
  </w:num>
  <w:num w:numId="11" w16cid:durableId="1654215690">
    <w:abstractNumId w:val="16"/>
  </w:num>
  <w:num w:numId="12" w16cid:durableId="666594758">
    <w:abstractNumId w:val="14"/>
  </w:num>
  <w:num w:numId="13" w16cid:durableId="457337312">
    <w:abstractNumId w:val="33"/>
  </w:num>
  <w:num w:numId="14" w16cid:durableId="937785676">
    <w:abstractNumId w:val="18"/>
  </w:num>
  <w:num w:numId="15" w16cid:durableId="619147785">
    <w:abstractNumId w:val="17"/>
  </w:num>
  <w:num w:numId="16" w16cid:durableId="1247760915">
    <w:abstractNumId w:val="25"/>
  </w:num>
  <w:num w:numId="17" w16cid:durableId="1161848106">
    <w:abstractNumId w:val="12"/>
  </w:num>
  <w:num w:numId="18" w16cid:durableId="644748080">
    <w:abstractNumId w:val="2"/>
  </w:num>
  <w:num w:numId="19" w16cid:durableId="1112748940">
    <w:abstractNumId w:val="9"/>
  </w:num>
  <w:num w:numId="20" w16cid:durableId="1936133750">
    <w:abstractNumId w:val="22"/>
  </w:num>
  <w:num w:numId="21" w16cid:durableId="225068177">
    <w:abstractNumId w:val="10"/>
  </w:num>
  <w:num w:numId="22" w16cid:durableId="633026866">
    <w:abstractNumId w:val="6"/>
  </w:num>
  <w:num w:numId="23" w16cid:durableId="1392121402">
    <w:abstractNumId w:val="23"/>
  </w:num>
  <w:num w:numId="24" w16cid:durableId="284847040">
    <w:abstractNumId w:val="28"/>
  </w:num>
  <w:num w:numId="25" w16cid:durableId="1752508884">
    <w:abstractNumId w:val="21"/>
  </w:num>
  <w:num w:numId="26" w16cid:durableId="1733236998">
    <w:abstractNumId w:val="8"/>
  </w:num>
  <w:num w:numId="27" w16cid:durableId="1487822755">
    <w:abstractNumId w:val="24"/>
  </w:num>
  <w:num w:numId="28" w16cid:durableId="1682009440">
    <w:abstractNumId w:val="15"/>
  </w:num>
  <w:num w:numId="29" w16cid:durableId="1086730949">
    <w:abstractNumId w:val="5"/>
  </w:num>
  <w:num w:numId="30" w16cid:durableId="1850218651">
    <w:abstractNumId w:val="20"/>
  </w:num>
  <w:num w:numId="31" w16cid:durableId="598147203">
    <w:abstractNumId w:val="29"/>
  </w:num>
  <w:num w:numId="32" w16cid:durableId="932055130">
    <w:abstractNumId w:val="19"/>
  </w:num>
  <w:num w:numId="33" w16cid:durableId="1739981466">
    <w:abstractNumId w:val="27"/>
  </w:num>
  <w:num w:numId="34" w16cid:durableId="1961255592">
    <w:abstractNumId w:val="3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F414E"/>
    <w:rsid w:val="00056CC2"/>
    <w:rsid w:val="0008287B"/>
    <w:rsid w:val="00091275"/>
    <w:rsid w:val="000B50F4"/>
    <w:rsid w:val="000E468A"/>
    <w:rsid w:val="000F0C8F"/>
    <w:rsid w:val="000F6D95"/>
    <w:rsid w:val="001453EC"/>
    <w:rsid w:val="00151D00"/>
    <w:rsid w:val="0016487B"/>
    <w:rsid w:val="00193049"/>
    <w:rsid w:val="001B02E3"/>
    <w:rsid w:val="001C120E"/>
    <w:rsid w:val="001C355A"/>
    <w:rsid w:val="001C4BF4"/>
    <w:rsid w:val="00202773"/>
    <w:rsid w:val="00210947"/>
    <w:rsid w:val="00234BDC"/>
    <w:rsid w:val="002539A4"/>
    <w:rsid w:val="00267443"/>
    <w:rsid w:val="002679D1"/>
    <w:rsid w:val="00277A84"/>
    <w:rsid w:val="002943FF"/>
    <w:rsid w:val="002A5796"/>
    <w:rsid w:val="002B2EF1"/>
    <w:rsid w:val="002B7869"/>
    <w:rsid w:val="002B7BF3"/>
    <w:rsid w:val="00312699"/>
    <w:rsid w:val="003310EA"/>
    <w:rsid w:val="00331CC2"/>
    <w:rsid w:val="003600D7"/>
    <w:rsid w:val="003948EE"/>
    <w:rsid w:val="003965DA"/>
    <w:rsid w:val="003A562A"/>
    <w:rsid w:val="003A5946"/>
    <w:rsid w:val="003C1786"/>
    <w:rsid w:val="003D01F7"/>
    <w:rsid w:val="003E30F2"/>
    <w:rsid w:val="004133FE"/>
    <w:rsid w:val="00432C4A"/>
    <w:rsid w:val="0045350B"/>
    <w:rsid w:val="00465D12"/>
    <w:rsid w:val="00474BFD"/>
    <w:rsid w:val="00510E95"/>
    <w:rsid w:val="00515E1F"/>
    <w:rsid w:val="0051675A"/>
    <w:rsid w:val="00543341"/>
    <w:rsid w:val="005648A4"/>
    <w:rsid w:val="00572298"/>
    <w:rsid w:val="005772D2"/>
    <w:rsid w:val="0057736F"/>
    <w:rsid w:val="00587A8C"/>
    <w:rsid w:val="005A72AE"/>
    <w:rsid w:val="005B6445"/>
    <w:rsid w:val="005D5C77"/>
    <w:rsid w:val="00634BE9"/>
    <w:rsid w:val="00650651"/>
    <w:rsid w:val="00657F6F"/>
    <w:rsid w:val="0066488C"/>
    <w:rsid w:val="006712B5"/>
    <w:rsid w:val="0068595E"/>
    <w:rsid w:val="006974E6"/>
    <w:rsid w:val="006A36FC"/>
    <w:rsid w:val="006B3847"/>
    <w:rsid w:val="006F6F74"/>
    <w:rsid w:val="0070691C"/>
    <w:rsid w:val="00723A18"/>
    <w:rsid w:val="00730E9E"/>
    <w:rsid w:val="0073749E"/>
    <w:rsid w:val="0074719F"/>
    <w:rsid w:val="007C1B00"/>
    <w:rsid w:val="007D2E08"/>
    <w:rsid w:val="007E3218"/>
    <w:rsid w:val="007F0FE7"/>
    <w:rsid w:val="007F66E6"/>
    <w:rsid w:val="00814CD8"/>
    <w:rsid w:val="008447A6"/>
    <w:rsid w:val="00860DD8"/>
    <w:rsid w:val="0086713E"/>
    <w:rsid w:val="00874CAB"/>
    <w:rsid w:val="00877193"/>
    <w:rsid w:val="00886A6C"/>
    <w:rsid w:val="008B1D27"/>
    <w:rsid w:val="008E0E13"/>
    <w:rsid w:val="008F414E"/>
    <w:rsid w:val="009040D3"/>
    <w:rsid w:val="009345F9"/>
    <w:rsid w:val="0094643E"/>
    <w:rsid w:val="00947DDA"/>
    <w:rsid w:val="00981817"/>
    <w:rsid w:val="009B081F"/>
    <w:rsid w:val="00A16968"/>
    <w:rsid w:val="00A17BD7"/>
    <w:rsid w:val="00A31AEA"/>
    <w:rsid w:val="00A4105E"/>
    <w:rsid w:val="00A47818"/>
    <w:rsid w:val="00A9387A"/>
    <w:rsid w:val="00AB2817"/>
    <w:rsid w:val="00AB59C5"/>
    <w:rsid w:val="00AD39F0"/>
    <w:rsid w:val="00AE64FE"/>
    <w:rsid w:val="00AF0D81"/>
    <w:rsid w:val="00B04B6A"/>
    <w:rsid w:val="00B16FE5"/>
    <w:rsid w:val="00B209A2"/>
    <w:rsid w:val="00B24652"/>
    <w:rsid w:val="00B348EA"/>
    <w:rsid w:val="00B47613"/>
    <w:rsid w:val="00B930F8"/>
    <w:rsid w:val="00BA1422"/>
    <w:rsid w:val="00BA1E3E"/>
    <w:rsid w:val="00BC0246"/>
    <w:rsid w:val="00BC4C64"/>
    <w:rsid w:val="00BE10CD"/>
    <w:rsid w:val="00BE2C15"/>
    <w:rsid w:val="00BF5F00"/>
    <w:rsid w:val="00BF7628"/>
    <w:rsid w:val="00C00906"/>
    <w:rsid w:val="00C05EEE"/>
    <w:rsid w:val="00C12124"/>
    <w:rsid w:val="00C36A67"/>
    <w:rsid w:val="00C52C9A"/>
    <w:rsid w:val="00CC0B25"/>
    <w:rsid w:val="00CD32FB"/>
    <w:rsid w:val="00CD58EC"/>
    <w:rsid w:val="00D16307"/>
    <w:rsid w:val="00D54080"/>
    <w:rsid w:val="00D71491"/>
    <w:rsid w:val="00D77B29"/>
    <w:rsid w:val="00DD103B"/>
    <w:rsid w:val="00E169C3"/>
    <w:rsid w:val="00E25742"/>
    <w:rsid w:val="00E43F96"/>
    <w:rsid w:val="00E45C70"/>
    <w:rsid w:val="00E56DE6"/>
    <w:rsid w:val="00EF3EA3"/>
    <w:rsid w:val="00EF545E"/>
    <w:rsid w:val="00F06757"/>
    <w:rsid w:val="00F26C97"/>
    <w:rsid w:val="00F4416A"/>
    <w:rsid w:val="00F7476B"/>
    <w:rsid w:val="00F77136"/>
    <w:rsid w:val="00F85832"/>
    <w:rsid w:val="00F87521"/>
    <w:rsid w:val="00FA0EEC"/>
    <w:rsid w:val="00FA78E8"/>
    <w:rsid w:val="00FB66BE"/>
    <w:rsid w:val="00FF68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2697CBE"/>
  <w15:docId w15:val="{E5B0C6D2-0CE3-4AD9-A56E-0A1BA0866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7476B"/>
    <w:pPr>
      <w:ind w:firstLine="0"/>
      <w:jc w:val="center"/>
    </w:pPr>
    <w:rPr>
      <w:rFonts w:eastAsia="Times New Roman"/>
      <w:szCs w:val="24"/>
      <w:lang w:eastAsia="ru-RU"/>
    </w:rPr>
  </w:style>
  <w:style w:type="paragraph" w:styleId="Heading1">
    <w:name w:val="heading 1"/>
    <w:basedOn w:val="Normal"/>
    <w:next w:val="Normal"/>
    <w:link w:val="Heading1Char"/>
    <w:uiPriority w:val="9"/>
    <w:qFormat/>
    <w:rsid w:val="00B24652"/>
    <w:pPr>
      <w:keepNext/>
      <w:keepLines/>
      <w:spacing w:before="240"/>
      <w:ind w:firstLine="709"/>
      <w:jc w:val="both"/>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B24652"/>
    <w:pPr>
      <w:keepNext/>
      <w:keepLines/>
      <w:spacing w:before="40"/>
      <w:ind w:firstLine="709"/>
      <w:jc w:val="both"/>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unhideWhenUsed/>
    <w:qFormat/>
    <w:rsid w:val="00B24652"/>
    <w:pPr>
      <w:keepNext/>
      <w:keepLines/>
      <w:spacing w:before="40"/>
      <w:ind w:firstLine="709"/>
      <w:jc w:val="both"/>
      <w:outlineLvl w:val="2"/>
    </w:pPr>
    <w:rPr>
      <w:rFonts w:asciiTheme="majorHAnsi" w:eastAsiaTheme="majorEastAsia" w:hAnsiTheme="majorHAnsi" w:cstheme="majorBidi"/>
      <w:color w:val="1F3763" w:themeColor="accent1" w:themeShade="7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4CD8"/>
    <w:rPr>
      <w:color w:val="0563C1" w:themeColor="hyperlink"/>
      <w:u w:val="single"/>
    </w:rPr>
  </w:style>
  <w:style w:type="character" w:styleId="UnresolvedMention">
    <w:name w:val="Unresolved Mention"/>
    <w:basedOn w:val="DefaultParagraphFont"/>
    <w:uiPriority w:val="99"/>
    <w:semiHidden/>
    <w:unhideWhenUsed/>
    <w:rsid w:val="00814CD8"/>
    <w:rPr>
      <w:color w:val="605E5C"/>
      <w:shd w:val="clear" w:color="auto" w:fill="E1DFDD"/>
    </w:rPr>
  </w:style>
  <w:style w:type="character" w:customStyle="1" w:styleId="Heading1Char">
    <w:name w:val="Heading 1 Char"/>
    <w:basedOn w:val="DefaultParagraphFont"/>
    <w:link w:val="Heading1"/>
    <w:uiPriority w:val="9"/>
    <w:rsid w:val="00B2465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2465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24652"/>
    <w:rPr>
      <w:rFonts w:asciiTheme="majorHAnsi" w:eastAsiaTheme="majorEastAsia" w:hAnsiTheme="majorHAnsi" w:cstheme="majorBidi"/>
      <w:color w:val="1F3763" w:themeColor="accent1" w:themeShade="7F"/>
      <w:szCs w:val="24"/>
    </w:rPr>
  </w:style>
  <w:style w:type="numbering" w:customStyle="1" w:styleId="NoList1">
    <w:name w:val="No List1"/>
    <w:next w:val="NoList"/>
    <w:uiPriority w:val="99"/>
    <w:semiHidden/>
    <w:unhideWhenUsed/>
    <w:rsid w:val="00B24652"/>
  </w:style>
  <w:style w:type="paragraph" w:styleId="ListParagraph">
    <w:name w:val="List Paragraph"/>
    <w:basedOn w:val="Normal"/>
    <w:uiPriority w:val="34"/>
    <w:qFormat/>
    <w:rsid w:val="00B24652"/>
    <w:pPr>
      <w:ind w:left="720" w:firstLine="709"/>
      <w:contextualSpacing/>
      <w:jc w:val="both"/>
    </w:pPr>
    <w:rPr>
      <w:rFonts w:eastAsiaTheme="minorHAnsi"/>
      <w:szCs w:val="22"/>
      <w:lang w:eastAsia="en-US"/>
    </w:rPr>
  </w:style>
  <w:style w:type="paragraph" w:styleId="NoSpacing">
    <w:name w:val="No Spacing"/>
    <w:uiPriority w:val="1"/>
    <w:qFormat/>
    <w:rsid w:val="00210947"/>
    <w:pPr>
      <w:spacing w:line="240" w:lineRule="auto"/>
      <w:ind w:firstLine="0"/>
      <w:jc w:val="center"/>
    </w:pPr>
    <w:rPr>
      <w:rFonts w:eastAsia="Times New Roman"/>
      <w:szCs w:val="24"/>
      <w:lang w:eastAsia="ru-RU"/>
    </w:rPr>
  </w:style>
  <w:style w:type="numbering" w:customStyle="1" w:styleId="NoList2">
    <w:name w:val="No List2"/>
    <w:next w:val="NoList"/>
    <w:uiPriority w:val="99"/>
    <w:semiHidden/>
    <w:unhideWhenUsed/>
    <w:rsid w:val="00331CC2"/>
  </w:style>
  <w:style w:type="table" w:styleId="TableGrid">
    <w:name w:val="Table Grid"/>
    <w:basedOn w:val="TableNormal"/>
    <w:uiPriority w:val="39"/>
    <w:rsid w:val="00331CC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4105E"/>
    <w:pPr>
      <w:spacing w:line="240" w:lineRule="auto"/>
    </w:pPr>
    <w:rPr>
      <w:sz w:val="20"/>
      <w:szCs w:val="20"/>
    </w:rPr>
  </w:style>
  <w:style w:type="character" w:customStyle="1" w:styleId="FootnoteTextChar">
    <w:name w:val="Footnote Text Char"/>
    <w:basedOn w:val="DefaultParagraphFont"/>
    <w:link w:val="FootnoteText"/>
    <w:uiPriority w:val="99"/>
    <w:semiHidden/>
    <w:rsid w:val="00A4105E"/>
    <w:rPr>
      <w:rFonts w:eastAsia="Times New Roman"/>
      <w:sz w:val="20"/>
      <w:szCs w:val="20"/>
      <w:lang w:eastAsia="ru-RU"/>
    </w:rPr>
  </w:style>
  <w:style w:type="character" w:styleId="FootnoteReference">
    <w:name w:val="footnote reference"/>
    <w:basedOn w:val="DefaultParagraphFont"/>
    <w:uiPriority w:val="99"/>
    <w:semiHidden/>
    <w:unhideWhenUsed/>
    <w:rsid w:val="00A4105E"/>
    <w:rPr>
      <w:vertAlign w:val="superscript"/>
    </w:rPr>
  </w:style>
  <w:style w:type="paragraph" w:styleId="TOCHeading">
    <w:name w:val="TOC Heading"/>
    <w:basedOn w:val="Heading1"/>
    <w:next w:val="Normal"/>
    <w:uiPriority w:val="39"/>
    <w:unhideWhenUsed/>
    <w:qFormat/>
    <w:rsid w:val="00A4105E"/>
    <w:pPr>
      <w:spacing w:line="259" w:lineRule="auto"/>
      <w:ind w:firstLine="0"/>
      <w:jc w:val="left"/>
      <w:outlineLvl w:val="9"/>
    </w:pPr>
    <w:rPr>
      <w:lang w:val="en-US"/>
    </w:rPr>
  </w:style>
  <w:style w:type="paragraph" w:styleId="TOC1">
    <w:name w:val="toc 1"/>
    <w:basedOn w:val="Normal"/>
    <w:next w:val="Normal"/>
    <w:autoRedefine/>
    <w:uiPriority w:val="39"/>
    <w:unhideWhenUsed/>
    <w:rsid w:val="00FA0EEC"/>
    <w:pPr>
      <w:tabs>
        <w:tab w:val="right" w:leader="dot" w:pos="9628"/>
      </w:tabs>
      <w:spacing w:before="80"/>
      <w:jc w:val="both"/>
    </w:pPr>
    <w:rPr>
      <w:rFonts w:eastAsiaTheme="majorEastAsia"/>
      <w:b/>
      <w:bCs/>
      <w:noProof/>
      <w:lang w:eastAsia="en-US"/>
    </w:rPr>
  </w:style>
  <w:style w:type="paragraph" w:styleId="TOC2">
    <w:name w:val="toc 2"/>
    <w:basedOn w:val="Normal"/>
    <w:next w:val="Normal"/>
    <w:autoRedefine/>
    <w:uiPriority w:val="39"/>
    <w:unhideWhenUsed/>
    <w:rsid w:val="001453EC"/>
    <w:pPr>
      <w:tabs>
        <w:tab w:val="left" w:pos="1320"/>
        <w:tab w:val="right" w:leader="dot" w:pos="9628"/>
      </w:tabs>
      <w:ind w:left="283"/>
      <w:jc w:val="both"/>
    </w:pPr>
  </w:style>
  <w:style w:type="paragraph" w:styleId="TOC3">
    <w:name w:val="toc 3"/>
    <w:basedOn w:val="Normal"/>
    <w:next w:val="Normal"/>
    <w:autoRedefine/>
    <w:uiPriority w:val="39"/>
    <w:unhideWhenUsed/>
    <w:rsid w:val="001453EC"/>
    <w:pPr>
      <w:tabs>
        <w:tab w:val="right" w:leader="dot" w:pos="9628"/>
      </w:tabs>
      <w:ind w:left="567"/>
    </w:pPr>
  </w:style>
  <w:style w:type="paragraph" w:styleId="Header">
    <w:name w:val="header"/>
    <w:basedOn w:val="Normal"/>
    <w:link w:val="HeaderChar"/>
    <w:uiPriority w:val="99"/>
    <w:unhideWhenUsed/>
    <w:rsid w:val="00D54080"/>
    <w:pPr>
      <w:tabs>
        <w:tab w:val="center" w:pos="4513"/>
        <w:tab w:val="right" w:pos="9026"/>
      </w:tabs>
      <w:spacing w:line="240" w:lineRule="auto"/>
    </w:pPr>
  </w:style>
  <w:style w:type="character" w:customStyle="1" w:styleId="HeaderChar">
    <w:name w:val="Header Char"/>
    <w:basedOn w:val="DefaultParagraphFont"/>
    <w:link w:val="Header"/>
    <w:uiPriority w:val="99"/>
    <w:rsid w:val="00D54080"/>
    <w:rPr>
      <w:rFonts w:eastAsia="Times New Roman"/>
      <w:szCs w:val="24"/>
      <w:lang w:eastAsia="ru-RU"/>
    </w:rPr>
  </w:style>
  <w:style w:type="paragraph" w:styleId="Footer">
    <w:name w:val="footer"/>
    <w:basedOn w:val="Normal"/>
    <w:link w:val="FooterChar"/>
    <w:uiPriority w:val="99"/>
    <w:unhideWhenUsed/>
    <w:rsid w:val="00D54080"/>
    <w:pPr>
      <w:tabs>
        <w:tab w:val="center" w:pos="4513"/>
        <w:tab w:val="right" w:pos="9026"/>
      </w:tabs>
      <w:spacing w:line="240" w:lineRule="auto"/>
    </w:pPr>
  </w:style>
  <w:style w:type="character" w:customStyle="1" w:styleId="FooterChar">
    <w:name w:val="Footer Char"/>
    <w:basedOn w:val="DefaultParagraphFont"/>
    <w:link w:val="Footer"/>
    <w:uiPriority w:val="99"/>
    <w:rsid w:val="00D54080"/>
    <w:rPr>
      <w:rFonts w:eastAsia="Times New Roman"/>
      <w:szCs w:val="24"/>
      <w:lang w:eastAsia="ru-RU"/>
    </w:rPr>
  </w:style>
  <w:style w:type="paragraph" w:styleId="Revision">
    <w:name w:val="Revision"/>
    <w:hidden/>
    <w:uiPriority w:val="99"/>
    <w:semiHidden/>
    <w:rsid w:val="00650651"/>
    <w:pPr>
      <w:spacing w:line="240" w:lineRule="auto"/>
      <w:ind w:firstLine="0"/>
      <w:jc w:val="left"/>
    </w:pPr>
    <w:rPr>
      <w:rFonts w:eastAsia="Times New Roman"/>
      <w:szCs w:val="24"/>
      <w:lang w:eastAsia="ru-RU"/>
    </w:rPr>
  </w:style>
  <w:style w:type="character" w:styleId="FollowedHyperlink">
    <w:name w:val="FollowedHyperlink"/>
    <w:basedOn w:val="DefaultParagraphFont"/>
    <w:uiPriority w:val="99"/>
    <w:semiHidden/>
    <w:unhideWhenUsed/>
    <w:rsid w:val="00465D1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4.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chart" Target="charts/chart5.xml"/><Relationship Id="rId37" Type="http://schemas.openxmlformats.org/officeDocument/2006/relationships/chart" Target="charts/chart6.xm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footer" Target="footer1.xml"/><Relationship Id="rId74" Type="http://schemas.openxmlformats.org/officeDocument/2006/relationships/hyperlink" Target="https://daily.afisha.ru/cities/15086-nas-mogut-spasti-pyatnadcatiminutnye-goroda-chto-eto-takoe/" TargetMode="Externa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8.png"/><Relationship Id="rId30" Type="http://schemas.openxmlformats.org/officeDocument/2006/relationships/chart" Target="charts/chart3.xml"/><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5.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2.xml"/><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3.png"/><Relationship Id="rId20" Type="http://schemas.openxmlformats.org/officeDocument/2006/relationships/image" Target="media/image13.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hyperlink" Target="https://www.cafe-future.ru/analytics/kak-na-drozhzhakh-pekarni-kak-pribylnyy-biznes-peterburg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zhiznteatr.mirtesen.ru/blog/43623573673/Iz-istorii-restorannogo-dela-Rossiyskoy-Imperii-i-SSSR-rannego-p" TargetMode="Externa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20.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valia\Downloads\&#1054;&#1073;&#1086;&#1088;&#1086;&#1090;%20&#1086;&#1073;&#1097;%20&#1087;&#1080;&#1090;&#1072;&#1085;&#1080;&#1103;%20&#1089;&#1087;&#1073;.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valia\Downloads\&#1090;&#1072;&#1073;&#1083;&#1080;&#1094;&#107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valia\Downloads\&#1055;&#1086;&#1090;&#1088;&#1077;&#1073;&#1083;&#1077;&#1085;&#1080;&#1077;%20&#1093;&#1083;&#1077;&#1073;&#1072;%20&#1057;&#1055;&#104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valia\Downloads\&#1055;&#1086;&#1090;&#1088;&#1077;&#1073;&#1083;&#1077;&#1085;&#1080;&#1077;%20&#1093;&#1083;&#1077;&#1073;&#1072;%20&#1057;&#1055;&#1041;.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valia\Downloads\&#1055;&#1086;&#1090;&#1088;&#1077;&#1073;&#1083;&#1077;&#1085;&#1080;&#1077;%20&#1093;&#1083;&#1077;&#1073;&#1072;%20&#1057;&#1055;&#1041;.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valia\Downloads\data.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Лист2!$B$1</c:f>
              <c:strCache>
                <c:ptCount val="1"/>
                <c:pt idx="0">
                  <c:v>млн.руб</c:v>
                </c:pt>
              </c:strCache>
            </c:strRef>
          </c:tx>
          <c:spPr>
            <a:solidFill>
              <a:srgbClr val="4F81BD"/>
            </a:solidFill>
            <a:ln w="25400">
              <a:noFill/>
            </a:ln>
          </c:spPr>
          <c:invertIfNegative val="0"/>
          <c:cat>
            <c:numRef>
              <c:f>Лист2!$A$2:$A$23</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cat>
          <c:val>
            <c:numRef>
              <c:f>Лист2!$B$2:$B$23</c:f>
              <c:numCache>
                <c:formatCode>General</c:formatCode>
                <c:ptCount val="22"/>
                <c:pt idx="0">
                  <c:v>29.859158745013747</c:v>
                </c:pt>
                <c:pt idx="1">
                  <c:v>34.361624358562189</c:v>
                </c:pt>
                <c:pt idx="2">
                  <c:v>34.440563806074145</c:v>
                </c:pt>
                <c:pt idx="3">
                  <c:v>37.787423399733058</c:v>
                </c:pt>
                <c:pt idx="4">
                  <c:v>45.859110110645595</c:v>
                </c:pt>
                <c:pt idx="5">
                  <c:v>54.777598956304978</c:v>
                </c:pt>
                <c:pt idx="6">
                  <c:v>70.545883455463496</c:v>
                </c:pt>
                <c:pt idx="7">
                  <c:v>82.883025485475272</c:v>
                </c:pt>
                <c:pt idx="8">
                  <c:v>92.70183200679044</c:v>
                </c:pt>
                <c:pt idx="9">
                  <c:v>86.335314417777496</c:v>
                </c:pt>
                <c:pt idx="10">
                  <c:v>90.024254575920779</c:v>
                </c:pt>
                <c:pt idx="11">
                  <c:v>85.67069091799533</c:v>
                </c:pt>
                <c:pt idx="12">
                  <c:v>86.513598515661826</c:v>
                </c:pt>
                <c:pt idx="13">
                  <c:v>78.791633626014587</c:v>
                </c:pt>
                <c:pt idx="14">
                  <c:v>73.338739109539588</c:v>
                </c:pt>
                <c:pt idx="15">
                  <c:v>72.439758671355406</c:v>
                </c:pt>
                <c:pt idx="16">
                  <c:v>82.876125436438912</c:v>
                </c:pt>
                <c:pt idx="17">
                  <c:v>84.25186706935682</c:v>
                </c:pt>
                <c:pt idx="18">
                  <c:v>81.899526045000016</c:v>
                </c:pt>
                <c:pt idx="19">
                  <c:v>93.396874200000013</c:v>
                </c:pt>
                <c:pt idx="20">
                  <c:v>62.97</c:v>
                </c:pt>
                <c:pt idx="21">
                  <c:v>90.0428</c:v>
                </c:pt>
              </c:numCache>
            </c:numRef>
          </c:val>
          <c:extLst>
            <c:ext xmlns:c16="http://schemas.microsoft.com/office/drawing/2014/chart" uri="{C3380CC4-5D6E-409C-BE32-E72D297353CC}">
              <c16:uniqueId val="{00000000-E3EA-430D-801D-6EB061813604}"/>
            </c:ext>
          </c:extLst>
        </c:ser>
        <c:dLbls>
          <c:showLegendKey val="0"/>
          <c:showVal val="0"/>
          <c:showCatName val="0"/>
          <c:showSerName val="0"/>
          <c:showPercent val="0"/>
          <c:showBubbleSize val="0"/>
        </c:dLbls>
        <c:gapWidth val="219"/>
        <c:overlap val="-27"/>
        <c:axId val="545928159"/>
        <c:axId val="1"/>
      </c:barChart>
      <c:catAx>
        <c:axId val="545928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a:pPr>
                <a:r>
                  <a:rPr lang="ru-RU" sz="1100"/>
                  <a:t>Млрд.</a:t>
                </a:r>
                <a:r>
                  <a:rPr lang="ru-RU" sz="1100" baseline="0"/>
                  <a:t> руб.</a:t>
                </a:r>
                <a:endParaRPr lang="en-US" sz="1100"/>
              </a:p>
            </c:rich>
          </c:tx>
          <c:overlay val="0"/>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5928159"/>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1">
                <a:solidFill>
                  <a:sysClr val="windowText" lastClr="000000"/>
                </a:solidFill>
                <a:latin typeface="Times New Roman" panose="02020603050405020304" pitchFamily="18" charset="0"/>
                <a:cs typeface="Times New Roman" panose="02020603050405020304" pitchFamily="18" charset="0"/>
              </a:rPr>
              <a:t>Графики работы алкогольных магазинов</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spPr>
            <a:solidFill>
              <a:schemeClr val="accent5"/>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8C-4CA5-A36F-965666F24C48}"/>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8C-4CA5-A36F-965666F24C48}"/>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8C-4CA5-A36F-965666F24C48}"/>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8C-4CA5-A36F-965666F24C48}"/>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28C-4CA5-A36F-965666F24C48}"/>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28C-4CA5-A36F-965666F24C48}"/>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28C-4CA5-A36F-965666F24C48}"/>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28C-4CA5-A36F-965666F24C48}"/>
                </c:ext>
              </c:extLst>
            </c:dLbl>
            <c:dLbl>
              <c:idx val="8"/>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28C-4CA5-A36F-965666F24C48}"/>
                </c:ext>
              </c:extLst>
            </c:dLbl>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28C-4CA5-A36F-965666F24C48}"/>
                </c:ext>
              </c:extLst>
            </c:dLbl>
            <c:dLbl>
              <c:idx val="1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28C-4CA5-A36F-965666F24C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'часы раб'!$D$1:$D$10</c:f>
              <c:strCache>
                <c:ptCount val="10"/>
                <c:pt idx="0">
                  <c:v>Остальное</c:v>
                </c:pt>
                <c:pt idx="1">
                  <c:v>с 00:00 до 24:00</c:v>
                </c:pt>
                <c:pt idx="2">
                  <c:v>с 08:00 до 22:00</c:v>
                </c:pt>
                <c:pt idx="3">
                  <c:v>с 09:00 до 18:00</c:v>
                </c:pt>
                <c:pt idx="4">
                  <c:v>с 09:00 до 21:00</c:v>
                </c:pt>
                <c:pt idx="5">
                  <c:v>с 09:00 до 22:00</c:v>
                </c:pt>
                <c:pt idx="6">
                  <c:v>с 10:00 до 22:00</c:v>
                </c:pt>
                <c:pt idx="7">
                  <c:v>с 11:00 до 21:00</c:v>
                </c:pt>
                <c:pt idx="8">
                  <c:v>с 11:00 до 22:00</c:v>
                </c:pt>
                <c:pt idx="9">
                  <c:v>с 11:00 до 23:00</c:v>
                </c:pt>
              </c:strCache>
            </c:strRef>
          </c:cat>
          <c:val>
            <c:numRef>
              <c:f>'часы раб'!$F$1:$F$10</c:f>
              <c:numCache>
                <c:formatCode>General</c:formatCode>
                <c:ptCount val="10"/>
                <c:pt idx="0">
                  <c:v>64</c:v>
                </c:pt>
                <c:pt idx="1">
                  <c:v>118</c:v>
                </c:pt>
                <c:pt idx="2">
                  <c:v>29</c:v>
                </c:pt>
                <c:pt idx="3">
                  <c:v>19</c:v>
                </c:pt>
                <c:pt idx="4">
                  <c:v>28</c:v>
                </c:pt>
                <c:pt idx="5">
                  <c:v>402</c:v>
                </c:pt>
                <c:pt idx="6">
                  <c:v>296</c:v>
                </c:pt>
                <c:pt idx="7">
                  <c:v>9</c:v>
                </c:pt>
                <c:pt idx="8">
                  <c:v>280</c:v>
                </c:pt>
                <c:pt idx="9">
                  <c:v>22</c:v>
                </c:pt>
              </c:numCache>
            </c:numRef>
          </c:val>
          <c:extLst>
            <c:ext xmlns:c16="http://schemas.microsoft.com/office/drawing/2014/chart" uri="{C3380CC4-5D6E-409C-BE32-E72D297353CC}">
              <c16:uniqueId val="{0000000B-A28C-4CA5-A36F-965666F24C48}"/>
            </c:ext>
          </c:extLst>
        </c:ser>
        <c:dLbls>
          <c:dLblPos val="outEnd"/>
          <c:showLegendKey val="0"/>
          <c:showVal val="1"/>
          <c:showCatName val="0"/>
          <c:showSerName val="0"/>
          <c:showPercent val="0"/>
          <c:showBubbleSize val="0"/>
        </c:dLbls>
        <c:gapWidth val="182"/>
        <c:axId val="311190752"/>
        <c:axId val="236811160"/>
      </c:barChart>
      <c:catAx>
        <c:axId val="311190752"/>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6811160"/>
        <c:crosses val="autoZero"/>
        <c:auto val="0"/>
        <c:lblAlgn val="ctr"/>
        <c:lblOffset val="100"/>
        <c:noMultiLvlLbl val="0"/>
      </c:catAx>
      <c:valAx>
        <c:axId val="236811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i="0">
                    <a:solidFill>
                      <a:sysClr val="windowText" lastClr="000000"/>
                    </a:solidFill>
                    <a:latin typeface="Times New Roman" panose="02020603050405020304" pitchFamily="18" charset="0"/>
                    <a:cs typeface="Times New Roman" panose="02020603050405020304" pitchFamily="18" charset="0"/>
                  </a:rPr>
                  <a:t>Количество филиалов</a:t>
                </a:r>
              </a:p>
            </c:rich>
          </c:tx>
          <c:layout>
            <c:manualLayout>
              <c:xMode val="edge"/>
              <c:yMode val="edge"/>
              <c:x val="0.38337910586240104"/>
              <c:y val="0.9218479857449011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1190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32174103237097"/>
          <c:y val="2.8306876975841277E-2"/>
          <c:w val="0.83567825896762904"/>
          <c:h val="0.80858812776198508"/>
        </c:manualLayout>
      </c:layout>
      <c:lineChart>
        <c:grouping val="standard"/>
        <c:varyColors val="0"/>
        <c:ser>
          <c:idx val="0"/>
          <c:order val="0"/>
          <c:tx>
            <c:strRef>
              <c:f>Лист1!$B$1</c:f>
              <c:strCache>
                <c:ptCount val="1"/>
                <c:pt idx="0">
                  <c:v>Российская Федерация</c:v>
                </c:pt>
              </c:strCache>
            </c:strRef>
          </c:tx>
          <c:spPr>
            <a:ln w="19050">
              <a:solidFill>
                <a:srgbClr val="0070C0"/>
              </a:solidFill>
            </a:ln>
          </c:spPr>
          <c:marker>
            <c:spPr>
              <a:solidFill>
                <a:srgbClr val="0070C0"/>
              </a:solidFill>
              <a:ln>
                <a:solidFill>
                  <a:srgbClr val="0070C0"/>
                </a:solidFill>
              </a:ln>
            </c:spPr>
          </c:marker>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120</c:v>
                </c:pt>
                <c:pt idx="1">
                  <c:v>119</c:v>
                </c:pt>
                <c:pt idx="2">
                  <c:v>119</c:v>
                </c:pt>
                <c:pt idx="3">
                  <c:v>118</c:v>
                </c:pt>
                <c:pt idx="4">
                  <c:v>118</c:v>
                </c:pt>
                <c:pt idx="5">
                  <c:v>118</c:v>
                </c:pt>
                <c:pt idx="6">
                  <c:v>117</c:v>
                </c:pt>
                <c:pt idx="7">
                  <c:v>117</c:v>
                </c:pt>
                <c:pt idx="8">
                  <c:v>116</c:v>
                </c:pt>
                <c:pt idx="9">
                  <c:v>116</c:v>
                </c:pt>
                <c:pt idx="10">
                  <c:v>116</c:v>
                </c:pt>
              </c:numCache>
            </c:numRef>
          </c:val>
          <c:smooth val="0"/>
          <c:extLst>
            <c:ext xmlns:c16="http://schemas.microsoft.com/office/drawing/2014/chart" uri="{C3380CC4-5D6E-409C-BE32-E72D297353CC}">
              <c16:uniqueId val="{00000000-C379-4500-9612-52A1B86D6FAC}"/>
            </c:ext>
          </c:extLst>
        </c:ser>
        <c:ser>
          <c:idx val="1"/>
          <c:order val="1"/>
          <c:tx>
            <c:strRef>
              <c:f>Лист1!$C$1</c:f>
              <c:strCache>
                <c:ptCount val="1"/>
                <c:pt idx="0">
                  <c:v>г.Санкт-Петербург</c:v>
                </c:pt>
              </c:strCache>
            </c:strRef>
          </c:tx>
          <c:spPr>
            <a:ln w="19050">
              <a:solidFill>
                <a:srgbClr val="FFC000"/>
              </a:solidFill>
            </a:ln>
          </c:spPr>
          <c:marker>
            <c:spPr>
              <a:solidFill>
                <a:srgbClr val="FFC000"/>
              </a:solidFill>
              <a:ln w="0">
                <a:solidFill>
                  <a:srgbClr val="FFC000"/>
                </a:solidFill>
              </a:ln>
            </c:spPr>
          </c:marker>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Лист1!$C$2:$C$12</c:f>
              <c:numCache>
                <c:formatCode>General</c:formatCode>
                <c:ptCount val="11"/>
                <c:pt idx="0">
                  <c:v>87</c:v>
                </c:pt>
                <c:pt idx="1">
                  <c:v>87</c:v>
                </c:pt>
                <c:pt idx="2">
                  <c:v>87</c:v>
                </c:pt>
                <c:pt idx="3">
                  <c:v>89</c:v>
                </c:pt>
                <c:pt idx="4">
                  <c:v>88</c:v>
                </c:pt>
                <c:pt idx="5">
                  <c:v>87</c:v>
                </c:pt>
                <c:pt idx="6">
                  <c:v>88</c:v>
                </c:pt>
                <c:pt idx="7">
                  <c:v>88</c:v>
                </c:pt>
                <c:pt idx="8">
                  <c:v>84</c:v>
                </c:pt>
                <c:pt idx="9">
                  <c:v>86</c:v>
                </c:pt>
                <c:pt idx="10">
                  <c:v>87</c:v>
                </c:pt>
              </c:numCache>
            </c:numRef>
          </c:val>
          <c:smooth val="0"/>
          <c:extLst>
            <c:ext xmlns:c16="http://schemas.microsoft.com/office/drawing/2014/chart" uri="{C3380CC4-5D6E-409C-BE32-E72D297353CC}">
              <c16:uniqueId val="{00000001-C379-4500-9612-52A1B86D6FAC}"/>
            </c:ext>
          </c:extLst>
        </c:ser>
        <c:dLbls>
          <c:showLegendKey val="0"/>
          <c:showVal val="0"/>
          <c:showCatName val="0"/>
          <c:showSerName val="0"/>
          <c:showPercent val="0"/>
          <c:showBubbleSize val="0"/>
        </c:dLbls>
        <c:marker val="1"/>
        <c:smooth val="0"/>
        <c:axId val="559718703"/>
        <c:axId val="1"/>
      </c:lineChart>
      <c:catAx>
        <c:axId val="559718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max val="125"/>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9718703"/>
        <c:crosses val="autoZero"/>
        <c:crossBetween val="between"/>
      </c:valAx>
      <c:spPr>
        <a:noFill/>
        <a:ln w="25400">
          <a:noFill/>
        </a:ln>
      </c:spPr>
    </c:plotArea>
    <c:legend>
      <c:legendPos val="r"/>
      <c:layout>
        <c:manualLayout>
          <c:xMode val="edge"/>
          <c:yMode val="edge"/>
          <c:x val="0.17226820454624678"/>
          <c:y val="0.91003664478042479"/>
          <c:w val="0.79126622200462715"/>
          <c:h val="8.0462400623448907E-2"/>
        </c:manualLayout>
      </c:layout>
      <c:overlay val="0"/>
      <c:spPr>
        <a:noFill/>
        <a:ln w="25400">
          <a:noFill/>
        </a:ln>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Лист1!$B$16</c:f>
              <c:strCache>
                <c:ptCount val="1"/>
                <c:pt idx="0">
                  <c:v>Российская Федерация</c:v>
                </c:pt>
              </c:strCache>
            </c:strRef>
          </c:tx>
          <c:spPr>
            <a:solidFill>
              <a:srgbClr val="0070C0"/>
            </a:solidFill>
            <a:ln w="25400">
              <a:solidFill>
                <a:srgbClr val="0070C0"/>
              </a:solidFill>
            </a:ln>
          </c:spPr>
          <c:invertIfNegative val="0"/>
          <c:trendline>
            <c:spPr>
              <a:ln>
                <a:solidFill>
                  <a:srgbClr val="FF0000"/>
                </a:solidFill>
                <a:prstDash val="dash"/>
              </a:ln>
            </c:spPr>
            <c:trendlineType val="linear"/>
            <c:dispRSqr val="0"/>
            <c:dispEq val="0"/>
          </c:trendline>
          <c:cat>
            <c:numRef>
              <c:f>Лист1!$A$17:$A$28</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Лист1!$B$17:$B$28</c:f>
              <c:numCache>
                <c:formatCode>General</c:formatCode>
                <c:ptCount val="12"/>
                <c:pt idx="0">
                  <c:v>6.82</c:v>
                </c:pt>
                <c:pt idx="1">
                  <c:v>6.63</c:v>
                </c:pt>
                <c:pt idx="2">
                  <c:v>6.51</c:v>
                </c:pt>
                <c:pt idx="3">
                  <c:v>6.37</c:v>
                </c:pt>
                <c:pt idx="4">
                  <c:v>6.33</c:v>
                </c:pt>
                <c:pt idx="5">
                  <c:v>6.31</c:v>
                </c:pt>
                <c:pt idx="6">
                  <c:v>6.16</c:v>
                </c:pt>
                <c:pt idx="7">
                  <c:v>5.94</c:v>
                </c:pt>
                <c:pt idx="8">
                  <c:v>5.76</c:v>
                </c:pt>
                <c:pt idx="9">
                  <c:v>5.65</c:v>
                </c:pt>
                <c:pt idx="10">
                  <c:v>5.43</c:v>
                </c:pt>
                <c:pt idx="11">
                  <c:v>5.2</c:v>
                </c:pt>
              </c:numCache>
            </c:numRef>
          </c:val>
          <c:extLst>
            <c:ext xmlns:c16="http://schemas.microsoft.com/office/drawing/2014/chart" uri="{C3380CC4-5D6E-409C-BE32-E72D297353CC}">
              <c16:uniqueId val="{00000001-CEFE-494E-B406-B638760C134A}"/>
            </c:ext>
          </c:extLst>
        </c:ser>
        <c:dLbls>
          <c:showLegendKey val="0"/>
          <c:showVal val="0"/>
          <c:showCatName val="0"/>
          <c:showSerName val="0"/>
          <c:showPercent val="0"/>
          <c:showBubbleSize val="0"/>
        </c:dLbls>
        <c:gapWidth val="219"/>
        <c:overlap val="-27"/>
        <c:axId val="559716207"/>
        <c:axId val="1"/>
      </c:barChart>
      <c:catAx>
        <c:axId val="559716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9716207"/>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Лист1!$N$16</c:f>
              <c:strCache>
                <c:ptCount val="1"/>
                <c:pt idx="0">
                  <c:v>Санкт-Петебург, тыс. тонн</c:v>
                </c:pt>
              </c:strCache>
            </c:strRef>
          </c:tx>
          <c:spPr>
            <a:solidFill>
              <a:schemeClr val="accent4"/>
            </a:solidFill>
            <a:ln w="25400">
              <a:solidFill>
                <a:schemeClr val="accent4"/>
              </a:solidFill>
            </a:ln>
          </c:spPr>
          <c:invertIfNegative val="0"/>
          <c:trendline>
            <c:spPr>
              <a:ln>
                <a:solidFill>
                  <a:srgbClr val="FF0000"/>
                </a:solidFill>
                <a:prstDash val="lgDash"/>
              </a:ln>
            </c:spPr>
            <c:trendlineType val="linear"/>
            <c:dispRSqr val="0"/>
            <c:dispEq val="0"/>
          </c:trendline>
          <c:cat>
            <c:numRef>
              <c:f>Лист1!$M$18:$M$28</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Лист1!$N$18:$N$28</c:f>
              <c:numCache>
                <c:formatCode>General</c:formatCode>
                <c:ptCount val="11"/>
                <c:pt idx="0">
                  <c:v>287.5</c:v>
                </c:pt>
                <c:pt idx="1">
                  <c:v>289.8</c:v>
                </c:pt>
                <c:pt idx="2">
                  <c:v>291.89999999999998</c:v>
                </c:pt>
                <c:pt idx="3">
                  <c:v>288.39999999999998</c:v>
                </c:pt>
                <c:pt idx="4">
                  <c:v>298.39999999999998</c:v>
                </c:pt>
                <c:pt idx="5">
                  <c:v>299.8</c:v>
                </c:pt>
                <c:pt idx="6">
                  <c:v>296.39999999999998</c:v>
                </c:pt>
                <c:pt idx="7">
                  <c:v>304.7</c:v>
                </c:pt>
                <c:pt idx="8">
                  <c:v>306.60000000000002</c:v>
                </c:pt>
                <c:pt idx="9">
                  <c:v>297.09540000000004</c:v>
                </c:pt>
                <c:pt idx="10">
                  <c:v>308</c:v>
                </c:pt>
              </c:numCache>
            </c:numRef>
          </c:val>
          <c:extLst>
            <c:ext xmlns:c16="http://schemas.microsoft.com/office/drawing/2014/chart" uri="{C3380CC4-5D6E-409C-BE32-E72D297353CC}">
              <c16:uniqueId val="{00000001-3218-4CF5-889C-9D96F611383B}"/>
            </c:ext>
          </c:extLst>
        </c:ser>
        <c:dLbls>
          <c:showLegendKey val="0"/>
          <c:showVal val="0"/>
          <c:showCatName val="0"/>
          <c:showSerName val="0"/>
          <c:showPercent val="0"/>
          <c:showBubbleSize val="0"/>
        </c:dLbls>
        <c:gapWidth val="219"/>
        <c:overlap val="-27"/>
        <c:axId val="548441167"/>
        <c:axId val="1"/>
      </c:barChart>
      <c:catAx>
        <c:axId val="548441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max val="310"/>
          <c:min val="2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8441167"/>
        <c:crosses val="autoZero"/>
        <c:crossBetween val="between"/>
      </c:valAx>
      <c:spPr>
        <a:noFill/>
        <a:ln w="25400">
          <a:noFill/>
        </a:ln>
      </c:spPr>
    </c:plotArea>
    <c:plotVisOnly val="1"/>
    <c:dispBlanksAs val="gap"/>
    <c:showDLblsOverMax val="0"/>
  </c:chart>
  <c:spPr>
    <a:solidFill>
      <a:schemeClr val="bg1"/>
    </a:solidFill>
    <a:ln w="9525" cap="flat" cmpd="sng" algn="ctr">
      <a:noFill/>
      <a:prstDash val="lgDash"/>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Данные!$B$7</c:f>
              <c:strCache>
                <c:ptCount val="1"/>
                <c:pt idx="0">
                  <c:v>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Данные!$A$8:$A$28</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Данные!$B$8:$B$28</c:f>
              <c:numCache>
                <c:formatCode>#\ ##0.####</c:formatCode>
                <c:ptCount val="21"/>
                <c:pt idx="0" formatCode="#,##0">
                  <c:v>20524</c:v>
                </c:pt>
                <c:pt idx="1">
                  <c:v>21808.400000000001</c:v>
                </c:pt>
                <c:pt idx="2">
                  <c:v>25681.7</c:v>
                </c:pt>
                <c:pt idx="3">
                  <c:v>32017.1</c:v>
                </c:pt>
                <c:pt idx="4">
                  <c:v>29492.7</c:v>
                </c:pt>
                <c:pt idx="5">
                  <c:v>39705.1</c:v>
                </c:pt>
                <c:pt idx="6" formatCode="#,##0">
                  <c:v>55631</c:v>
                </c:pt>
                <c:pt idx="7">
                  <c:v>64553.1</c:v>
                </c:pt>
                <c:pt idx="8">
                  <c:v>75497.399999999994</c:v>
                </c:pt>
                <c:pt idx="9">
                  <c:v>89257.5</c:v>
                </c:pt>
                <c:pt idx="10">
                  <c:v>102362.15</c:v>
                </c:pt>
                <c:pt idx="11">
                  <c:v>112338.87</c:v>
                </c:pt>
                <c:pt idx="12">
                  <c:v>123807.6</c:v>
                </c:pt>
                <c:pt idx="13">
                  <c:v>143915.79999999999</c:v>
                </c:pt>
                <c:pt idx="14" formatCode="#,##0">
                  <c:v>154526</c:v>
                </c:pt>
                <c:pt idx="15">
                  <c:v>156650.79999999999</c:v>
                </c:pt>
                <c:pt idx="16">
                  <c:v>171571.8</c:v>
                </c:pt>
                <c:pt idx="17">
                  <c:v>189648.8</c:v>
                </c:pt>
                <c:pt idx="18">
                  <c:v>195561.8</c:v>
                </c:pt>
                <c:pt idx="19">
                  <c:v>217596.6</c:v>
                </c:pt>
                <c:pt idx="20">
                  <c:v>230806.6</c:v>
                </c:pt>
              </c:numCache>
            </c:numRef>
          </c:val>
          <c:smooth val="0"/>
          <c:extLst>
            <c:ext xmlns:c16="http://schemas.microsoft.com/office/drawing/2014/chart" uri="{C3380CC4-5D6E-409C-BE32-E72D297353CC}">
              <c16:uniqueId val="{00000000-851E-49AE-ADE5-81D09B729F5A}"/>
            </c:ext>
          </c:extLst>
        </c:ser>
        <c:dLbls>
          <c:showLegendKey val="0"/>
          <c:showVal val="0"/>
          <c:showCatName val="0"/>
          <c:showSerName val="0"/>
          <c:showPercent val="0"/>
          <c:showBubbleSize val="0"/>
        </c:dLbls>
        <c:marker val="1"/>
        <c:smooth val="0"/>
        <c:axId val="289666191"/>
        <c:axId val="289666607"/>
      </c:lineChart>
      <c:catAx>
        <c:axId val="289666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9666607"/>
        <c:crosses val="autoZero"/>
        <c:auto val="1"/>
        <c:lblAlgn val="ctr"/>
        <c:lblOffset val="100"/>
        <c:noMultiLvlLbl val="0"/>
      </c:catAx>
      <c:valAx>
        <c:axId val="2896666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96661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DC2990-30D3-487C-B96B-9AC97CFB9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4657</TotalTime>
  <Pages>94</Pages>
  <Words>22164</Words>
  <Characters>126337</Characters>
  <Application>Microsoft Office Word</Application>
  <DocSecurity>0</DocSecurity>
  <Lines>1052</Lines>
  <Paragraphs>296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148205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cjelinsk</dc:creator>
  <cp:keywords/>
  <dc:description/>
  <cp:lastModifiedBy>cjelinsk</cp:lastModifiedBy>
  <cp:revision>36</cp:revision>
  <dcterms:created xsi:type="dcterms:W3CDTF">2022-04-09T10:24:00Z</dcterms:created>
  <dcterms:modified xsi:type="dcterms:W3CDTF">2022-05-20T16:32:00Z</dcterms:modified>
</cp:coreProperties>
</file>