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4E4BF" w14:textId="77777777" w:rsidR="00B87C80" w:rsidRPr="00B87C80" w:rsidRDefault="00B87C80" w:rsidP="00B87C80">
      <w:pPr>
        <w:pBdr>
          <w:top w:val="nil"/>
          <w:left w:val="nil"/>
          <w:bottom w:val="nil"/>
          <w:right w:val="nil"/>
          <w:between w:val="nil"/>
          <w:bar w:val="nil"/>
        </w:pBdr>
        <w:jc w:val="center"/>
        <w:rPr>
          <w:rFonts w:ascii="Times New Roman" w:eastAsia="Times New Roman Bold" w:hAnsi="Times New Roman" w:cs="Times New Roman"/>
          <w:b/>
          <w:color w:val="000000"/>
          <w:sz w:val="28"/>
          <w:szCs w:val="28"/>
          <w:u w:color="000000"/>
          <w:bdr w:val="nil"/>
        </w:rPr>
      </w:pPr>
      <w:r w:rsidRPr="00B87C80">
        <w:rPr>
          <w:rFonts w:ascii="Times New Roman" w:eastAsia="Calibri" w:hAnsi="Times New Roman" w:cs="Times New Roman"/>
          <w:b/>
          <w:color w:val="000000"/>
          <w:sz w:val="28"/>
          <w:szCs w:val="28"/>
          <w:u w:color="000000"/>
          <w:bdr w:val="nil"/>
        </w:rPr>
        <w:t>АННОТАЦИЯ</w:t>
      </w:r>
    </w:p>
    <w:p w14:paraId="047848CF" w14:textId="77777777" w:rsidR="00B87C80" w:rsidRPr="00B87C80" w:rsidRDefault="00B87C80" w:rsidP="00B87C80">
      <w:pPr>
        <w:pBdr>
          <w:top w:val="nil"/>
          <w:left w:val="nil"/>
          <w:bottom w:val="nil"/>
          <w:right w:val="nil"/>
          <w:between w:val="nil"/>
          <w:bar w:val="nil"/>
        </w:pBdr>
        <w:jc w:val="center"/>
        <w:rPr>
          <w:rFonts w:ascii="Times New Roman" w:eastAsia="Times New Roman Bold" w:hAnsi="Times New Roman" w:cs="Times New Roman"/>
          <w:b/>
          <w:color w:val="000000"/>
          <w:sz w:val="28"/>
          <w:szCs w:val="28"/>
          <w:u w:color="000000"/>
          <w:bdr w:val="nil"/>
        </w:rPr>
      </w:pPr>
      <w:r w:rsidRPr="00B87C80">
        <w:rPr>
          <w:rFonts w:ascii="Times New Roman" w:eastAsia="Calibri" w:hAnsi="Times New Roman" w:cs="Times New Roman"/>
          <w:b/>
          <w:color w:val="000000"/>
          <w:sz w:val="28"/>
          <w:szCs w:val="28"/>
          <w:u w:color="000000"/>
          <w:bdr w:val="nil"/>
        </w:rPr>
        <w:t>на выпускную квалификационную работу</w:t>
      </w:r>
    </w:p>
    <w:p w14:paraId="158DE360" w14:textId="77777777" w:rsidR="00B87C80" w:rsidRPr="00B87C80" w:rsidRDefault="00B87C80" w:rsidP="00B87C80">
      <w:pPr>
        <w:pBdr>
          <w:top w:val="nil"/>
          <w:left w:val="nil"/>
          <w:bottom w:val="nil"/>
          <w:right w:val="nil"/>
          <w:between w:val="nil"/>
          <w:bar w:val="nil"/>
        </w:pBdr>
        <w:jc w:val="center"/>
        <w:rPr>
          <w:rFonts w:ascii="Times New Roman" w:eastAsia="Times New Roman Bold" w:hAnsi="Times New Roman" w:cs="Times New Roman"/>
          <w:b/>
          <w:color w:val="000000"/>
          <w:sz w:val="28"/>
          <w:szCs w:val="28"/>
          <w:u w:color="000000"/>
          <w:bdr w:val="nil"/>
        </w:rPr>
      </w:pPr>
      <w:r w:rsidRPr="00B87C80">
        <w:rPr>
          <w:rFonts w:ascii="Times New Roman" w:eastAsia="Calibri" w:hAnsi="Times New Roman" w:cs="Times New Roman"/>
          <w:b/>
          <w:color w:val="000000"/>
          <w:sz w:val="28"/>
          <w:szCs w:val="28"/>
          <w:u w:color="000000"/>
          <w:bdr w:val="nil"/>
        </w:rPr>
        <w:t xml:space="preserve">студента магистратуры по программе «Юрист в сфере финансового рынка (финансовый юрист)» </w:t>
      </w:r>
      <w:proofErr w:type="spellStart"/>
      <w:r w:rsidRPr="00B87C80">
        <w:rPr>
          <w:rFonts w:ascii="Times New Roman" w:eastAsia="Times New Roman Bold" w:hAnsi="Times New Roman" w:cs="Times New Roman"/>
          <w:b/>
          <w:color w:val="000000"/>
          <w:sz w:val="28"/>
          <w:szCs w:val="28"/>
          <w:u w:color="000000"/>
          <w:bdr w:val="nil"/>
        </w:rPr>
        <w:t>Петченко</w:t>
      </w:r>
      <w:proofErr w:type="spellEnd"/>
      <w:r w:rsidRPr="00B87C80">
        <w:rPr>
          <w:rFonts w:ascii="Times New Roman" w:eastAsia="Times New Roman Bold" w:hAnsi="Times New Roman" w:cs="Times New Roman"/>
          <w:b/>
          <w:color w:val="000000"/>
          <w:sz w:val="28"/>
          <w:szCs w:val="28"/>
          <w:u w:color="000000"/>
          <w:bdr w:val="nil"/>
        </w:rPr>
        <w:t xml:space="preserve"> Екатерины Юрьевны </w:t>
      </w:r>
      <w:r w:rsidRPr="00B87C80">
        <w:rPr>
          <w:rFonts w:ascii="Times New Roman" w:eastAsia="Calibri" w:hAnsi="Times New Roman" w:cs="Times New Roman"/>
          <w:b/>
          <w:color w:val="000000"/>
          <w:sz w:val="28"/>
          <w:szCs w:val="28"/>
          <w:u w:color="000000"/>
          <w:bdr w:val="nil"/>
        </w:rPr>
        <w:t>на тему: «Договор факторинга как инструмент финансирования бизнеса в России»</w:t>
      </w:r>
    </w:p>
    <w:p w14:paraId="7F5899DC" w14:textId="77777777" w:rsidR="00B87C80" w:rsidRPr="00B87C80" w:rsidRDefault="00B87C80" w:rsidP="00B87C80">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firstLine="709"/>
        <w:jc w:val="both"/>
        <w:rPr>
          <w:rFonts w:ascii="Times New Roman" w:eastAsia="Arial Unicode MS" w:hAnsi="Times New Roman" w:cs="Times New Roman"/>
          <w:b/>
          <w:color w:val="000000"/>
          <w:sz w:val="28"/>
          <w:szCs w:val="28"/>
          <w:u w:color="000000"/>
          <w:bdr w:val="nil"/>
          <w:lang w:eastAsia="ru-RU"/>
        </w:rPr>
      </w:pPr>
    </w:p>
    <w:p w14:paraId="051391C6" w14:textId="77777777" w:rsidR="00B87C80" w:rsidRPr="00B87C80" w:rsidRDefault="00B87C80" w:rsidP="00B87C80">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firstLine="709"/>
        <w:jc w:val="both"/>
        <w:rPr>
          <w:rFonts w:ascii="Times New Roman" w:eastAsia="Arial Unicode MS" w:hAnsi="Times New Roman" w:cs="Times New Roman"/>
          <w:b/>
          <w:color w:val="000000"/>
          <w:sz w:val="28"/>
          <w:szCs w:val="28"/>
          <w:u w:color="000000"/>
          <w:bdr w:val="nil"/>
          <w:lang w:eastAsia="ru-RU"/>
        </w:rPr>
      </w:pPr>
      <w:r w:rsidRPr="00B87C80">
        <w:rPr>
          <w:rFonts w:ascii="Times New Roman" w:eastAsia="Arial Unicode MS" w:hAnsi="Times New Roman" w:cs="Times New Roman"/>
          <w:b/>
          <w:color w:val="000000"/>
          <w:sz w:val="28"/>
          <w:szCs w:val="28"/>
          <w:u w:color="000000"/>
          <w:bdr w:val="nil"/>
          <w:lang w:eastAsia="ru-RU"/>
        </w:rPr>
        <w:t>Цель и задачи исследования:</w:t>
      </w:r>
    </w:p>
    <w:p w14:paraId="5ACC0E5A" w14:textId="77777777" w:rsidR="00B87C80" w:rsidRPr="00B87C80" w:rsidRDefault="00B87C80" w:rsidP="00B87C80">
      <w:pPr>
        <w:numPr>
          <w:ilvl w:val="0"/>
          <w:numId w:val="1"/>
        </w:numPr>
        <w:pBdr>
          <w:top w:val="nil"/>
          <w:left w:val="nil"/>
          <w:bottom w:val="nil"/>
          <w:right w:val="nil"/>
          <w:between w:val="nil"/>
          <w:bar w:val="nil"/>
        </w:pBdr>
        <w:spacing w:after="200"/>
        <w:ind w:left="714" w:hanging="357"/>
        <w:contextualSpacing/>
        <w:jc w:val="both"/>
        <w:rPr>
          <w:rFonts w:ascii="Times New Roman" w:eastAsia="Calibri" w:hAnsi="Times New Roman" w:cs="Times New Roman"/>
          <w:color w:val="000000"/>
          <w:sz w:val="28"/>
          <w:szCs w:val="28"/>
          <w:u w:color="000000"/>
          <w:bdr w:val="nil"/>
        </w:rPr>
      </w:pPr>
      <w:r w:rsidRPr="00B87C80">
        <w:rPr>
          <w:rFonts w:ascii="Times New Roman" w:eastAsia="Calibri" w:hAnsi="Times New Roman" w:cs="Times New Roman"/>
          <w:color w:val="000000"/>
          <w:sz w:val="28"/>
          <w:szCs w:val="28"/>
          <w:u w:color="000000"/>
          <w:bdr w:val="nil"/>
        </w:rPr>
        <w:t>раскрыть теоретические аспекты сущности договора финансирования под уступку денежного требования;</w:t>
      </w:r>
    </w:p>
    <w:p w14:paraId="614F8017" w14:textId="77777777" w:rsidR="00B87C80" w:rsidRPr="00B87C80" w:rsidRDefault="00B87C80" w:rsidP="00B87C80">
      <w:pPr>
        <w:numPr>
          <w:ilvl w:val="0"/>
          <w:numId w:val="1"/>
        </w:numPr>
        <w:pBdr>
          <w:top w:val="nil"/>
          <w:left w:val="nil"/>
          <w:bottom w:val="nil"/>
          <w:right w:val="nil"/>
          <w:between w:val="nil"/>
          <w:bar w:val="nil"/>
        </w:pBdr>
        <w:spacing w:after="200"/>
        <w:ind w:left="714" w:hanging="357"/>
        <w:contextualSpacing/>
        <w:jc w:val="both"/>
        <w:rPr>
          <w:rFonts w:ascii="Times New Roman" w:eastAsia="Calibri" w:hAnsi="Times New Roman" w:cs="Times New Roman"/>
          <w:color w:val="000000"/>
          <w:sz w:val="28"/>
          <w:szCs w:val="28"/>
          <w:u w:color="000000"/>
          <w:bdr w:val="nil"/>
        </w:rPr>
      </w:pPr>
      <w:r w:rsidRPr="00B87C80">
        <w:rPr>
          <w:rFonts w:ascii="Times New Roman" w:eastAsia="Calibri" w:hAnsi="Times New Roman" w:cs="Times New Roman"/>
          <w:color w:val="000000"/>
          <w:sz w:val="28"/>
          <w:szCs w:val="28"/>
          <w:u w:color="000000"/>
          <w:bdr w:val="nil"/>
        </w:rPr>
        <w:t>проанализировать структуру и модели договора факторинга, сравнить его с такими гражданскими институтами, как цессия, кредитования, агентирование, инкассо и аккредитив;</w:t>
      </w:r>
    </w:p>
    <w:p w14:paraId="41F1D3B0" w14:textId="77777777" w:rsidR="00B87C80" w:rsidRPr="00B87C80" w:rsidRDefault="00B87C80" w:rsidP="00B87C80">
      <w:pPr>
        <w:numPr>
          <w:ilvl w:val="0"/>
          <w:numId w:val="1"/>
        </w:numPr>
        <w:pBdr>
          <w:top w:val="nil"/>
          <w:left w:val="nil"/>
          <w:bottom w:val="nil"/>
          <w:right w:val="nil"/>
          <w:between w:val="nil"/>
          <w:bar w:val="nil"/>
        </w:pBdr>
        <w:spacing w:after="200"/>
        <w:ind w:left="714" w:hanging="357"/>
        <w:contextualSpacing/>
        <w:jc w:val="both"/>
        <w:rPr>
          <w:rFonts w:ascii="Times New Roman" w:eastAsia="Calibri" w:hAnsi="Times New Roman" w:cs="Times New Roman"/>
          <w:color w:val="000000"/>
          <w:sz w:val="28"/>
          <w:szCs w:val="28"/>
          <w:u w:color="000000"/>
          <w:bdr w:val="nil"/>
        </w:rPr>
      </w:pPr>
      <w:r w:rsidRPr="00B87C80">
        <w:rPr>
          <w:rFonts w:ascii="Times New Roman" w:eastAsia="Calibri" w:hAnsi="Times New Roman" w:cs="Times New Roman"/>
          <w:color w:val="000000"/>
          <w:sz w:val="28"/>
          <w:szCs w:val="28"/>
          <w:u w:color="000000"/>
          <w:bdr w:val="nil"/>
        </w:rPr>
        <w:t>изучить нормативно - правовую базу факторинга, а также зарубежный опыт регулирования договора финансирования об уступку денежного требования;</w:t>
      </w:r>
    </w:p>
    <w:p w14:paraId="7552DEE6" w14:textId="77777777" w:rsidR="00B87C80" w:rsidRPr="00B87C80" w:rsidRDefault="00B87C80" w:rsidP="00B87C80">
      <w:pPr>
        <w:numPr>
          <w:ilvl w:val="0"/>
          <w:numId w:val="1"/>
        </w:numPr>
        <w:pBdr>
          <w:top w:val="nil"/>
          <w:left w:val="nil"/>
          <w:bottom w:val="nil"/>
          <w:right w:val="nil"/>
          <w:between w:val="nil"/>
          <w:bar w:val="nil"/>
        </w:pBdr>
        <w:spacing w:after="200"/>
        <w:ind w:left="714" w:hanging="357"/>
        <w:contextualSpacing/>
        <w:jc w:val="both"/>
        <w:rPr>
          <w:rFonts w:ascii="Times New Roman" w:eastAsia="Calibri" w:hAnsi="Times New Roman" w:cs="Times New Roman"/>
          <w:color w:val="000000"/>
          <w:sz w:val="28"/>
          <w:szCs w:val="28"/>
          <w:u w:color="000000"/>
          <w:bdr w:val="nil"/>
        </w:rPr>
      </w:pPr>
      <w:r w:rsidRPr="00B87C80">
        <w:rPr>
          <w:rFonts w:ascii="Times New Roman" w:eastAsia="Calibri" w:hAnsi="Times New Roman" w:cs="Times New Roman"/>
          <w:color w:val="000000"/>
          <w:sz w:val="28"/>
          <w:szCs w:val="28"/>
          <w:u w:color="000000"/>
          <w:bdr w:val="nil"/>
        </w:rPr>
        <w:t>выявить проблемы развития факторинга в России, предложить пути решения данных недостатков, сделать заключение о возможности оптимизации факторинга и установить направления развития этого института в дальнейшем.</w:t>
      </w:r>
    </w:p>
    <w:p w14:paraId="073E2734" w14:textId="77777777" w:rsidR="00B87C80" w:rsidRPr="00B87C80" w:rsidRDefault="00B87C80" w:rsidP="00B87C80">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709"/>
        <w:jc w:val="both"/>
        <w:rPr>
          <w:rFonts w:ascii="Times New Roman" w:eastAsia="Times New Roman Bold" w:hAnsi="Times New Roman" w:cs="Times New Roman"/>
          <w:color w:val="000000"/>
          <w:sz w:val="28"/>
          <w:szCs w:val="28"/>
          <w:u w:color="000000"/>
          <w:bdr w:val="nil"/>
          <w:lang w:eastAsia="ru-RU"/>
        </w:rPr>
      </w:pPr>
    </w:p>
    <w:p w14:paraId="76729CED" w14:textId="77777777" w:rsidR="00B87C80" w:rsidRPr="00B87C80" w:rsidRDefault="00B87C80" w:rsidP="00B87C80">
      <w:pPr>
        <w:pBdr>
          <w:top w:val="nil"/>
          <w:left w:val="nil"/>
          <w:bottom w:val="nil"/>
          <w:right w:val="nil"/>
          <w:between w:val="nil"/>
          <w:bar w:val="nil"/>
        </w:pBdr>
        <w:tabs>
          <w:tab w:val="left" w:leader="dot" w:pos="8849"/>
        </w:tabs>
        <w:ind w:firstLine="709"/>
        <w:jc w:val="both"/>
        <w:rPr>
          <w:rFonts w:ascii="Times New Roman" w:eastAsia="Calibri" w:hAnsi="Times New Roman" w:cs="Times New Roman"/>
          <w:b/>
          <w:color w:val="000000"/>
          <w:sz w:val="28"/>
          <w:szCs w:val="28"/>
          <w:u w:color="000000"/>
          <w:bdr w:val="nil"/>
        </w:rPr>
      </w:pPr>
      <w:r w:rsidRPr="00B87C80">
        <w:rPr>
          <w:rFonts w:ascii="Times New Roman" w:eastAsia="Calibri" w:hAnsi="Times New Roman" w:cs="Times New Roman"/>
          <w:b/>
          <w:color w:val="000000"/>
          <w:sz w:val="28"/>
          <w:szCs w:val="28"/>
          <w:u w:color="000000"/>
          <w:bdr w:val="nil"/>
        </w:rPr>
        <w:t>Выводы, сделанные по результатам исследования:</w:t>
      </w:r>
    </w:p>
    <w:p w14:paraId="25FB224A" w14:textId="77777777" w:rsidR="00B87C80" w:rsidRPr="00B87C80" w:rsidRDefault="00B87C80" w:rsidP="00B87C80">
      <w:pPr>
        <w:numPr>
          <w:ilvl w:val="0"/>
          <w:numId w:val="2"/>
        </w:numPr>
        <w:pBdr>
          <w:top w:val="nil"/>
          <w:left w:val="nil"/>
          <w:bottom w:val="nil"/>
          <w:right w:val="nil"/>
          <w:between w:val="nil"/>
          <w:bar w:val="nil"/>
        </w:pBdr>
        <w:tabs>
          <w:tab w:val="left" w:leader="dot" w:pos="8849"/>
        </w:tabs>
        <w:spacing w:after="200" w:line="276" w:lineRule="auto"/>
        <w:contextualSpacing/>
        <w:jc w:val="both"/>
        <w:rPr>
          <w:rFonts w:ascii="Times New Roman" w:eastAsia="Times New Roman Bold" w:hAnsi="Times New Roman" w:cs="Times New Roman"/>
          <w:color w:val="000000"/>
          <w:sz w:val="28"/>
          <w:szCs w:val="28"/>
          <w:u w:color="000000"/>
          <w:bdr w:val="nil"/>
        </w:rPr>
      </w:pPr>
      <w:r w:rsidRPr="00B87C80">
        <w:rPr>
          <w:rFonts w:ascii="Times New Roman" w:eastAsia="Times New Roman Bold" w:hAnsi="Times New Roman" w:cs="Times New Roman"/>
          <w:color w:val="000000"/>
          <w:sz w:val="28"/>
          <w:szCs w:val="28"/>
          <w:u w:color="000000"/>
          <w:bdr w:val="nil"/>
        </w:rPr>
        <w:t>Отсутствие единообразия в теоретических и практических аспектах</w:t>
      </w:r>
    </w:p>
    <w:p w14:paraId="2E5F43D4" w14:textId="77777777" w:rsidR="00B87C80" w:rsidRPr="00B87C80" w:rsidRDefault="00B87C80" w:rsidP="00B87C80">
      <w:pPr>
        <w:pBdr>
          <w:top w:val="nil"/>
          <w:left w:val="nil"/>
          <w:bottom w:val="nil"/>
          <w:right w:val="nil"/>
          <w:between w:val="nil"/>
          <w:bar w:val="nil"/>
        </w:pBdr>
        <w:tabs>
          <w:tab w:val="left" w:leader="dot" w:pos="8849"/>
        </w:tabs>
        <w:jc w:val="both"/>
        <w:rPr>
          <w:rFonts w:ascii="Times New Roman" w:eastAsia="Times New Roman Bold" w:hAnsi="Times New Roman" w:cs="Times New Roman"/>
          <w:color w:val="000000"/>
          <w:sz w:val="28"/>
          <w:szCs w:val="28"/>
          <w:u w:color="000000"/>
          <w:bdr w:val="nil"/>
        </w:rPr>
      </w:pPr>
      <w:r w:rsidRPr="00B87C80">
        <w:rPr>
          <w:rFonts w:ascii="Times New Roman" w:eastAsia="Times New Roman Bold" w:hAnsi="Times New Roman" w:cs="Times New Roman"/>
          <w:color w:val="000000"/>
          <w:sz w:val="28"/>
          <w:szCs w:val="28"/>
          <w:u w:color="000000"/>
          <w:bdr w:val="nil"/>
        </w:rPr>
        <w:t xml:space="preserve">договора финансирования под уступку денежного требования. </w:t>
      </w:r>
      <w:r w:rsidRPr="00B87C80">
        <w:rPr>
          <w:rFonts w:ascii="Times New Roman" w:eastAsia="Calibri" w:hAnsi="Times New Roman" w:cs="Times New Roman"/>
          <w:color w:val="000000"/>
          <w:sz w:val="28"/>
          <w:szCs w:val="28"/>
          <w:u w:color="000000"/>
          <w:bdr w:val="nil"/>
        </w:rPr>
        <w:t>В 2018 году начали свое действие новые правила о факторинге. Они уточнили критерии, необходимые для отнесения договоров к категории договоров факторинга, в отношении которых установлены специальные правила об уступке права (требования), содержащиеся в гл. 43 ГК РФ. Данные правила указали на возможность применения положений о купле-продаже, займе (кредите) и возмездном оказании услуг.</w:t>
      </w:r>
      <w:r w:rsidRPr="00B87C80">
        <w:rPr>
          <w:rFonts w:ascii="Times New Roman" w:eastAsia="Times New Roman Bold" w:hAnsi="Times New Roman" w:cs="Times New Roman"/>
          <w:color w:val="000000"/>
          <w:sz w:val="28"/>
          <w:szCs w:val="28"/>
          <w:u w:color="000000"/>
          <w:bdr w:val="nil"/>
        </w:rPr>
        <w:t xml:space="preserve"> </w:t>
      </w:r>
      <w:r w:rsidRPr="00B87C80">
        <w:rPr>
          <w:rFonts w:ascii="Times New Roman" w:eastAsia="Calibri" w:hAnsi="Times New Roman" w:cs="Times New Roman"/>
          <w:color w:val="000000"/>
          <w:sz w:val="28"/>
          <w:szCs w:val="28"/>
          <w:u w:color="000000"/>
          <w:bdr w:val="nil"/>
        </w:rPr>
        <w:t xml:space="preserve">Но, к большому сожалению, новые правила о факторинге не смогли решить множества юридических споров касаемо существа и основ финансирования под уступку денежного права требования. Возможным решением данных правоприменительных проблем стал бы новый Пленум Верховного суда Российской Федерации по вопросам регулирования договора финансирования под уступку денежного требования, который положил бы начало единообразной судебной практике, а также ответил бы на многочисленные вопросы ученых теоретиков касаемо сущности договора, его места в системе российского права, разграничения факторинга по модели купли-продажи и договора купли-продажи денежного требования, возможность последующей уступки, </w:t>
      </w:r>
      <w:proofErr w:type="spellStart"/>
      <w:r w:rsidRPr="00B87C80">
        <w:rPr>
          <w:rFonts w:ascii="Times New Roman" w:eastAsia="Calibri" w:hAnsi="Times New Roman" w:cs="Times New Roman"/>
          <w:color w:val="000000"/>
          <w:sz w:val="28"/>
          <w:szCs w:val="28"/>
          <w:u w:color="000000"/>
          <w:bdr w:val="nil"/>
        </w:rPr>
        <w:t>фидуциарность</w:t>
      </w:r>
      <w:proofErr w:type="spellEnd"/>
      <w:r w:rsidRPr="00B87C80">
        <w:rPr>
          <w:rFonts w:ascii="Times New Roman" w:eastAsia="Calibri" w:hAnsi="Times New Roman" w:cs="Times New Roman"/>
          <w:color w:val="000000"/>
          <w:sz w:val="28"/>
          <w:szCs w:val="28"/>
          <w:u w:color="000000"/>
          <w:bdr w:val="nil"/>
        </w:rPr>
        <w:t xml:space="preserve"> обязанностей сторон факторинга и др.</w:t>
      </w:r>
    </w:p>
    <w:p w14:paraId="17B9F8C8" w14:textId="77777777" w:rsidR="00B87C80" w:rsidRPr="00B87C80" w:rsidRDefault="00B87C80" w:rsidP="00B87C80">
      <w:pPr>
        <w:pBdr>
          <w:top w:val="nil"/>
          <w:left w:val="nil"/>
          <w:bottom w:val="nil"/>
          <w:right w:val="nil"/>
          <w:between w:val="nil"/>
          <w:bar w:val="nil"/>
        </w:pBdr>
        <w:tabs>
          <w:tab w:val="left" w:leader="dot" w:pos="8849"/>
        </w:tabs>
        <w:ind w:firstLine="709"/>
        <w:jc w:val="both"/>
        <w:rPr>
          <w:rFonts w:ascii="Times New Roman" w:eastAsia="Times New Roman Bold" w:hAnsi="Times New Roman" w:cs="Times New Roman"/>
          <w:color w:val="000000"/>
          <w:sz w:val="28"/>
          <w:szCs w:val="28"/>
          <w:u w:color="000000"/>
          <w:bdr w:val="nil"/>
        </w:rPr>
      </w:pPr>
      <w:r w:rsidRPr="00B87C80">
        <w:rPr>
          <w:rFonts w:ascii="Times New Roman" w:eastAsia="Times New Roman Bold" w:hAnsi="Times New Roman" w:cs="Times New Roman"/>
          <w:color w:val="000000"/>
          <w:sz w:val="28"/>
          <w:szCs w:val="28"/>
          <w:u w:color="000000"/>
          <w:bdr w:val="nil"/>
        </w:rPr>
        <w:t xml:space="preserve">2) Договор финансирования под уступку денежного требования – это самостоятельный институт отечественного права. Мнения о том, что это не самостоятельный договор, а только разновидность цессии или кредитования, </w:t>
      </w:r>
      <w:r w:rsidRPr="00B87C80">
        <w:rPr>
          <w:rFonts w:ascii="Times New Roman" w:eastAsia="Times New Roman Bold" w:hAnsi="Times New Roman" w:cs="Times New Roman"/>
          <w:color w:val="000000"/>
          <w:sz w:val="28"/>
          <w:szCs w:val="28"/>
          <w:u w:color="000000"/>
          <w:bdr w:val="nil"/>
        </w:rPr>
        <w:lastRenderedPageBreak/>
        <w:t xml:space="preserve">считаю неверными, ибо схожесть факторинга с изученными правовыми институтами и является правовой природой данного договора. </w:t>
      </w:r>
    </w:p>
    <w:p w14:paraId="5489BF30" w14:textId="77777777" w:rsidR="00B87C80" w:rsidRPr="00B87C80" w:rsidRDefault="00B87C80" w:rsidP="00B87C80">
      <w:pPr>
        <w:pBdr>
          <w:top w:val="nil"/>
          <w:left w:val="nil"/>
          <w:bottom w:val="nil"/>
          <w:right w:val="nil"/>
          <w:between w:val="nil"/>
          <w:bar w:val="nil"/>
        </w:pBdr>
        <w:tabs>
          <w:tab w:val="left" w:leader="dot" w:pos="8849"/>
        </w:tabs>
        <w:ind w:firstLine="709"/>
        <w:jc w:val="both"/>
        <w:rPr>
          <w:rFonts w:ascii="Times New Roman" w:eastAsia="Times New Roman Bold" w:hAnsi="Times New Roman" w:cs="Times New Roman"/>
          <w:color w:val="000000"/>
          <w:sz w:val="28"/>
          <w:szCs w:val="28"/>
          <w:u w:color="000000"/>
          <w:bdr w:val="nil"/>
        </w:rPr>
      </w:pPr>
      <w:r w:rsidRPr="00B87C80">
        <w:rPr>
          <w:rFonts w:ascii="Times New Roman" w:eastAsia="Times New Roman Bold" w:hAnsi="Times New Roman" w:cs="Times New Roman"/>
          <w:color w:val="000000"/>
          <w:sz w:val="28"/>
          <w:szCs w:val="28"/>
          <w:u w:color="000000"/>
          <w:bdr w:val="nil"/>
        </w:rPr>
        <w:t>3) Значимой проблемой применения факторинга в России является маленькая доля проводимых операций факторинга в сегменте малого и среднего бизнеса. Хоть объемы применения факторинга растут от года к году, но основное количество сделок все равно приходит на крупный бизнес.</w:t>
      </w:r>
    </w:p>
    <w:p w14:paraId="4378668F" w14:textId="77777777" w:rsidR="00B87C80" w:rsidRPr="00B87C80" w:rsidRDefault="00B87C80" w:rsidP="00B87C80">
      <w:pPr>
        <w:pBdr>
          <w:top w:val="nil"/>
          <w:left w:val="nil"/>
          <w:bottom w:val="nil"/>
          <w:right w:val="nil"/>
          <w:between w:val="nil"/>
          <w:bar w:val="nil"/>
        </w:pBdr>
        <w:tabs>
          <w:tab w:val="left" w:leader="dot" w:pos="8849"/>
        </w:tabs>
        <w:ind w:firstLine="709"/>
        <w:jc w:val="both"/>
        <w:rPr>
          <w:rFonts w:ascii="Times New Roman" w:eastAsia="Times New Roman Bold" w:hAnsi="Times New Roman" w:cs="Times New Roman"/>
          <w:color w:val="000000"/>
          <w:sz w:val="28"/>
          <w:szCs w:val="28"/>
          <w:u w:color="000000"/>
          <w:bdr w:val="nil"/>
        </w:rPr>
      </w:pPr>
      <w:r w:rsidRPr="00B87C80">
        <w:rPr>
          <w:rFonts w:ascii="Times New Roman" w:eastAsia="Times New Roman Bold" w:hAnsi="Times New Roman" w:cs="Times New Roman"/>
          <w:color w:val="000000"/>
          <w:sz w:val="28"/>
          <w:szCs w:val="28"/>
          <w:u w:color="000000"/>
          <w:bdr w:val="nil"/>
        </w:rPr>
        <w:t>Причинами данной проблемы можно назвать: недостаточную квалификацию менеджмента как на стороне фактора, так и клиента; недостаточное квалифицированное мнении о факторинге у клиентов; конкуренция банковского и небанковского факторинга.</w:t>
      </w:r>
    </w:p>
    <w:p w14:paraId="7D0358C8" w14:textId="77777777" w:rsidR="00B87C80" w:rsidRPr="00B87C80" w:rsidRDefault="00B87C80" w:rsidP="00B87C80">
      <w:pPr>
        <w:pBdr>
          <w:top w:val="nil"/>
          <w:left w:val="nil"/>
          <w:bottom w:val="nil"/>
          <w:right w:val="nil"/>
          <w:between w:val="nil"/>
          <w:bar w:val="nil"/>
        </w:pBdr>
        <w:tabs>
          <w:tab w:val="left" w:leader="dot" w:pos="8849"/>
        </w:tabs>
        <w:ind w:firstLine="709"/>
        <w:jc w:val="both"/>
        <w:rPr>
          <w:rFonts w:ascii="Times New Roman" w:eastAsia="Times New Roman Bold" w:hAnsi="Times New Roman" w:cs="Times New Roman"/>
          <w:color w:val="000000"/>
          <w:sz w:val="28"/>
          <w:szCs w:val="28"/>
          <w:u w:color="000000"/>
          <w:bdr w:val="nil"/>
        </w:rPr>
      </w:pPr>
      <w:r w:rsidRPr="00B87C80">
        <w:rPr>
          <w:rFonts w:ascii="Times New Roman" w:eastAsia="Times New Roman Bold" w:hAnsi="Times New Roman" w:cs="Times New Roman"/>
          <w:color w:val="000000"/>
          <w:sz w:val="28"/>
          <w:szCs w:val="28"/>
          <w:u w:color="000000"/>
          <w:bdr w:val="nil"/>
        </w:rPr>
        <w:t>Решением вопроса осведомленности уже занимаются многие крупные факторы и организации путем создания специальных платформ обучения для предпринимателей и менеджмента.  Примерами можно назвать платформы для бизнеса от крупнейших банков РФ: Сбербанк, Альфа-Банк, ВТБ.</w:t>
      </w:r>
    </w:p>
    <w:p w14:paraId="0471F2E3" w14:textId="77777777" w:rsidR="00B87C80" w:rsidRPr="00B87C80" w:rsidRDefault="00B87C80" w:rsidP="00B87C80">
      <w:pPr>
        <w:pBdr>
          <w:top w:val="nil"/>
          <w:left w:val="nil"/>
          <w:bottom w:val="nil"/>
          <w:right w:val="nil"/>
          <w:between w:val="nil"/>
          <w:bar w:val="nil"/>
        </w:pBdr>
        <w:tabs>
          <w:tab w:val="left" w:leader="dot" w:pos="8849"/>
        </w:tabs>
        <w:ind w:firstLine="709"/>
        <w:jc w:val="both"/>
        <w:rPr>
          <w:rFonts w:ascii="Times New Roman" w:eastAsia="Times New Roman Bold" w:hAnsi="Times New Roman" w:cs="Times New Roman"/>
          <w:color w:val="000000"/>
          <w:sz w:val="28"/>
          <w:szCs w:val="28"/>
          <w:u w:color="000000"/>
          <w:bdr w:val="nil"/>
        </w:rPr>
      </w:pPr>
      <w:r w:rsidRPr="00B87C80">
        <w:rPr>
          <w:rFonts w:ascii="Times New Roman" w:eastAsia="Times New Roman Bold" w:hAnsi="Times New Roman" w:cs="Times New Roman"/>
          <w:color w:val="000000"/>
          <w:sz w:val="28"/>
          <w:szCs w:val="28"/>
          <w:u w:color="000000"/>
          <w:bdr w:val="nil"/>
        </w:rPr>
        <w:t xml:space="preserve">Проблема конкуренции банковского и небанковского факторинга состоит в том, что сейчас основные фактор-фирмы на рынке </w:t>
      </w:r>
      <w:proofErr w:type="spellStart"/>
      <w:r w:rsidRPr="00B87C80">
        <w:rPr>
          <w:rFonts w:ascii="Times New Roman" w:eastAsia="Times New Roman Bold" w:hAnsi="Times New Roman" w:cs="Times New Roman"/>
          <w:color w:val="000000"/>
          <w:sz w:val="28"/>
          <w:szCs w:val="28"/>
          <w:u w:color="000000"/>
          <w:bdr w:val="nil"/>
        </w:rPr>
        <w:t>факторинговых</w:t>
      </w:r>
      <w:proofErr w:type="spellEnd"/>
      <w:r w:rsidRPr="00B87C80">
        <w:rPr>
          <w:rFonts w:ascii="Times New Roman" w:eastAsia="Times New Roman Bold" w:hAnsi="Times New Roman" w:cs="Times New Roman"/>
          <w:color w:val="000000"/>
          <w:sz w:val="28"/>
          <w:szCs w:val="28"/>
          <w:u w:color="000000"/>
          <w:bdr w:val="nil"/>
        </w:rPr>
        <w:t xml:space="preserve"> услуг – это банковские организации или их «дочки», а другие «игроки на рынке» — это небанковские </w:t>
      </w:r>
      <w:proofErr w:type="spellStart"/>
      <w:r w:rsidRPr="00B87C80">
        <w:rPr>
          <w:rFonts w:ascii="Times New Roman" w:eastAsia="Times New Roman Bold" w:hAnsi="Times New Roman" w:cs="Times New Roman"/>
          <w:color w:val="000000"/>
          <w:sz w:val="28"/>
          <w:szCs w:val="28"/>
          <w:u w:color="000000"/>
          <w:bdr w:val="nil"/>
        </w:rPr>
        <w:t>факторинговые</w:t>
      </w:r>
      <w:proofErr w:type="spellEnd"/>
      <w:r w:rsidRPr="00B87C80">
        <w:rPr>
          <w:rFonts w:ascii="Times New Roman" w:eastAsia="Times New Roman Bold" w:hAnsi="Times New Roman" w:cs="Times New Roman"/>
          <w:color w:val="000000"/>
          <w:sz w:val="28"/>
          <w:szCs w:val="28"/>
          <w:u w:color="000000"/>
          <w:bdr w:val="nil"/>
        </w:rPr>
        <w:t xml:space="preserve"> агенты. Для успешного финансирования клиентов небанковские организации вынуждены искать источники своего же фиксирования у тех же кредитных организаций, тем самым создавая угрозу демпинга стоимости </w:t>
      </w:r>
      <w:proofErr w:type="spellStart"/>
      <w:r w:rsidRPr="00B87C80">
        <w:rPr>
          <w:rFonts w:ascii="Times New Roman" w:eastAsia="Times New Roman Bold" w:hAnsi="Times New Roman" w:cs="Times New Roman"/>
          <w:color w:val="000000"/>
          <w:sz w:val="28"/>
          <w:szCs w:val="28"/>
          <w:u w:color="000000"/>
          <w:bdr w:val="nil"/>
        </w:rPr>
        <w:t>факторингового</w:t>
      </w:r>
      <w:proofErr w:type="spellEnd"/>
      <w:r w:rsidRPr="00B87C80">
        <w:rPr>
          <w:rFonts w:ascii="Times New Roman" w:eastAsia="Times New Roman Bold" w:hAnsi="Times New Roman" w:cs="Times New Roman"/>
          <w:color w:val="000000"/>
          <w:sz w:val="28"/>
          <w:szCs w:val="28"/>
          <w:u w:color="000000"/>
          <w:bdr w:val="nil"/>
        </w:rPr>
        <w:t xml:space="preserve"> финансирования со стороны банковских организаций. При такой ситуации встает вопрос о необходимости небанковского факторинга, по моему мнению должное развитие договора финансирования под уступку денежного требования возможно только при участии небанковских организаций, ибо у других представителей </w:t>
      </w:r>
      <w:proofErr w:type="spellStart"/>
      <w:r w:rsidRPr="00B87C80">
        <w:rPr>
          <w:rFonts w:ascii="Times New Roman" w:eastAsia="Times New Roman Bold" w:hAnsi="Times New Roman" w:cs="Times New Roman"/>
          <w:color w:val="000000"/>
          <w:sz w:val="28"/>
          <w:szCs w:val="28"/>
          <w:u w:color="000000"/>
          <w:bdr w:val="nil"/>
        </w:rPr>
        <w:t>факторингового</w:t>
      </w:r>
      <w:proofErr w:type="spellEnd"/>
      <w:r w:rsidRPr="00B87C80">
        <w:rPr>
          <w:rFonts w:ascii="Times New Roman" w:eastAsia="Times New Roman Bold" w:hAnsi="Times New Roman" w:cs="Times New Roman"/>
          <w:color w:val="000000"/>
          <w:sz w:val="28"/>
          <w:szCs w:val="28"/>
          <w:u w:color="000000"/>
          <w:bdr w:val="nil"/>
        </w:rPr>
        <w:t xml:space="preserve"> финансирование существует внутренняя конкуренция кредитных продуктов, которая не позволяет внедрить в данный продукт более успешные опции.</w:t>
      </w:r>
    </w:p>
    <w:p w14:paraId="227F9641" w14:textId="77777777" w:rsidR="00B87C80" w:rsidRPr="00B87C80" w:rsidRDefault="00B87C80" w:rsidP="00B87C80">
      <w:pPr>
        <w:pBdr>
          <w:top w:val="nil"/>
          <w:left w:val="nil"/>
          <w:bottom w:val="nil"/>
          <w:right w:val="nil"/>
          <w:between w:val="nil"/>
          <w:bar w:val="nil"/>
        </w:pBdr>
        <w:tabs>
          <w:tab w:val="left" w:leader="dot" w:pos="8849"/>
        </w:tabs>
        <w:ind w:firstLine="709"/>
        <w:jc w:val="both"/>
        <w:rPr>
          <w:rFonts w:ascii="Times New Roman" w:eastAsia="Calibri" w:hAnsi="Times New Roman" w:cs="Times New Roman"/>
          <w:color w:val="000000"/>
          <w:sz w:val="28"/>
          <w:szCs w:val="28"/>
          <w:u w:color="000000"/>
          <w:bdr w:val="nil"/>
        </w:rPr>
      </w:pPr>
      <w:r w:rsidRPr="00B87C80">
        <w:rPr>
          <w:rFonts w:ascii="Calibri" w:eastAsia="Calibri" w:hAnsi="Calibri" w:cs="Calibri"/>
          <w:color w:val="000000"/>
          <w:sz w:val="28"/>
          <w:szCs w:val="28"/>
          <w:u w:color="000000"/>
          <w:bdr w:val="nil"/>
        </w:rPr>
        <w:t>4)</w:t>
      </w:r>
      <w:r w:rsidRPr="00B87C80">
        <w:rPr>
          <w:rFonts w:ascii="Calibri" w:eastAsia="Calibri" w:hAnsi="Calibri" w:cs="Calibri"/>
          <w:color w:val="000000"/>
          <w:sz w:val="22"/>
          <w:szCs w:val="22"/>
          <w:u w:color="000000"/>
          <w:bdr w:val="nil"/>
        </w:rPr>
        <w:t xml:space="preserve"> </w:t>
      </w:r>
      <w:r w:rsidRPr="00B87C80">
        <w:rPr>
          <w:rFonts w:ascii="Times New Roman" w:eastAsia="Calibri" w:hAnsi="Times New Roman" w:cs="Times New Roman"/>
          <w:color w:val="000000"/>
          <w:sz w:val="28"/>
          <w:szCs w:val="28"/>
          <w:u w:color="000000"/>
          <w:bdr w:val="nil"/>
        </w:rPr>
        <w:t xml:space="preserve">Основном формой оптимизации договора факторинга является возможность саморегулирования данной сферы. При изучении нормативно-правовой базы и зарубежного опыта стало ясно, что при должном невмешательстве государства в частные вопросы факторинга рынок сможет сам себя контролировать и перейти на </w:t>
      </w:r>
      <w:proofErr w:type="spellStart"/>
      <w:r w:rsidRPr="00B87C80">
        <w:rPr>
          <w:rFonts w:ascii="Times New Roman" w:eastAsia="Calibri" w:hAnsi="Times New Roman" w:cs="Times New Roman"/>
          <w:color w:val="000000"/>
          <w:sz w:val="28"/>
          <w:szCs w:val="28"/>
          <w:u w:color="000000"/>
          <w:bdr w:val="nil"/>
        </w:rPr>
        <w:t>саморегуляцию</w:t>
      </w:r>
      <w:proofErr w:type="spellEnd"/>
      <w:r w:rsidRPr="00B87C80">
        <w:rPr>
          <w:rFonts w:ascii="Times New Roman" w:eastAsia="Calibri" w:hAnsi="Times New Roman" w:cs="Times New Roman"/>
          <w:color w:val="000000"/>
          <w:sz w:val="28"/>
          <w:szCs w:val="28"/>
          <w:u w:color="000000"/>
          <w:bdr w:val="nil"/>
        </w:rPr>
        <w:t xml:space="preserve">, но при условии создания </w:t>
      </w:r>
      <w:proofErr w:type="spellStart"/>
      <w:r w:rsidRPr="00B87C80">
        <w:rPr>
          <w:rFonts w:ascii="Times New Roman" w:eastAsia="Calibri" w:hAnsi="Times New Roman" w:cs="Times New Roman"/>
          <w:color w:val="000000"/>
          <w:sz w:val="28"/>
          <w:szCs w:val="28"/>
          <w:u w:color="000000"/>
          <w:bdr w:val="nil"/>
        </w:rPr>
        <w:t>единного</w:t>
      </w:r>
      <w:proofErr w:type="spellEnd"/>
      <w:r w:rsidRPr="00B87C80">
        <w:rPr>
          <w:rFonts w:ascii="Times New Roman" w:eastAsia="Calibri" w:hAnsi="Times New Roman" w:cs="Times New Roman"/>
          <w:color w:val="000000"/>
          <w:sz w:val="28"/>
          <w:szCs w:val="28"/>
          <w:u w:color="000000"/>
          <w:bdr w:val="nil"/>
        </w:rPr>
        <w:t xml:space="preserve"> регулятора, который бы разрабатывал локальные акты, проверял законность, разрешал бы сложные вопросы регулирования, но делал бы это в отрыве от государственного регулятора. У нас уже есть схожая структура – Ассоциация </w:t>
      </w:r>
      <w:proofErr w:type="spellStart"/>
      <w:r w:rsidRPr="00B87C80">
        <w:rPr>
          <w:rFonts w:ascii="Times New Roman" w:eastAsia="Calibri" w:hAnsi="Times New Roman" w:cs="Times New Roman"/>
          <w:color w:val="000000"/>
          <w:sz w:val="28"/>
          <w:szCs w:val="28"/>
          <w:u w:color="000000"/>
          <w:bdr w:val="nil"/>
        </w:rPr>
        <w:t>факторинговых</w:t>
      </w:r>
      <w:proofErr w:type="spellEnd"/>
      <w:r w:rsidRPr="00B87C80">
        <w:rPr>
          <w:rFonts w:ascii="Times New Roman" w:eastAsia="Calibri" w:hAnsi="Times New Roman" w:cs="Times New Roman"/>
          <w:color w:val="000000"/>
          <w:sz w:val="28"/>
          <w:szCs w:val="28"/>
          <w:u w:color="000000"/>
          <w:bdr w:val="nil"/>
        </w:rPr>
        <w:t xml:space="preserve"> компаний, но пока она занимается законодательными инициативами, статистикой, научной публицистикой, ее работа пока направлена только на развитие отрасли, но не на ее регулирование. Анализ зарубежного применения договора факторинга показал закономерность между регулированием факторингом и его развитостью в стране. Так, чем более свободное регулирование в стране, тем развитее факторинг там. Таким образом, можно полагать, что если российский факторинг выберет пусть свободного регулирования, а не </w:t>
      </w:r>
      <w:proofErr w:type="spellStart"/>
      <w:r w:rsidRPr="00B87C80">
        <w:rPr>
          <w:rFonts w:ascii="Times New Roman" w:eastAsia="Calibri" w:hAnsi="Times New Roman" w:cs="Times New Roman"/>
          <w:color w:val="000000"/>
          <w:sz w:val="28"/>
          <w:szCs w:val="28"/>
          <w:u w:color="000000"/>
          <w:bdr w:val="nil"/>
        </w:rPr>
        <w:t>сверхрегуляцию</w:t>
      </w:r>
      <w:proofErr w:type="spellEnd"/>
      <w:r w:rsidRPr="00B87C80">
        <w:rPr>
          <w:rFonts w:ascii="Times New Roman" w:eastAsia="Calibri" w:hAnsi="Times New Roman" w:cs="Times New Roman"/>
          <w:color w:val="000000"/>
          <w:sz w:val="28"/>
          <w:szCs w:val="28"/>
          <w:u w:color="000000"/>
          <w:bdr w:val="nil"/>
        </w:rPr>
        <w:t xml:space="preserve"> от </w:t>
      </w:r>
      <w:r w:rsidRPr="00B87C80">
        <w:rPr>
          <w:rFonts w:ascii="Times New Roman" w:eastAsia="Calibri" w:hAnsi="Times New Roman" w:cs="Times New Roman"/>
          <w:color w:val="000000"/>
          <w:sz w:val="28"/>
          <w:szCs w:val="28"/>
          <w:u w:color="000000"/>
          <w:bdr w:val="nil"/>
        </w:rPr>
        <w:lastRenderedPageBreak/>
        <w:t>Центрального Банка России, то сможет стать инструментом помощи не только предпринимательству, но и экономики станы в целом.</w:t>
      </w:r>
    </w:p>
    <w:p w14:paraId="13B40067" w14:textId="77777777" w:rsidR="00B87C80" w:rsidRPr="00B87C80" w:rsidRDefault="00B87C80" w:rsidP="00B87C80">
      <w:pPr>
        <w:pBdr>
          <w:top w:val="nil"/>
          <w:left w:val="nil"/>
          <w:bottom w:val="nil"/>
          <w:right w:val="nil"/>
          <w:between w:val="nil"/>
          <w:bar w:val="nil"/>
        </w:pBdr>
        <w:tabs>
          <w:tab w:val="left" w:leader="dot" w:pos="8849"/>
        </w:tabs>
        <w:ind w:firstLine="709"/>
        <w:jc w:val="both"/>
        <w:rPr>
          <w:rFonts w:ascii="Times New Roman" w:eastAsia="Times New Roman Bold" w:hAnsi="Times New Roman" w:cs="Times New Roman"/>
          <w:color w:val="000000"/>
          <w:sz w:val="28"/>
          <w:szCs w:val="28"/>
          <w:u w:color="000000"/>
          <w:bdr w:val="nil"/>
        </w:rPr>
      </w:pPr>
      <w:r w:rsidRPr="00B87C80">
        <w:rPr>
          <w:rFonts w:ascii="Times New Roman" w:eastAsia="Calibri" w:hAnsi="Times New Roman" w:cs="Times New Roman"/>
          <w:color w:val="000000"/>
          <w:sz w:val="28"/>
          <w:szCs w:val="28"/>
          <w:u w:color="000000"/>
          <w:bdr w:val="nil"/>
        </w:rPr>
        <w:t xml:space="preserve">5) Технология </w:t>
      </w:r>
      <w:proofErr w:type="spellStart"/>
      <w:r w:rsidRPr="00B87C80">
        <w:rPr>
          <w:rFonts w:ascii="Times New Roman" w:eastAsia="Calibri" w:hAnsi="Times New Roman" w:cs="Times New Roman"/>
          <w:color w:val="000000"/>
          <w:sz w:val="28"/>
          <w:szCs w:val="28"/>
          <w:u w:color="000000"/>
          <w:bdr w:val="nil"/>
        </w:rPr>
        <w:t>блокчейн</w:t>
      </w:r>
      <w:proofErr w:type="spellEnd"/>
      <w:r w:rsidRPr="00B87C80">
        <w:rPr>
          <w:rFonts w:ascii="Times New Roman" w:eastAsia="Calibri" w:hAnsi="Times New Roman" w:cs="Times New Roman"/>
          <w:color w:val="000000"/>
          <w:sz w:val="28"/>
          <w:szCs w:val="28"/>
          <w:u w:color="000000"/>
          <w:bdr w:val="nil"/>
        </w:rPr>
        <w:t xml:space="preserve"> сможет стать решением многих проблем практического применения договора финансирования под уступку денежного требования. Внедрение повсеместной автоматизации </w:t>
      </w:r>
      <w:proofErr w:type="spellStart"/>
      <w:r w:rsidRPr="00B87C80">
        <w:rPr>
          <w:rFonts w:ascii="Times New Roman" w:eastAsia="Calibri" w:hAnsi="Times New Roman" w:cs="Times New Roman"/>
          <w:color w:val="000000"/>
          <w:sz w:val="28"/>
          <w:szCs w:val="28"/>
          <w:u w:color="000000"/>
          <w:bdr w:val="nil"/>
        </w:rPr>
        <w:t>факторинговых</w:t>
      </w:r>
      <w:proofErr w:type="spellEnd"/>
      <w:r w:rsidRPr="00B87C80">
        <w:rPr>
          <w:rFonts w:ascii="Times New Roman" w:eastAsia="Calibri" w:hAnsi="Times New Roman" w:cs="Times New Roman"/>
          <w:color w:val="000000"/>
          <w:sz w:val="28"/>
          <w:szCs w:val="28"/>
          <w:u w:color="000000"/>
          <w:bdr w:val="nil"/>
        </w:rPr>
        <w:t xml:space="preserve"> операций способны предложить как </w:t>
      </w:r>
      <w:proofErr w:type="gramStart"/>
      <w:r w:rsidRPr="00B87C80">
        <w:rPr>
          <w:rFonts w:ascii="Times New Roman" w:eastAsia="Calibri" w:hAnsi="Times New Roman" w:cs="Times New Roman"/>
          <w:color w:val="000000"/>
          <w:sz w:val="28"/>
          <w:szCs w:val="28"/>
          <w:u w:color="000000"/>
          <w:bdr w:val="nil"/>
        </w:rPr>
        <w:t>факторам</w:t>
      </w:r>
      <w:proofErr w:type="gramEnd"/>
      <w:r w:rsidRPr="00B87C80">
        <w:rPr>
          <w:rFonts w:ascii="Times New Roman" w:eastAsia="Calibri" w:hAnsi="Times New Roman" w:cs="Times New Roman"/>
          <w:color w:val="000000"/>
          <w:sz w:val="28"/>
          <w:szCs w:val="28"/>
          <w:u w:color="000000"/>
          <w:bdr w:val="nil"/>
        </w:rPr>
        <w:t xml:space="preserve"> так и клиентам платформы для финансирования поставщика в считанные часы, системы баз </w:t>
      </w:r>
      <w:proofErr w:type="spellStart"/>
      <w:r w:rsidRPr="00B87C80">
        <w:rPr>
          <w:rFonts w:ascii="Times New Roman" w:eastAsia="Calibri" w:hAnsi="Times New Roman" w:cs="Times New Roman"/>
          <w:color w:val="000000"/>
          <w:sz w:val="28"/>
          <w:szCs w:val="28"/>
          <w:u w:color="000000"/>
          <w:bdr w:val="nil"/>
        </w:rPr>
        <w:t>скоринга</w:t>
      </w:r>
      <w:proofErr w:type="spellEnd"/>
      <w:r w:rsidRPr="00B87C80">
        <w:rPr>
          <w:rFonts w:ascii="Times New Roman" w:eastAsia="Calibri" w:hAnsi="Times New Roman" w:cs="Times New Roman"/>
          <w:color w:val="000000"/>
          <w:sz w:val="28"/>
          <w:szCs w:val="28"/>
          <w:u w:color="000000"/>
          <w:bdr w:val="nil"/>
        </w:rPr>
        <w:t xml:space="preserve">, единый электронный документооборот, защиту от мошенников и безопасность проведения сделок. На Российском рынке уже существуют такие инновационные решения как </w:t>
      </w:r>
      <w:proofErr w:type="spellStart"/>
      <w:r w:rsidRPr="00B87C80">
        <w:rPr>
          <w:rFonts w:ascii="Times New Roman" w:eastAsia="Calibri" w:hAnsi="Times New Roman" w:cs="Times New Roman"/>
          <w:color w:val="000000"/>
          <w:sz w:val="28"/>
          <w:szCs w:val="28"/>
          <w:u w:color="000000"/>
          <w:bdr w:val="nil"/>
        </w:rPr>
        <w:t>Factorin</w:t>
      </w:r>
      <w:proofErr w:type="spellEnd"/>
      <w:r w:rsidRPr="00B87C80">
        <w:rPr>
          <w:rFonts w:ascii="Times New Roman" w:eastAsia="Calibri" w:hAnsi="Times New Roman" w:cs="Times New Roman"/>
          <w:color w:val="000000"/>
          <w:sz w:val="28"/>
          <w:szCs w:val="28"/>
          <w:u w:color="000000"/>
          <w:bdr w:val="nil"/>
        </w:rPr>
        <w:t xml:space="preserve">, </w:t>
      </w:r>
      <w:proofErr w:type="spellStart"/>
      <w:r w:rsidRPr="00B87C80">
        <w:rPr>
          <w:rFonts w:ascii="Times New Roman" w:eastAsia="Calibri" w:hAnsi="Times New Roman" w:cs="Times New Roman"/>
          <w:color w:val="000000"/>
          <w:sz w:val="28"/>
          <w:szCs w:val="28"/>
          <w:u w:color="000000"/>
          <w:bdr w:val="nil"/>
        </w:rPr>
        <w:t>FactorPlat</w:t>
      </w:r>
      <w:proofErr w:type="spellEnd"/>
      <w:r w:rsidRPr="00B87C80">
        <w:rPr>
          <w:rFonts w:ascii="Times New Roman" w:eastAsia="Calibri" w:hAnsi="Times New Roman" w:cs="Times New Roman"/>
          <w:color w:val="000000"/>
          <w:sz w:val="28"/>
          <w:szCs w:val="28"/>
          <w:u w:color="000000"/>
          <w:bdr w:val="nil"/>
        </w:rPr>
        <w:t xml:space="preserve">, </w:t>
      </w:r>
      <w:proofErr w:type="spellStart"/>
      <w:r w:rsidRPr="00B87C80">
        <w:rPr>
          <w:rFonts w:ascii="Times New Roman" w:eastAsia="Calibri" w:hAnsi="Times New Roman" w:cs="Times New Roman"/>
          <w:color w:val="000000"/>
          <w:sz w:val="28"/>
          <w:szCs w:val="28"/>
          <w:u w:color="000000"/>
          <w:bdr w:val="nil"/>
          <w:lang w:val="en-US"/>
        </w:rPr>
        <w:t>GetFinance</w:t>
      </w:r>
      <w:proofErr w:type="spellEnd"/>
      <w:r w:rsidRPr="00B87C80">
        <w:rPr>
          <w:rFonts w:ascii="Times New Roman" w:eastAsia="Calibri" w:hAnsi="Times New Roman" w:cs="Times New Roman"/>
          <w:color w:val="000000"/>
          <w:sz w:val="28"/>
          <w:szCs w:val="28"/>
          <w:u w:color="000000"/>
          <w:bdr w:val="nil"/>
        </w:rPr>
        <w:t xml:space="preserve">, </w:t>
      </w:r>
      <w:proofErr w:type="spellStart"/>
      <w:r w:rsidRPr="00B87C80">
        <w:rPr>
          <w:rFonts w:ascii="Times New Roman" w:eastAsia="Calibri" w:hAnsi="Times New Roman" w:cs="Times New Roman"/>
          <w:color w:val="000000"/>
          <w:sz w:val="28"/>
          <w:szCs w:val="28"/>
          <w:u w:color="000000"/>
          <w:bdr w:val="nil"/>
        </w:rPr>
        <w:t>SimpleFinance</w:t>
      </w:r>
      <w:proofErr w:type="spellEnd"/>
      <w:r w:rsidRPr="00B87C80">
        <w:rPr>
          <w:rFonts w:ascii="Times New Roman" w:eastAsia="Calibri" w:hAnsi="Times New Roman" w:cs="Times New Roman"/>
          <w:color w:val="000000"/>
          <w:sz w:val="28"/>
          <w:szCs w:val="28"/>
          <w:u w:color="000000"/>
          <w:bdr w:val="nil"/>
        </w:rPr>
        <w:t>. Это программы полного автоматизированного цикла, открытые для всех факторов, поставщиков и покупателей. Они создают единое информационное пространство в сфере факторинга и не ограничивают поставщика в выборе одного финансирования, они предлагают множество и с разными условиями, то есть по своей сути являются «</w:t>
      </w:r>
      <w:proofErr w:type="spellStart"/>
      <w:r w:rsidRPr="00B87C80">
        <w:rPr>
          <w:rFonts w:ascii="Times New Roman" w:eastAsia="Calibri" w:hAnsi="Times New Roman" w:cs="Times New Roman"/>
          <w:color w:val="000000"/>
          <w:sz w:val="28"/>
          <w:szCs w:val="28"/>
          <w:u w:color="000000"/>
          <w:bdr w:val="nil"/>
        </w:rPr>
        <w:t>факторинговым</w:t>
      </w:r>
      <w:proofErr w:type="spellEnd"/>
      <w:r w:rsidRPr="00B87C80">
        <w:rPr>
          <w:rFonts w:ascii="Times New Roman" w:eastAsia="Calibri" w:hAnsi="Times New Roman" w:cs="Times New Roman"/>
          <w:color w:val="000000"/>
          <w:sz w:val="28"/>
          <w:szCs w:val="28"/>
          <w:u w:color="000000"/>
          <w:bdr w:val="nil"/>
        </w:rPr>
        <w:t xml:space="preserve"> супермаркетом». Подобные решения уже давно работают на рынке кредитования и хорошо себя зарекомендовали, повлияв на рынок только с благоприятной стороны. Надеюсь, что данные программы на </w:t>
      </w:r>
      <w:proofErr w:type="spellStart"/>
      <w:r w:rsidRPr="00B87C80">
        <w:rPr>
          <w:rFonts w:ascii="Times New Roman" w:eastAsia="Calibri" w:hAnsi="Times New Roman" w:cs="Times New Roman"/>
          <w:color w:val="000000"/>
          <w:sz w:val="28"/>
          <w:szCs w:val="28"/>
          <w:u w:color="000000"/>
          <w:bdr w:val="nil"/>
        </w:rPr>
        <w:t>факторинговом</w:t>
      </w:r>
      <w:proofErr w:type="spellEnd"/>
      <w:r w:rsidRPr="00B87C80">
        <w:rPr>
          <w:rFonts w:ascii="Times New Roman" w:eastAsia="Calibri" w:hAnsi="Times New Roman" w:cs="Times New Roman"/>
          <w:color w:val="000000"/>
          <w:sz w:val="28"/>
          <w:szCs w:val="28"/>
          <w:u w:color="000000"/>
          <w:bdr w:val="nil"/>
        </w:rPr>
        <w:t xml:space="preserve"> рынке сделают факторинг более дешевым и часто применяющимся механизмом финансирования предпринимательства в России. </w:t>
      </w:r>
      <w:r w:rsidRPr="00B87C80">
        <w:rPr>
          <w:rFonts w:ascii="Times New Roman" w:eastAsia="Calibri" w:hAnsi="Times New Roman" w:cs="Times New Roman"/>
          <w:color w:val="000000"/>
          <w:sz w:val="28"/>
          <w:szCs w:val="28"/>
          <w:u w:color="000000"/>
          <w:bdr w:val="nil"/>
        </w:rPr>
        <w:br/>
      </w:r>
    </w:p>
    <w:p w14:paraId="15FBF091" w14:textId="77777777" w:rsidR="00B87C80" w:rsidRDefault="00B87C80"/>
    <w:sectPr w:rsidR="00B87C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695"/>
    <w:multiLevelType w:val="hybridMultilevel"/>
    <w:tmpl w:val="3C0847C8"/>
    <w:lvl w:ilvl="0" w:tplc="73BC9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E74CFC"/>
    <w:multiLevelType w:val="hybridMultilevel"/>
    <w:tmpl w:val="73E49736"/>
    <w:lvl w:ilvl="0" w:tplc="42E6F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80"/>
    <w:rsid w:val="00387DC8"/>
    <w:rsid w:val="00B87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815B6C0"/>
  <w15:chartTrackingRefBased/>
  <w15:docId w15:val="{347FCF8E-B5F0-584C-B305-FA329BC2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Петченко</dc:creator>
  <cp:keywords/>
  <dc:description/>
  <cp:lastModifiedBy>Екатерина Петченко</cp:lastModifiedBy>
  <cp:revision>1</cp:revision>
  <dcterms:created xsi:type="dcterms:W3CDTF">2022-05-13T11:40:00Z</dcterms:created>
  <dcterms:modified xsi:type="dcterms:W3CDTF">2022-05-13T12:41:00Z</dcterms:modified>
</cp:coreProperties>
</file>