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E4E" w:rsidRPr="00CD0F66" w:rsidRDefault="003A2E4E" w:rsidP="003A2E4E">
      <w:pPr>
        <w:pStyle w:val="Default"/>
        <w:jc w:val="center"/>
        <w:rPr>
          <w:sz w:val="32"/>
          <w:szCs w:val="32"/>
        </w:rPr>
      </w:pPr>
      <w:r w:rsidRPr="00CD0F66">
        <w:rPr>
          <w:sz w:val="32"/>
          <w:szCs w:val="32"/>
        </w:rPr>
        <w:t xml:space="preserve">САНКТ-ПЕТЕРБУРГСКИЙ ГОСУДАРСТВЕННЫЙ УНИВЕРСИТЕТ </w:t>
      </w:r>
    </w:p>
    <w:p w:rsidR="00D13D78" w:rsidRDefault="00D13D78" w:rsidP="003A2E4E">
      <w:pPr>
        <w:pStyle w:val="Default"/>
        <w:jc w:val="center"/>
        <w:rPr>
          <w:b/>
          <w:bCs/>
          <w:sz w:val="28"/>
          <w:szCs w:val="28"/>
        </w:rPr>
      </w:pPr>
    </w:p>
    <w:p w:rsidR="003A2E4E" w:rsidRPr="000B5966" w:rsidRDefault="00C7295B" w:rsidP="003A2E4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AA7F1E">
        <w:rPr>
          <w:b/>
          <w:bCs/>
          <w:sz w:val="28"/>
          <w:szCs w:val="28"/>
        </w:rPr>
        <w:t>тзыв</w:t>
      </w:r>
      <w:r w:rsidR="003A2E4E" w:rsidRPr="000B5966">
        <w:rPr>
          <w:b/>
          <w:bCs/>
          <w:sz w:val="28"/>
          <w:szCs w:val="28"/>
        </w:rPr>
        <w:t xml:space="preserve"> на </w:t>
      </w:r>
      <w:r w:rsidR="00ED682E">
        <w:rPr>
          <w:b/>
          <w:bCs/>
          <w:sz w:val="28"/>
          <w:szCs w:val="28"/>
        </w:rPr>
        <w:t>выпускную квалификационную</w:t>
      </w:r>
      <w:r w:rsidR="00AA7F1E">
        <w:rPr>
          <w:b/>
          <w:bCs/>
          <w:sz w:val="28"/>
          <w:szCs w:val="28"/>
        </w:rPr>
        <w:t xml:space="preserve"> работу</w:t>
      </w:r>
      <w:r w:rsidR="003A2E4E" w:rsidRPr="000B5966">
        <w:rPr>
          <w:b/>
          <w:bCs/>
          <w:sz w:val="28"/>
          <w:szCs w:val="28"/>
        </w:rPr>
        <w:t xml:space="preserve"> </w:t>
      </w:r>
      <w:r w:rsidR="0054793D">
        <w:rPr>
          <w:b/>
          <w:bCs/>
          <w:sz w:val="28"/>
          <w:szCs w:val="28"/>
        </w:rPr>
        <w:t>бакалавра</w:t>
      </w:r>
    </w:p>
    <w:p w:rsidR="003A2E4E" w:rsidRPr="000B5966" w:rsidRDefault="003A2E4E" w:rsidP="003A2E4E">
      <w:pPr>
        <w:jc w:val="center"/>
        <w:rPr>
          <w:sz w:val="28"/>
          <w:szCs w:val="28"/>
        </w:rPr>
      </w:pPr>
      <w:r w:rsidRPr="000B5966">
        <w:rPr>
          <w:sz w:val="28"/>
          <w:szCs w:val="28"/>
        </w:rPr>
        <w:t>на тему</w:t>
      </w:r>
    </w:p>
    <w:p w:rsidR="003A2E4E" w:rsidRPr="006367DA" w:rsidRDefault="007E4D90" w:rsidP="007E4D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3A2E4E" w:rsidRPr="006367DA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И</w:t>
      </w:r>
      <w:r w:rsidRPr="007E4D90">
        <w:rPr>
          <w:b/>
          <w:sz w:val="32"/>
          <w:szCs w:val="32"/>
        </w:rPr>
        <w:t xml:space="preserve">спользование </w:t>
      </w:r>
      <w:proofErr w:type="spellStart"/>
      <w:r w:rsidRPr="007E4D90">
        <w:rPr>
          <w:b/>
          <w:sz w:val="32"/>
          <w:szCs w:val="32"/>
        </w:rPr>
        <w:t>дюрации</w:t>
      </w:r>
      <w:proofErr w:type="spellEnd"/>
      <w:r w:rsidRPr="007E4D90">
        <w:rPr>
          <w:b/>
          <w:sz w:val="32"/>
          <w:szCs w:val="32"/>
        </w:rPr>
        <w:t xml:space="preserve"> и</w:t>
      </w:r>
      <w:r>
        <w:rPr>
          <w:b/>
          <w:sz w:val="32"/>
          <w:szCs w:val="32"/>
        </w:rPr>
        <w:t xml:space="preserve"> м</w:t>
      </w:r>
      <w:r w:rsidRPr="007E4D90">
        <w:rPr>
          <w:b/>
          <w:sz w:val="32"/>
          <w:szCs w:val="32"/>
        </w:rPr>
        <w:t xml:space="preserve">одифицированной </w:t>
      </w:r>
      <w:proofErr w:type="spellStart"/>
      <w:r w:rsidRPr="007E4D90">
        <w:rPr>
          <w:b/>
          <w:sz w:val="32"/>
          <w:szCs w:val="32"/>
        </w:rPr>
        <w:t>дюрации</w:t>
      </w:r>
      <w:proofErr w:type="spellEnd"/>
      <w:r w:rsidRPr="007E4D9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</w:t>
      </w:r>
      <w:r w:rsidRPr="007E4D90">
        <w:rPr>
          <w:b/>
          <w:sz w:val="32"/>
          <w:szCs w:val="32"/>
        </w:rPr>
        <w:t>как</w:t>
      </w:r>
      <w:r>
        <w:rPr>
          <w:b/>
          <w:sz w:val="32"/>
          <w:szCs w:val="32"/>
        </w:rPr>
        <w:t xml:space="preserve"> м</w:t>
      </w:r>
      <w:r w:rsidRPr="007E4D90">
        <w:rPr>
          <w:b/>
          <w:sz w:val="32"/>
          <w:szCs w:val="32"/>
        </w:rPr>
        <w:t>еры риска</w:t>
      </w:r>
      <w:r w:rsidR="007561A3">
        <w:rPr>
          <w:b/>
          <w:sz w:val="32"/>
          <w:szCs w:val="32"/>
        </w:rPr>
        <w:t>»</w:t>
      </w:r>
      <w:r w:rsidR="003A2E4E" w:rsidRPr="006367DA">
        <w:rPr>
          <w:b/>
          <w:sz w:val="32"/>
          <w:szCs w:val="32"/>
        </w:rPr>
        <w:t xml:space="preserve">, </w:t>
      </w:r>
      <w:r w:rsidR="000B5966" w:rsidRPr="006367DA">
        <w:rPr>
          <w:b/>
          <w:sz w:val="32"/>
          <w:szCs w:val="32"/>
        </w:rPr>
        <w:t xml:space="preserve"> </w:t>
      </w:r>
    </w:p>
    <w:p w:rsidR="003A2E4E" w:rsidRPr="00A33409" w:rsidRDefault="003A2E4E" w:rsidP="003A2E4E">
      <w:pPr>
        <w:jc w:val="center"/>
      </w:pPr>
      <w:r w:rsidRPr="000B5966">
        <w:rPr>
          <w:sz w:val="28"/>
          <w:szCs w:val="28"/>
        </w:rPr>
        <w:t xml:space="preserve"> </w:t>
      </w:r>
    </w:p>
    <w:p w:rsidR="00B93EEB" w:rsidRPr="007E4D90" w:rsidRDefault="007E4D90" w:rsidP="007E4D90">
      <w:pPr>
        <w:pStyle w:val="Default"/>
        <w:jc w:val="center"/>
        <w:rPr>
          <w:b/>
          <w:bCs/>
          <w:sz w:val="28"/>
          <w:szCs w:val="28"/>
        </w:rPr>
      </w:pPr>
      <w:r w:rsidRPr="007E4D90">
        <w:rPr>
          <w:b/>
          <w:bCs/>
          <w:sz w:val="28"/>
          <w:szCs w:val="28"/>
        </w:rPr>
        <w:t>Рухлова Наталья Алексеевна</w:t>
      </w:r>
    </w:p>
    <w:p w:rsidR="001F6465" w:rsidRDefault="007561A3" w:rsidP="00AF334D">
      <w:pPr>
        <w:jc w:val="center"/>
        <w:rPr>
          <w:sz w:val="20"/>
          <w:szCs w:val="20"/>
        </w:rPr>
      </w:pPr>
      <w:r w:rsidRPr="007561A3">
        <w:rPr>
          <w:sz w:val="20"/>
          <w:szCs w:val="20"/>
        </w:rPr>
        <w:t>ФИО студента</w:t>
      </w:r>
    </w:p>
    <w:p w:rsidR="00A33409" w:rsidRDefault="00A33409" w:rsidP="00AF334D">
      <w:pPr>
        <w:jc w:val="center"/>
        <w:rPr>
          <w:sz w:val="20"/>
          <w:szCs w:val="20"/>
        </w:rPr>
      </w:pPr>
    </w:p>
    <w:p w:rsidR="00A33409" w:rsidRPr="00A33409" w:rsidRDefault="00A33409" w:rsidP="00AF334D">
      <w:pPr>
        <w:jc w:val="center"/>
      </w:pPr>
      <w:r w:rsidRPr="00A33409">
        <w:t xml:space="preserve">ООП </w:t>
      </w:r>
      <w:proofErr w:type="gramStart"/>
      <w:r w:rsidRPr="00A33409">
        <w:t>ВО</w:t>
      </w:r>
      <w:proofErr w:type="gramEnd"/>
      <w:r w:rsidRPr="00A33409">
        <w:t xml:space="preserve">  «</w:t>
      </w:r>
      <w:r w:rsidR="007F009C">
        <w:t>Экономика</w:t>
      </w:r>
      <w:r w:rsidRPr="00A33409">
        <w:t>»</w:t>
      </w:r>
    </w:p>
    <w:p w:rsidR="00A33409" w:rsidRPr="00A33409" w:rsidRDefault="00A33409" w:rsidP="00AF334D">
      <w:pPr>
        <w:jc w:val="center"/>
      </w:pPr>
      <w:r w:rsidRPr="00A33409">
        <w:t xml:space="preserve"> по направлению </w:t>
      </w:r>
      <w:r w:rsidR="00B93EEB">
        <w:t xml:space="preserve">  </w:t>
      </w:r>
      <w:r w:rsidR="00B93EEB" w:rsidRPr="00B93EEB">
        <w:t>080100 «Экономика»</w:t>
      </w:r>
      <w:r w:rsidR="00B93EEB">
        <w:t xml:space="preserve">  </w:t>
      </w:r>
      <w:r w:rsidRPr="00A33409">
        <w:t xml:space="preserve">                                      </w:t>
      </w:r>
    </w:p>
    <w:p w:rsidR="00A33409" w:rsidRPr="008D6158" w:rsidRDefault="00A33409" w:rsidP="00AF334D">
      <w:pPr>
        <w:jc w:val="center"/>
      </w:pPr>
      <w:r w:rsidRPr="00A33409">
        <w:t>профиль:</w:t>
      </w:r>
      <w:r>
        <w:t xml:space="preserve"> «</w:t>
      </w:r>
      <w:r w:rsidR="004533F3">
        <w:t>Математические и статистические методы в экономике</w:t>
      </w:r>
      <w:r>
        <w:t>»</w:t>
      </w:r>
    </w:p>
    <w:p w:rsidR="00C57231" w:rsidRDefault="00C57231" w:rsidP="005D273A">
      <w:pPr>
        <w:ind w:firstLine="720"/>
        <w:jc w:val="both"/>
        <w:rPr>
          <w:b/>
          <w:bCs/>
          <w:sz w:val="26"/>
          <w:szCs w:val="26"/>
        </w:rPr>
      </w:pPr>
    </w:p>
    <w:p w:rsidR="006E3643" w:rsidRDefault="006E3643" w:rsidP="005D273A">
      <w:pPr>
        <w:ind w:firstLine="720"/>
        <w:jc w:val="both"/>
        <w:rPr>
          <w:b/>
          <w:bCs/>
          <w:sz w:val="26"/>
          <w:szCs w:val="26"/>
        </w:rPr>
      </w:pPr>
    </w:p>
    <w:p w:rsidR="004E40C8" w:rsidRDefault="004E40C8" w:rsidP="004E40C8">
      <w:pPr>
        <w:ind w:left="709" w:firstLine="1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 w:rsidRPr="004E40C8">
        <w:rPr>
          <w:b/>
          <w:bCs/>
          <w:sz w:val="26"/>
          <w:szCs w:val="26"/>
        </w:rPr>
        <w:t xml:space="preserve">Соответствие цели, задач и результатов исследования требованиям </w:t>
      </w:r>
      <w:r>
        <w:rPr>
          <w:b/>
          <w:bCs/>
          <w:sz w:val="26"/>
          <w:szCs w:val="26"/>
        </w:rPr>
        <w:t xml:space="preserve">         </w:t>
      </w:r>
      <w:r w:rsidRPr="004E40C8">
        <w:rPr>
          <w:b/>
          <w:bCs/>
          <w:sz w:val="26"/>
          <w:szCs w:val="26"/>
        </w:rPr>
        <w:t xml:space="preserve">образовательного стандарта СПбГУ и образовательной программы в части овладения установленными компетенциями </w:t>
      </w:r>
    </w:p>
    <w:p w:rsidR="0037534F" w:rsidRDefault="007F009C" w:rsidP="0012798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Цель исследования состояла </w:t>
      </w:r>
      <w:r w:rsidR="0012798D">
        <w:rPr>
          <w:sz w:val="26"/>
          <w:szCs w:val="26"/>
        </w:rPr>
        <w:t xml:space="preserve">в оценке риска облигаций с использованием показателя </w:t>
      </w:r>
      <w:proofErr w:type="spellStart"/>
      <w:r w:rsidR="0012798D">
        <w:rPr>
          <w:sz w:val="26"/>
          <w:szCs w:val="26"/>
        </w:rPr>
        <w:t>дюрации</w:t>
      </w:r>
      <w:proofErr w:type="spellEnd"/>
      <w:r w:rsidR="0012798D">
        <w:rPr>
          <w:sz w:val="26"/>
          <w:szCs w:val="26"/>
        </w:rPr>
        <w:t xml:space="preserve">. </w:t>
      </w:r>
      <w:proofErr w:type="spellStart"/>
      <w:r w:rsidR="0012798D" w:rsidRPr="0012798D">
        <w:rPr>
          <w:sz w:val="26"/>
          <w:szCs w:val="26"/>
        </w:rPr>
        <w:t>Дюрация</w:t>
      </w:r>
      <w:proofErr w:type="spellEnd"/>
      <w:r w:rsidR="0012798D" w:rsidRPr="0012798D">
        <w:rPr>
          <w:sz w:val="26"/>
          <w:szCs w:val="26"/>
        </w:rPr>
        <w:t xml:space="preserve"> </w:t>
      </w:r>
      <w:proofErr w:type="spellStart"/>
      <w:r w:rsidR="0012798D" w:rsidRPr="0012798D">
        <w:rPr>
          <w:sz w:val="26"/>
          <w:szCs w:val="26"/>
        </w:rPr>
        <w:t>Маколея</w:t>
      </w:r>
      <w:proofErr w:type="spellEnd"/>
      <w:r w:rsidR="0012798D" w:rsidRPr="0012798D">
        <w:rPr>
          <w:sz w:val="26"/>
          <w:szCs w:val="26"/>
        </w:rPr>
        <w:t xml:space="preserve"> позволяет оценить </w:t>
      </w:r>
      <w:r w:rsidR="0012798D">
        <w:rPr>
          <w:sz w:val="26"/>
          <w:szCs w:val="26"/>
        </w:rPr>
        <w:t xml:space="preserve">процентный риск </w:t>
      </w:r>
      <w:r w:rsidR="0012798D" w:rsidRPr="0012798D">
        <w:rPr>
          <w:sz w:val="26"/>
          <w:szCs w:val="26"/>
        </w:rPr>
        <w:t>облигаци</w:t>
      </w:r>
      <w:r w:rsidR="0012798D">
        <w:rPr>
          <w:sz w:val="26"/>
          <w:szCs w:val="26"/>
        </w:rPr>
        <w:t>й</w:t>
      </w:r>
      <w:r w:rsidR="0012798D" w:rsidRPr="0012798D">
        <w:rPr>
          <w:sz w:val="26"/>
          <w:szCs w:val="26"/>
        </w:rPr>
        <w:t xml:space="preserve"> по</w:t>
      </w:r>
      <w:r w:rsidR="0012798D">
        <w:rPr>
          <w:sz w:val="26"/>
          <w:szCs w:val="26"/>
        </w:rPr>
        <w:t xml:space="preserve"> </w:t>
      </w:r>
      <w:r w:rsidR="0012798D" w:rsidRPr="0012798D">
        <w:rPr>
          <w:sz w:val="26"/>
          <w:szCs w:val="26"/>
        </w:rPr>
        <w:t xml:space="preserve">отношению друг к другу. Модифицированная </w:t>
      </w:r>
      <w:proofErr w:type="spellStart"/>
      <w:r w:rsidR="0012798D" w:rsidRPr="0012798D">
        <w:rPr>
          <w:sz w:val="26"/>
          <w:szCs w:val="26"/>
        </w:rPr>
        <w:t>дюрация</w:t>
      </w:r>
      <w:proofErr w:type="spellEnd"/>
      <w:r w:rsidR="0012798D" w:rsidRPr="0012798D">
        <w:rPr>
          <w:sz w:val="26"/>
          <w:szCs w:val="26"/>
        </w:rPr>
        <w:t xml:space="preserve"> позволяет не только оценить степень</w:t>
      </w:r>
      <w:r w:rsidR="0012798D">
        <w:rPr>
          <w:sz w:val="26"/>
          <w:szCs w:val="26"/>
        </w:rPr>
        <w:t xml:space="preserve"> </w:t>
      </w:r>
      <w:r w:rsidR="0012798D" w:rsidRPr="0012798D">
        <w:rPr>
          <w:sz w:val="26"/>
          <w:szCs w:val="26"/>
        </w:rPr>
        <w:t>рискованност</w:t>
      </w:r>
      <w:r w:rsidR="0012798D">
        <w:rPr>
          <w:sz w:val="26"/>
          <w:szCs w:val="26"/>
        </w:rPr>
        <w:t>и</w:t>
      </w:r>
      <w:r w:rsidR="0012798D" w:rsidRPr="0012798D">
        <w:rPr>
          <w:sz w:val="26"/>
          <w:szCs w:val="26"/>
        </w:rPr>
        <w:t xml:space="preserve"> вложений, но и построить прогноз цен на облигации при определенных</w:t>
      </w:r>
      <w:r w:rsidR="0012798D">
        <w:rPr>
          <w:sz w:val="26"/>
          <w:szCs w:val="26"/>
        </w:rPr>
        <w:t xml:space="preserve"> </w:t>
      </w:r>
      <w:r w:rsidR="0012798D" w:rsidRPr="0012798D">
        <w:rPr>
          <w:sz w:val="26"/>
          <w:szCs w:val="26"/>
        </w:rPr>
        <w:t xml:space="preserve">изменениях рыночной доходности. </w:t>
      </w:r>
      <w:r w:rsidR="0012798D">
        <w:rPr>
          <w:sz w:val="26"/>
          <w:szCs w:val="26"/>
        </w:rPr>
        <w:t xml:space="preserve">Цели, задачи и результаты исследования полностью соответствуют требованиям стандарта и образовательной программы. Работа показывает, что Рухлова Н.А. овладела общими и профессиональными компетенциями, а также компетенциями профиля. </w:t>
      </w:r>
      <w:proofErr w:type="gramStart"/>
      <w:r w:rsidR="0012798D">
        <w:rPr>
          <w:sz w:val="26"/>
          <w:szCs w:val="26"/>
        </w:rPr>
        <w:t xml:space="preserve">Студентка  </w:t>
      </w:r>
      <w:r w:rsidR="0012798D" w:rsidRPr="006625B2">
        <w:rPr>
          <w:sz w:val="26"/>
          <w:szCs w:val="26"/>
        </w:rPr>
        <w:t>способн</w:t>
      </w:r>
      <w:r w:rsidR="0012798D">
        <w:rPr>
          <w:sz w:val="26"/>
          <w:szCs w:val="26"/>
        </w:rPr>
        <w:t>а</w:t>
      </w:r>
      <w:r w:rsidR="0012798D" w:rsidRPr="006625B2">
        <w:rPr>
          <w:sz w:val="26"/>
          <w:szCs w:val="26"/>
        </w:rPr>
        <w:t xml:space="preserve"> самостоятельно принимать решение о выборе математического инструментария, адекватного природе решаемой экономической проблемы</w:t>
      </w:r>
      <w:r w:rsidR="0012798D">
        <w:rPr>
          <w:sz w:val="26"/>
          <w:szCs w:val="26"/>
        </w:rPr>
        <w:t xml:space="preserve">, </w:t>
      </w:r>
      <w:r w:rsidR="0012798D" w:rsidRPr="006625B2">
        <w:rPr>
          <w:sz w:val="26"/>
          <w:szCs w:val="26"/>
        </w:rPr>
        <w:t xml:space="preserve">обрабатывать и анализировать статистическую информацию, обладает навыками прогнозирования тенденций изменения временных рядов, владеет навыками работы с современным прикладным программным обеспечением, </w:t>
      </w:r>
      <w:r w:rsidR="0037534F">
        <w:rPr>
          <w:sz w:val="26"/>
          <w:szCs w:val="26"/>
        </w:rPr>
        <w:t>способна провести анализ и применить на практике</w:t>
      </w:r>
      <w:r w:rsidR="0037534F" w:rsidRPr="0037534F">
        <w:rPr>
          <w:sz w:val="26"/>
          <w:szCs w:val="26"/>
        </w:rPr>
        <w:t xml:space="preserve"> различные финансовые инструменты, использовать основные методы финансового анализа для стоимостной оценки активов</w:t>
      </w:r>
      <w:r w:rsidR="0037534F">
        <w:rPr>
          <w:sz w:val="26"/>
          <w:szCs w:val="26"/>
        </w:rPr>
        <w:t>.</w:t>
      </w:r>
      <w:proofErr w:type="gramEnd"/>
    </w:p>
    <w:p w:rsidR="0037534F" w:rsidRDefault="0037534F" w:rsidP="0012798D">
      <w:pPr>
        <w:ind w:firstLine="720"/>
        <w:jc w:val="both"/>
        <w:rPr>
          <w:sz w:val="26"/>
          <w:szCs w:val="26"/>
        </w:rPr>
      </w:pPr>
    </w:p>
    <w:p w:rsidR="004E40C8" w:rsidRDefault="004E40C8" w:rsidP="004E40C8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</w:t>
      </w:r>
      <w:r w:rsidRPr="004E40C8">
        <w:rPr>
          <w:b/>
          <w:bCs/>
          <w:sz w:val="26"/>
          <w:szCs w:val="26"/>
        </w:rPr>
        <w:t>Обоснованность структуры и логики исследования</w:t>
      </w:r>
    </w:p>
    <w:p w:rsidR="0060772D" w:rsidRPr="0060772D" w:rsidRDefault="00F56449" w:rsidP="0060772D">
      <w:pPr>
        <w:ind w:firstLine="720"/>
        <w:jc w:val="both"/>
        <w:rPr>
          <w:sz w:val="26"/>
          <w:szCs w:val="26"/>
        </w:rPr>
      </w:pPr>
      <w:r w:rsidRPr="00F56449">
        <w:rPr>
          <w:sz w:val="26"/>
          <w:szCs w:val="26"/>
        </w:rPr>
        <w:t xml:space="preserve">Структура работы </w:t>
      </w:r>
      <w:r>
        <w:rPr>
          <w:sz w:val="26"/>
          <w:szCs w:val="26"/>
        </w:rPr>
        <w:t xml:space="preserve">определяется поставленной задачей. </w:t>
      </w:r>
      <w:r w:rsidR="0037534F">
        <w:rPr>
          <w:sz w:val="26"/>
          <w:szCs w:val="26"/>
        </w:rPr>
        <w:t xml:space="preserve">В первой главе </w:t>
      </w:r>
      <w:r w:rsidR="0060772D">
        <w:rPr>
          <w:sz w:val="26"/>
          <w:szCs w:val="26"/>
        </w:rPr>
        <w:t>р</w:t>
      </w:r>
      <w:r w:rsidR="0037534F" w:rsidRPr="0060772D">
        <w:rPr>
          <w:sz w:val="26"/>
          <w:szCs w:val="26"/>
        </w:rPr>
        <w:t xml:space="preserve">ассматриваются </w:t>
      </w:r>
      <w:r w:rsidR="0060772D" w:rsidRPr="0060772D">
        <w:rPr>
          <w:sz w:val="26"/>
          <w:szCs w:val="26"/>
        </w:rPr>
        <w:t xml:space="preserve">общее понятие и характеристики облигации,  </w:t>
      </w:r>
      <w:r w:rsidR="0037534F" w:rsidRPr="0060772D">
        <w:rPr>
          <w:sz w:val="26"/>
          <w:szCs w:val="26"/>
        </w:rPr>
        <w:t>риски эмитентов</w:t>
      </w:r>
      <w:r w:rsidR="0060772D" w:rsidRPr="0060772D">
        <w:rPr>
          <w:sz w:val="26"/>
          <w:szCs w:val="26"/>
        </w:rPr>
        <w:t xml:space="preserve"> и инвесторов</w:t>
      </w:r>
      <w:r w:rsidR="0060772D">
        <w:rPr>
          <w:sz w:val="26"/>
          <w:szCs w:val="26"/>
        </w:rPr>
        <w:t xml:space="preserve">. </w:t>
      </w:r>
      <w:r w:rsidR="0060772D" w:rsidRPr="0060772D">
        <w:rPr>
          <w:sz w:val="26"/>
          <w:szCs w:val="26"/>
        </w:rPr>
        <w:t>Во второй главе приведено определение термина «</w:t>
      </w:r>
      <w:proofErr w:type="spellStart"/>
      <w:r w:rsidR="0060772D" w:rsidRPr="0060772D">
        <w:rPr>
          <w:sz w:val="26"/>
          <w:szCs w:val="26"/>
        </w:rPr>
        <w:t>дюрация</w:t>
      </w:r>
      <w:proofErr w:type="spellEnd"/>
      <w:r w:rsidR="0060772D" w:rsidRPr="0060772D">
        <w:rPr>
          <w:sz w:val="26"/>
          <w:szCs w:val="26"/>
        </w:rPr>
        <w:t>», обосновывается метод ее</w:t>
      </w:r>
      <w:r w:rsidR="0060772D">
        <w:rPr>
          <w:sz w:val="26"/>
          <w:szCs w:val="26"/>
        </w:rPr>
        <w:t xml:space="preserve"> </w:t>
      </w:r>
      <w:r w:rsidR="0060772D" w:rsidRPr="0060772D">
        <w:rPr>
          <w:sz w:val="26"/>
          <w:szCs w:val="26"/>
        </w:rPr>
        <w:t xml:space="preserve">расчета и производится анализ рисков инвестора с помощью </w:t>
      </w:r>
      <w:proofErr w:type="spellStart"/>
      <w:r w:rsidR="0060772D" w:rsidRPr="0060772D">
        <w:rPr>
          <w:sz w:val="26"/>
          <w:szCs w:val="26"/>
        </w:rPr>
        <w:t>дюрации</w:t>
      </w:r>
      <w:proofErr w:type="spellEnd"/>
      <w:r w:rsidR="0060772D" w:rsidRPr="0060772D">
        <w:rPr>
          <w:sz w:val="26"/>
          <w:szCs w:val="26"/>
        </w:rPr>
        <w:t>.</w:t>
      </w:r>
    </w:p>
    <w:p w:rsidR="0037534F" w:rsidRDefault="0060772D" w:rsidP="0060772D">
      <w:pPr>
        <w:ind w:firstLine="720"/>
        <w:jc w:val="both"/>
        <w:rPr>
          <w:sz w:val="26"/>
          <w:szCs w:val="26"/>
        </w:rPr>
      </w:pPr>
      <w:r w:rsidRPr="0060772D">
        <w:rPr>
          <w:sz w:val="26"/>
          <w:szCs w:val="26"/>
        </w:rPr>
        <w:t xml:space="preserve">В третьей главе дается определение модифицированной </w:t>
      </w:r>
      <w:proofErr w:type="spellStart"/>
      <w:r w:rsidRPr="0060772D">
        <w:rPr>
          <w:sz w:val="26"/>
          <w:szCs w:val="26"/>
        </w:rPr>
        <w:t>дюрации</w:t>
      </w:r>
      <w:proofErr w:type="spellEnd"/>
      <w:r w:rsidRPr="0060772D">
        <w:rPr>
          <w:sz w:val="26"/>
          <w:szCs w:val="26"/>
        </w:rPr>
        <w:t>, вводится понятие</w:t>
      </w:r>
      <w:r>
        <w:rPr>
          <w:sz w:val="26"/>
          <w:szCs w:val="26"/>
        </w:rPr>
        <w:t xml:space="preserve"> </w:t>
      </w:r>
      <w:r w:rsidRPr="0060772D">
        <w:rPr>
          <w:sz w:val="26"/>
          <w:szCs w:val="26"/>
        </w:rPr>
        <w:t xml:space="preserve">«мера выпуклости». </w:t>
      </w:r>
      <w:r>
        <w:rPr>
          <w:sz w:val="26"/>
          <w:szCs w:val="26"/>
        </w:rPr>
        <w:t>С</w:t>
      </w:r>
      <w:r w:rsidRPr="0060772D">
        <w:rPr>
          <w:sz w:val="26"/>
          <w:szCs w:val="26"/>
        </w:rPr>
        <w:t xml:space="preserve"> помощью модифицированной </w:t>
      </w:r>
      <w:proofErr w:type="spellStart"/>
      <w:r w:rsidRPr="0060772D">
        <w:rPr>
          <w:sz w:val="26"/>
          <w:szCs w:val="26"/>
        </w:rPr>
        <w:t>дюрации</w:t>
      </w:r>
      <w:proofErr w:type="spellEnd"/>
      <w:r w:rsidRPr="0060772D">
        <w:rPr>
          <w:sz w:val="26"/>
          <w:szCs w:val="26"/>
        </w:rPr>
        <w:t xml:space="preserve"> и меры</w:t>
      </w:r>
      <w:r>
        <w:rPr>
          <w:sz w:val="26"/>
          <w:szCs w:val="26"/>
        </w:rPr>
        <w:t xml:space="preserve"> в</w:t>
      </w:r>
      <w:r w:rsidRPr="0060772D">
        <w:rPr>
          <w:sz w:val="26"/>
          <w:szCs w:val="26"/>
        </w:rPr>
        <w:t>ыпуклости</w:t>
      </w:r>
      <w:r>
        <w:rPr>
          <w:sz w:val="26"/>
          <w:szCs w:val="26"/>
        </w:rPr>
        <w:t xml:space="preserve"> </w:t>
      </w:r>
      <w:r w:rsidRPr="0060772D">
        <w:rPr>
          <w:sz w:val="26"/>
          <w:szCs w:val="26"/>
        </w:rPr>
        <w:t>построен прогноз цен на облигации нефтегазового сектора в</w:t>
      </w:r>
      <w:r>
        <w:rPr>
          <w:sz w:val="26"/>
          <w:szCs w:val="26"/>
        </w:rPr>
        <w:t xml:space="preserve"> </w:t>
      </w:r>
      <w:r w:rsidRPr="0060772D">
        <w:rPr>
          <w:sz w:val="26"/>
          <w:szCs w:val="26"/>
        </w:rPr>
        <w:t>случае изменения рыночной доходности</w:t>
      </w:r>
      <w:r>
        <w:rPr>
          <w:sz w:val="26"/>
          <w:szCs w:val="26"/>
        </w:rPr>
        <w:t xml:space="preserve">. </w:t>
      </w:r>
      <w:r w:rsidRPr="0060772D">
        <w:rPr>
          <w:sz w:val="26"/>
          <w:szCs w:val="26"/>
        </w:rPr>
        <w:t xml:space="preserve">Также в третьей главе рассматривается </w:t>
      </w:r>
      <w:proofErr w:type="spellStart"/>
      <w:r w:rsidRPr="0060772D">
        <w:rPr>
          <w:sz w:val="26"/>
          <w:szCs w:val="26"/>
        </w:rPr>
        <w:t>дюрация</w:t>
      </w:r>
      <w:proofErr w:type="spellEnd"/>
      <w:r w:rsidRPr="0060772D">
        <w:rPr>
          <w:sz w:val="26"/>
          <w:szCs w:val="26"/>
        </w:rPr>
        <w:t xml:space="preserve"> портфеля, уменьшая значение</w:t>
      </w:r>
      <w:r>
        <w:rPr>
          <w:sz w:val="26"/>
          <w:szCs w:val="26"/>
        </w:rPr>
        <w:t xml:space="preserve"> </w:t>
      </w:r>
      <w:r w:rsidRPr="0060772D">
        <w:rPr>
          <w:sz w:val="26"/>
          <w:szCs w:val="26"/>
        </w:rPr>
        <w:t xml:space="preserve">которого можно уменьшить риск по целому портфелю облигаций. </w:t>
      </w:r>
    </w:p>
    <w:p w:rsidR="00450CAD" w:rsidRDefault="00450CAD" w:rsidP="00450CAD">
      <w:pPr>
        <w:ind w:firstLine="720"/>
        <w:jc w:val="both"/>
        <w:rPr>
          <w:sz w:val="26"/>
          <w:szCs w:val="26"/>
        </w:rPr>
      </w:pPr>
    </w:p>
    <w:p w:rsidR="004E40C8" w:rsidRDefault="004E40C8" w:rsidP="00450CAD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</w:t>
      </w:r>
      <w:r w:rsidRPr="004E40C8">
        <w:rPr>
          <w:b/>
          <w:bCs/>
          <w:sz w:val="26"/>
          <w:szCs w:val="26"/>
        </w:rPr>
        <w:t>Наличие вклада автора в результаты исследования</w:t>
      </w:r>
      <w:r w:rsidR="00F00558">
        <w:rPr>
          <w:b/>
          <w:bCs/>
          <w:sz w:val="26"/>
          <w:szCs w:val="26"/>
        </w:rPr>
        <w:t xml:space="preserve"> </w:t>
      </w:r>
      <w:bookmarkStart w:id="0" w:name="_GoBack"/>
      <w:r w:rsidR="00F00558">
        <w:rPr>
          <w:b/>
          <w:bCs/>
          <w:sz w:val="26"/>
          <w:szCs w:val="26"/>
        </w:rPr>
        <w:t>с учетом результатов проверки ВКР на предмет наличия/отсутствия неправомерных заимствований</w:t>
      </w:r>
      <w:bookmarkEnd w:id="0"/>
      <w:r w:rsidRPr="004E40C8">
        <w:rPr>
          <w:b/>
          <w:bCs/>
          <w:sz w:val="26"/>
          <w:szCs w:val="26"/>
        </w:rPr>
        <w:t xml:space="preserve"> </w:t>
      </w:r>
    </w:p>
    <w:p w:rsidR="00A76793" w:rsidRPr="00A76793" w:rsidRDefault="006B0DD2" w:rsidP="00A767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Рухловой Н.А.</w:t>
      </w:r>
      <w:r w:rsidR="00450CAD">
        <w:rPr>
          <w:sz w:val="26"/>
          <w:szCs w:val="26"/>
        </w:rPr>
        <w:t xml:space="preserve"> проведено самостоятельное исследование, включающее </w:t>
      </w:r>
      <w:r>
        <w:rPr>
          <w:sz w:val="26"/>
          <w:szCs w:val="26"/>
        </w:rPr>
        <w:t xml:space="preserve">использование </w:t>
      </w:r>
      <w:proofErr w:type="spellStart"/>
      <w:r>
        <w:rPr>
          <w:sz w:val="26"/>
          <w:szCs w:val="26"/>
        </w:rPr>
        <w:t>дюрации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A76793">
        <w:rPr>
          <w:sz w:val="26"/>
          <w:szCs w:val="26"/>
        </w:rPr>
        <w:t>Маколея</w:t>
      </w:r>
      <w:proofErr w:type="spellEnd"/>
      <w:r w:rsidR="00A7679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как меры риска, </w:t>
      </w:r>
      <w:r w:rsidR="00A76793" w:rsidRPr="00A76793">
        <w:rPr>
          <w:sz w:val="26"/>
          <w:szCs w:val="26"/>
        </w:rPr>
        <w:t xml:space="preserve">расчет значений </w:t>
      </w:r>
      <w:proofErr w:type="spellStart"/>
      <w:r w:rsidR="00A76793" w:rsidRPr="00A76793">
        <w:rPr>
          <w:sz w:val="26"/>
          <w:szCs w:val="26"/>
        </w:rPr>
        <w:t>дюрации</w:t>
      </w:r>
      <w:proofErr w:type="spellEnd"/>
      <w:r w:rsidR="00A76793" w:rsidRPr="00A76793">
        <w:rPr>
          <w:sz w:val="26"/>
          <w:szCs w:val="26"/>
        </w:rPr>
        <w:t xml:space="preserve"> для облигаций нефтегазового сектора</w:t>
      </w:r>
      <w:r w:rsidR="00A76793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модификацию </w:t>
      </w:r>
      <w:proofErr w:type="spellStart"/>
      <w:r w:rsidR="00A76793">
        <w:rPr>
          <w:sz w:val="26"/>
          <w:szCs w:val="26"/>
        </w:rPr>
        <w:t>дюрации</w:t>
      </w:r>
      <w:proofErr w:type="spellEnd"/>
      <w:r w:rsidR="00A76793">
        <w:rPr>
          <w:sz w:val="26"/>
          <w:szCs w:val="26"/>
        </w:rPr>
        <w:t xml:space="preserve">, построение </w:t>
      </w:r>
      <w:r w:rsidR="00A76793" w:rsidRPr="00A76793">
        <w:rPr>
          <w:sz w:val="26"/>
          <w:szCs w:val="26"/>
        </w:rPr>
        <w:t>прогноза цен на облигации нефтегазового сектора. Тем самым теоретический анализ сочетается с практическим испол</w:t>
      </w:r>
      <w:r w:rsidR="00A76793">
        <w:rPr>
          <w:sz w:val="26"/>
          <w:szCs w:val="26"/>
        </w:rPr>
        <w:t>ь</w:t>
      </w:r>
      <w:r w:rsidR="00A76793" w:rsidRPr="00A76793">
        <w:rPr>
          <w:sz w:val="26"/>
          <w:szCs w:val="26"/>
        </w:rPr>
        <w:t xml:space="preserve">зованием </w:t>
      </w:r>
      <w:r w:rsidR="00A76793">
        <w:rPr>
          <w:sz w:val="26"/>
          <w:szCs w:val="26"/>
        </w:rPr>
        <w:t xml:space="preserve">этого инструмента для </w:t>
      </w:r>
      <w:r w:rsidR="00A76793" w:rsidRPr="00A76793">
        <w:rPr>
          <w:sz w:val="26"/>
          <w:szCs w:val="26"/>
        </w:rPr>
        <w:t>облигаций нефтегазового сектора.</w:t>
      </w:r>
    </w:p>
    <w:p w:rsidR="00450CAD" w:rsidRPr="00450CAD" w:rsidRDefault="00450CAD" w:rsidP="00234B3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Приведенн</w:t>
      </w:r>
      <w:r w:rsidR="006330DF">
        <w:rPr>
          <w:sz w:val="26"/>
          <w:szCs w:val="26"/>
        </w:rPr>
        <w:t>ые</w:t>
      </w:r>
      <w:r>
        <w:rPr>
          <w:sz w:val="26"/>
          <w:szCs w:val="26"/>
        </w:rPr>
        <w:t xml:space="preserve"> в работе цитирование и ссылки </w:t>
      </w:r>
      <w:r w:rsidR="006330DF">
        <w:rPr>
          <w:sz w:val="26"/>
          <w:szCs w:val="26"/>
        </w:rPr>
        <w:t xml:space="preserve">на литературу </w:t>
      </w:r>
      <w:r w:rsidR="00E34F5D">
        <w:rPr>
          <w:sz w:val="26"/>
          <w:szCs w:val="26"/>
        </w:rPr>
        <w:t xml:space="preserve">являются оправданным, неправомерных заимствований </w:t>
      </w:r>
      <w:r w:rsidR="006330DF">
        <w:rPr>
          <w:sz w:val="26"/>
          <w:szCs w:val="26"/>
        </w:rPr>
        <w:t xml:space="preserve">с помощью системы </w:t>
      </w:r>
      <w:proofErr w:type="spellStart"/>
      <w:r w:rsidR="006330DF">
        <w:rPr>
          <w:sz w:val="26"/>
          <w:szCs w:val="26"/>
          <w:lang w:val="en-US"/>
        </w:rPr>
        <w:t>BlackBoard</w:t>
      </w:r>
      <w:proofErr w:type="spellEnd"/>
      <w:r w:rsidR="006330DF" w:rsidRPr="006330DF">
        <w:rPr>
          <w:sz w:val="26"/>
          <w:szCs w:val="26"/>
        </w:rPr>
        <w:t xml:space="preserve"> </w:t>
      </w:r>
      <w:r w:rsidR="00E34F5D">
        <w:rPr>
          <w:sz w:val="26"/>
          <w:szCs w:val="26"/>
        </w:rPr>
        <w:t>не выявлено.</w:t>
      </w:r>
    </w:p>
    <w:p w:rsidR="00E34F5D" w:rsidRDefault="00E34F5D" w:rsidP="004E40C8">
      <w:pPr>
        <w:ind w:firstLine="720"/>
        <w:jc w:val="both"/>
        <w:rPr>
          <w:sz w:val="26"/>
          <w:szCs w:val="26"/>
        </w:rPr>
      </w:pPr>
    </w:p>
    <w:p w:rsidR="004E40C8" w:rsidRPr="004E40C8" w:rsidRDefault="004E40C8" w:rsidP="004E40C8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</w:t>
      </w:r>
      <w:r w:rsidRPr="004E40C8">
        <w:rPr>
          <w:b/>
          <w:bCs/>
          <w:sz w:val="26"/>
          <w:szCs w:val="26"/>
        </w:rPr>
        <w:t>Новизна и практическая значимость исследования</w:t>
      </w:r>
    </w:p>
    <w:p w:rsidR="006330DF" w:rsidRPr="006330DF" w:rsidRDefault="006330DF" w:rsidP="00234B36">
      <w:pPr>
        <w:ind w:firstLine="720"/>
        <w:jc w:val="both"/>
        <w:rPr>
          <w:bCs/>
          <w:sz w:val="26"/>
          <w:szCs w:val="26"/>
        </w:rPr>
      </w:pPr>
      <w:r w:rsidRPr="000511F5">
        <w:rPr>
          <w:bCs/>
          <w:sz w:val="26"/>
          <w:szCs w:val="26"/>
        </w:rPr>
        <w:t xml:space="preserve">Русскоязычной литературы по показателю </w:t>
      </w:r>
      <w:proofErr w:type="spellStart"/>
      <w:r w:rsidRPr="000511F5">
        <w:rPr>
          <w:bCs/>
          <w:sz w:val="26"/>
          <w:szCs w:val="26"/>
        </w:rPr>
        <w:t>дюрации</w:t>
      </w:r>
      <w:proofErr w:type="spellEnd"/>
      <w:r w:rsidRPr="000511F5">
        <w:rPr>
          <w:bCs/>
          <w:sz w:val="26"/>
          <w:szCs w:val="26"/>
        </w:rPr>
        <w:t xml:space="preserve"> вышло немного, поэтому данная выпускная работа</w:t>
      </w:r>
      <w:r>
        <w:rPr>
          <w:bCs/>
          <w:sz w:val="26"/>
          <w:szCs w:val="26"/>
        </w:rPr>
        <w:t xml:space="preserve"> </w:t>
      </w:r>
      <w:r w:rsidR="006E3643">
        <w:rPr>
          <w:bCs/>
          <w:sz w:val="26"/>
          <w:szCs w:val="26"/>
        </w:rPr>
        <w:t xml:space="preserve">может быть отнесена к разработке нового инструментария анализа рисков на рынке ценных бумаг. Практическая значимость исследования </w:t>
      </w:r>
      <w:r w:rsidR="00336D92">
        <w:rPr>
          <w:bCs/>
          <w:sz w:val="26"/>
          <w:szCs w:val="26"/>
        </w:rPr>
        <w:t>состоит в анализе более 1700 облигаций нефтегазового сектора разных стран, что позволило дать оценку рисков для важного сегмента рынка корпоративных облигаций.</w:t>
      </w:r>
      <w:r w:rsidR="006E3643">
        <w:rPr>
          <w:bCs/>
          <w:sz w:val="26"/>
          <w:szCs w:val="26"/>
        </w:rPr>
        <w:t xml:space="preserve"> </w:t>
      </w:r>
    </w:p>
    <w:p w:rsidR="00F35498" w:rsidRPr="00E34F5D" w:rsidRDefault="00F35498" w:rsidP="00234B36">
      <w:pPr>
        <w:ind w:firstLine="720"/>
        <w:jc w:val="both"/>
        <w:rPr>
          <w:bCs/>
          <w:sz w:val="26"/>
          <w:szCs w:val="26"/>
        </w:rPr>
      </w:pPr>
    </w:p>
    <w:p w:rsidR="009371A2" w:rsidRPr="004E40C8" w:rsidRDefault="004E40C8" w:rsidP="009371A2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</w:t>
      </w:r>
      <w:r w:rsidR="004B2789" w:rsidRPr="004B2789">
        <w:t xml:space="preserve"> </w:t>
      </w:r>
      <w:r w:rsidR="009371A2" w:rsidRPr="004E40C8">
        <w:rPr>
          <w:b/>
          <w:bCs/>
          <w:sz w:val="26"/>
          <w:szCs w:val="26"/>
        </w:rPr>
        <w:t>Корректность использования</w:t>
      </w:r>
      <w:r w:rsidR="009616DF">
        <w:rPr>
          <w:b/>
          <w:bCs/>
          <w:sz w:val="26"/>
          <w:szCs w:val="26"/>
        </w:rPr>
        <w:t xml:space="preserve"> </w:t>
      </w:r>
      <w:r w:rsidR="009371A2" w:rsidRPr="004E40C8">
        <w:rPr>
          <w:b/>
          <w:bCs/>
          <w:sz w:val="26"/>
          <w:szCs w:val="26"/>
        </w:rPr>
        <w:t>методов исследования и анализа экономической информации</w:t>
      </w:r>
    </w:p>
    <w:p w:rsidR="0017299F" w:rsidRDefault="000511F5" w:rsidP="000511F5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Используемые методы вполне соответствуют поставленной задаче, рассмотрено понятие </w:t>
      </w:r>
      <w:proofErr w:type="spellStart"/>
      <w:r>
        <w:rPr>
          <w:bCs/>
          <w:sz w:val="26"/>
          <w:szCs w:val="26"/>
        </w:rPr>
        <w:t>дюрации</w:t>
      </w:r>
      <w:proofErr w:type="spellEnd"/>
      <w:r>
        <w:rPr>
          <w:bCs/>
          <w:sz w:val="26"/>
          <w:szCs w:val="26"/>
        </w:rPr>
        <w:t xml:space="preserve">, факторы, влияющие на нее, модификация </w:t>
      </w:r>
      <w:proofErr w:type="spellStart"/>
      <w:r>
        <w:rPr>
          <w:bCs/>
          <w:sz w:val="26"/>
          <w:szCs w:val="26"/>
        </w:rPr>
        <w:t>дюрации</w:t>
      </w:r>
      <w:proofErr w:type="spellEnd"/>
      <w:r>
        <w:rPr>
          <w:bCs/>
          <w:sz w:val="26"/>
          <w:szCs w:val="26"/>
        </w:rPr>
        <w:t xml:space="preserve"> и практическая апробация для реального сегмента рынка корпоративных облигаций. </w:t>
      </w:r>
      <w:r w:rsidR="0017299F">
        <w:rPr>
          <w:bCs/>
          <w:sz w:val="26"/>
          <w:szCs w:val="26"/>
        </w:rPr>
        <w:t>Сбор информации по этому сегменту и его анализ выполнены на профессиональном уровне.</w:t>
      </w:r>
    </w:p>
    <w:p w:rsidR="009937FA" w:rsidRDefault="009937FA" w:rsidP="004E40C8">
      <w:pPr>
        <w:ind w:firstLine="720"/>
        <w:jc w:val="both"/>
        <w:rPr>
          <w:bCs/>
          <w:sz w:val="26"/>
          <w:szCs w:val="26"/>
        </w:rPr>
      </w:pPr>
    </w:p>
    <w:p w:rsidR="004E40C8" w:rsidRDefault="004E40C8" w:rsidP="004E40C8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</w:t>
      </w:r>
      <w:r w:rsidRPr="004E40C8">
        <w:rPr>
          <w:b/>
          <w:bCs/>
          <w:sz w:val="26"/>
          <w:szCs w:val="26"/>
        </w:rPr>
        <w:t>Актуальность используемых информационных источников</w:t>
      </w:r>
    </w:p>
    <w:p w:rsidR="0017299F" w:rsidRDefault="0017299F" w:rsidP="004E40C8">
      <w:pPr>
        <w:ind w:firstLine="720"/>
        <w:jc w:val="both"/>
        <w:rPr>
          <w:bCs/>
          <w:sz w:val="26"/>
          <w:szCs w:val="26"/>
        </w:rPr>
      </w:pPr>
      <w:r w:rsidRPr="000511F5">
        <w:rPr>
          <w:bCs/>
          <w:sz w:val="26"/>
          <w:szCs w:val="26"/>
        </w:rPr>
        <w:t>В работе были использованы данные информационного агентства «</w:t>
      </w:r>
      <w:proofErr w:type="spellStart"/>
      <w:r w:rsidRPr="000511F5">
        <w:rPr>
          <w:bCs/>
          <w:sz w:val="26"/>
          <w:szCs w:val="26"/>
        </w:rPr>
        <w:t>Cbonds</w:t>
      </w:r>
      <w:proofErr w:type="spellEnd"/>
      <w:r w:rsidRPr="000511F5">
        <w:rPr>
          <w:bCs/>
          <w:sz w:val="26"/>
          <w:szCs w:val="26"/>
        </w:rPr>
        <w:t>», спец</w:t>
      </w:r>
      <w:r>
        <w:rPr>
          <w:bCs/>
          <w:sz w:val="26"/>
          <w:szCs w:val="26"/>
        </w:rPr>
        <w:t>иализирующегося на корпоративных облигациях. Актуальность и достоверность этого информационного источника не вызывает сомнений.</w:t>
      </w:r>
    </w:p>
    <w:p w:rsidR="0017299F" w:rsidRDefault="0017299F" w:rsidP="004E40C8">
      <w:pPr>
        <w:ind w:firstLine="720"/>
        <w:jc w:val="both"/>
        <w:rPr>
          <w:bCs/>
          <w:sz w:val="26"/>
          <w:szCs w:val="26"/>
        </w:rPr>
      </w:pPr>
    </w:p>
    <w:p w:rsidR="0028537F" w:rsidRDefault="004E40C8" w:rsidP="00D13D78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7.</w:t>
      </w:r>
      <w:r w:rsidR="0028537F" w:rsidRPr="0028537F">
        <w:rPr>
          <w:b/>
          <w:sz w:val="26"/>
          <w:szCs w:val="26"/>
        </w:rPr>
        <w:t xml:space="preserve">Соответствие предъявляемым требованиям к оформлению ВКР </w:t>
      </w:r>
    </w:p>
    <w:p w:rsidR="008623C7" w:rsidRPr="008623C7" w:rsidRDefault="008623C7" w:rsidP="00D13D78">
      <w:pPr>
        <w:ind w:firstLine="720"/>
        <w:jc w:val="both"/>
        <w:rPr>
          <w:bCs/>
          <w:sz w:val="26"/>
          <w:szCs w:val="26"/>
        </w:rPr>
      </w:pPr>
      <w:r w:rsidRPr="008623C7">
        <w:rPr>
          <w:bCs/>
          <w:sz w:val="26"/>
          <w:szCs w:val="26"/>
        </w:rPr>
        <w:t xml:space="preserve">Работа </w:t>
      </w:r>
      <w:r w:rsidR="0017299F">
        <w:rPr>
          <w:sz w:val="26"/>
          <w:szCs w:val="26"/>
        </w:rPr>
        <w:t xml:space="preserve">Рухловой Н.А.  </w:t>
      </w:r>
      <w:r w:rsidRPr="008623C7">
        <w:rPr>
          <w:bCs/>
          <w:sz w:val="26"/>
          <w:szCs w:val="26"/>
        </w:rPr>
        <w:t>оформлена в соответствии с требованиями, предъявляемыми к ВКР, содержит все необходимые элементы.</w:t>
      </w:r>
    </w:p>
    <w:p w:rsidR="009616DF" w:rsidRDefault="004E40C8" w:rsidP="00EC710B">
      <w:pPr>
        <w:pStyle w:val="Default"/>
        <w:spacing w:before="120"/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8.</w:t>
      </w:r>
      <w:r w:rsidR="0028537F">
        <w:rPr>
          <w:b/>
          <w:bCs/>
          <w:sz w:val="26"/>
          <w:szCs w:val="26"/>
        </w:rPr>
        <w:t>Соблюдение графика выполнения ВКР</w:t>
      </w:r>
    </w:p>
    <w:p w:rsidR="009616DF" w:rsidRDefault="009616DF" w:rsidP="00EC710B">
      <w:pPr>
        <w:pStyle w:val="Default"/>
        <w:spacing w:before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График выполнения ВКР соблюден, работа загружена в систему </w:t>
      </w:r>
      <w:proofErr w:type="spellStart"/>
      <w:r>
        <w:rPr>
          <w:sz w:val="26"/>
          <w:szCs w:val="26"/>
          <w:lang w:val="en-US"/>
        </w:rPr>
        <w:t>BlackBoard</w:t>
      </w:r>
      <w:proofErr w:type="spellEnd"/>
      <w:r w:rsidRPr="009616DF">
        <w:rPr>
          <w:sz w:val="26"/>
          <w:szCs w:val="26"/>
        </w:rPr>
        <w:t>,</w:t>
      </w:r>
      <w:r>
        <w:rPr>
          <w:sz w:val="26"/>
          <w:szCs w:val="26"/>
        </w:rPr>
        <w:t xml:space="preserve"> представлена на кафедру Экономической кибернетики, руководителю и рецензенту в срок.</w:t>
      </w:r>
    </w:p>
    <w:p w:rsidR="00D13D78" w:rsidRDefault="004B2789" w:rsidP="00D13D78">
      <w:pPr>
        <w:pStyle w:val="Default"/>
        <w:spacing w:before="120"/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9.</w:t>
      </w:r>
      <w:r w:rsidR="0080558B">
        <w:rPr>
          <w:b/>
          <w:bCs/>
          <w:sz w:val="26"/>
          <w:szCs w:val="26"/>
        </w:rPr>
        <w:t>Допуск к защите и о</w:t>
      </w:r>
      <w:r w:rsidR="002C7319" w:rsidRPr="006F207F">
        <w:rPr>
          <w:b/>
          <w:bCs/>
          <w:sz w:val="26"/>
          <w:szCs w:val="26"/>
        </w:rPr>
        <w:t>ценка работы</w:t>
      </w:r>
    </w:p>
    <w:p w:rsidR="009616DF" w:rsidRDefault="009616DF" w:rsidP="009616DF">
      <w:pPr>
        <w:ind w:firstLine="720"/>
        <w:jc w:val="both"/>
        <w:rPr>
          <w:bCs/>
          <w:sz w:val="26"/>
          <w:szCs w:val="26"/>
        </w:rPr>
      </w:pPr>
      <w:r w:rsidRPr="009616DF">
        <w:rPr>
          <w:bCs/>
          <w:sz w:val="26"/>
          <w:szCs w:val="26"/>
        </w:rPr>
        <w:t xml:space="preserve">Считаю, что </w:t>
      </w:r>
      <w:r>
        <w:rPr>
          <w:bCs/>
          <w:sz w:val="26"/>
          <w:szCs w:val="26"/>
        </w:rPr>
        <w:t xml:space="preserve">бакалаврская выпускная </w:t>
      </w:r>
      <w:r w:rsidR="003A65AD">
        <w:rPr>
          <w:bCs/>
          <w:sz w:val="26"/>
          <w:szCs w:val="26"/>
        </w:rPr>
        <w:t xml:space="preserve">квалификационная </w:t>
      </w:r>
      <w:r w:rsidRPr="009616DF">
        <w:rPr>
          <w:bCs/>
          <w:sz w:val="26"/>
          <w:szCs w:val="26"/>
        </w:rPr>
        <w:t xml:space="preserve">работа </w:t>
      </w:r>
      <w:r w:rsidR="0017299F">
        <w:rPr>
          <w:sz w:val="26"/>
          <w:szCs w:val="26"/>
        </w:rPr>
        <w:t xml:space="preserve">Рухловой Н.А.  </w:t>
      </w:r>
      <w:r>
        <w:rPr>
          <w:bCs/>
          <w:sz w:val="26"/>
          <w:szCs w:val="26"/>
        </w:rPr>
        <w:t>может быть допущена к защите и засл</w:t>
      </w:r>
      <w:r w:rsidR="003A65AD">
        <w:rPr>
          <w:bCs/>
          <w:sz w:val="26"/>
          <w:szCs w:val="26"/>
        </w:rPr>
        <w:t xml:space="preserve">уживает оценки </w:t>
      </w:r>
      <w:r w:rsidR="00B34FC3">
        <w:rPr>
          <w:bCs/>
          <w:sz w:val="26"/>
          <w:szCs w:val="26"/>
        </w:rPr>
        <w:t xml:space="preserve">А </w:t>
      </w:r>
      <w:r w:rsidR="003A65AD">
        <w:rPr>
          <w:bCs/>
          <w:sz w:val="26"/>
          <w:szCs w:val="26"/>
        </w:rPr>
        <w:t>«отлично»</w:t>
      </w:r>
    </w:p>
    <w:p w:rsidR="003A65AD" w:rsidRDefault="003A65AD" w:rsidP="009616DF">
      <w:pPr>
        <w:ind w:firstLine="720"/>
        <w:jc w:val="both"/>
        <w:rPr>
          <w:bCs/>
          <w:sz w:val="26"/>
          <w:szCs w:val="26"/>
        </w:rPr>
      </w:pPr>
    </w:p>
    <w:p w:rsidR="0017299F" w:rsidRPr="009616DF" w:rsidRDefault="0017299F" w:rsidP="009616DF">
      <w:pPr>
        <w:ind w:firstLine="720"/>
        <w:jc w:val="both"/>
        <w:rPr>
          <w:bCs/>
          <w:sz w:val="26"/>
          <w:szCs w:val="26"/>
        </w:rPr>
      </w:pPr>
    </w:p>
    <w:p w:rsidR="00AD0647" w:rsidRDefault="00EC710B" w:rsidP="00D13D78">
      <w:pPr>
        <w:pStyle w:val="Default"/>
        <w:rPr>
          <w:b/>
          <w:bCs/>
        </w:rPr>
      </w:pPr>
      <w:r w:rsidRPr="0028537F">
        <w:rPr>
          <w:b/>
          <w:bCs/>
        </w:rPr>
        <w:t>Научный руководитель</w:t>
      </w:r>
      <w:r w:rsidR="0028537F" w:rsidRPr="0028537F">
        <w:rPr>
          <w:b/>
          <w:bCs/>
        </w:rPr>
        <w:t xml:space="preserve"> </w:t>
      </w:r>
    </w:p>
    <w:p w:rsidR="002C7319" w:rsidRDefault="00AD0647" w:rsidP="00D13D78">
      <w:pPr>
        <w:pStyle w:val="Default"/>
        <w:rPr>
          <w:b/>
          <w:bCs/>
        </w:rPr>
      </w:pPr>
      <w:r>
        <w:rPr>
          <w:b/>
          <w:bCs/>
        </w:rPr>
        <w:t>с</w:t>
      </w:r>
      <w:r w:rsidR="0028537F" w:rsidRPr="0028537F">
        <w:rPr>
          <w:b/>
          <w:bCs/>
        </w:rPr>
        <w:t>тепень, звание, должность</w:t>
      </w:r>
      <w:r w:rsidR="003A65AD">
        <w:rPr>
          <w:b/>
          <w:bCs/>
        </w:rPr>
        <w:t xml:space="preserve">     </w:t>
      </w:r>
      <w:proofErr w:type="spellStart"/>
      <w:proofErr w:type="gramStart"/>
      <w:r w:rsidR="003A65AD">
        <w:rPr>
          <w:b/>
          <w:bCs/>
        </w:rPr>
        <w:t>к</w:t>
      </w:r>
      <w:proofErr w:type="gramEnd"/>
      <w:r w:rsidR="003A65AD">
        <w:rPr>
          <w:b/>
          <w:bCs/>
        </w:rPr>
        <w:t>.э.н</w:t>
      </w:r>
      <w:proofErr w:type="spellEnd"/>
      <w:r w:rsidR="003A65AD">
        <w:rPr>
          <w:b/>
          <w:bCs/>
        </w:rPr>
        <w:t xml:space="preserve">., доцент, </w:t>
      </w:r>
      <w:r w:rsidR="0028537F" w:rsidRPr="0028537F">
        <w:rPr>
          <w:b/>
          <w:bCs/>
        </w:rPr>
        <w:t xml:space="preserve">                            </w:t>
      </w:r>
      <w:r w:rsidR="003A65AD">
        <w:rPr>
          <w:b/>
          <w:bCs/>
        </w:rPr>
        <w:t>Колесов Д.Н.</w:t>
      </w:r>
    </w:p>
    <w:p w:rsidR="00FC40C2" w:rsidRDefault="00083876" w:rsidP="00D13D78">
      <w:pPr>
        <w:pStyle w:val="Default"/>
      </w:pPr>
      <w:r>
        <w:t>24</w:t>
      </w:r>
      <w:r w:rsidR="003A65AD">
        <w:t>.05.2016г.</w:t>
      </w:r>
    </w:p>
    <w:p w:rsidR="00C7295B" w:rsidRDefault="00C7295B" w:rsidP="00C7295B">
      <w:pPr>
        <w:pStyle w:val="Default"/>
        <w:jc w:val="center"/>
        <w:rPr>
          <w:b/>
          <w:bCs/>
          <w:sz w:val="28"/>
          <w:szCs w:val="28"/>
        </w:rPr>
      </w:pPr>
    </w:p>
    <w:sectPr w:rsidR="00C7295B" w:rsidSect="00D8521B">
      <w:pgSz w:w="11906" w:h="16838"/>
      <w:pgMar w:top="42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B7AE0"/>
    <w:multiLevelType w:val="hybridMultilevel"/>
    <w:tmpl w:val="644AEB70"/>
    <w:lvl w:ilvl="0" w:tplc="E1005424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F3E0813"/>
    <w:multiLevelType w:val="hybridMultilevel"/>
    <w:tmpl w:val="F782EA12"/>
    <w:lvl w:ilvl="0" w:tplc="ADE80B5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7BB40E98"/>
    <w:multiLevelType w:val="hybridMultilevel"/>
    <w:tmpl w:val="1E642808"/>
    <w:lvl w:ilvl="0" w:tplc="37CE3CA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F334D"/>
    <w:rsid w:val="00006A2D"/>
    <w:rsid w:val="00007D70"/>
    <w:rsid w:val="00026B15"/>
    <w:rsid w:val="000318A5"/>
    <w:rsid w:val="00034726"/>
    <w:rsid w:val="00047489"/>
    <w:rsid w:val="000511F5"/>
    <w:rsid w:val="0005160B"/>
    <w:rsid w:val="000543AC"/>
    <w:rsid w:val="000550A1"/>
    <w:rsid w:val="00083876"/>
    <w:rsid w:val="00095372"/>
    <w:rsid w:val="000A220D"/>
    <w:rsid w:val="000B1AF7"/>
    <w:rsid w:val="000B2D2A"/>
    <w:rsid w:val="000B5966"/>
    <w:rsid w:val="000B6355"/>
    <w:rsid w:val="000D2A03"/>
    <w:rsid w:val="000E0C18"/>
    <w:rsid w:val="000E2DF7"/>
    <w:rsid w:val="001161DF"/>
    <w:rsid w:val="00120E33"/>
    <w:rsid w:val="00121CAE"/>
    <w:rsid w:val="00122EA7"/>
    <w:rsid w:val="0012635F"/>
    <w:rsid w:val="0012798D"/>
    <w:rsid w:val="0017299F"/>
    <w:rsid w:val="00185BCD"/>
    <w:rsid w:val="0018721D"/>
    <w:rsid w:val="00195756"/>
    <w:rsid w:val="001A34AD"/>
    <w:rsid w:val="001A69A5"/>
    <w:rsid w:val="001C7F6D"/>
    <w:rsid w:val="001D06C0"/>
    <w:rsid w:val="001D44C7"/>
    <w:rsid w:val="001E5BA4"/>
    <w:rsid w:val="001E657A"/>
    <w:rsid w:val="001F6465"/>
    <w:rsid w:val="00200580"/>
    <w:rsid w:val="0020709F"/>
    <w:rsid w:val="00212B50"/>
    <w:rsid w:val="00223F01"/>
    <w:rsid w:val="00226270"/>
    <w:rsid w:val="00227FB0"/>
    <w:rsid w:val="00234B36"/>
    <w:rsid w:val="00251DD1"/>
    <w:rsid w:val="00254FAE"/>
    <w:rsid w:val="002675A4"/>
    <w:rsid w:val="00284516"/>
    <w:rsid w:val="0028537F"/>
    <w:rsid w:val="00293367"/>
    <w:rsid w:val="002C63A9"/>
    <w:rsid w:val="002C657D"/>
    <w:rsid w:val="002C7319"/>
    <w:rsid w:val="002D3DA8"/>
    <w:rsid w:val="002E22DC"/>
    <w:rsid w:val="0030774A"/>
    <w:rsid w:val="00313DAC"/>
    <w:rsid w:val="003147F1"/>
    <w:rsid w:val="00316837"/>
    <w:rsid w:val="00321A62"/>
    <w:rsid w:val="003227F6"/>
    <w:rsid w:val="00326733"/>
    <w:rsid w:val="00336D92"/>
    <w:rsid w:val="00340B75"/>
    <w:rsid w:val="0036117E"/>
    <w:rsid w:val="003631DE"/>
    <w:rsid w:val="003654E6"/>
    <w:rsid w:val="00373198"/>
    <w:rsid w:val="0037534F"/>
    <w:rsid w:val="0038076B"/>
    <w:rsid w:val="003A0BBD"/>
    <w:rsid w:val="003A26F2"/>
    <w:rsid w:val="003A2E4E"/>
    <w:rsid w:val="003A3B66"/>
    <w:rsid w:val="003A65AD"/>
    <w:rsid w:val="003B1CB6"/>
    <w:rsid w:val="003B60B7"/>
    <w:rsid w:val="003B6BED"/>
    <w:rsid w:val="003C0CA1"/>
    <w:rsid w:val="003C3A65"/>
    <w:rsid w:val="003D0C60"/>
    <w:rsid w:val="003D2D8E"/>
    <w:rsid w:val="00403706"/>
    <w:rsid w:val="004103A2"/>
    <w:rsid w:val="0041057C"/>
    <w:rsid w:val="004241C4"/>
    <w:rsid w:val="004245F5"/>
    <w:rsid w:val="004277CB"/>
    <w:rsid w:val="0044333B"/>
    <w:rsid w:val="00450CAD"/>
    <w:rsid w:val="004533F3"/>
    <w:rsid w:val="00462B20"/>
    <w:rsid w:val="00473253"/>
    <w:rsid w:val="00480DC9"/>
    <w:rsid w:val="00485299"/>
    <w:rsid w:val="004B2789"/>
    <w:rsid w:val="004C7C51"/>
    <w:rsid w:val="004D7A37"/>
    <w:rsid w:val="004E40C8"/>
    <w:rsid w:val="004F3986"/>
    <w:rsid w:val="004F4A76"/>
    <w:rsid w:val="004F4AAA"/>
    <w:rsid w:val="004F4E3A"/>
    <w:rsid w:val="00503157"/>
    <w:rsid w:val="00506DC6"/>
    <w:rsid w:val="00514585"/>
    <w:rsid w:val="00514CE8"/>
    <w:rsid w:val="00527B38"/>
    <w:rsid w:val="00532B9C"/>
    <w:rsid w:val="00535458"/>
    <w:rsid w:val="00540FAF"/>
    <w:rsid w:val="00541585"/>
    <w:rsid w:val="00544419"/>
    <w:rsid w:val="005448B6"/>
    <w:rsid w:val="0054793D"/>
    <w:rsid w:val="00582B77"/>
    <w:rsid w:val="005A07C9"/>
    <w:rsid w:val="005A5F4D"/>
    <w:rsid w:val="005A6028"/>
    <w:rsid w:val="005B41B8"/>
    <w:rsid w:val="005B48C2"/>
    <w:rsid w:val="005B77B2"/>
    <w:rsid w:val="005B7EA4"/>
    <w:rsid w:val="005D0843"/>
    <w:rsid w:val="005D273A"/>
    <w:rsid w:val="005D3313"/>
    <w:rsid w:val="005E12F6"/>
    <w:rsid w:val="005E47F5"/>
    <w:rsid w:val="005E4B91"/>
    <w:rsid w:val="005E5EC5"/>
    <w:rsid w:val="0060772D"/>
    <w:rsid w:val="00630AEE"/>
    <w:rsid w:val="006330DF"/>
    <w:rsid w:val="00635150"/>
    <w:rsid w:val="006367DA"/>
    <w:rsid w:val="00637482"/>
    <w:rsid w:val="00656720"/>
    <w:rsid w:val="00660BDD"/>
    <w:rsid w:val="006625B2"/>
    <w:rsid w:val="006646A5"/>
    <w:rsid w:val="00664A44"/>
    <w:rsid w:val="00664D07"/>
    <w:rsid w:val="00664EFC"/>
    <w:rsid w:val="00673DCD"/>
    <w:rsid w:val="006861A7"/>
    <w:rsid w:val="00687B7A"/>
    <w:rsid w:val="00691AA1"/>
    <w:rsid w:val="00693BF0"/>
    <w:rsid w:val="006A1084"/>
    <w:rsid w:val="006A1C7A"/>
    <w:rsid w:val="006A2079"/>
    <w:rsid w:val="006A4CD5"/>
    <w:rsid w:val="006B0DD2"/>
    <w:rsid w:val="006C4777"/>
    <w:rsid w:val="006E3643"/>
    <w:rsid w:val="006F207F"/>
    <w:rsid w:val="00702740"/>
    <w:rsid w:val="00706094"/>
    <w:rsid w:val="00731229"/>
    <w:rsid w:val="007320CF"/>
    <w:rsid w:val="00732A9C"/>
    <w:rsid w:val="00747A54"/>
    <w:rsid w:val="00750773"/>
    <w:rsid w:val="00752D27"/>
    <w:rsid w:val="007561A3"/>
    <w:rsid w:val="00766330"/>
    <w:rsid w:val="007722A8"/>
    <w:rsid w:val="00773BBF"/>
    <w:rsid w:val="007800B1"/>
    <w:rsid w:val="00786586"/>
    <w:rsid w:val="007945B6"/>
    <w:rsid w:val="007A1500"/>
    <w:rsid w:val="007A29E0"/>
    <w:rsid w:val="007B088F"/>
    <w:rsid w:val="007C7F2A"/>
    <w:rsid w:val="007D1C9C"/>
    <w:rsid w:val="007D29F7"/>
    <w:rsid w:val="007D2D53"/>
    <w:rsid w:val="007D4666"/>
    <w:rsid w:val="007E4D90"/>
    <w:rsid w:val="007F009C"/>
    <w:rsid w:val="007F4B44"/>
    <w:rsid w:val="0080144D"/>
    <w:rsid w:val="0080558B"/>
    <w:rsid w:val="00813CFB"/>
    <w:rsid w:val="008314C6"/>
    <w:rsid w:val="00836562"/>
    <w:rsid w:val="0084370B"/>
    <w:rsid w:val="00853201"/>
    <w:rsid w:val="008623C7"/>
    <w:rsid w:val="008701DC"/>
    <w:rsid w:val="00875838"/>
    <w:rsid w:val="00884FEC"/>
    <w:rsid w:val="00892BC6"/>
    <w:rsid w:val="008950C6"/>
    <w:rsid w:val="008A37A1"/>
    <w:rsid w:val="008B38AF"/>
    <w:rsid w:val="008D6158"/>
    <w:rsid w:val="008D7B8B"/>
    <w:rsid w:val="008E4090"/>
    <w:rsid w:val="008F0669"/>
    <w:rsid w:val="00902D61"/>
    <w:rsid w:val="009033DC"/>
    <w:rsid w:val="00911CC1"/>
    <w:rsid w:val="00917C0D"/>
    <w:rsid w:val="00920A32"/>
    <w:rsid w:val="009257F0"/>
    <w:rsid w:val="009371A2"/>
    <w:rsid w:val="00940E46"/>
    <w:rsid w:val="009442A6"/>
    <w:rsid w:val="00950428"/>
    <w:rsid w:val="00956AFF"/>
    <w:rsid w:val="009616DF"/>
    <w:rsid w:val="0096176D"/>
    <w:rsid w:val="009751E4"/>
    <w:rsid w:val="00977C78"/>
    <w:rsid w:val="009847B5"/>
    <w:rsid w:val="009904D0"/>
    <w:rsid w:val="009937FA"/>
    <w:rsid w:val="009C4E6E"/>
    <w:rsid w:val="009E70B9"/>
    <w:rsid w:val="00A33409"/>
    <w:rsid w:val="00A35E5F"/>
    <w:rsid w:val="00A3701D"/>
    <w:rsid w:val="00A4119A"/>
    <w:rsid w:val="00A50120"/>
    <w:rsid w:val="00A51BD4"/>
    <w:rsid w:val="00A65EF7"/>
    <w:rsid w:val="00A76793"/>
    <w:rsid w:val="00A83341"/>
    <w:rsid w:val="00A85F04"/>
    <w:rsid w:val="00AA0905"/>
    <w:rsid w:val="00AA7F1E"/>
    <w:rsid w:val="00AD0647"/>
    <w:rsid w:val="00AD0F29"/>
    <w:rsid w:val="00AD1106"/>
    <w:rsid w:val="00AE3FD2"/>
    <w:rsid w:val="00AE748D"/>
    <w:rsid w:val="00AF2A25"/>
    <w:rsid w:val="00AF334D"/>
    <w:rsid w:val="00B11B66"/>
    <w:rsid w:val="00B13CA1"/>
    <w:rsid w:val="00B2266D"/>
    <w:rsid w:val="00B271CE"/>
    <w:rsid w:val="00B34CA2"/>
    <w:rsid w:val="00B34FC3"/>
    <w:rsid w:val="00B3702A"/>
    <w:rsid w:val="00B374D9"/>
    <w:rsid w:val="00B4547A"/>
    <w:rsid w:val="00B54B95"/>
    <w:rsid w:val="00B7572E"/>
    <w:rsid w:val="00B81954"/>
    <w:rsid w:val="00B9117E"/>
    <w:rsid w:val="00B93EEB"/>
    <w:rsid w:val="00BA61B3"/>
    <w:rsid w:val="00BA78E4"/>
    <w:rsid w:val="00BB7031"/>
    <w:rsid w:val="00BC3978"/>
    <w:rsid w:val="00BC43DF"/>
    <w:rsid w:val="00BF094A"/>
    <w:rsid w:val="00BF4532"/>
    <w:rsid w:val="00C036B5"/>
    <w:rsid w:val="00C21383"/>
    <w:rsid w:val="00C23B48"/>
    <w:rsid w:val="00C25AAC"/>
    <w:rsid w:val="00C27CC5"/>
    <w:rsid w:val="00C32E68"/>
    <w:rsid w:val="00C433C1"/>
    <w:rsid w:val="00C541F9"/>
    <w:rsid w:val="00C57231"/>
    <w:rsid w:val="00C575D7"/>
    <w:rsid w:val="00C57B28"/>
    <w:rsid w:val="00C7295B"/>
    <w:rsid w:val="00C7615C"/>
    <w:rsid w:val="00C82812"/>
    <w:rsid w:val="00C82BEC"/>
    <w:rsid w:val="00CA000E"/>
    <w:rsid w:val="00CA6B7A"/>
    <w:rsid w:val="00CB0B86"/>
    <w:rsid w:val="00CB517B"/>
    <w:rsid w:val="00CC3AD2"/>
    <w:rsid w:val="00CD0F66"/>
    <w:rsid w:val="00CD1EB1"/>
    <w:rsid w:val="00CE48CC"/>
    <w:rsid w:val="00CF32ED"/>
    <w:rsid w:val="00CF4817"/>
    <w:rsid w:val="00D02599"/>
    <w:rsid w:val="00D13D78"/>
    <w:rsid w:val="00D16D67"/>
    <w:rsid w:val="00D36FC6"/>
    <w:rsid w:val="00D37695"/>
    <w:rsid w:val="00D4182E"/>
    <w:rsid w:val="00D522B5"/>
    <w:rsid w:val="00D542A4"/>
    <w:rsid w:val="00D55C3E"/>
    <w:rsid w:val="00D72367"/>
    <w:rsid w:val="00D76C29"/>
    <w:rsid w:val="00D8240A"/>
    <w:rsid w:val="00D82679"/>
    <w:rsid w:val="00D8521B"/>
    <w:rsid w:val="00D917C4"/>
    <w:rsid w:val="00D936A0"/>
    <w:rsid w:val="00DA44C4"/>
    <w:rsid w:val="00DC0AC1"/>
    <w:rsid w:val="00DD5240"/>
    <w:rsid w:val="00DF5971"/>
    <w:rsid w:val="00E0377B"/>
    <w:rsid w:val="00E0601B"/>
    <w:rsid w:val="00E263CB"/>
    <w:rsid w:val="00E34F5D"/>
    <w:rsid w:val="00E43AEA"/>
    <w:rsid w:val="00E4502C"/>
    <w:rsid w:val="00E467E5"/>
    <w:rsid w:val="00E7206D"/>
    <w:rsid w:val="00E87731"/>
    <w:rsid w:val="00EB3D4E"/>
    <w:rsid w:val="00EC39D3"/>
    <w:rsid w:val="00EC6EC0"/>
    <w:rsid w:val="00EC710B"/>
    <w:rsid w:val="00ED3FD1"/>
    <w:rsid w:val="00ED682E"/>
    <w:rsid w:val="00EE2F96"/>
    <w:rsid w:val="00EE78DE"/>
    <w:rsid w:val="00F00558"/>
    <w:rsid w:val="00F236DB"/>
    <w:rsid w:val="00F327C4"/>
    <w:rsid w:val="00F35498"/>
    <w:rsid w:val="00F4514C"/>
    <w:rsid w:val="00F50A4D"/>
    <w:rsid w:val="00F56449"/>
    <w:rsid w:val="00F736A6"/>
    <w:rsid w:val="00F75C1F"/>
    <w:rsid w:val="00F918DC"/>
    <w:rsid w:val="00FB644A"/>
    <w:rsid w:val="00FC40C2"/>
    <w:rsid w:val="00FE3E5D"/>
    <w:rsid w:val="00FE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47A54"/>
    <w:pPr>
      <w:ind w:firstLine="720"/>
      <w:jc w:val="both"/>
    </w:pPr>
    <w:rPr>
      <w:sz w:val="26"/>
      <w:szCs w:val="26"/>
    </w:rPr>
  </w:style>
  <w:style w:type="paragraph" w:styleId="a3">
    <w:name w:val="Body Text Indent"/>
    <w:basedOn w:val="a"/>
    <w:rsid w:val="004245F5"/>
    <w:pPr>
      <w:spacing w:after="120"/>
      <w:ind w:left="283"/>
    </w:pPr>
  </w:style>
  <w:style w:type="paragraph" w:styleId="a4">
    <w:name w:val="Balloon Text"/>
    <w:basedOn w:val="a"/>
    <w:semiHidden/>
    <w:rsid w:val="00E45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E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">
    <w:name w:val="toc 1"/>
    <w:basedOn w:val="a"/>
    <w:next w:val="a"/>
    <w:autoRedefine/>
    <w:semiHidden/>
    <w:rsid w:val="00656720"/>
    <w:pPr>
      <w:spacing w:before="120" w:after="120"/>
    </w:pPr>
    <w:rPr>
      <w:rFonts w:eastAsia="Calibri"/>
      <w:b/>
      <w:bCs/>
      <w:caps/>
      <w:sz w:val="20"/>
      <w:szCs w:val="20"/>
    </w:rPr>
  </w:style>
  <w:style w:type="character" w:styleId="a5">
    <w:name w:val="Hyperlink"/>
    <w:rsid w:val="00656720"/>
    <w:rPr>
      <w:rFonts w:cs="Times New Roman"/>
      <w:color w:val="0000FF"/>
      <w:u w:val="single"/>
    </w:rPr>
  </w:style>
  <w:style w:type="paragraph" w:styleId="3">
    <w:name w:val="toc 3"/>
    <w:basedOn w:val="a"/>
    <w:next w:val="a"/>
    <w:autoRedefine/>
    <w:semiHidden/>
    <w:rsid w:val="00656720"/>
    <w:pPr>
      <w:spacing w:after="100"/>
      <w:ind w:left="40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E467E5"/>
    <w:rPr>
      <w:rFonts w:cs="Times New Roman"/>
    </w:rPr>
  </w:style>
  <w:style w:type="character" w:customStyle="1" w:styleId="hl1">
    <w:name w:val="hl1"/>
    <w:rsid w:val="00AE748D"/>
    <w:rPr>
      <w:color w:val="4682B4"/>
    </w:rPr>
  </w:style>
  <w:style w:type="paragraph" w:styleId="a6">
    <w:name w:val="List Paragraph"/>
    <w:basedOn w:val="a"/>
    <w:uiPriority w:val="34"/>
    <w:qFormat/>
    <w:rsid w:val="004E40C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93EEB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B93EEB"/>
    <w:rPr>
      <w:rFonts w:cs="Times New Roman"/>
      <w:b/>
      <w:bCs/>
    </w:rPr>
  </w:style>
  <w:style w:type="paragraph" w:styleId="20">
    <w:name w:val="toc 2"/>
    <w:basedOn w:val="a"/>
    <w:next w:val="a"/>
    <w:autoRedefine/>
    <w:uiPriority w:val="39"/>
    <w:unhideWhenUsed/>
    <w:rsid w:val="007F009C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47A54"/>
    <w:pPr>
      <w:ind w:firstLine="720"/>
      <w:jc w:val="both"/>
    </w:pPr>
    <w:rPr>
      <w:sz w:val="26"/>
      <w:szCs w:val="26"/>
    </w:rPr>
  </w:style>
  <w:style w:type="paragraph" w:styleId="a3">
    <w:name w:val="Body Text Indent"/>
    <w:basedOn w:val="a"/>
    <w:rsid w:val="004245F5"/>
    <w:pPr>
      <w:spacing w:after="120"/>
      <w:ind w:left="283"/>
    </w:pPr>
  </w:style>
  <w:style w:type="paragraph" w:styleId="a4">
    <w:name w:val="Balloon Text"/>
    <w:basedOn w:val="a"/>
    <w:semiHidden/>
    <w:rsid w:val="00E45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E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">
    <w:name w:val="toc 1"/>
    <w:basedOn w:val="a"/>
    <w:next w:val="a"/>
    <w:autoRedefine/>
    <w:semiHidden/>
    <w:rsid w:val="00656720"/>
    <w:pPr>
      <w:spacing w:before="120" w:after="120"/>
    </w:pPr>
    <w:rPr>
      <w:rFonts w:eastAsia="Calibri"/>
      <w:b/>
      <w:bCs/>
      <w:caps/>
      <w:sz w:val="20"/>
      <w:szCs w:val="20"/>
    </w:rPr>
  </w:style>
  <w:style w:type="character" w:styleId="a5">
    <w:name w:val="Hyperlink"/>
    <w:rsid w:val="00656720"/>
    <w:rPr>
      <w:rFonts w:cs="Times New Roman"/>
      <w:color w:val="0000FF"/>
      <w:u w:val="single"/>
    </w:rPr>
  </w:style>
  <w:style w:type="paragraph" w:styleId="3">
    <w:name w:val="toc 3"/>
    <w:basedOn w:val="a"/>
    <w:next w:val="a"/>
    <w:autoRedefine/>
    <w:semiHidden/>
    <w:rsid w:val="00656720"/>
    <w:pPr>
      <w:spacing w:after="100"/>
      <w:ind w:left="40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E467E5"/>
    <w:rPr>
      <w:rFonts w:cs="Times New Roman"/>
    </w:rPr>
  </w:style>
  <w:style w:type="character" w:customStyle="1" w:styleId="hl1">
    <w:name w:val="hl1"/>
    <w:rsid w:val="00AE748D"/>
    <w:rPr>
      <w:color w:val="4682B4"/>
    </w:rPr>
  </w:style>
  <w:style w:type="paragraph" w:styleId="a6">
    <w:name w:val="List Paragraph"/>
    <w:basedOn w:val="a"/>
    <w:uiPriority w:val="34"/>
    <w:qFormat/>
    <w:rsid w:val="004E40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4DC73-1F3F-4958-BC5E-A57130F17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РЕЦЕНЗИЯ</vt:lpstr>
    </vt:vector>
  </TitlesOfParts>
  <Company>TOSHIBA</Company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creator>Дина</dc:creator>
  <cp:lastModifiedBy>DKolesov</cp:lastModifiedBy>
  <cp:revision>2</cp:revision>
  <cp:lastPrinted>2016-04-28T09:55:00Z</cp:lastPrinted>
  <dcterms:created xsi:type="dcterms:W3CDTF">2016-05-25T07:26:00Z</dcterms:created>
  <dcterms:modified xsi:type="dcterms:W3CDTF">2016-05-25T07:26:00Z</dcterms:modified>
</cp:coreProperties>
</file>