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2C" w:rsidRPr="009E5F4C" w:rsidRDefault="004B56A8" w:rsidP="009E5F4C">
      <w:pPr>
        <w:spacing w:after="0" w:line="240" w:lineRule="auto"/>
        <w:jc w:val="center"/>
        <w:rPr>
          <w:rFonts w:ascii="Times New Roman" w:eastAsia="Times New Roman Bold" w:hAnsi="Times New Roman" w:cs="Times New Roman"/>
          <w:b/>
          <w:sz w:val="28"/>
          <w:szCs w:val="28"/>
        </w:rPr>
      </w:pPr>
      <w:r w:rsidRPr="009E5F4C">
        <w:rPr>
          <w:rFonts w:ascii="Times New Roman" w:hAnsi="Times New Roman" w:cs="Times New Roman"/>
          <w:b/>
          <w:sz w:val="28"/>
          <w:szCs w:val="28"/>
        </w:rPr>
        <w:t>АННОТАЦИЯ</w:t>
      </w:r>
    </w:p>
    <w:p w:rsidR="00B3052C" w:rsidRPr="009E5F4C" w:rsidRDefault="009E5F4C" w:rsidP="009E5F4C">
      <w:pPr>
        <w:spacing w:after="0" w:line="240" w:lineRule="auto"/>
        <w:jc w:val="center"/>
        <w:rPr>
          <w:rFonts w:ascii="Times New Roman" w:eastAsia="Times New Roman Bold" w:hAnsi="Times New Roman" w:cs="Times New Roman"/>
          <w:b/>
          <w:sz w:val="28"/>
          <w:szCs w:val="28"/>
        </w:rPr>
      </w:pPr>
      <w:r w:rsidRPr="009E5F4C">
        <w:rPr>
          <w:rFonts w:ascii="Times New Roman" w:hAnsi="Times New Roman" w:cs="Times New Roman"/>
          <w:b/>
          <w:sz w:val="28"/>
          <w:szCs w:val="28"/>
        </w:rPr>
        <w:t>на выпускную квалификационную работу</w:t>
      </w:r>
    </w:p>
    <w:p w:rsidR="00B3052C" w:rsidRDefault="002122DF" w:rsidP="009E5F4C">
      <w:pPr>
        <w:spacing w:after="0" w:line="240" w:lineRule="auto"/>
        <w:jc w:val="center"/>
        <w:rPr>
          <w:rFonts w:ascii="Times New Roman" w:hAnsi="Times New Roman" w:cs="Times New Roman"/>
          <w:b/>
          <w:sz w:val="28"/>
          <w:szCs w:val="28"/>
        </w:rPr>
      </w:pPr>
      <w:r w:rsidRPr="009E5F4C">
        <w:rPr>
          <w:rFonts w:ascii="Times New Roman" w:hAnsi="Times New Roman" w:cs="Times New Roman"/>
          <w:b/>
          <w:sz w:val="28"/>
          <w:szCs w:val="28"/>
        </w:rPr>
        <w:t>студен</w:t>
      </w:r>
      <w:r w:rsidR="004B56A8" w:rsidRPr="009E5F4C">
        <w:rPr>
          <w:rFonts w:ascii="Times New Roman" w:hAnsi="Times New Roman" w:cs="Times New Roman"/>
          <w:b/>
          <w:sz w:val="28"/>
          <w:szCs w:val="28"/>
        </w:rPr>
        <w:t>та</w:t>
      </w:r>
      <w:r w:rsidRPr="009E5F4C">
        <w:rPr>
          <w:rFonts w:ascii="Times New Roman" w:hAnsi="Times New Roman" w:cs="Times New Roman"/>
          <w:b/>
          <w:sz w:val="28"/>
          <w:szCs w:val="28"/>
        </w:rPr>
        <w:t xml:space="preserve"> магистратуры по программе «</w:t>
      </w:r>
      <w:r w:rsidR="00A616FF">
        <w:rPr>
          <w:rFonts w:ascii="Times New Roman" w:hAnsi="Times New Roman" w:cs="Times New Roman"/>
          <w:b/>
          <w:sz w:val="28"/>
          <w:szCs w:val="28"/>
        </w:rPr>
        <w:t>Оценка правомерности поведения работников должника в целях оспаривания сделок в процедуре банкротства</w:t>
      </w:r>
      <w:r w:rsidR="004B56A8" w:rsidRPr="009E5F4C">
        <w:rPr>
          <w:rFonts w:ascii="Times New Roman" w:hAnsi="Times New Roman" w:cs="Times New Roman"/>
          <w:b/>
          <w:sz w:val="28"/>
          <w:szCs w:val="28"/>
        </w:rPr>
        <w:t>»</w:t>
      </w:r>
    </w:p>
    <w:p w:rsidR="00F63837" w:rsidRDefault="00F63837" w:rsidP="009E5F4C">
      <w:pPr>
        <w:spacing w:after="0" w:line="240" w:lineRule="auto"/>
        <w:jc w:val="center"/>
        <w:rPr>
          <w:rFonts w:ascii="Times New Roman" w:hAnsi="Times New Roman" w:cs="Times New Roman"/>
          <w:b/>
          <w:sz w:val="28"/>
          <w:szCs w:val="28"/>
        </w:rPr>
      </w:pPr>
    </w:p>
    <w:p w:rsidR="00F63837" w:rsidRPr="00F63837" w:rsidRDefault="00F63837" w:rsidP="00F63837">
      <w:pPr>
        <w:spacing w:after="0" w:line="240" w:lineRule="auto"/>
        <w:jc w:val="both"/>
        <w:rPr>
          <w:rFonts w:ascii="Times New Roman" w:eastAsia="Times New Roman Bold" w:hAnsi="Times New Roman" w:cs="Times New Roman"/>
          <w:sz w:val="28"/>
          <w:szCs w:val="28"/>
        </w:rPr>
      </w:pPr>
      <w:r>
        <w:rPr>
          <w:rFonts w:ascii="Times New Roman" w:hAnsi="Times New Roman" w:cs="Times New Roman"/>
          <w:sz w:val="28"/>
          <w:szCs w:val="28"/>
        </w:rPr>
        <w:t>ФИО</w:t>
      </w:r>
      <w:r w:rsidRPr="00F63837">
        <w:rPr>
          <w:rFonts w:ascii="Times New Roman" w:hAnsi="Times New Roman" w:cs="Times New Roman"/>
          <w:sz w:val="28"/>
          <w:szCs w:val="28"/>
        </w:rPr>
        <w:t>: Лесных Владимир Андреевич</w:t>
      </w:r>
    </w:p>
    <w:p w:rsidR="009E5F4C" w:rsidRDefault="009E5F4C" w:rsidP="009E5F4C">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cs="Times New Roman"/>
          <w:b/>
          <w:sz w:val="28"/>
          <w:szCs w:val="28"/>
        </w:rPr>
      </w:pPr>
    </w:p>
    <w:p w:rsidR="00B3052C" w:rsidRDefault="002122DF" w:rsidP="009E5F4C">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cs="Times New Roman"/>
          <w:b/>
          <w:sz w:val="28"/>
          <w:szCs w:val="28"/>
        </w:rPr>
      </w:pPr>
      <w:r w:rsidRPr="009E5F4C">
        <w:rPr>
          <w:rFonts w:ascii="Times New Roman" w:cs="Times New Roman"/>
          <w:b/>
          <w:sz w:val="28"/>
          <w:szCs w:val="28"/>
        </w:rPr>
        <w:t>Цел</w:t>
      </w:r>
      <w:r w:rsidR="009E5F4C">
        <w:rPr>
          <w:rFonts w:ascii="Times New Roman" w:cs="Times New Roman"/>
          <w:b/>
          <w:sz w:val="28"/>
          <w:szCs w:val="28"/>
        </w:rPr>
        <w:t>ь</w:t>
      </w:r>
      <w:r w:rsidRPr="009E5F4C">
        <w:rPr>
          <w:rFonts w:ascii="Times New Roman" w:cs="Times New Roman"/>
          <w:b/>
          <w:sz w:val="28"/>
          <w:szCs w:val="28"/>
        </w:rPr>
        <w:t xml:space="preserve"> исследования:</w:t>
      </w:r>
    </w:p>
    <w:p w:rsidR="00F63837" w:rsidRDefault="00F63837" w:rsidP="009E5F4C">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Bold" w:cs="Times New Roman"/>
          <w:sz w:val="28"/>
          <w:szCs w:val="28"/>
        </w:rPr>
      </w:pPr>
      <w:r w:rsidRPr="00F63837">
        <w:rPr>
          <w:rFonts w:ascii="Times New Roman" w:eastAsia="Times New Roman Bold" w:cs="Times New Roman"/>
          <w:sz w:val="28"/>
          <w:szCs w:val="28"/>
        </w:rPr>
        <w:t>комплексно-правовое исследование оценк</w:t>
      </w:r>
      <w:r>
        <w:rPr>
          <w:rFonts w:ascii="Times New Roman" w:eastAsia="Times New Roman Bold" w:cs="Times New Roman"/>
          <w:sz w:val="28"/>
          <w:szCs w:val="28"/>
        </w:rPr>
        <w:t>и правомерности поведения работ</w:t>
      </w:r>
      <w:r w:rsidRPr="00F63837">
        <w:rPr>
          <w:rFonts w:ascii="Times New Roman" w:eastAsia="Times New Roman Bold" w:cs="Times New Roman"/>
          <w:sz w:val="28"/>
          <w:szCs w:val="28"/>
        </w:rPr>
        <w:t xml:space="preserve">ников должника </w:t>
      </w:r>
      <w:r w:rsidR="00ED69B2">
        <w:rPr>
          <w:rFonts w:ascii="Times New Roman" w:eastAsia="Times New Roman Bold" w:cs="Times New Roman"/>
          <w:sz w:val="28"/>
          <w:szCs w:val="28"/>
        </w:rPr>
        <w:t>при оспаривании</w:t>
      </w:r>
      <w:r w:rsidRPr="00F63837">
        <w:rPr>
          <w:rFonts w:ascii="Times New Roman" w:eastAsia="Times New Roman Bold" w:cs="Times New Roman"/>
          <w:sz w:val="28"/>
          <w:szCs w:val="28"/>
        </w:rPr>
        <w:t xml:space="preserve"> сделок в процедуре банкротства.</w:t>
      </w:r>
    </w:p>
    <w:p w:rsidR="00F63837" w:rsidRPr="00F63837" w:rsidRDefault="00F63837" w:rsidP="009E5F4C">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Bold" w:cs="Times New Roman"/>
          <w:b/>
          <w:sz w:val="28"/>
          <w:szCs w:val="28"/>
        </w:rPr>
      </w:pPr>
      <w:r w:rsidRPr="00F63837">
        <w:rPr>
          <w:rFonts w:ascii="Times New Roman" w:eastAsia="Times New Roman Bold" w:cs="Times New Roman"/>
          <w:b/>
          <w:sz w:val="28"/>
          <w:szCs w:val="28"/>
        </w:rPr>
        <w:t>Задачи исследования:</w:t>
      </w:r>
    </w:p>
    <w:p w:rsidR="00E6461E" w:rsidRDefault="00E6461E" w:rsidP="00E6461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hAnsi="Times New Roman"/>
          <w:sz w:val="28"/>
          <w:szCs w:val="28"/>
        </w:rPr>
      </w:pPr>
      <w:r>
        <w:rPr>
          <w:rFonts w:ascii="Times New Roman" w:hAnsi="Times New Roman"/>
          <w:sz w:val="28"/>
          <w:szCs w:val="28"/>
        </w:rPr>
        <w:t xml:space="preserve">1) </w:t>
      </w:r>
      <w:r w:rsidRPr="00E6461E">
        <w:rPr>
          <w:rFonts w:ascii="Times New Roman" w:hAnsi="Times New Roman"/>
          <w:sz w:val="28"/>
          <w:szCs w:val="28"/>
        </w:rPr>
        <w:t>Выявление стандартов поведения работников в преддверии банкротства организации-должника;</w:t>
      </w:r>
    </w:p>
    <w:p w:rsidR="00E6461E" w:rsidRDefault="00E6461E" w:rsidP="00E6461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E6461E">
        <w:rPr>
          <w:rFonts w:ascii="Times New Roman" w:hAnsi="Times New Roman"/>
          <w:sz w:val="28"/>
          <w:szCs w:val="28"/>
        </w:rPr>
        <w:t>Поиск критериев допустимости взыскания с работника</w:t>
      </w:r>
      <w:r w:rsidR="00ED69B2">
        <w:rPr>
          <w:rFonts w:ascii="Times New Roman" w:hAnsi="Times New Roman"/>
          <w:sz w:val="28"/>
          <w:szCs w:val="28"/>
        </w:rPr>
        <w:t xml:space="preserve"> выплаченных сумм</w:t>
      </w:r>
      <w:r w:rsidRPr="00E6461E">
        <w:rPr>
          <w:rFonts w:ascii="Times New Roman" w:hAnsi="Times New Roman"/>
          <w:sz w:val="28"/>
          <w:szCs w:val="28"/>
        </w:rPr>
        <w:t xml:space="preserve">; </w:t>
      </w:r>
    </w:p>
    <w:p w:rsidR="00E6461E" w:rsidRDefault="00E6461E" w:rsidP="00E6461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6461E">
        <w:rPr>
          <w:rFonts w:ascii="Times New Roman" w:hAnsi="Times New Roman"/>
          <w:sz w:val="28"/>
          <w:szCs w:val="28"/>
        </w:rPr>
        <w:t>Охарактеризовать разницу между способами</w:t>
      </w:r>
      <w:r w:rsidR="00ED69B2">
        <w:rPr>
          <w:rFonts w:ascii="Times New Roman" w:hAnsi="Times New Roman"/>
          <w:sz w:val="28"/>
          <w:szCs w:val="28"/>
        </w:rPr>
        <w:t xml:space="preserve"> </w:t>
      </w:r>
      <w:r w:rsidR="00ED69B2" w:rsidRPr="00E6461E">
        <w:rPr>
          <w:rFonts w:ascii="Times New Roman" w:hAnsi="Times New Roman"/>
          <w:sz w:val="28"/>
          <w:szCs w:val="28"/>
        </w:rPr>
        <w:t>защиты прав кредиторов</w:t>
      </w:r>
      <w:r w:rsidRPr="00E6461E">
        <w:rPr>
          <w:rFonts w:ascii="Times New Roman" w:hAnsi="Times New Roman"/>
          <w:sz w:val="28"/>
          <w:szCs w:val="28"/>
        </w:rPr>
        <w:t>, закрепленными в гражданском законодательстве</w:t>
      </w:r>
      <w:r w:rsidR="00ED69B2">
        <w:rPr>
          <w:rFonts w:ascii="Times New Roman" w:hAnsi="Times New Roman"/>
          <w:sz w:val="28"/>
          <w:szCs w:val="28"/>
        </w:rPr>
        <w:t xml:space="preserve"> и законодательстве о банкротстве</w:t>
      </w:r>
      <w:r w:rsidRPr="00E6461E">
        <w:rPr>
          <w:rFonts w:ascii="Times New Roman" w:hAnsi="Times New Roman"/>
          <w:sz w:val="28"/>
          <w:szCs w:val="28"/>
        </w:rPr>
        <w:t xml:space="preserve">; </w:t>
      </w:r>
    </w:p>
    <w:p w:rsidR="00E6461E" w:rsidRPr="00E6461E" w:rsidRDefault="00E6461E" w:rsidP="00E6461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6461E">
        <w:rPr>
          <w:rFonts w:ascii="Times New Roman" w:hAnsi="Times New Roman"/>
          <w:sz w:val="28"/>
          <w:szCs w:val="28"/>
        </w:rPr>
        <w:t xml:space="preserve">Анализ подхода, предполагающего оспаривание </w:t>
      </w:r>
      <w:r w:rsidR="000365CD">
        <w:rPr>
          <w:rFonts w:ascii="Times New Roman" w:hAnsi="Times New Roman"/>
          <w:sz w:val="28"/>
          <w:szCs w:val="28"/>
        </w:rPr>
        <w:t>в экстраординарном порядке</w:t>
      </w:r>
      <w:r w:rsidR="00ED69B2">
        <w:rPr>
          <w:rFonts w:ascii="Times New Roman" w:hAnsi="Times New Roman"/>
          <w:sz w:val="28"/>
          <w:szCs w:val="28"/>
        </w:rPr>
        <w:t xml:space="preserve"> по специальным банкротным основаниям</w:t>
      </w:r>
      <w:r w:rsidR="00671A7D">
        <w:rPr>
          <w:rFonts w:ascii="Times New Roman" w:hAnsi="Times New Roman"/>
          <w:sz w:val="28"/>
          <w:szCs w:val="28"/>
        </w:rPr>
        <w:t xml:space="preserve"> </w:t>
      </w:r>
      <w:r w:rsidRPr="00E6461E">
        <w:rPr>
          <w:rFonts w:ascii="Times New Roman" w:hAnsi="Times New Roman"/>
          <w:sz w:val="28"/>
          <w:szCs w:val="28"/>
        </w:rPr>
        <w:t>миров</w:t>
      </w:r>
      <w:r w:rsidR="00ED69B2">
        <w:rPr>
          <w:rFonts w:ascii="Times New Roman" w:hAnsi="Times New Roman"/>
          <w:sz w:val="28"/>
          <w:szCs w:val="28"/>
        </w:rPr>
        <w:t>ого соглашения</w:t>
      </w:r>
      <w:r w:rsidRPr="00E6461E">
        <w:rPr>
          <w:rFonts w:ascii="Times New Roman" w:hAnsi="Times New Roman"/>
          <w:sz w:val="28"/>
          <w:szCs w:val="28"/>
        </w:rPr>
        <w:t xml:space="preserve"> как судебного акта</w:t>
      </w:r>
      <w:r w:rsidR="000365CD">
        <w:rPr>
          <w:rFonts w:ascii="Times New Roman" w:hAnsi="Times New Roman"/>
          <w:sz w:val="28"/>
          <w:szCs w:val="28"/>
        </w:rPr>
        <w:t xml:space="preserve"> </w:t>
      </w:r>
      <w:r w:rsidR="002F0EC9">
        <w:rPr>
          <w:rFonts w:ascii="Times New Roman" w:hAnsi="Times New Roman"/>
          <w:sz w:val="28"/>
          <w:szCs w:val="28"/>
        </w:rPr>
        <w:t>в</w:t>
      </w:r>
      <w:r w:rsidR="002F0EC9" w:rsidRPr="00E6461E">
        <w:rPr>
          <w:rFonts w:ascii="Times New Roman" w:hAnsi="Times New Roman"/>
          <w:sz w:val="28"/>
          <w:szCs w:val="28"/>
        </w:rPr>
        <w:t xml:space="preserve"> деле,</w:t>
      </w:r>
      <w:r w:rsidRPr="00E6461E">
        <w:rPr>
          <w:rFonts w:ascii="Times New Roman" w:hAnsi="Times New Roman"/>
          <w:sz w:val="28"/>
          <w:szCs w:val="28"/>
        </w:rPr>
        <w:t xml:space="preserve"> </w:t>
      </w:r>
      <w:r w:rsidR="00ED69B2">
        <w:rPr>
          <w:rFonts w:ascii="Times New Roman" w:hAnsi="Times New Roman"/>
          <w:sz w:val="28"/>
          <w:szCs w:val="28"/>
        </w:rPr>
        <w:t>где оно утверждено</w:t>
      </w:r>
      <w:r w:rsidRPr="00E6461E">
        <w:rPr>
          <w:rFonts w:ascii="Times New Roman" w:hAnsi="Times New Roman"/>
          <w:sz w:val="28"/>
          <w:szCs w:val="28"/>
        </w:rPr>
        <w:t>;</w:t>
      </w:r>
    </w:p>
    <w:p w:rsidR="009E5F4C" w:rsidRDefault="009E5F4C" w:rsidP="009E5F4C">
      <w:pPr>
        <w:tabs>
          <w:tab w:val="left" w:leader="dot" w:pos="8849"/>
        </w:tabs>
        <w:spacing w:after="0" w:line="240" w:lineRule="auto"/>
        <w:ind w:firstLine="709"/>
        <w:jc w:val="both"/>
        <w:rPr>
          <w:rFonts w:ascii="Times New Roman" w:hAnsi="Times New Roman" w:cs="Times New Roman"/>
          <w:b/>
          <w:sz w:val="28"/>
          <w:szCs w:val="28"/>
        </w:rPr>
      </w:pPr>
      <w:bookmarkStart w:id="0" w:name="_GoBack"/>
      <w:bookmarkEnd w:id="0"/>
    </w:p>
    <w:p w:rsidR="00B3052C" w:rsidRPr="009E5F4C" w:rsidRDefault="002122DF" w:rsidP="009E5F4C">
      <w:pPr>
        <w:tabs>
          <w:tab w:val="left" w:leader="dot" w:pos="8849"/>
        </w:tabs>
        <w:spacing w:after="0" w:line="240" w:lineRule="auto"/>
        <w:ind w:firstLine="709"/>
        <w:jc w:val="both"/>
        <w:rPr>
          <w:rFonts w:ascii="Times New Roman" w:hAnsi="Times New Roman" w:cs="Times New Roman"/>
          <w:b/>
          <w:sz w:val="28"/>
          <w:szCs w:val="28"/>
        </w:rPr>
      </w:pPr>
      <w:r w:rsidRPr="009E5F4C">
        <w:rPr>
          <w:rFonts w:ascii="Times New Roman" w:hAnsi="Times New Roman" w:cs="Times New Roman"/>
          <w:b/>
          <w:sz w:val="28"/>
          <w:szCs w:val="28"/>
        </w:rPr>
        <w:t>Выводы, сделанные по результатам исследования:</w:t>
      </w:r>
    </w:p>
    <w:p w:rsidR="00C458D4" w:rsidRPr="00BE2D36" w:rsidRDefault="009E5F4C" w:rsidP="007879DA">
      <w:pPr>
        <w:autoSpaceDE w:val="0"/>
        <w:autoSpaceDN w:val="0"/>
        <w:adjustRightInd w:val="0"/>
        <w:spacing w:after="0" w:line="240" w:lineRule="auto"/>
        <w:ind w:firstLine="567"/>
        <w:jc w:val="both"/>
        <w:rPr>
          <w:rFonts w:ascii="Times New Roman" w:hAnsi="Times New Roman" w:cs="Times New Roman"/>
          <w:color w:val="auto"/>
          <w:sz w:val="28"/>
          <w:szCs w:val="28"/>
        </w:rPr>
      </w:pPr>
      <w:r w:rsidRPr="00BE2D36">
        <w:rPr>
          <w:rFonts w:ascii="Times New Roman" w:eastAsia="Times New Roman Bold" w:hAnsi="Times New Roman" w:cs="Times New Roman"/>
          <w:color w:val="auto"/>
          <w:sz w:val="28"/>
          <w:szCs w:val="28"/>
        </w:rPr>
        <w:t xml:space="preserve">1) </w:t>
      </w:r>
      <w:r w:rsidR="00151B5A" w:rsidRPr="00BE2D36">
        <w:rPr>
          <w:rFonts w:ascii="Times New Roman" w:hAnsi="Times New Roman" w:cs="Times New Roman"/>
          <w:sz w:val="28"/>
          <w:szCs w:val="28"/>
        </w:rPr>
        <w:t>оспаривание</w:t>
      </w:r>
      <w:r w:rsidR="00151B5A" w:rsidRPr="00BE2D36">
        <w:rPr>
          <w:rFonts w:ascii="Times New Roman" w:hAnsi="Times New Roman" w:cs="Times New Roman"/>
          <w:sz w:val="28"/>
          <w:szCs w:val="28"/>
        </w:rPr>
        <w:t xml:space="preserve"> действий должника по исполнению трудового договора </w:t>
      </w:r>
      <w:r w:rsidR="00151B5A" w:rsidRPr="00BE2D36">
        <w:rPr>
          <w:rFonts w:ascii="Times New Roman" w:hAnsi="Times New Roman" w:cs="Times New Roman"/>
          <w:sz w:val="28"/>
          <w:szCs w:val="28"/>
        </w:rPr>
        <w:t xml:space="preserve">должно происходить с учетом соблюдения гарантий, </w:t>
      </w:r>
      <w:r w:rsidR="00151B5A" w:rsidRPr="00BE2D36">
        <w:rPr>
          <w:rFonts w:ascii="Times New Roman" w:hAnsi="Times New Roman" w:cs="Times New Roman"/>
          <w:sz w:val="28"/>
          <w:szCs w:val="28"/>
        </w:rPr>
        <w:t>предоставленных работникам трудовым законодательством</w:t>
      </w:r>
      <w:r w:rsidR="00151B5A" w:rsidRPr="00BE2D36">
        <w:rPr>
          <w:rFonts w:ascii="Times New Roman" w:hAnsi="Times New Roman" w:cs="Times New Roman"/>
          <w:color w:val="auto"/>
          <w:sz w:val="28"/>
          <w:szCs w:val="28"/>
        </w:rPr>
        <w:t>, то есть по общему правилу исключать возможность взыскания соответствующих сумм с работников. Иммунитет обратного взыскания заработной платы действует и в процедурах банкротства. Исключения могут быть связаны только с переквалификацией соответствующих выплат.</w:t>
      </w:r>
    </w:p>
    <w:p w:rsidR="00C458D4" w:rsidRPr="00E152D6" w:rsidRDefault="009E5F4C" w:rsidP="007879DA">
      <w:pPr>
        <w:pStyle w:val="af0"/>
        <w:shd w:val="clear" w:color="auto" w:fill="FFFFFF"/>
        <w:spacing w:before="0" w:beforeAutospacing="0" w:after="0" w:afterAutospacing="0"/>
        <w:ind w:firstLine="567"/>
        <w:jc w:val="both"/>
        <w:rPr>
          <w:color w:val="FF0000"/>
          <w:sz w:val="28"/>
          <w:szCs w:val="28"/>
        </w:rPr>
      </w:pPr>
      <w:r>
        <w:rPr>
          <w:rFonts w:eastAsia="Times New Roman Bold"/>
          <w:sz w:val="28"/>
          <w:szCs w:val="28"/>
        </w:rPr>
        <w:t>2</w:t>
      </w:r>
      <w:r w:rsidR="00AF2056" w:rsidRPr="00AF2056">
        <w:rPr>
          <w:rFonts w:eastAsia="Times New Roman Bold"/>
          <w:sz w:val="28"/>
          <w:szCs w:val="28"/>
        </w:rPr>
        <w:t>.1</w:t>
      </w:r>
      <w:r>
        <w:rPr>
          <w:rFonts w:eastAsia="Times New Roman Bold"/>
          <w:sz w:val="28"/>
          <w:szCs w:val="28"/>
        </w:rPr>
        <w:t xml:space="preserve">) </w:t>
      </w:r>
      <w:r w:rsidR="005D4E68" w:rsidRPr="00E152D6">
        <w:rPr>
          <w:sz w:val="28"/>
          <w:szCs w:val="28"/>
        </w:rPr>
        <w:t>В условиях полного отсутствия в банковской системе опыта применения законодательного урегулирования процедуры прекращения денежных обязательств санируемого банка</w:t>
      </w:r>
      <w:r w:rsidR="00E152D6" w:rsidRPr="00E152D6">
        <w:rPr>
          <w:sz w:val="28"/>
          <w:szCs w:val="28"/>
        </w:rPr>
        <w:t>,</w:t>
      </w:r>
      <w:r w:rsidR="005D4E68" w:rsidRPr="00E152D6">
        <w:rPr>
          <w:sz w:val="28"/>
          <w:szCs w:val="28"/>
        </w:rPr>
        <w:t xml:space="preserve"> </w:t>
      </w:r>
      <w:r w:rsidR="00E152D6" w:rsidRPr="00E152D6">
        <w:rPr>
          <w:sz w:val="28"/>
          <w:szCs w:val="28"/>
        </w:rPr>
        <w:t>пп. 4 п. 12 ст. 189.49 Закона о банкротстве</w:t>
      </w:r>
      <w:r w:rsidR="00F45478">
        <w:rPr>
          <w:sz w:val="28"/>
          <w:szCs w:val="28"/>
        </w:rPr>
        <w:t>,</w:t>
      </w:r>
      <w:r w:rsidR="00E152D6" w:rsidRPr="00E152D6">
        <w:rPr>
          <w:sz w:val="28"/>
          <w:szCs w:val="28"/>
        </w:rPr>
        <w:t xml:space="preserve"> выраженн</w:t>
      </w:r>
      <w:r w:rsidR="00151B5A">
        <w:rPr>
          <w:sz w:val="28"/>
          <w:szCs w:val="28"/>
        </w:rPr>
        <w:t>ого</w:t>
      </w:r>
      <w:r w:rsidR="003F45EE" w:rsidRPr="00E152D6">
        <w:rPr>
          <w:sz w:val="28"/>
          <w:szCs w:val="28"/>
        </w:rPr>
        <w:t xml:space="preserve"> в</w:t>
      </w:r>
      <w:r w:rsidR="00E152D6" w:rsidRPr="00E152D6">
        <w:rPr>
          <w:sz w:val="28"/>
          <w:szCs w:val="28"/>
        </w:rPr>
        <w:t xml:space="preserve"> прекращении</w:t>
      </w:r>
      <w:r w:rsidR="003F45EE" w:rsidRPr="00E152D6">
        <w:rPr>
          <w:sz w:val="28"/>
          <w:szCs w:val="28"/>
        </w:rPr>
        <w:t xml:space="preserve"> денежных обязательств банка</w:t>
      </w:r>
      <w:r w:rsidR="00F45478">
        <w:rPr>
          <w:sz w:val="28"/>
          <w:szCs w:val="28"/>
        </w:rPr>
        <w:t>,</w:t>
      </w:r>
      <w:r w:rsidR="003F45EE" w:rsidRPr="00E152D6">
        <w:rPr>
          <w:sz w:val="28"/>
          <w:szCs w:val="28"/>
        </w:rPr>
        <w:t xml:space="preserve"> необоснованно отождествл</w:t>
      </w:r>
      <w:r w:rsidR="00151B5A">
        <w:rPr>
          <w:sz w:val="28"/>
          <w:szCs w:val="28"/>
        </w:rPr>
        <w:t>ять его со списанием денежных средств. Это противоречит положениям главы 26 и статьи</w:t>
      </w:r>
      <w:r w:rsidR="003F45EE" w:rsidRPr="00E152D6">
        <w:rPr>
          <w:sz w:val="28"/>
          <w:szCs w:val="28"/>
        </w:rPr>
        <w:t xml:space="preserve"> 854 ГК РФ.</w:t>
      </w:r>
    </w:p>
    <w:p w:rsidR="00D94035" w:rsidRDefault="00015C38" w:rsidP="009E5F4C">
      <w:pPr>
        <w:tabs>
          <w:tab w:val="left" w:leader="dot" w:pos="8849"/>
        </w:tabs>
        <w:spacing w:after="0" w:line="240" w:lineRule="auto"/>
        <w:ind w:firstLine="709"/>
        <w:jc w:val="both"/>
        <w:rPr>
          <w:rFonts w:ascii="Times New Roman" w:hAnsi="Times New Roman" w:cs="Times New Roman"/>
          <w:sz w:val="28"/>
          <w:szCs w:val="28"/>
        </w:rPr>
      </w:pPr>
      <w:r w:rsidRPr="00015C38">
        <w:rPr>
          <w:rFonts w:ascii="Times New Roman" w:hAnsi="Times New Roman" w:cs="Times New Roman"/>
          <w:sz w:val="28"/>
          <w:szCs w:val="28"/>
        </w:rPr>
        <w:t>Предлагаются изменения</w:t>
      </w:r>
      <w:r w:rsidR="00D94035" w:rsidRPr="00015C38">
        <w:rPr>
          <w:rFonts w:ascii="Times New Roman" w:hAnsi="Times New Roman" w:cs="Times New Roman"/>
          <w:sz w:val="28"/>
          <w:szCs w:val="28"/>
        </w:rPr>
        <w:t xml:space="preserve"> в статье 189.49 Закона о банкротстве </w:t>
      </w:r>
      <w:r w:rsidRPr="00015C38">
        <w:rPr>
          <w:rFonts w:ascii="Times New Roman" w:hAnsi="Times New Roman" w:cs="Times New Roman"/>
          <w:sz w:val="28"/>
          <w:szCs w:val="28"/>
        </w:rPr>
        <w:t>предусматривающие</w:t>
      </w:r>
      <w:r w:rsidR="00B6401F" w:rsidRPr="00015C38">
        <w:rPr>
          <w:rFonts w:ascii="Times New Roman" w:hAnsi="Times New Roman" w:cs="Times New Roman"/>
          <w:sz w:val="28"/>
          <w:szCs w:val="28"/>
        </w:rPr>
        <w:t xml:space="preserve"> временную блокировку счетов </w:t>
      </w:r>
      <w:r w:rsidRPr="00015C38">
        <w:rPr>
          <w:rFonts w:ascii="Times New Roman" w:hAnsi="Times New Roman" w:cs="Times New Roman"/>
          <w:sz w:val="28"/>
          <w:szCs w:val="28"/>
        </w:rPr>
        <w:t xml:space="preserve">лиц, перечисленных в пп. 4 п. 12 </w:t>
      </w:r>
      <w:r w:rsidR="00151B5A">
        <w:rPr>
          <w:rFonts w:ascii="Times New Roman" w:hAnsi="Times New Roman" w:cs="Times New Roman"/>
          <w:sz w:val="28"/>
          <w:szCs w:val="28"/>
        </w:rPr>
        <w:t>указанной статьи</w:t>
      </w:r>
      <w:r w:rsidR="00F45478">
        <w:rPr>
          <w:rFonts w:ascii="Times New Roman" w:hAnsi="Times New Roman" w:cs="Times New Roman"/>
          <w:sz w:val="28"/>
          <w:szCs w:val="28"/>
        </w:rPr>
        <w:t>.</w:t>
      </w:r>
    </w:p>
    <w:p w:rsidR="00AF2056" w:rsidRPr="008603BA" w:rsidRDefault="00AF2056" w:rsidP="00862838">
      <w:pPr>
        <w:pStyle w:val="af0"/>
        <w:shd w:val="clear" w:color="auto" w:fill="FFFFFF"/>
        <w:spacing w:before="0" w:beforeAutospacing="0" w:after="0" w:afterAutospacing="0"/>
        <w:ind w:firstLine="540"/>
        <w:jc w:val="both"/>
        <w:rPr>
          <w:sz w:val="28"/>
          <w:szCs w:val="28"/>
          <w:shd w:val="clear" w:color="auto" w:fill="FFFFFF"/>
        </w:rPr>
      </w:pPr>
      <w:r w:rsidRPr="00AF2056">
        <w:rPr>
          <w:sz w:val="28"/>
          <w:szCs w:val="28"/>
        </w:rPr>
        <w:t xml:space="preserve">2.2) </w:t>
      </w:r>
      <w:r>
        <w:rPr>
          <w:sz w:val="28"/>
          <w:szCs w:val="28"/>
          <w:shd w:val="clear" w:color="auto" w:fill="FFFFFF"/>
        </w:rPr>
        <w:t>Д</w:t>
      </w:r>
      <w:r w:rsidR="00151B5A">
        <w:rPr>
          <w:sz w:val="28"/>
          <w:szCs w:val="28"/>
          <w:shd w:val="clear" w:color="auto" w:fill="FFFFFF"/>
        </w:rPr>
        <w:t>ополнение</w:t>
      </w:r>
      <w:r w:rsidRPr="008603BA">
        <w:rPr>
          <w:sz w:val="28"/>
          <w:szCs w:val="28"/>
          <w:shd w:val="clear" w:color="auto" w:fill="FFFFFF"/>
        </w:rPr>
        <w:t xml:space="preserve"> в ст. 53 ГК РФ пункта 4 инициировало возможность применения к положениям трудового договора норм о недействительности сделки по основаниям, предусмотренным Законом </w:t>
      </w:r>
      <w:r w:rsidR="00F45478">
        <w:rPr>
          <w:sz w:val="28"/>
          <w:szCs w:val="28"/>
          <w:shd w:val="clear" w:color="auto" w:fill="FFFFFF"/>
        </w:rPr>
        <w:t xml:space="preserve">о банкротстве </w:t>
      </w:r>
      <w:r w:rsidRPr="008603BA">
        <w:rPr>
          <w:sz w:val="28"/>
          <w:szCs w:val="28"/>
          <w:shd w:val="clear" w:color="auto" w:fill="FFFFFF"/>
        </w:rPr>
        <w:t>и гражданским законодательством, но не послужил</w:t>
      </w:r>
      <w:r w:rsidR="00151B5A">
        <w:rPr>
          <w:sz w:val="28"/>
          <w:szCs w:val="28"/>
          <w:shd w:val="clear" w:color="auto" w:fill="FFFFFF"/>
        </w:rPr>
        <w:t>о</w:t>
      </w:r>
      <w:r w:rsidRPr="008603BA">
        <w:rPr>
          <w:sz w:val="28"/>
          <w:szCs w:val="28"/>
          <w:shd w:val="clear" w:color="auto" w:fill="FFFFFF"/>
        </w:rPr>
        <w:t xml:space="preserve"> катализатором изменения редакции гл. 43 </w:t>
      </w:r>
      <w:r w:rsidR="00F45478">
        <w:rPr>
          <w:sz w:val="28"/>
          <w:szCs w:val="28"/>
          <w:shd w:val="clear" w:color="auto" w:fill="FFFFFF"/>
        </w:rPr>
        <w:t xml:space="preserve">ТК РФ </w:t>
      </w:r>
      <w:r w:rsidRPr="008603BA">
        <w:rPr>
          <w:sz w:val="28"/>
          <w:szCs w:val="28"/>
          <w:shd w:val="clear" w:color="auto" w:fill="FFFFFF"/>
        </w:rPr>
        <w:t>об особенностях регулирования труда руководителя организации и членов коллегиального исполнительного органа организации.</w:t>
      </w:r>
    </w:p>
    <w:p w:rsidR="00BE2D36" w:rsidRDefault="009E5F4C" w:rsidP="009E5F4C">
      <w:pPr>
        <w:tabs>
          <w:tab w:val="left" w:leader="dot" w:pos="88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F5305">
        <w:rPr>
          <w:rFonts w:ascii="Times New Roman" w:hAnsi="Times New Roman" w:cs="Times New Roman"/>
          <w:sz w:val="28"/>
          <w:szCs w:val="28"/>
        </w:rPr>
        <w:t>В</w:t>
      </w:r>
      <w:r w:rsidR="007D6F54">
        <w:rPr>
          <w:rFonts w:ascii="Times New Roman" w:hAnsi="Times New Roman" w:cs="Times New Roman"/>
          <w:sz w:val="28"/>
          <w:szCs w:val="28"/>
        </w:rPr>
        <w:t xml:space="preserve"> судебной практике отсутствует четкая грань между заявление</w:t>
      </w:r>
      <w:r w:rsidR="00F45478">
        <w:rPr>
          <w:rFonts w:ascii="Times New Roman" w:hAnsi="Times New Roman" w:cs="Times New Roman"/>
          <w:sz w:val="28"/>
          <w:szCs w:val="28"/>
        </w:rPr>
        <w:t>м</w:t>
      </w:r>
      <w:r w:rsidR="007D6F54">
        <w:rPr>
          <w:rFonts w:ascii="Times New Roman" w:hAnsi="Times New Roman" w:cs="Times New Roman"/>
          <w:sz w:val="28"/>
          <w:szCs w:val="28"/>
        </w:rPr>
        <w:t xml:space="preserve"> о признании сделки недействительной и привлечении контролирующих лиц к субсидиарной ответственности. </w:t>
      </w:r>
    </w:p>
    <w:p w:rsidR="009154D2" w:rsidRPr="009E5F4C" w:rsidRDefault="009154D2" w:rsidP="009E5F4C">
      <w:pPr>
        <w:tabs>
          <w:tab w:val="left" w:leader="dot" w:pos="8849"/>
        </w:tabs>
        <w:spacing w:after="0" w:line="240" w:lineRule="auto"/>
        <w:ind w:firstLine="709"/>
        <w:jc w:val="both"/>
        <w:rPr>
          <w:rFonts w:ascii="Times New Roman" w:eastAsia="Times New Roman Bold" w:hAnsi="Times New Roman" w:cs="Times New Roman"/>
          <w:sz w:val="28"/>
          <w:szCs w:val="28"/>
        </w:rPr>
      </w:pPr>
      <w:r>
        <w:rPr>
          <w:rFonts w:ascii="Times New Roman" w:hAnsi="Times New Roman" w:cs="Times New Roman"/>
          <w:sz w:val="28"/>
          <w:szCs w:val="28"/>
        </w:rPr>
        <w:t>Предлагается изменение законодательства в части предусматривающем определение контролирующих лиц уже на стадии введения процедуры наблюдения.</w:t>
      </w:r>
    </w:p>
    <w:p w:rsidR="00BE2D36" w:rsidRDefault="009E5F4C" w:rsidP="00BE2D36">
      <w:pPr>
        <w:tabs>
          <w:tab w:val="left" w:leader="dot" w:pos="8849"/>
        </w:tabs>
        <w:spacing w:after="0" w:line="240" w:lineRule="auto"/>
        <w:ind w:firstLine="709"/>
        <w:jc w:val="both"/>
        <w:rPr>
          <w:rFonts w:ascii="Times New Roman" w:hAnsi="Times New Roman" w:cs="Times New Roman"/>
          <w:sz w:val="28"/>
          <w:szCs w:val="28"/>
        </w:rPr>
      </w:pPr>
      <w:r>
        <w:rPr>
          <w:rFonts w:ascii="Times New Roman" w:eastAsia="Times New Roman Bold" w:hAnsi="Times New Roman" w:cs="Times New Roman"/>
          <w:sz w:val="28"/>
          <w:szCs w:val="28"/>
        </w:rPr>
        <w:lastRenderedPageBreak/>
        <w:t xml:space="preserve">4) </w:t>
      </w:r>
      <w:r w:rsidR="003F5305">
        <w:rPr>
          <w:rFonts w:ascii="Times New Roman" w:hAnsi="Times New Roman" w:cs="Times New Roman"/>
          <w:sz w:val="28"/>
          <w:szCs w:val="28"/>
        </w:rPr>
        <w:t>Т</w:t>
      </w:r>
      <w:r w:rsidR="00496C67" w:rsidRPr="00C82C47">
        <w:rPr>
          <w:rFonts w:ascii="Times New Roman" w:hAnsi="Times New Roman" w:cs="Times New Roman"/>
          <w:sz w:val="28"/>
          <w:szCs w:val="28"/>
        </w:rPr>
        <w:t>ермин «Экстраординарное обжалование</w:t>
      </w:r>
      <w:r w:rsidR="00BE2D36">
        <w:rPr>
          <w:rFonts w:ascii="Times New Roman" w:hAnsi="Times New Roman" w:cs="Times New Roman"/>
          <w:sz w:val="28"/>
          <w:szCs w:val="28"/>
        </w:rPr>
        <w:t xml:space="preserve">», </w:t>
      </w:r>
      <w:r w:rsidR="00496C67" w:rsidRPr="00C82C47">
        <w:rPr>
          <w:rFonts w:ascii="Times New Roman" w:hAnsi="Times New Roman" w:cs="Times New Roman"/>
          <w:sz w:val="28"/>
          <w:szCs w:val="28"/>
        </w:rPr>
        <w:t>использованный Верховным Судом РФ в Обзоре судебной практики №2 (2020)</w:t>
      </w:r>
      <w:r w:rsidR="00BE2D36">
        <w:rPr>
          <w:rFonts w:ascii="Times New Roman" w:hAnsi="Times New Roman" w:cs="Times New Roman"/>
        </w:rPr>
        <w:t>,</w:t>
      </w:r>
      <w:r w:rsidR="00496C67">
        <w:rPr>
          <w:rFonts w:ascii="Times New Roman" w:hAnsi="Times New Roman" w:cs="Times New Roman"/>
          <w:sz w:val="28"/>
          <w:szCs w:val="28"/>
        </w:rPr>
        <w:t xml:space="preserve"> </w:t>
      </w:r>
      <w:r w:rsidR="00496C67" w:rsidRPr="00C82C47">
        <w:rPr>
          <w:rFonts w:ascii="Times New Roman" w:hAnsi="Times New Roman" w:cs="Times New Roman"/>
          <w:sz w:val="28"/>
          <w:szCs w:val="28"/>
        </w:rPr>
        <w:t>является симбиозом «Паул</w:t>
      </w:r>
      <w:r w:rsidR="00BE2D36">
        <w:rPr>
          <w:rFonts w:ascii="Times New Roman" w:hAnsi="Times New Roman" w:cs="Times New Roman"/>
          <w:sz w:val="28"/>
          <w:szCs w:val="28"/>
        </w:rPr>
        <w:t xml:space="preserve">ианова иска» (actio Pauliana), процедуры </w:t>
      </w:r>
      <w:r w:rsidR="00496C67" w:rsidRPr="00C82C47">
        <w:rPr>
          <w:rFonts w:ascii="Times New Roman" w:hAnsi="Times New Roman" w:cs="Times New Roman"/>
          <w:sz w:val="28"/>
          <w:szCs w:val="28"/>
        </w:rPr>
        <w:t>пересмотра судебных актов по вновь открывшимся обстоятельствам и их обжалования лицами, не привлеченными к участию в деле.</w:t>
      </w:r>
    </w:p>
    <w:p w:rsidR="00BE2D36" w:rsidRPr="00BE2D36" w:rsidRDefault="00BE2D36" w:rsidP="00BE2D36">
      <w:pPr>
        <w:tabs>
          <w:tab w:val="left" w:leader="dot" w:pos="8849"/>
        </w:tabs>
        <w:spacing w:after="0" w:line="240" w:lineRule="auto"/>
        <w:ind w:firstLine="709"/>
        <w:jc w:val="both"/>
        <w:rPr>
          <w:rFonts w:ascii="Times New Roman" w:hAnsi="Times New Roman" w:cs="Times New Roman"/>
          <w:sz w:val="28"/>
          <w:szCs w:val="28"/>
        </w:rPr>
      </w:pPr>
      <w:r w:rsidRPr="00BE2D36">
        <w:rPr>
          <w:rFonts w:ascii="Times New Roman" w:hAnsi="Times New Roman"/>
          <w:sz w:val="28"/>
          <w:szCs w:val="28"/>
        </w:rPr>
        <w:t xml:space="preserve">Предлагается применение подобного механизма восстановления прав кредиторов только </w:t>
      </w:r>
      <w:r w:rsidRPr="00BE2D36">
        <w:rPr>
          <w:rFonts w:ascii="Times New Roman" w:hAnsi="Times New Roman"/>
          <w:color w:val="000000" w:themeColor="text1"/>
          <w:sz w:val="28"/>
          <w:szCs w:val="28"/>
        </w:rPr>
        <w:t>в случаях</w:t>
      </w:r>
      <w:r w:rsidRPr="00BE2D36">
        <w:rPr>
          <w:rFonts w:ascii="Times New Roman" w:hAnsi="Times New Roman"/>
          <w:color w:val="000000" w:themeColor="text1"/>
          <w:sz w:val="28"/>
          <w:szCs w:val="28"/>
        </w:rPr>
        <w:t>,</w:t>
      </w:r>
      <w:r w:rsidRPr="00BE2D36">
        <w:rPr>
          <w:rFonts w:ascii="Times New Roman" w:hAnsi="Times New Roman"/>
          <w:color w:val="000000" w:themeColor="text1"/>
          <w:sz w:val="28"/>
          <w:szCs w:val="28"/>
        </w:rPr>
        <w:t xml:space="preserve"> если </w:t>
      </w:r>
      <w:r w:rsidRPr="00BE2D36">
        <w:rPr>
          <w:rFonts w:ascii="Times New Roman" w:hAnsi="Times New Roman"/>
          <w:color w:val="000000" w:themeColor="text1"/>
          <w:sz w:val="28"/>
          <w:szCs w:val="28"/>
        </w:rPr>
        <w:t>он</w:t>
      </w:r>
      <w:r w:rsidRPr="00BE2D36">
        <w:rPr>
          <w:rFonts w:ascii="Times New Roman" w:hAnsi="Times New Roman"/>
          <w:color w:val="000000" w:themeColor="text1"/>
          <w:sz w:val="28"/>
          <w:szCs w:val="28"/>
        </w:rPr>
        <w:t xml:space="preserve"> поставит вопрос о признании мирового соглашения недействительной сделкой по основаниям, предусмотренным нормами ГК РФ, например, как мнимой сделки по ст. 170 ГК РФ или как сделки, совершенной под влиянием обмана (ст. 179 ГК РФ).</w:t>
      </w:r>
    </w:p>
    <w:p w:rsidR="00BE2D36" w:rsidRPr="00626203" w:rsidRDefault="00BE2D36" w:rsidP="00D00595">
      <w:pPr>
        <w:tabs>
          <w:tab w:val="left" w:leader="dot" w:pos="8849"/>
        </w:tabs>
        <w:spacing w:after="0" w:line="240" w:lineRule="auto"/>
        <w:ind w:firstLine="709"/>
        <w:jc w:val="both"/>
        <w:rPr>
          <w:rFonts w:ascii="Times New Roman" w:hAnsi="Times New Roman" w:cs="Times New Roman"/>
          <w:sz w:val="28"/>
          <w:szCs w:val="28"/>
        </w:rPr>
      </w:pPr>
    </w:p>
    <w:sectPr w:rsidR="00BE2D36" w:rsidRPr="00626203" w:rsidSect="009E5F4C">
      <w:pgSz w:w="11900" w:h="16840"/>
      <w:pgMar w:top="567" w:right="567"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7F" w:rsidRDefault="00F7437F">
      <w:pPr>
        <w:spacing w:after="0" w:line="240" w:lineRule="auto"/>
      </w:pPr>
      <w:r>
        <w:separator/>
      </w:r>
    </w:p>
  </w:endnote>
  <w:endnote w:type="continuationSeparator" w:id="0">
    <w:p w:rsidR="00F7437F" w:rsidRDefault="00F7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7F" w:rsidRDefault="00F7437F">
      <w:pPr>
        <w:spacing w:after="0" w:line="240" w:lineRule="auto"/>
      </w:pPr>
      <w:r>
        <w:separator/>
      </w:r>
    </w:p>
  </w:footnote>
  <w:footnote w:type="continuationSeparator" w:id="0">
    <w:p w:rsidR="00F7437F" w:rsidRDefault="00F74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1EF"/>
    <w:multiLevelType w:val="multilevel"/>
    <w:tmpl w:val="B234E3CC"/>
    <w:lvl w:ilvl="0">
      <w:start w:val="1"/>
      <w:numFmt w:val="decimal"/>
      <w:lvlText w:val="%1."/>
      <w:lvlJc w:val="left"/>
      <w:pPr>
        <w:tabs>
          <w:tab w:val="num" w:pos="458"/>
        </w:tabs>
        <w:ind w:left="458" w:hanging="458"/>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818"/>
        </w:tabs>
        <w:ind w:left="818" w:hanging="458"/>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178"/>
        </w:tabs>
        <w:ind w:left="1178" w:hanging="458"/>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538"/>
        </w:tabs>
        <w:ind w:left="1538" w:hanging="458"/>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1898"/>
        </w:tabs>
        <w:ind w:left="1898" w:hanging="458"/>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258"/>
        </w:tabs>
        <w:ind w:left="2258" w:hanging="458"/>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618"/>
        </w:tabs>
        <w:ind w:left="2618" w:hanging="458"/>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2978"/>
        </w:tabs>
        <w:ind w:left="2978" w:hanging="458"/>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338"/>
        </w:tabs>
        <w:ind w:left="3338" w:hanging="458"/>
      </w:pPr>
      <w:rPr>
        <w:rFonts w:ascii="Times New Roman Bold" w:eastAsia="Times New Roman Bold" w:hAnsi="Times New Roman Bold" w:cs="Times New Roman Bold"/>
        <w:position w:val="0"/>
        <w:sz w:val="28"/>
        <w:szCs w:val="28"/>
      </w:rPr>
    </w:lvl>
  </w:abstractNum>
  <w:abstractNum w:abstractNumId="1" w15:restartNumberingAfterBreak="0">
    <w:nsid w:val="1DB15904"/>
    <w:multiLevelType w:val="multilevel"/>
    <w:tmpl w:val="8D1E5168"/>
    <w:styleLink w:val="a"/>
    <w:lvl w:ilvl="0">
      <w:start w:val="1"/>
      <w:numFmt w:val="decimal"/>
      <w:lvlText w:val="%1."/>
      <w:lvlJc w:val="left"/>
      <w:pPr>
        <w:tabs>
          <w:tab w:val="num" w:pos="458"/>
        </w:tabs>
        <w:ind w:left="458" w:hanging="458"/>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818"/>
        </w:tabs>
        <w:ind w:left="818" w:hanging="458"/>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178"/>
        </w:tabs>
        <w:ind w:left="1178" w:hanging="458"/>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538"/>
        </w:tabs>
        <w:ind w:left="1538" w:hanging="458"/>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1898"/>
        </w:tabs>
        <w:ind w:left="1898" w:hanging="458"/>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258"/>
        </w:tabs>
        <w:ind w:left="2258" w:hanging="458"/>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618"/>
        </w:tabs>
        <w:ind w:left="2618" w:hanging="458"/>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2978"/>
        </w:tabs>
        <w:ind w:left="2978" w:hanging="458"/>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338"/>
        </w:tabs>
        <w:ind w:left="3338" w:hanging="458"/>
      </w:pPr>
      <w:rPr>
        <w:rFonts w:ascii="Times New Roman Bold" w:eastAsia="Times New Roman Bold" w:hAnsi="Times New Roman Bold" w:cs="Times New Roman Bold"/>
        <w:position w:val="0"/>
        <w:sz w:val="28"/>
        <w:szCs w:val="28"/>
      </w:rPr>
    </w:lvl>
  </w:abstractNum>
  <w:abstractNum w:abstractNumId="2" w15:restartNumberingAfterBreak="0">
    <w:nsid w:val="33C01AD8"/>
    <w:multiLevelType w:val="hybridMultilevel"/>
    <w:tmpl w:val="1E66AC40"/>
    <w:lvl w:ilvl="0" w:tplc="73BC9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1A79C6"/>
    <w:multiLevelType w:val="multilevel"/>
    <w:tmpl w:val="FA7C023E"/>
    <w:lvl w:ilvl="0">
      <w:start w:val="1"/>
      <w:numFmt w:val="decimal"/>
      <w:lvlText w:val="%1."/>
      <w:lvlJc w:val="left"/>
      <w:pPr>
        <w:tabs>
          <w:tab w:val="num" w:pos="600"/>
        </w:tabs>
        <w:ind w:left="600" w:hanging="458"/>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960"/>
        </w:tabs>
        <w:ind w:left="960" w:hanging="458"/>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320"/>
        </w:tabs>
        <w:ind w:left="1320" w:hanging="458"/>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680"/>
        </w:tabs>
        <w:ind w:left="1680" w:hanging="458"/>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040"/>
        </w:tabs>
        <w:ind w:left="2040" w:hanging="458"/>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400"/>
        </w:tabs>
        <w:ind w:left="2400" w:hanging="458"/>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760"/>
        </w:tabs>
        <w:ind w:left="2760" w:hanging="458"/>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120"/>
        </w:tabs>
        <w:ind w:left="3120" w:hanging="458"/>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480"/>
        </w:tabs>
        <w:ind w:left="3480" w:hanging="458"/>
      </w:pPr>
      <w:rPr>
        <w:rFonts w:ascii="Times New Roman Bold" w:eastAsia="Times New Roman Bold" w:hAnsi="Times New Roman Bold" w:cs="Times New Roman Bold"/>
        <w:position w:val="0"/>
        <w:sz w:val="28"/>
        <w:szCs w:val="28"/>
      </w:rPr>
    </w:lvl>
  </w:abstractNum>
  <w:abstractNum w:abstractNumId="4" w15:restartNumberingAfterBreak="0">
    <w:nsid w:val="50BF053B"/>
    <w:multiLevelType w:val="hybridMultilevel"/>
    <w:tmpl w:val="E2F2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4F7FF1"/>
    <w:multiLevelType w:val="hybridMultilevel"/>
    <w:tmpl w:val="4E14ADD2"/>
    <w:lvl w:ilvl="0" w:tplc="73BC9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2C"/>
    <w:rsid w:val="00015C38"/>
    <w:rsid w:val="000365CD"/>
    <w:rsid w:val="00063A14"/>
    <w:rsid w:val="0006535E"/>
    <w:rsid w:val="000E0922"/>
    <w:rsid w:val="000E281F"/>
    <w:rsid w:val="001011B9"/>
    <w:rsid w:val="0015130D"/>
    <w:rsid w:val="0015152E"/>
    <w:rsid w:val="00151B5A"/>
    <w:rsid w:val="001B64F3"/>
    <w:rsid w:val="00210F65"/>
    <w:rsid w:val="002122DF"/>
    <w:rsid w:val="002E1FF1"/>
    <w:rsid w:val="002F0EC9"/>
    <w:rsid w:val="003C1043"/>
    <w:rsid w:val="003F45EE"/>
    <w:rsid w:val="003F5305"/>
    <w:rsid w:val="0040512F"/>
    <w:rsid w:val="00460EE4"/>
    <w:rsid w:val="00470367"/>
    <w:rsid w:val="0048272B"/>
    <w:rsid w:val="00496C67"/>
    <w:rsid w:val="004B56A8"/>
    <w:rsid w:val="004F031A"/>
    <w:rsid w:val="005002B7"/>
    <w:rsid w:val="005D4E68"/>
    <w:rsid w:val="00626203"/>
    <w:rsid w:val="006473A1"/>
    <w:rsid w:val="00671A7D"/>
    <w:rsid w:val="006C1B2A"/>
    <w:rsid w:val="007035FC"/>
    <w:rsid w:val="007058D1"/>
    <w:rsid w:val="007073B3"/>
    <w:rsid w:val="0077278D"/>
    <w:rsid w:val="007879DA"/>
    <w:rsid w:val="007D6F54"/>
    <w:rsid w:val="00844A66"/>
    <w:rsid w:val="00862838"/>
    <w:rsid w:val="008766CB"/>
    <w:rsid w:val="00914733"/>
    <w:rsid w:val="009154D2"/>
    <w:rsid w:val="009215CD"/>
    <w:rsid w:val="009E5F4C"/>
    <w:rsid w:val="009E72FB"/>
    <w:rsid w:val="00A616FF"/>
    <w:rsid w:val="00AC427B"/>
    <w:rsid w:val="00AF2056"/>
    <w:rsid w:val="00B3052C"/>
    <w:rsid w:val="00B6401F"/>
    <w:rsid w:val="00B66388"/>
    <w:rsid w:val="00B85857"/>
    <w:rsid w:val="00BC6119"/>
    <w:rsid w:val="00BE16F8"/>
    <w:rsid w:val="00BE2D36"/>
    <w:rsid w:val="00C06783"/>
    <w:rsid w:val="00C458D4"/>
    <w:rsid w:val="00C61B8D"/>
    <w:rsid w:val="00CA7C8D"/>
    <w:rsid w:val="00CB373F"/>
    <w:rsid w:val="00CC3E93"/>
    <w:rsid w:val="00D00595"/>
    <w:rsid w:val="00D22BED"/>
    <w:rsid w:val="00D67C38"/>
    <w:rsid w:val="00D830D6"/>
    <w:rsid w:val="00D94035"/>
    <w:rsid w:val="00DA0D92"/>
    <w:rsid w:val="00DB0E24"/>
    <w:rsid w:val="00DC0DEE"/>
    <w:rsid w:val="00DC6D5D"/>
    <w:rsid w:val="00E1165B"/>
    <w:rsid w:val="00E152D6"/>
    <w:rsid w:val="00E57C73"/>
    <w:rsid w:val="00E6461E"/>
    <w:rsid w:val="00EA1A08"/>
    <w:rsid w:val="00EC5990"/>
    <w:rsid w:val="00ED69B2"/>
    <w:rsid w:val="00F45478"/>
    <w:rsid w:val="00F63837"/>
    <w:rsid w:val="00F7437F"/>
    <w:rsid w:val="00FF0C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C3DFE"/>
  <w15:docId w15:val="{62F15D51-C405-4024-86A7-F4B81FF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after="200" w:line="276" w:lineRule="auto"/>
    </w:pPr>
    <w:rPr>
      <w:rFonts w:ascii="Calibri" w:eastAsia="Calibri" w:hAnsi="Calibri" w:cs="Calibri"/>
      <w:color w:val="000000"/>
      <w:sz w:val="22"/>
      <w:szCs w:val="22"/>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paragraph" w:customStyle="1" w:styleId="a6">
    <w:name w:val="текстработы"/>
    <w:pPr>
      <w:spacing w:line="360" w:lineRule="auto"/>
      <w:ind w:firstLine="720"/>
      <w:jc w:val="both"/>
    </w:pPr>
    <w:rPr>
      <w:rFonts w:ascii="Arial Unicode MS" w:cs="Arial Unicode MS"/>
      <w:color w:val="000000"/>
      <w:sz w:val="28"/>
      <w:szCs w:val="28"/>
      <w:u w:color="000000"/>
    </w:rPr>
  </w:style>
  <w:style w:type="paragraph" w:customStyle="1" w:styleId="a7">
    <w:name w:val="Текст в заданном формате"/>
    <w:pPr>
      <w:widowControl w:val="0"/>
      <w:suppressAutoHyphens/>
    </w:pPr>
    <w:rPr>
      <w:rFonts w:ascii="Arial Unicode MS" w:cs="Arial Unicode MS"/>
      <w:color w:val="000000"/>
      <w:u w:color="000000"/>
    </w:rPr>
  </w:style>
  <w:style w:type="numbering" w:customStyle="1" w:styleId="a">
    <w:name w:val="С числами"/>
    <w:pPr>
      <w:numPr>
        <w:numId w:val="3"/>
      </w:numPr>
    </w:pPr>
  </w:style>
  <w:style w:type="paragraph" w:styleId="a8">
    <w:name w:val="List Paragraph"/>
    <w:basedOn w:val="a0"/>
    <w:uiPriority w:val="34"/>
    <w:qFormat/>
    <w:rsid w:val="004B56A8"/>
    <w:pPr>
      <w:ind w:left="720"/>
      <w:contextualSpacing/>
    </w:pPr>
  </w:style>
  <w:style w:type="paragraph" w:styleId="a9">
    <w:name w:val="header"/>
    <w:basedOn w:val="a0"/>
    <w:link w:val="aa"/>
    <w:uiPriority w:val="99"/>
    <w:unhideWhenUsed/>
    <w:rsid w:val="009E5F4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E5F4C"/>
    <w:rPr>
      <w:rFonts w:ascii="Calibri" w:eastAsia="Calibri" w:hAnsi="Calibri" w:cs="Calibri"/>
      <w:color w:val="000000"/>
      <w:sz w:val="22"/>
      <w:szCs w:val="22"/>
      <w:u w:color="000000"/>
      <w:lang w:eastAsia="en-US"/>
    </w:rPr>
  </w:style>
  <w:style w:type="paragraph" w:styleId="ab">
    <w:name w:val="footer"/>
    <w:basedOn w:val="a0"/>
    <w:link w:val="ac"/>
    <w:uiPriority w:val="99"/>
    <w:unhideWhenUsed/>
    <w:rsid w:val="009E5F4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E5F4C"/>
    <w:rPr>
      <w:rFonts w:ascii="Calibri" w:eastAsia="Calibri" w:hAnsi="Calibri" w:cs="Calibri"/>
      <w:color w:val="000000"/>
      <w:sz w:val="22"/>
      <w:szCs w:val="22"/>
      <w:u w:color="000000"/>
      <w:lang w:eastAsia="en-US"/>
    </w:rPr>
  </w:style>
  <w:style w:type="paragraph" w:customStyle="1" w:styleId="ConsPlusNormal">
    <w:name w:val="ConsPlusNormal"/>
    <w:rsid w:val="00496C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09"/>
      <w:jc w:val="both"/>
    </w:pPr>
    <w:rPr>
      <w:rFonts w:ascii="Calibri" w:eastAsia="Times New Roman" w:hAnsi="Calibri" w:cs="Calibri"/>
      <w:sz w:val="22"/>
      <w:bdr w:val="none" w:sz="0" w:space="0" w:color="auto"/>
    </w:rPr>
  </w:style>
  <w:style w:type="paragraph" w:styleId="ad">
    <w:name w:val="footnote text"/>
    <w:basedOn w:val="a0"/>
    <w:link w:val="ae"/>
    <w:uiPriority w:val="99"/>
    <w:semiHidden/>
    <w:unhideWhenUsed/>
    <w:rsid w:val="00496C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pPr>
    <w:rPr>
      <w:rFonts w:asciiTheme="minorHAnsi" w:eastAsiaTheme="minorHAnsi" w:hAnsiTheme="minorHAnsi" w:cstheme="minorBidi"/>
      <w:color w:val="auto"/>
      <w:sz w:val="20"/>
      <w:szCs w:val="20"/>
      <w:bdr w:val="none" w:sz="0" w:space="0" w:color="auto"/>
    </w:rPr>
  </w:style>
  <w:style w:type="character" w:customStyle="1" w:styleId="ae">
    <w:name w:val="Текст сноски Знак"/>
    <w:basedOn w:val="a1"/>
    <w:link w:val="ad"/>
    <w:uiPriority w:val="99"/>
    <w:semiHidden/>
    <w:rsid w:val="00496C67"/>
    <w:rPr>
      <w:rFonts w:asciiTheme="minorHAnsi" w:eastAsiaTheme="minorHAnsi" w:hAnsiTheme="minorHAnsi" w:cstheme="minorBidi"/>
      <w:bdr w:val="none" w:sz="0" w:space="0" w:color="auto"/>
      <w:lang w:eastAsia="en-US"/>
    </w:rPr>
  </w:style>
  <w:style w:type="character" w:styleId="af">
    <w:name w:val="footnote reference"/>
    <w:basedOn w:val="a1"/>
    <w:uiPriority w:val="99"/>
    <w:semiHidden/>
    <w:unhideWhenUsed/>
    <w:rsid w:val="00496C67"/>
    <w:rPr>
      <w:vertAlign w:val="superscript"/>
    </w:rPr>
  </w:style>
  <w:style w:type="paragraph" w:styleId="af0">
    <w:name w:val="Normal (Web)"/>
    <w:aliases w:val="Обычный (Web),Обычный (веб)1"/>
    <w:basedOn w:val="a0"/>
    <w:link w:val="af1"/>
    <w:uiPriority w:val="99"/>
    <w:rsid w:val="00DC6D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f1">
    <w:name w:val="Обычный (веб) Знак"/>
    <w:aliases w:val="Обычный (Web) Знак,Обычный (веб)1 Знак"/>
    <w:link w:val="af0"/>
    <w:uiPriority w:val="99"/>
    <w:rsid w:val="00DC6D5D"/>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FF52300536B94B8FDFB0F77D0D660D" ma:contentTypeVersion="3" ma:contentTypeDescription="Создание документа." ma:contentTypeScope="" ma:versionID="f9271d63579d8042303488ba8a7ab9d6">
  <xsd:schema xmlns:xsd="http://www.w3.org/2001/XMLSchema" xmlns:xs="http://www.w3.org/2001/XMLSchema" xmlns:p="http://schemas.microsoft.com/office/2006/metadata/properties" xmlns:ns2="b42c4d9f-4898-4fb9-8333-aba21ed78998" targetNamespace="http://schemas.microsoft.com/office/2006/metadata/properties" ma:root="true" ma:fieldsID="91b899e18eea3065469eee638e2980dc" ns2:_="">
    <xsd:import namespace="b42c4d9f-4898-4fb9-8333-aba21ed7899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4d9f-4898-4fb9-8333-aba21ed78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002D-AA55-47EB-A9B2-597D08FD4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4d9f-4898-4fb9-8333-aba21ed7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DAEBB-7B30-4A9B-A29D-0680E840C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08030-7627-4AED-9874-B638139F91BA}">
  <ds:schemaRefs>
    <ds:schemaRef ds:uri="http://schemas.microsoft.com/sharepoint/v3/contenttype/forms"/>
  </ds:schemaRefs>
</ds:datastoreItem>
</file>

<file path=customXml/itemProps4.xml><?xml version="1.0" encoding="utf-8"?>
<ds:datastoreItem xmlns:ds="http://schemas.openxmlformats.org/officeDocument/2006/customXml" ds:itemID="{34F46454-4428-4AA8-BC42-E3735469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Шишканов Алексей Олегович</cp:lastModifiedBy>
  <cp:revision>3</cp:revision>
  <dcterms:created xsi:type="dcterms:W3CDTF">2022-05-13T06:58:00Z</dcterms:created>
  <dcterms:modified xsi:type="dcterms:W3CDTF">2022-05-13T07:20:00Z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0x010100C1FF52300536B94B8FDFB0F77D0D660D</vt:lpwstr>
  </property>
</Properties>
</file>