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67" w:rsidRPr="00CF1D34" w:rsidRDefault="00177867" w:rsidP="00177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3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77867" w:rsidRPr="00CF1D34" w:rsidRDefault="00177867" w:rsidP="00177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34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 студентки магистратуры по программе «Юрист в сфере финансового рынка (финансовый юрист)»</w:t>
      </w:r>
    </w:p>
    <w:p w:rsidR="00177867" w:rsidRPr="00CF1D34" w:rsidRDefault="00177867" w:rsidP="00177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34">
        <w:rPr>
          <w:rFonts w:ascii="Times New Roman" w:hAnsi="Times New Roman" w:cs="Times New Roman"/>
          <w:b/>
          <w:sz w:val="28"/>
          <w:szCs w:val="28"/>
        </w:rPr>
        <w:t>Расторгуевой Ирины Владимировны на тему</w:t>
      </w:r>
    </w:p>
    <w:p w:rsidR="00177867" w:rsidRPr="00CF1D34" w:rsidRDefault="00177867" w:rsidP="00177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34">
        <w:rPr>
          <w:rFonts w:ascii="Times New Roman" w:hAnsi="Times New Roman" w:cs="Times New Roman"/>
          <w:b/>
          <w:sz w:val="28"/>
          <w:szCs w:val="28"/>
        </w:rPr>
        <w:t>«Реализация риск-ориентированного подхода в правовом регулировании страховых организаций в Российской Федерации»</w:t>
      </w:r>
    </w:p>
    <w:p w:rsidR="00177867" w:rsidRPr="00CF1D34" w:rsidRDefault="00177867" w:rsidP="00177867">
      <w:pPr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67" w:rsidRPr="00CF1D34" w:rsidRDefault="00177867" w:rsidP="00443F71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34">
        <w:rPr>
          <w:rFonts w:ascii="Times New Roman" w:hAnsi="Times New Roman" w:cs="Times New Roman"/>
          <w:b/>
          <w:sz w:val="28"/>
          <w:szCs w:val="28"/>
        </w:rPr>
        <w:t>Цель и задачи исследования:</w:t>
      </w:r>
    </w:p>
    <w:p w:rsidR="00177867" w:rsidRPr="00CF1D34" w:rsidRDefault="00177867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1.</w:t>
      </w:r>
      <w:r w:rsidRPr="00CF1D34">
        <w:rPr>
          <w:rFonts w:ascii="Times New Roman" w:hAnsi="Times New Roman" w:cs="Times New Roman"/>
          <w:sz w:val="28"/>
          <w:szCs w:val="28"/>
        </w:rPr>
        <w:tab/>
        <w:t>Рассмотрение процесса реализации в Российской Федерации требований Директивы Европейского парламента и Совета Европейского союза от 25 ноября 2009 года №2009/138/ЕС «Об организации и осуществлении деятельности в области страхования и перестрахования (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II)», а именно: </w:t>
      </w:r>
    </w:p>
    <w:p w:rsidR="00177867" w:rsidRPr="00CF1D34" w:rsidRDefault="00177867" w:rsidP="00443F71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количественных требований (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Quantitave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>),</w:t>
      </w:r>
    </w:p>
    <w:p w:rsidR="00177867" w:rsidRPr="00CF1D34" w:rsidRDefault="00177867" w:rsidP="00443F71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качественных требований (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Qualitative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>),</w:t>
      </w:r>
    </w:p>
    <w:p w:rsidR="00177867" w:rsidRPr="00CF1D34" w:rsidRDefault="00177867" w:rsidP="00443F71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требований к рыночной дисциплине и информационной прозрачности (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>);</w:t>
      </w:r>
    </w:p>
    <w:p w:rsidR="00177867" w:rsidRPr="00CF1D34" w:rsidRDefault="00177867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2.</w:t>
      </w:r>
      <w:r w:rsidRPr="00CF1D34">
        <w:rPr>
          <w:rFonts w:ascii="Times New Roman" w:hAnsi="Times New Roman" w:cs="Times New Roman"/>
          <w:sz w:val="28"/>
          <w:szCs w:val="28"/>
        </w:rPr>
        <w:tab/>
        <w:t xml:space="preserve">Исследование проблем, связанных с имплементацией вышеперечисленных требований Директивы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II в российское законодательство;</w:t>
      </w:r>
    </w:p>
    <w:p w:rsidR="00177867" w:rsidRPr="00CF1D34" w:rsidRDefault="00177867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3.</w:t>
      </w:r>
      <w:r w:rsidRPr="00CF1D34">
        <w:rPr>
          <w:rFonts w:ascii="Times New Roman" w:hAnsi="Times New Roman" w:cs="Times New Roman"/>
          <w:sz w:val="28"/>
          <w:szCs w:val="28"/>
        </w:rPr>
        <w:tab/>
        <w:t xml:space="preserve">Обзор и анализ релевантной судебной практики и Решений Банка России в отношении страховых и перестраховочных организаций, связанных с имплементацией требований Директивы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II в российское законодательство.</w:t>
      </w:r>
    </w:p>
    <w:p w:rsidR="00177867" w:rsidRPr="00CF1D34" w:rsidRDefault="00177867" w:rsidP="00443F7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7867" w:rsidRPr="00CF1D34" w:rsidRDefault="00177867" w:rsidP="00443F71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34">
        <w:rPr>
          <w:rFonts w:ascii="Times New Roman" w:hAnsi="Times New Roman" w:cs="Times New Roman"/>
          <w:b/>
          <w:sz w:val="28"/>
          <w:szCs w:val="28"/>
        </w:rPr>
        <w:t>Выводы, сделанные по результатам исследования:</w:t>
      </w:r>
    </w:p>
    <w:p w:rsidR="00177867" w:rsidRPr="00CF1D34" w:rsidRDefault="00CF1D34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7867" w:rsidRPr="00CF1D34">
        <w:rPr>
          <w:rFonts w:ascii="Times New Roman" w:hAnsi="Times New Roman" w:cs="Times New Roman"/>
          <w:sz w:val="28"/>
          <w:szCs w:val="28"/>
        </w:rPr>
        <w:t>В российском законодательстве такие количественные требования, как минимальные требования к уставному капиталу, минимальные требования к платёжеспособности, а также требования к инвестированию характеризуются более жестким уровнем регулирования по сравнению с регулированием в Европейским Союзе. Этот тезис подкреплен следующими выводами:</w:t>
      </w:r>
    </w:p>
    <w:p w:rsidR="00177867" w:rsidRPr="00CF1D34" w:rsidRDefault="00177867" w:rsidP="00443F71">
      <w:pPr>
        <w:pStyle w:val="a3"/>
        <w:numPr>
          <w:ilvl w:val="0"/>
          <w:numId w:val="1"/>
        </w:numPr>
        <w:spacing w:before="12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>Российское законодательство не предусматривает диспозитивный характер способов (методов) расчета нормативного показателя маржи платежеспособности (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Requirment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). Метод расчета данного показателя установлен Положением Банка России от 10 января 2020 года № 710-П «Об отдельных требованиях к финансовой устойчивости и платежеспособности страховщиков». В то же время,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II предусматривает диспозитивность данной нормы: в соответствии со ст. 100 Директивы, требование к капиталу для обеспечения платежеспособности рассчитывается либо в соответствии со стандартной формулой (указанной в подразделе 2 Директивы), либо с использованием внутренней модели (указанной в Подразделе 3 Директивы). </w:t>
      </w:r>
    </w:p>
    <w:p w:rsidR="00177867" w:rsidRPr="00CF1D34" w:rsidRDefault="00177867" w:rsidP="00443F71">
      <w:pPr>
        <w:pStyle w:val="a3"/>
        <w:numPr>
          <w:ilvl w:val="0"/>
          <w:numId w:val="1"/>
        </w:numPr>
        <w:spacing w:before="120"/>
        <w:ind w:left="-284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II предусматривает свободу инвестиций. Согласно п. 1 ст. 133 Директивы, государства-члены Евросоюза не должны требовать от страховых и перестраховочных организаций инвестирования в определенные категории </w:t>
      </w:r>
      <w:r w:rsidRPr="00CF1D34">
        <w:rPr>
          <w:rFonts w:ascii="Times New Roman" w:hAnsi="Times New Roman" w:cs="Times New Roman"/>
          <w:sz w:val="28"/>
          <w:szCs w:val="28"/>
        </w:rPr>
        <w:lastRenderedPageBreak/>
        <w:t>активов, не должны подвергать инвестиционные решения страховой или перестраховочной организации или ее управляющего инвестициями каким-либо требованиям предварительного одобрения или систематического уведомления. В п. 1 ст. 134 Директивы установлено, что государства-члены Евросоюза не должны требовать, чтобы активы, удерживаемые для покрытия технических резервов, связанных с этими рисками, были локализованы в пределах Сообщества или в каких-либо конкретных государствах-членах. В российском законодательстве Регулятор устанавливает ограниченный перечень разрешенных для инвестирования активов, а также запрещает инвестиции в активы, находящиеся за пределами Российской Федерации.</w:t>
      </w:r>
    </w:p>
    <w:p w:rsidR="00177867" w:rsidRPr="00CF1D34" w:rsidRDefault="00177867" w:rsidP="00443F71">
      <w:pPr>
        <w:pStyle w:val="a3"/>
        <w:numPr>
          <w:ilvl w:val="0"/>
          <w:numId w:val="1"/>
        </w:numPr>
        <w:spacing w:before="120"/>
        <w:ind w:left="-284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D34">
        <w:rPr>
          <w:rFonts w:ascii="Times New Roman" w:hAnsi="Times New Roman" w:cs="Times New Roman"/>
          <w:sz w:val="28"/>
          <w:szCs w:val="28"/>
        </w:rPr>
        <w:t xml:space="preserve">Российское законодательство предполагает более жесткие требования к минимальному уставному капиталу страховых организаций, особенно для организаций, специализирующихся на перестраховании. Сумма минимально допустимого значения уставного капитала для перестраховщиков в Российской Федерации в полтора раза выше, чем для аналогичных организаций в Европейском союзе. Такие высокие требования к минимальному капиталу перестраховочных организаций могут быть связаны с развитым государственным институтом перестрахования – Национальной перестраховочной компанией, которая принадлежит Регулятору, является крупнейшим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ретроцессионером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 xml:space="preserve"> в стране.</w:t>
      </w:r>
    </w:p>
    <w:p w:rsidR="00177867" w:rsidRPr="00CF1D34" w:rsidRDefault="00CF1D34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7867" w:rsidRPr="00CF1D34">
        <w:rPr>
          <w:rFonts w:ascii="Times New Roman" w:hAnsi="Times New Roman" w:cs="Times New Roman"/>
          <w:sz w:val="28"/>
          <w:szCs w:val="28"/>
        </w:rPr>
        <w:t>В</w:t>
      </w:r>
      <w:r w:rsidR="00D57D6B" w:rsidRPr="00CF1D34">
        <w:rPr>
          <w:rFonts w:ascii="Times New Roman" w:hAnsi="Times New Roman" w:cs="Times New Roman"/>
          <w:sz w:val="28"/>
          <w:szCs w:val="28"/>
        </w:rPr>
        <w:t xml:space="preserve"> </w:t>
      </w:r>
      <w:r w:rsidR="00177867" w:rsidRPr="00CF1D34">
        <w:rPr>
          <w:rFonts w:ascii="Times New Roman" w:hAnsi="Times New Roman" w:cs="Times New Roman"/>
          <w:sz w:val="28"/>
          <w:szCs w:val="28"/>
        </w:rPr>
        <w:t>российском законодательстве качественные требования имеют диспозитивный характер. В п. 4 ст. 45 Директивы определено, что оценка собственного риска и платежеспособности (</w:t>
      </w:r>
      <w:proofErr w:type="spellStart"/>
      <w:r w:rsidR="00177867" w:rsidRPr="00CF1D3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="00177867"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867" w:rsidRPr="00CF1D34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="00177867"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867" w:rsidRPr="00CF1D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77867"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867" w:rsidRPr="00CF1D34">
        <w:rPr>
          <w:rFonts w:ascii="Times New Roman" w:hAnsi="Times New Roman" w:cs="Times New Roman"/>
          <w:sz w:val="28"/>
          <w:szCs w:val="28"/>
        </w:rPr>
        <w:t>Solvency</w:t>
      </w:r>
      <w:proofErr w:type="spellEnd"/>
      <w:r w:rsidR="00177867" w:rsidRPr="00CF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867" w:rsidRPr="00CF1D34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177867" w:rsidRPr="00CF1D34">
        <w:rPr>
          <w:rFonts w:ascii="Times New Roman" w:hAnsi="Times New Roman" w:cs="Times New Roman"/>
          <w:sz w:val="28"/>
          <w:szCs w:val="28"/>
        </w:rPr>
        <w:t>) является неотъемлемой частью бизнес-стратегии и постоянно принимается во внимание при принятии стратегических решений предприятия. В Российской Федерации требования к оценке рисков носят рекомендательный характер и установлены в Информационном письмо Банка России от 24 декабря 2020 года № ИН-06-14/180 «О рекомендациях руководителям службы внутреннего контроля, службы внутреннего аудита, службы управления рисками финансовых организаций».</w:t>
      </w:r>
    </w:p>
    <w:p w:rsidR="00177867" w:rsidRPr="00CF1D34" w:rsidRDefault="00CF1D34" w:rsidP="00CF1D34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867" w:rsidRPr="00CF1D34">
        <w:rPr>
          <w:rFonts w:ascii="Times New Roman" w:hAnsi="Times New Roman" w:cs="Times New Roman"/>
          <w:sz w:val="28"/>
          <w:szCs w:val="28"/>
        </w:rPr>
        <w:t>Обзор судебной практики показал, что несоблюдение страховщиком законодательных требований к инвестиционной деятельности приводит к отзыву лицензии в случаях, если сумма инвестированных собственных или резервных средств на 20% больше величины собственного капитала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77867" w:rsidRPr="00CF1D34">
        <w:rPr>
          <w:rFonts w:ascii="Times New Roman" w:hAnsi="Times New Roman" w:cs="Times New Roman"/>
          <w:sz w:val="28"/>
          <w:szCs w:val="28"/>
        </w:rPr>
        <w:t>траховщики никогда не оспаривают Решение Банка России об отзыве лицензий, если эти Решения принимаются из-за нарушения страховщиком требований финансовой устойчивости и платежеспособности. Как показывает практика, данные нарушения влекут за собой отзыв лицензии и последующее банкротство организаций страхового сектора.</w:t>
      </w:r>
    </w:p>
    <w:p w:rsidR="00D57D6B" w:rsidRPr="00CF1D34" w:rsidRDefault="00CF1D34" w:rsidP="00D57D6B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7D6B" w:rsidRPr="00CF1D34">
        <w:rPr>
          <w:rFonts w:ascii="Times New Roman" w:hAnsi="Times New Roman" w:cs="Times New Roman"/>
          <w:sz w:val="28"/>
          <w:szCs w:val="28"/>
        </w:rPr>
        <w:t xml:space="preserve"> Регуляторные условия для страховщиков, ведущих деятельность в сфере страхования жизни и добровольного медицинского страхования, более выгодные, что делает инвестиционную деятельность данных организаций наиболее доходной и менее рисковой. В связи с этим</w:t>
      </w:r>
      <w:r w:rsidRPr="00CF1D34">
        <w:rPr>
          <w:rFonts w:ascii="Times New Roman" w:hAnsi="Times New Roman" w:cs="Times New Roman"/>
          <w:sz w:val="28"/>
          <w:szCs w:val="28"/>
        </w:rPr>
        <w:t>,</w:t>
      </w:r>
      <w:r w:rsidR="00D57D6B" w:rsidRPr="00CF1D34">
        <w:rPr>
          <w:rFonts w:ascii="Times New Roman" w:hAnsi="Times New Roman" w:cs="Times New Roman"/>
          <w:sz w:val="28"/>
          <w:szCs w:val="28"/>
        </w:rPr>
        <w:t xml:space="preserve"> на законодательном уровне рекомендуется уделить </w:t>
      </w:r>
      <w:proofErr w:type="spellStart"/>
      <w:r w:rsidR="00D57D6B" w:rsidRPr="00CF1D34">
        <w:rPr>
          <w:rFonts w:ascii="Times New Roman" w:hAnsi="Times New Roman" w:cs="Times New Roman"/>
          <w:sz w:val="28"/>
          <w:szCs w:val="28"/>
        </w:rPr>
        <w:t>высокорисковым</w:t>
      </w:r>
      <w:proofErr w:type="spellEnd"/>
      <w:r w:rsidR="00D57D6B" w:rsidRPr="00CF1D34">
        <w:rPr>
          <w:rFonts w:ascii="Times New Roman" w:hAnsi="Times New Roman" w:cs="Times New Roman"/>
          <w:sz w:val="28"/>
          <w:szCs w:val="28"/>
        </w:rPr>
        <w:t xml:space="preserve"> видам страховой деятельности, </w:t>
      </w:r>
      <w:r w:rsidR="00D57D6B" w:rsidRPr="00CF1D34">
        <w:rPr>
          <w:rFonts w:ascii="Times New Roman" w:hAnsi="Times New Roman" w:cs="Times New Roman"/>
          <w:sz w:val="28"/>
          <w:szCs w:val="28"/>
        </w:rPr>
        <w:lastRenderedPageBreak/>
        <w:t>например, страхованию предпринимательских рисков, рисков, связанных с перевозками и рисков гражданской ответственности владельца опасного объекта.</w:t>
      </w:r>
    </w:p>
    <w:p w:rsidR="00CF1D34" w:rsidRPr="00CF1D34" w:rsidRDefault="00CF1D34" w:rsidP="00CF1D34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1D3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CF1D34">
        <w:rPr>
          <w:rFonts w:ascii="Times New Roman" w:hAnsi="Times New Roman" w:cs="Times New Roman"/>
          <w:sz w:val="28"/>
          <w:szCs w:val="28"/>
        </w:rPr>
        <w:t xml:space="preserve">Анализ Решений Банка России об отзыве лицензий страховых и перестраховочных организаций из-за нарушений требований к финансовой устойчивости и платежеспособности показал, что отзыв лицензий был связан с  нарушением требований, установленных п. 2 и п. 4 ст. 25 «Условия обеспечения финансовой устойчивости и платежеспособности страховщика» и п. 2 и п. 5 ст. 26 «Страховые резервы» Федерального закона «Об организации страхового дела в Российской Федерации» 27.11.1992 N 4015-1. </w:t>
      </w:r>
      <w:r w:rsidRPr="00CF1D34">
        <w:rPr>
          <w:rFonts w:ascii="Times New Roman" w:hAnsi="Times New Roman" w:cs="Times New Roman"/>
          <w:sz w:val="28"/>
          <w:szCs w:val="28"/>
        </w:rPr>
        <w:t xml:space="preserve">Перечисленные выше основания признаются достаточными для отзыва лицензии при условии, что данные нарушения создают угрозу правам и законным интересам страхователей, застрахованных лиц, выгодоприобретателей и/или угрозу стабильности финансового рынка и при условии, что в течение одного года к страховой организации органом страхового надзора применялись меры, установленные </w:t>
      </w:r>
      <w:proofErr w:type="spellStart"/>
      <w:r w:rsidRPr="00CF1D3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F1D34">
        <w:rPr>
          <w:rFonts w:ascii="Times New Roman" w:hAnsi="Times New Roman" w:cs="Times New Roman"/>
          <w:sz w:val="28"/>
          <w:szCs w:val="28"/>
        </w:rPr>
        <w:t>. 2 и/или 3 и/или 5 п. 2 ст. 32.5-1 Закона</w:t>
      </w:r>
      <w:r w:rsidRPr="00CF1D34">
        <w:rPr>
          <w:rFonts w:ascii="Times New Roman" w:hAnsi="Times New Roman" w:cs="Times New Roman"/>
          <w:sz w:val="28"/>
          <w:szCs w:val="28"/>
        </w:rPr>
        <w:t xml:space="preserve"> «Об организации страхового дела в Российской Федерации»</w:t>
      </w:r>
      <w:r w:rsidRPr="00CF1D34">
        <w:rPr>
          <w:rFonts w:ascii="Times New Roman" w:hAnsi="Times New Roman" w:cs="Times New Roman"/>
          <w:sz w:val="28"/>
          <w:szCs w:val="28"/>
        </w:rPr>
        <w:t xml:space="preserve">. </w:t>
      </w:r>
      <w:r w:rsidRPr="00CF1D34">
        <w:rPr>
          <w:rFonts w:ascii="Times New Roman" w:hAnsi="Times New Roman" w:cs="Times New Roman"/>
          <w:sz w:val="28"/>
          <w:szCs w:val="28"/>
        </w:rPr>
        <w:t xml:space="preserve"> </w:t>
      </w:r>
      <w:r w:rsidRPr="00CF1D34">
        <w:rPr>
          <w:rFonts w:ascii="Times New Roman" w:hAnsi="Times New Roman" w:cs="Times New Roman"/>
          <w:sz w:val="28"/>
          <w:szCs w:val="28"/>
        </w:rPr>
        <w:t>Важно отметить, что в Законе не определены условия, согласно которым вышеперечисленные основания следует относить к основаниям, создающим угрозу правам и законным интересам страхователей, застрахованных лиц, выгодоприобретателей и/или угрозу стабильности финансового рынка</w:t>
      </w:r>
      <w:r w:rsidRPr="00CF1D34">
        <w:rPr>
          <w:rFonts w:ascii="Times New Roman" w:hAnsi="Times New Roman" w:cs="Times New Roman"/>
          <w:sz w:val="28"/>
          <w:szCs w:val="28"/>
        </w:rPr>
        <w:t xml:space="preserve">. Таким образом, решение о том, создают ли данные основания реальную угрозу </w:t>
      </w:r>
      <w:r w:rsidRPr="00CF1D34">
        <w:rPr>
          <w:rFonts w:ascii="Times New Roman" w:hAnsi="Times New Roman" w:cs="Times New Roman"/>
          <w:sz w:val="28"/>
          <w:szCs w:val="28"/>
        </w:rPr>
        <w:t>правам и законным интересам страхователей, застрахованных лиц, выгодоприобретателей и/или угрозу стабильности финансового рынк</w:t>
      </w:r>
      <w:r w:rsidRPr="00CF1D34">
        <w:rPr>
          <w:rFonts w:ascii="Times New Roman" w:hAnsi="Times New Roman" w:cs="Times New Roman"/>
          <w:sz w:val="28"/>
          <w:szCs w:val="28"/>
        </w:rPr>
        <w:t>у принимается Регулятором на собственных, нерегламентированных основаниях.</w:t>
      </w:r>
    </w:p>
    <w:p w:rsidR="00D57D6B" w:rsidRDefault="00D57D6B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57D6B" w:rsidRPr="00177867" w:rsidRDefault="00D57D6B" w:rsidP="00443F71">
      <w:pPr>
        <w:spacing w:before="12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57D6B" w:rsidRPr="00177867" w:rsidSect="009808C4">
      <w:pgSz w:w="11900" w:h="16840"/>
      <w:pgMar w:top="8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E121B"/>
    <w:multiLevelType w:val="hybridMultilevel"/>
    <w:tmpl w:val="6CD6C66E"/>
    <w:lvl w:ilvl="0" w:tplc="73BC9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67"/>
    <w:rsid w:val="00177867"/>
    <w:rsid w:val="00443F71"/>
    <w:rsid w:val="00512B02"/>
    <w:rsid w:val="009808C4"/>
    <w:rsid w:val="009A7D32"/>
    <w:rsid w:val="00CF1D34"/>
    <w:rsid w:val="00D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16FD8"/>
  <w15:chartTrackingRefBased/>
  <w15:docId w15:val="{949DB88B-CAF7-E147-9ED4-0CC4BBF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</dc:creator>
  <cp:keywords/>
  <dc:description/>
  <cp:lastModifiedBy>Аноним</cp:lastModifiedBy>
  <cp:revision>5</cp:revision>
  <dcterms:created xsi:type="dcterms:W3CDTF">2022-05-13T10:19:00Z</dcterms:created>
  <dcterms:modified xsi:type="dcterms:W3CDTF">2022-05-13T10:52:00Z</dcterms:modified>
</cp:coreProperties>
</file>