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37" w:rsidRDefault="003B6537" w:rsidP="003B6537">
      <w:pPr>
        <w:jc w:val="center"/>
        <w:rPr>
          <w:b/>
        </w:rPr>
      </w:pPr>
      <w:r>
        <w:rPr>
          <w:b/>
        </w:rPr>
        <w:t>ОТЗЫВ</w:t>
      </w:r>
    </w:p>
    <w:p w:rsidR="003B6537" w:rsidRPr="001A40E0" w:rsidRDefault="003B6537" w:rsidP="003B6537">
      <w:pPr>
        <w:jc w:val="center"/>
        <w:rPr>
          <w:b/>
        </w:rPr>
      </w:pPr>
      <w:r>
        <w:rPr>
          <w:b/>
        </w:rPr>
        <w:t>Научного руководителя</w:t>
      </w:r>
    </w:p>
    <w:p w:rsidR="003B6537" w:rsidRPr="001A40E0" w:rsidRDefault="003B6537" w:rsidP="003B6537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</w:t>
      </w:r>
      <w:r w:rsidR="00CC3175">
        <w:rPr>
          <w:b/>
          <w:szCs w:val="19"/>
        </w:rPr>
        <w:t xml:space="preserve">в </w:t>
      </w:r>
      <w:r w:rsidRPr="001A40E0">
        <w:rPr>
          <w:b/>
          <w:szCs w:val="19"/>
        </w:rPr>
        <w:t>СПбГУ</w:t>
      </w:r>
    </w:p>
    <w:p w:rsidR="00E72CE5" w:rsidRDefault="003B6537" w:rsidP="003B6537">
      <w:pPr>
        <w:jc w:val="center"/>
        <w:rPr>
          <w:b/>
          <w:szCs w:val="19"/>
        </w:rPr>
      </w:pPr>
      <w:r>
        <w:rPr>
          <w:b/>
          <w:szCs w:val="19"/>
        </w:rPr>
        <w:t xml:space="preserve">                             </w:t>
      </w:r>
    </w:p>
    <w:p w:rsidR="003B6537" w:rsidRPr="001A40E0" w:rsidRDefault="004C57A3" w:rsidP="003B6537">
      <w:pPr>
        <w:jc w:val="center"/>
        <w:rPr>
          <w:i/>
          <w:sz w:val="20"/>
          <w:szCs w:val="20"/>
        </w:rPr>
      </w:pPr>
      <w:proofErr w:type="spellStart"/>
      <w:r>
        <w:rPr>
          <w:sz w:val="28"/>
          <w:szCs w:val="28"/>
          <w:shd w:val="clear" w:color="auto" w:fill="FAF9F8"/>
        </w:rPr>
        <w:t>Грудская</w:t>
      </w:r>
      <w:proofErr w:type="spellEnd"/>
      <w:r w:rsidRPr="00CE3287">
        <w:rPr>
          <w:sz w:val="28"/>
          <w:szCs w:val="28"/>
          <w:shd w:val="clear" w:color="auto" w:fill="FAF9F8"/>
        </w:rPr>
        <w:t xml:space="preserve"> Полина Андреевна</w:t>
      </w:r>
      <w:r w:rsidRPr="001A40E0">
        <w:rPr>
          <w:b/>
          <w:szCs w:val="19"/>
        </w:rPr>
        <w:t xml:space="preserve"> </w:t>
      </w:r>
      <w:r w:rsidR="003B6537" w:rsidRPr="001A40E0">
        <w:rPr>
          <w:b/>
          <w:szCs w:val="19"/>
        </w:rPr>
        <w:t xml:space="preserve">_ </w:t>
      </w:r>
    </w:p>
    <w:p w:rsidR="00E72CE5" w:rsidRDefault="00E72CE5" w:rsidP="003B6537">
      <w:pPr>
        <w:spacing w:after="240"/>
        <w:jc w:val="center"/>
        <w:rPr>
          <w:b/>
          <w:szCs w:val="19"/>
        </w:rPr>
      </w:pPr>
    </w:p>
    <w:p w:rsidR="004C57A3" w:rsidRDefault="003B6537" w:rsidP="003B6537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 xml:space="preserve">по теме </w:t>
      </w:r>
      <w:r w:rsidR="004C57A3" w:rsidRPr="004C57A3">
        <w:rPr>
          <w:b/>
          <w:szCs w:val="19"/>
        </w:rPr>
        <w:t>«Ресторанный бизнес в Санкт-Петербурге в условиях пандемии</w:t>
      </w:r>
      <w:r w:rsidR="004C57A3">
        <w:rPr>
          <w:b/>
          <w:szCs w:val="19"/>
        </w:rPr>
        <w:t xml:space="preserve">: </w:t>
      </w:r>
    </w:p>
    <w:p w:rsidR="003B6537" w:rsidRPr="001A40E0" w:rsidRDefault="004C57A3" w:rsidP="003B6537">
      <w:pPr>
        <w:spacing w:after="240"/>
        <w:jc w:val="center"/>
        <w:rPr>
          <w:b/>
          <w:szCs w:val="19"/>
        </w:rPr>
      </w:pPr>
      <w:r w:rsidRPr="004C57A3">
        <w:rPr>
          <w:b/>
          <w:szCs w:val="19"/>
        </w:rPr>
        <w:t>опыт социологического исследования»</w:t>
      </w:r>
    </w:p>
    <w:p w:rsidR="003B6537" w:rsidRDefault="003B6537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537" w:rsidRDefault="003B6537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B6537">
        <w:rPr>
          <w:rFonts w:ascii="Times New Roman" w:hAnsi="Times New Roman" w:cs="Times New Roman"/>
          <w:i/>
          <w:sz w:val="24"/>
          <w:szCs w:val="24"/>
        </w:rPr>
        <w:t>ыпускн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3B6537">
        <w:rPr>
          <w:rFonts w:ascii="Times New Roman" w:hAnsi="Times New Roman" w:cs="Times New Roman"/>
          <w:i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3B6537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B6537">
        <w:t xml:space="preserve"> </w:t>
      </w:r>
      <w:proofErr w:type="spellStart"/>
      <w:r w:rsidR="004C57A3" w:rsidRPr="004C57A3">
        <w:rPr>
          <w:rFonts w:ascii="Times New Roman" w:hAnsi="Times New Roman" w:cs="Times New Roman"/>
          <w:i/>
          <w:sz w:val="24"/>
          <w:szCs w:val="24"/>
        </w:rPr>
        <w:t>Грудск</w:t>
      </w:r>
      <w:r w:rsidR="004C57A3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4C57A3" w:rsidRPr="004C57A3">
        <w:rPr>
          <w:rFonts w:ascii="Times New Roman" w:hAnsi="Times New Roman" w:cs="Times New Roman"/>
          <w:i/>
          <w:sz w:val="24"/>
          <w:szCs w:val="24"/>
        </w:rPr>
        <w:t xml:space="preserve"> Полин</w:t>
      </w:r>
      <w:r w:rsidR="004C57A3">
        <w:rPr>
          <w:rFonts w:ascii="Times New Roman" w:hAnsi="Times New Roman" w:cs="Times New Roman"/>
          <w:i/>
          <w:sz w:val="24"/>
          <w:szCs w:val="24"/>
        </w:rPr>
        <w:t>ы</w:t>
      </w:r>
      <w:r w:rsidR="004C57A3" w:rsidRPr="004C57A3">
        <w:rPr>
          <w:rFonts w:ascii="Times New Roman" w:hAnsi="Times New Roman" w:cs="Times New Roman"/>
          <w:i/>
          <w:sz w:val="24"/>
          <w:szCs w:val="24"/>
        </w:rPr>
        <w:t xml:space="preserve"> Андреевн</w:t>
      </w:r>
      <w:r w:rsidR="004C57A3">
        <w:rPr>
          <w:rFonts w:ascii="Times New Roman" w:hAnsi="Times New Roman" w:cs="Times New Roman"/>
          <w:i/>
          <w:sz w:val="24"/>
          <w:szCs w:val="24"/>
        </w:rPr>
        <w:t>ы</w:t>
      </w:r>
      <w:r w:rsidR="004C57A3" w:rsidRPr="004C57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7A3">
        <w:rPr>
          <w:rFonts w:ascii="Times New Roman" w:hAnsi="Times New Roman" w:cs="Times New Roman"/>
          <w:i/>
          <w:sz w:val="24"/>
          <w:szCs w:val="24"/>
        </w:rPr>
        <w:t>принадлежит общей области экономической социологии питания. Это достаточно новая тема научных исследований. Ее задача рассмотреть, как социальные факторы влияют на экономические в рамках отрасли общественного питания. Известно, что в период пандемии отрасль общественного питания (кафе, рестораны, столовые) пострадала более всего. Закрылось огромное количество заведений</w:t>
      </w:r>
      <w:r w:rsidR="005304D1">
        <w:rPr>
          <w:rFonts w:ascii="Times New Roman" w:hAnsi="Times New Roman" w:cs="Times New Roman"/>
          <w:i/>
          <w:sz w:val="24"/>
          <w:szCs w:val="24"/>
        </w:rPr>
        <w:t xml:space="preserve"> (383 по данным автора)</w:t>
      </w:r>
      <w:r w:rsidR="004C57A3">
        <w:rPr>
          <w:rFonts w:ascii="Times New Roman" w:hAnsi="Times New Roman" w:cs="Times New Roman"/>
          <w:i/>
          <w:sz w:val="24"/>
          <w:szCs w:val="24"/>
        </w:rPr>
        <w:t>, но все же большинство продолжили свою работу. Но как предприниматели находили выход из этой сложной, казалось бы, безвыходной, ситуации? Какие социальные ресурсы были задействованы?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эти факторы обуславливают актуальность работы в рамках экономической социологии.</w:t>
      </w:r>
    </w:p>
    <w:p w:rsidR="004C57A3" w:rsidRDefault="004C57A3" w:rsidP="004C57A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7A3">
        <w:rPr>
          <w:rFonts w:ascii="Times New Roman" w:hAnsi="Times New Roman" w:cs="Times New Roman"/>
          <w:i/>
          <w:sz w:val="24"/>
          <w:szCs w:val="24"/>
        </w:rPr>
        <w:t>Цель исследования – проанализировать изменения в работе ресторанного</w:t>
      </w:r>
      <w:r w:rsidR="0053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7A3">
        <w:rPr>
          <w:rFonts w:ascii="Times New Roman" w:hAnsi="Times New Roman" w:cs="Times New Roman"/>
          <w:i/>
          <w:sz w:val="24"/>
          <w:szCs w:val="24"/>
        </w:rPr>
        <w:t>бизнеса в Санкт-Петербурге в условиях пандемии и на основе сделанного</w:t>
      </w:r>
      <w:r w:rsidR="00530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7A3">
        <w:rPr>
          <w:rFonts w:ascii="Times New Roman" w:hAnsi="Times New Roman" w:cs="Times New Roman"/>
          <w:i/>
          <w:sz w:val="24"/>
          <w:szCs w:val="24"/>
        </w:rPr>
        <w:t>анализа предложить возможные направления его дальнейшего развития.</w:t>
      </w:r>
      <w:r w:rsidRPr="004C57A3">
        <w:rPr>
          <w:rFonts w:ascii="Times New Roman" w:hAnsi="Times New Roman" w:cs="Times New Roman"/>
          <w:i/>
          <w:sz w:val="24"/>
          <w:szCs w:val="24"/>
        </w:rPr>
        <w:cr/>
      </w:r>
    </w:p>
    <w:p w:rsidR="00E10264" w:rsidRDefault="00E10264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175" w:rsidRDefault="00CC3175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r w:rsidR="00E10264"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результаты, полученные в работе, сводятся к следующему: </w:t>
      </w:r>
    </w:p>
    <w:p w:rsidR="00CC3175" w:rsidRDefault="00CC3175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175" w:rsidRDefault="00CC3175" w:rsidP="00CC3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Рассмотрен процесс </w:t>
      </w:r>
      <w:r w:rsidR="004C57A3">
        <w:rPr>
          <w:rFonts w:ascii="Times New Roman" w:hAnsi="Times New Roman" w:cs="Times New Roman"/>
          <w:i/>
          <w:sz w:val="24"/>
          <w:szCs w:val="24"/>
        </w:rPr>
        <w:t>развития</w:t>
      </w:r>
      <w:r w:rsidR="005304D1">
        <w:rPr>
          <w:rFonts w:ascii="Times New Roman" w:hAnsi="Times New Roman" w:cs="Times New Roman"/>
          <w:i/>
          <w:sz w:val="24"/>
          <w:szCs w:val="24"/>
        </w:rPr>
        <w:t xml:space="preserve"> общественного питания и</w:t>
      </w:r>
      <w:r w:rsidR="004C57A3">
        <w:rPr>
          <w:rFonts w:ascii="Times New Roman" w:hAnsi="Times New Roman" w:cs="Times New Roman"/>
          <w:i/>
          <w:sz w:val="24"/>
          <w:szCs w:val="24"/>
        </w:rPr>
        <w:t xml:space="preserve"> ресторанного дела как в России, так и за рубежом.</w:t>
      </w:r>
    </w:p>
    <w:p w:rsidR="005304D1" w:rsidRDefault="00CC3175" w:rsidP="00CC3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4D1">
        <w:rPr>
          <w:rFonts w:ascii="Times New Roman" w:hAnsi="Times New Roman" w:cs="Times New Roman"/>
          <w:i/>
          <w:sz w:val="24"/>
          <w:szCs w:val="24"/>
        </w:rPr>
        <w:t>Показан</w:t>
      </w:r>
      <w:r w:rsidR="005304D1" w:rsidRPr="005304D1">
        <w:rPr>
          <w:rFonts w:ascii="Times New Roman" w:hAnsi="Times New Roman" w:cs="Times New Roman"/>
          <w:i/>
          <w:sz w:val="24"/>
          <w:szCs w:val="24"/>
        </w:rPr>
        <w:t>а специфика развития ресторанного дела в Санкт-Петербурге, начиная с момента его основания.</w:t>
      </w:r>
      <w:r w:rsidRPr="005304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0264" w:rsidRDefault="005304D1" w:rsidP="00CC3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Выявлены причины снижения экономической активности в сфере общепита, главная из которых – снижение реальных доходов населения и покупательной способности петербуржцев начиная с 2014г.</w:t>
      </w:r>
    </w:p>
    <w:p w:rsidR="005304D1" w:rsidRDefault="005304D1" w:rsidP="00CC3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Проанализированы факторы влияния пандемии на ресторанный бизнес в 2019-2022 гг. Показано, что наиболее пострадал от кризиса средний класс, соответственно, и заведения на него ориентированные. </w:t>
      </w:r>
    </w:p>
    <w:p w:rsidR="005304D1" w:rsidRPr="0045495F" w:rsidRDefault="007016BE" w:rsidP="004549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95F">
        <w:rPr>
          <w:rFonts w:ascii="Times New Roman" w:hAnsi="Times New Roman" w:cs="Times New Roman"/>
          <w:i/>
          <w:sz w:val="24"/>
          <w:szCs w:val="24"/>
        </w:rPr>
        <w:t>Выявлены с</w:t>
      </w:r>
      <w:r w:rsidR="005304D1" w:rsidRPr="0045495F">
        <w:rPr>
          <w:rFonts w:ascii="Times New Roman" w:hAnsi="Times New Roman" w:cs="Times New Roman"/>
          <w:i/>
          <w:sz w:val="24"/>
          <w:szCs w:val="24"/>
        </w:rPr>
        <w:t xml:space="preserve">тратегии, выработанные </w:t>
      </w:r>
      <w:r w:rsidRPr="0045495F">
        <w:rPr>
          <w:rFonts w:ascii="Times New Roman" w:hAnsi="Times New Roman" w:cs="Times New Roman"/>
          <w:i/>
          <w:sz w:val="24"/>
          <w:szCs w:val="24"/>
        </w:rPr>
        <w:t>в сфере ресторанного бизнеса, для преодоления кризиса и дальнейшего развития. Большинство рестораторов решили, не взирая на вынужденные временные закрытия, сохранить команду, что оказалось правильным шагом. Многие стали искать другие возможности продажи своего продукта – перешли на доставку.  Пытались также договориться с арендодателями о рассрочке платежей за аренду помещений (закрылись именно те заведения, где договориться не удалось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:</w:t>
      </w:r>
      <w:r w:rsidR="0045495F" w:rsidRPr="0045495F"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о сложностях с арендодателями заявило 75 % респондентов,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принявших участие в опросе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Анализ показал, что помимо вышеперечисленных </w:t>
      </w:r>
      <w:r w:rsidRPr="0045495F">
        <w:rPr>
          <w:rFonts w:ascii="Times New Roman" w:hAnsi="Times New Roman" w:cs="Times New Roman"/>
          <w:i/>
          <w:sz w:val="24"/>
          <w:szCs w:val="24"/>
        </w:rPr>
        <w:t>стратегий</w:t>
      </w:r>
      <w:r w:rsidRPr="0045495F">
        <w:rPr>
          <w:rFonts w:ascii="Times New Roman" w:hAnsi="Times New Roman" w:cs="Times New Roman"/>
          <w:i/>
          <w:sz w:val="24"/>
          <w:szCs w:val="24"/>
        </w:rPr>
        <w:t>,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95F">
        <w:rPr>
          <w:rFonts w:ascii="Times New Roman" w:hAnsi="Times New Roman" w:cs="Times New Roman"/>
          <w:i/>
          <w:sz w:val="24"/>
          <w:szCs w:val="24"/>
        </w:rPr>
        <w:t>рестораторы обращают внимание на необходимость диверсификации своего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95F">
        <w:rPr>
          <w:rFonts w:ascii="Times New Roman" w:hAnsi="Times New Roman" w:cs="Times New Roman"/>
          <w:i/>
          <w:sz w:val="24"/>
          <w:szCs w:val="24"/>
        </w:rPr>
        <w:t>бизнеса, увеличения использования компьютерных и информационных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95F">
        <w:rPr>
          <w:rFonts w:ascii="Times New Roman" w:hAnsi="Times New Roman" w:cs="Times New Roman"/>
          <w:i/>
          <w:sz w:val="24"/>
          <w:szCs w:val="24"/>
        </w:rPr>
        <w:t>технологий в ресторанном бизнесе, расширения клиентоориентированности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через социальные сети. </w:t>
      </w:r>
    </w:p>
    <w:p w:rsidR="00E10264" w:rsidRDefault="00E10264" w:rsidP="00E1026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5B1" w:rsidRDefault="00E10264" w:rsidP="0045495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Эмпирические результаты работы связаны с проведенным автором 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социологическим </w:t>
      </w:r>
      <w:r>
        <w:rPr>
          <w:rFonts w:ascii="Times New Roman" w:hAnsi="Times New Roman" w:cs="Times New Roman"/>
          <w:i/>
          <w:sz w:val="24"/>
          <w:szCs w:val="24"/>
        </w:rPr>
        <w:t>исследованием (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были проведены глубинные интервью с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рестораторами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- 5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 xml:space="preserve"> и онлайн-опрос</w:t>
      </w:r>
      <w:r w:rsidR="0045495F">
        <w:rPr>
          <w:rFonts w:ascii="Times New Roman" w:hAnsi="Times New Roman" w:cs="Times New Roman"/>
          <w:i/>
          <w:sz w:val="24"/>
          <w:szCs w:val="24"/>
        </w:rPr>
        <w:t>,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lastRenderedPageBreak/>
        <w:t>157 опрошенных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становлено, что количество доставок увеличивается, а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количество и продолжительность очных посещений предприятий питания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уменьшаются, при этом уменьшается и средний чек.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 xml:space="preserve">68% организаций имели или внедрили услугу доставки готовой еды потребителям во время 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эпидемии </w:t>
      </w:r>
      <w:proofErr w:type="spellStart"/>
      <w:r w:rsidR="0045495F" w:rsidRPr="0045495F">
        <w:rPr>
          <w:rFonts w:ascii="Times New Roman" w:hAnsi="Times New Roman" w:cs="Times New Roman"/>
          <w:i/>
          <w:sz w:val="24"/>
          <w:szCs w:val="24"/>
        </w:rPr>
        <w:t>корон</w:t>
      </w:r>
      <w:r w:rsidR="0045495F">
        <w:rPr>
          <w:rFonts w:ascii="Times New Roman" w:hAnsi="Times New Roman" w:cs="Times New Roman"/>
          <w:i/>
          <w:sz w:val="24"/>
          <w:szCs w:val="24"/>
        </w:rPr>
        <w:t>о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вирусной</w:t>
      </w:r>
      <w:proofErr w:type="spellEnd"/>
      <w:r w:rsidR="0045495F" w:rsidRPr="0045495F">
        <w:rPr>
          <w:rFonts w:ascii="Times New Roman" w:hAnsi="Times New Roman" w:cs="Times New Roman"/>
          <w:i/>
          <w:sz w:val="24"/>
          <w:szCs w:val="24"/>
        </w:rPr>
        <w:t xml:space="preserve"> инфекции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При этом, если сравнивать осень и весну 2020 года, то осенью число людей,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 xml:space="preserve">готовых посещать рестораны по строгим </w:t>
      </w:r>
      <w:proofErr w:type="spellStart"/>
      <w:r w:rsidR="007016BE">
        <w:rPr>
          <w:rFonts w:ascii="Times New Roman" w:hAnsi="Times New Roman" w:cs="Times New Roman"/>
          <w:i/>
          <w:sz w:val="24"/>
          <w:szCs w:val="24"/>
        </w:rPr>
        <w:t>антиковидным</w:t>
      </w:r>
      <w:proofErr w:type="spellEnd"/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требованиям, увеличилось на 12% (65%</w:t>
      </w:r>
      <w:r w:rsidR="0070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6BE" w:rsidRPr="007016BE">
        <w:rPr>
          <w:rFonts w:ascii="Times New Roman" w:hAnsi="Times New Roman" w:cs="Times New Roman"/>
          <w:i/>
          <w:sz w:val="24"/>
          <w:szCs w:val="24"/>
        </w:rPr>
        <w:t>в ноябре по сравнению с 53% в мае).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Результаты опроса показали, что к декабрю 2020 года большинство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заведений общепита (67%) уже внедрили бесконтактное меню путем считывания</w:t>
      </w:r>
      <w:r w:rsid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95F" w:rsidRPr="0045495F">
        <w:rPr>
          <w:rFonts w:ascii="Times New Roman" w:hAnsi="Times New Roman" w:cs="Times New Roman"/>
          <w:i/>
          <w:sz w:val="24"/>
          <w:szCs w:val="24"/>
        </w:rPr>
        <w:t>QR-кода.</w:t>
      </w:r>
    </w:p>
    <w:p w:rsidR="0045495F" w:rsidRDefault="0045495F" w:rsidP="0045495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95F" w:rsidRPr="0045495F" w:rsidRDefault="0045495F" w:rsidP="0045495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качестве мер развития ресторанного бизнеса в кризисных условиях предложены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следующие:  </w:t>
      </w:r>
      <w:r w:rsidRPr="0045495F">
        <w:rPr>
          <w:rFonts w:ascii="Times New Roman" w:hAnsi="Times New Roman" w:cs="Times New Roman"/>
          <w:i/>
          <w:sz w:val="24"/>
          <w:szCs w:val="24"/>
        </w:rPr>
        <w:t>увеличение</w:t>
      </w:r>
      <w:proofErr w:type="gramEnd"/>
      <w:r w:rsidRPr="0045495F">
        <w:rPr>
          <w:rFonts w:ascii="Times New Roman" w:hAnsi="Times New Roman" w:cs="Times New Roman"/>
          <w:i/>
          <w:sz w:val="24"/>
          <w:szCs w:val="24"/>
        </w:rPr>
        <w:t xml:space="preserve"> сегмента доставки готовых блюд, пищевой продукции и</w:t>
      </w:r>
    </w:p>
    <w:p w:rsidR="0045495F" w:rsidRDefault="0045495F" w:rsidP="0045495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95F">
        <w:rPr>
          <w:rFonts w:ascii="Times New Roman" w:hAnsi="Times New Roman" w:cs="Times New Roman"/>
          <w:i/>
          <w:sz w:val="24"/>
          <w:szCs w:val="24"/>
        </w:rPr>
        <w:t xml:space="preserve">полуфабрикатов с возможностью приготовления в домашних </w:t>
      </w:r>
      <w:proofErr w:type="gramStart"/>
      <w:r w:rsidRPr="0045495F">
        <w:rPr>
          <w:rFonts w:ascii="Times New Roman" w:hAnsi="Times New Roman" w:cs="Times New Roman"/>
          <w:i/>
          <w:sz w:val="24"/>
          <w:szCs w:val="24"/>
        </w:rPr>
        <w:t>условиях;.</w:t>
      </w:r>
      <w:proofErr w:type="gramEnd"/>
      <w:r w:rsidRPr="0045495F">
        <w:rPr>
          <w:rFonts w:ascii="Times New Roman" w:hAnsi="Times New Roman" w:cs="Times New Roman"/>
          <w:i/>
          <w:sz w:val="24"/>
          <w:szCs w:val="24"/>
        </w:rPr>
        <w:t xml:space="preserve"> продажа готовых блюд и полуфабрикатов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развитие концепции </w:t>
      </w:r>
      <w:proofErr w:type="spellStart"/>
      <w:r w:rsidRPr="0045495F">
        <w:rPr>
          <w:rFonts w:ascii="Times New Roman" w:hAnsi="Times New Roman" w:cs="Times New Roman"/>
          <w:i/>
          <w:sz w:val="24"/>
          <w:szCs w:val="24"/>
        </w:rPr>
        <w:t>Dark</w:t>
      </w:r>
      <w:proofErr w:type="spellEnd"/>
      <w:r w:rsidRP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495F">
        <w:rPr>
          <w:rFonts w:ascii="Times New Roman" w:hAnsi="Times New Roman" w:cs="Times New Roman"/>
          <w:i/>
          <w:sz w:val="24"/>
          <w:szCs w:val="24"/>
        </w:rPr>
        <w:t>Kitchen</w:t>
      </w:r>
      <w:proofErr w:type="spellEnd"/>
      <w:r w:rsidR="008F5E8A">
        <w:rPr>
          <w:rFonts w:ascii="Times New Roman" w:hAnsi="Times New Roman" w:cs="Times New Roman"/>
          <w:i/>
          <w:sz w:val="24"/>
          <w:szCs w:val="24"/>
        </w:rPr>
        <w:t xml:space="preserve"> ( э</w:t>
      </w:r>
      <w:r w:rsidR="008F5E8A" w:rsidRPr="008F5E8A">
        <w:rPr>
          <w:rFonts w:ascii="Times New Roman" w:hAnsi="Times New Roman" w:cs="Times New Roman"/>
          <w:i/>
          <w:sz w:val="24"/>
          <w:szCs w:val="24"/>
        </w:rPr>
        <w:t>то кухня, которая готовит еду только на доставку</w:t>
      </w:r>
      <w:r w:rsidR="008F5E8A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495F">
        <w:rPr>
          <w:rFonts w:ascii="Times New Roman" w:hAnsi="Times New Roman" w:cs="Times New Roman"/>
          <w:i/>
          <w:sz w:val="24"/>
          <w:szCs w:val="24"/>
        </w:rPr>
        <w:t>клиентоориентированные</w:t>
      </w:r>
      <w:proofErr w:type="spellEnd"/>
      <w:r w:rsidRPr="0045495F">
        <w:rPr>
          <w:rFonts w:ascii="Times New Roman" w:hAnsi="Times New Roman" w:cs="Times New Roman"/>
          <w:i/>
          <w:sz w:val="24"/>
          <w:szCs w:val="24"/>
        </w:rPr>
        <w:t xml:space="preserve"> проекты в социальных сетях: ведение страниц в соцсетях; работа с блогерами;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95F">
        <w:rPr>
          <w:rFonts w:ascii="Times New Roman" w:hAnsi="Times New Roman" w:cs="Times New Roman"/>
          <w:i/>
          <w:sz w:val="24"/>
          <w:szCs w:val="24"/>
        </w:rPr>
        <w:t xml:space="preserve"> использование интернет-</w:t>
      </w:r>
      <w:proofErr w:type="spellStart"/>
      <w:r w:rsidRPr="0045495F">
        <w:rPr>
          <w:rFonts w:ascii="Times New Roman" w:hAnsi="Times New Roman" w:cs="Times New Roman"/>
          <w:i/>
          <w:sz w:val="24"/>
          <w:szCs w:val="24"/>
        </w:rPr>
        <w:t>видеопродакшена</w:t>
      </w:r>
      <w:proofErr w:type="spellEnd"/>
      <w:r w:rsidRPr="0045495F">
        <w:rPr>
          <w:rFonts w:ascii="Times New Roman" w:hAnsi="Times New Roman" w:cs="Times New Roman"/>
          <w:i/>
          <w:sz w:val="24"/>
          <w:szCs w:val="24"/>
        </w:rPr>
        <w:t xml:space="preserve"> или видеоформатов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495F">
        <w:rPr>
          <w:rFonts w:ascii="Times New Roman" w:hAnsi="Times New Roman" w:cs="Times New Roman"/>
          <w:i/>
          <w:sz w:val="24"/>
          <w:szCs w:val="24"/>
        </w:rPr>
        <w:t>соцсетях; SMM-продвижение ресторана.</w:t>
      </w:r>
    </w:p>
    <w:p w:rsidR="003B6537" w:rsidRDefault="003B6537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537" w:rsidRPr="001A40E0" w:rsidRDefault="006415B1" w:rsidP="003B653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Итак:</w:t>
      </w:r>
    </w:p>
    <w:p w:rsidR="003B6537" w:rsidRPr="001A40E0" w:rsidRDefault="003B6537" w:rsidP="003B653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содержание ВКР</w:t>
      </w:r>
      <w:r w:rsidR="006415B1" w:rsidRPr="006415B1">
        <w:t xml:space="preserve"> </w:t>
      </w:r>
      <w:r w:rsidR="006415B1" w:rsidRPr="006415B1">
        <w:rPr>
          <w:rFonts w:ascii="Times New Roman" w:hAnsi="Times New Roman" w:cs="Times New Roman"/>
          <w:i/>
          <w:sz w:val="24"/>
          <w:szCs w:val="24"/>
        </w:rPr>
        <w:t>соответствует</w:t>
      </w:r>
      <w:r w:rsidRPr="001A40E0">
        <w:rPr>
          <w:rFonts w:ascii="Times New Roman" w:hAnsi="Times New Roman" w:cs="Times New Roman"/>
          <w:i/>
          <w:sz w:val="24"/>
          <w:szCs w:val="24"/>
        </w:rPr>
        <w:t xml:space="preserve"> заявленной в названии теме,</w:t>
      </w:r>
    </w:p>
    <w:p w:rsidR="003B6537" w:rsidRPr="001A40E0" w:rsidRDefault="003B6537" w:rsidP="003B653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заявленная в названии тема</w:t>
      </w:r>
      <w:r w:rsidR="006415B1">
        <w:rPr>
          <w:rFonts w:ascii="Times New Roman" w:hAnsi="Times New Roman" w:cs="Times New Roman"/>
          <w:i/>
          <w:sz w:val="24"/>
          <w:szCs w:val="24"/>
        </w:rPr>
        <w:t xml:space="preserve"> практически полностью раскрыта</w:t>
      </w:r>
      <w:r w:rsidRPr="001A40E0">
        <w:rPr>
          <w:rFonts w:ascii="Times New Roman" w:hAnsi="Times New Roman" w:cs="Times New Roman"/>
          <w:i/>
          <w:sz w:val="24"/>
          <w:szCs w:val="24"/>
        </w:rPr>
        <w:t>,</w:t>
      </w:r>
    </w:p>
    <w:p w:rsidR="003B6537" w:rsidRDefault="003B6537" w:rsidP="003B653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дано развернутое обоснование выводов,</w:t>
      </w:r>
      <w:r w:rsidR="006415B1">
        <w:rPr>
          <w:rFonts w:ascii="Times New Roman" w:hAnsi="Times New Roman" w:cs="Times New Roman"/>
          <w:i/>
          <w:sz w:val="24"/>
          <w:szCs w:val="24"/>
        </w:rPr>
        <w:t xml:space="preserve"> научная новизна достаточна для таких видов квалификационных работ</w:t>
      </w:r>
    </w:p>
    <w:p w:rsidR="006415B1" w:rsidRDefault="006415B1" w:rsidP="003B6537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недостатков стоит отметить некоторую небрежность в оформлении работы </w:t>
      </w:r>
    </w:p>
    <w:p w:rsidR="006415B1" w:rsidRDefault="006415B1" w:rsidP="006415B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5B1" w:rsidRPr="001A40E0" w:rsidRDefault="006415B1" w:rsidP="008F5E8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B6537">
        <w:rPr>
          <w:rFonts w:ascii="Times New Roman" w:hAnsi="Times New Roman" w:cs="Times New Roman"/>
          <w:i/>
          <w:sz w:val="24"/>
          <w:szCs w:val="24"/>
        </w:rPr>
        <w:t>ыпускн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3B6537">
        <w:rPr>
          <w:rFonts w:ascii="Times New Roman" w:hAnsi="Times New Roman" w:cs="Times New Roman"/>
          <w:i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3B6537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B6537">
        <w:t xml:space="preserve"> </w:t>
      </w:r>
      <w:proofErr w:type="spellStart"/>
      <w:r w:rsidR="008F5E8A" w:rsidRPr="008F5E8A">
        <w:rPr>
          <w:rFonts w:ascii="Times New Roman" w:hAnsi="Times New Roman" w:cs="Times New Roman"/>
          <w:i/>
          <w:sz w:val="24"/>
          <w:szCs w:val="24"/>
        </w:rPr>
        <w:t>Грудской</w:t>
      </w:r>
      <w:proofErr w:type="spellEnd"/>
      <w:r w:rsidR="008F5E8A" w:rsidRPr="008F5E8A">
        <w:rPr>
          <w:rFonts w:ascii="Times New Roman" w:hAnsi="Times New Roman" w:cs="Times New Roman"/>
          <w:i/>
          <w:sz w:val="24"/>
          <w:szCs w:val="24"/>
        </w:rPr>
        <w:t xml:space="preserve"> Полины Андреевны </w:t>
      </w:r>
      <w:r>
        <w:rPr>
          <w:rFonts w:ascii="Times New Roman" w:hAnsi="Times New Roman" w:cs="Times New Roman"/>
          <w:i/>
          <w:sz w:val="24"/>
          <w:szCs w:val="24"/>
        </w:rPr>
        <w:t xml:space="preserve">по теме </w:t>
      </w:r>
      <w:r w:rsidR="008F5E8A" w:rsidRPr="008F5E8A">
        <w:rPr>
          <w:rFonts w:ascii="Times New Roman" w:hAnsi="Times New Roman" w:cs="Times New Roman"/>
          <w:i/>
          <w:sz w:val="24"/>
          <w:szCs w:val="24"/>
        </w:rPr>
        <w:t xml:space="preserve">«Ресторанный бизнес в Санкт-Петербурге в условиях пандемии: </w:t>
      </w:r>
      <w:bookmarkStart w:id="0" w:name="_GoBack"/>
      <w:bookmarkEnd w:id="0"/>
      <w:r w:rsidR="008F5E8A" w:rsidRPr="008F5E8A">
        <w:rPr>
          <w:rFonts w:ascii="Times New Roman" w:hAnsi="Times New Roman" w:cs="Times New Roman"/>
          <w:i/>
          <w:sz w:val="24"/>
          <w:szCs w:val="24"/>
        </w:rPr>
        <w:t>опыт социологического исследования»</w:t>
      </w:r>
      <w:r w:rsidR="003002D5">
        <w:rPr>
          <w:rFonts w:ascii="Times New Roman" w:hAnsi="Times New Roman" w:cs="Times New Roman"/>
          <w:i/>
          <w:sz w:val="24"/>
          <w:szCs w:val="24"/>
        </w:rPr>
        <w:t xml:space="preserve"> соответствует требованиям, предъявляемым к работам подобного рода и заслуживает положительной оценки.</w:t>
      </w:r>
    </w:p>
    <w:p w:rsidR="00A9026E" w:rsidRDefault="006415B1" w:rsidP="003B6537">
      <w:pPr>
        <w:spacing w:before="240"/>
      </w:pPr>
      <w:r w:rsidRPr="001A40E0">
        <w:t xml:space="preserve"> </w:t>
      </w:r>
      <w:r w:rsidR="003B6537" w:rsidRPr="001A40E0">
        <w:t>«__</w:t>
      </w:r>
      <w:r w:rsidR="003002D5">
        <w:t>22</w:t>
      </w:r>
      <w:r w:rsidR="003B6537" w:rsidRPr="001A40E0">
        <w:t>_</w:t>
      </w:r>
      <w:proofErr w:type="gramStart"/>
      <w:r w:rsidR="003B6537" w:rsidRPr="001A40E0">
        <w:t>_»_</w:t>
      </w:r>
      <w:proofErr w:type="gramEnd"/>
      <w:r w:rsidR="003B6537" w:rsidRPr="001A40E0">
        <w:t>___</w:t>
      </w:r>
      <w:r w:rsidR="003002D5">
        <w:t>мая</w:t>
      </w:r>
      <w:r w:rsidR="003B6537" w:rsidRPr="001A40E0">
        <w:t>________ 20</w:t>
      </w:r>
      <w:r w:rsidR="003002D5">
        <w:t>22</w:t>
      </w:r>
      <w:r w:rsidR="003B6537" w:rsidRPr="001A40E0">
        <w:t xml:space="preserve">    г.     </w:t>
      </w:r>
      <w:r w:rsidR="00A9026E">
        <w:rPr>
          <w:noProof/>
        </w:rPr>
        <w:drawing>
          <wp:inline distT="0" distB="0" distL="0" distR="0">
            <wp:extent cx="8858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26E">
        <w:t xml:space="preserve"> Веселов Юрий Витальевич</w:t>
      </w:r>
    </w:p>
    <w:p w:rsidR="00A9026E" w:rsidRDefault="00A9026E" w:rsidP="00A9026E">
      <w:pPr>
        <w:spacing w:before="240"/>
        <w:jc w:val="right"/>
      </w:pPr>
      <w:r>
        <w:t xml:space="preserve"> (</w:t>
      </w:r>
      <w:proofErr w:type="spellStart"/>
      <w:r>
        <w:t>д.с.н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, </w:t>
      </w:r>
    </w:p>
    <w:p w:rsidR="003B6537" w:rsidRPr="001A40E0" w:rsidRDefault="00A9026E" w:rsidP="00A9026E">
      <w:pPr>
        <w:spacing w:before="240"/>
        <w:jc w:val="right"/>
      </w:pPr>
      <w:proofErr w:type="spellStart"/>
      <w:proofErr w:type="gramStart"/>
      <w:r>
        <w:t>зав.каф</w:t>
      </w:r>
      <w:proofErr w:type="spellEnd"/>
      <w:proofErr w:type="gramEnd"/>
      <w:r>
        <w:t>. экономической социологии СПбГУ)</w:t>
      </w:r>
    </w:p>
    <w:p w:rsidR="003B6537" w:rsidRPr="001A40E0" w:rsidRDefault="003B6537" w:rsidP="003B6537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</w:t>
      </w:r>
    </w:p>
    <w:p w:rsidR="00834F81" w:rsidRDefault="00834F81"/>
    <w:sectPr w:rsidR="0083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F3D1B"/>
    <w:multiLevelType w:val="hybridMultilevel"/>
    <w:tmpl w:val="882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37"/>
    <w:rsid w:val="003002D5"/>
    <w:rsid w:val="003B6537"/>
    <w:rsid w:val="0045495F"/>
    <w:rsid w:val="004C57A3"/>
    <w:rsid w:val="005304D1"/>
    <w:rsid w:val="006415B1"/>
    <w:rsid w:val="007016BE"/>
    <w:rsid w:val="00834F81"/>
    <w:rsid w:val="008F5E8A"/>
    <w:rsid w:val="00A9026E"/>
    <w:rsid w:val="00CC3175"/>
    <w:rsid w:val="00E10264"/>
    <w:rsid w:val="00E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B60"/>
  <w15:chartTrackingRefBased/>
  <w15:docId w15:val="{A9FFCA33-C2E7-4B12-AF2C-AF3773D7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Юрий Витальевич</dc:creator>
  <cp:keywords/>
  <dc:description/>
  <cp:lastModifiedBy>Веселов Юрий Витальевич</cp:lastModifiedBy>
  <cp:revision>2</cp:revision>
  <dcterms:created xsi:type="dcterms:W3CDTF">2022-05-25T09:54:00Z</dcterms:created>
  <dcterms:modified xsi:type="dcterms:W3CDTF">2022-05-25T09:54:00Z</dcterms:modified>
</cp:coreProperties>
</file>