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6FCE" w14:textId="77777777" w:rsidR="00816125" w:rsidRDefault="00816125" w:rsidP="00816125">
      <w:pPr>
        <w:pStyle w:val="aff"/>
      </w:pPr>
      <w:r>
        <w:t>Федеральное государственное образовательное учреждение</w:t>
      </w:r>
    </w:p>
    <w:p w14:paraId="3A4BF725" w14:textId="77777777" w:rsidR="00816125" w:rsidRDefault="00816125" w:rsidP="00816125">
      <w:pPr>
        <w:pStyle w:val="aff"/>
      </w:pPr>
      <w:r>
        <w:t>высшего профессионального образования</w:t>
      </w:r>
    </w:p>
    <w:p w14:paraId="0F5520F5" w14:textId="77777777" w:rsidR="00816125" w:rsidRDefault="00816125" w:rsidP="00816125">
      <w:pPr>
        <w:pStyle w:val="aff"/>
      </w:pPr>
      <w:r>
        <w:t>Санкт-Петербургский государственный университет</w:t>
      </w:r>
    </w:p>
    <w:p w14:paraId="4FDE1AAA" w14:textId="77777777" w:rsidR="00816125" w:rsidRDefault="00816125" w:rsidP="00816125">
      <w:pPr>
        <w:pStyle w:val="aff"/>
        <w:rPr>
          <w:szCs w:val="24"/>
        </w:rPr>
      </w:pPr>
      <w:r>
        <w:rPr>
          <w:szCs w:val="24"/>
        </w:rPr>
        <w:t>Институт «Высшая школа менеджмента»</w:t>
      </w:r>
    </w:p>
    <w:p w14:paraId="16B1C66D" w14:textId="77777777" w:rsidR="00816125" w:rsidRDefault="00816125" w:rsidP="00816125">
      <w:pPr>
        <w:rPr>
          <w:szCs w:val="24"/>
        </w:rPr>
      </w:pPr>
    </w:p>
    <w:p w14:paraId="3D15EED5" w14:textId="77777777" w:rsidR="00816125" w:rsidRDefault="00816125" w:rsidP="00816125">
      <w:pPr>
        <w:rPr>
          <w:szCs w:val="24"/>
        </w:rPr>
      </w:pPr>
    </w:p>
    <w:p w14:paraId="0D7833CE" w14:textId="77777777" w:rsidR="00816125" w:rsidRDefault="00816125" w:rsidP="00816125">
      <w:pPr>
        <w:rPr>
          <w:szCs w:val="24"/>
        </w:rPr>
      </w:pPr>
    </w:p>
    <w:p w14:paraId="576811D1" w14:textId="77777777" w:rsidR="00816125" w:rsidRDefault="00816125" w:rsidP="00816125">
      <w:pPr>
        <w:rPr>
          <w:szCs w:val="24"/>
        </w:rPr>
      </w:pPr>
    </w:p>
    <w:p w14:paraId="4E8070AB" w14:textId="77777777" w:rsidR="00816125" w:rsidRDefault="00816125" w:rsidP="00816125">
      <w:pPr>
        <w:rPr>
          <w:szCs w:val="24"/>
        </w:rPr>
      </w:pPr>
    </w:p>
    <w:p w14:paraId="306F1F9F" w14:textId="77777777" w:rsidR="00816125" w:rsidRDefault="00816125" w:rsidP="00816125">
      <w:pPr>
        <w:pStyle w:val="aff"/>
      </w:pPr>
    </w:p>
    <w:p w14:paraId="321CE5E3" w14:textId="77777777" w:rsidR="00816125" w:rsidRDefault="00816125" w:rsidP="00816125">
      <w:pPr>
        <w:pStyle w:val="aff0"/>
      </w:pPr>
    </w:p>
    <w:p w14:paraId="19AC081D" w14:textId="161A247A" w:rsidR="00816125" w:rsidRPr="00501B92" w:rsidRDefault="00D657CC" w:rsidP="00816125">
      <w:pPr>
        <w:pStyle w:val="aff0"/>
        <w:rPr>
          <w:rFonts w:cs="Times New Roman (Основной текст"/>
          <w:caps/>
        </w:rPr>
      </w:pPr>
      <w:r w:rsidRPr="00D657CC">
        <w:rPr>
          <w:rFonts w:cs="Times New Roman (Основной текст"/>
          <w:caps/>
        </w:rPr>
        <w:t>Результативность инвестиций в специализированные компании по целевым слияниям и поглощениям (SPAC)</w:t>
      </w:r>
    </w:p>
    <w:p w14:paraId="77C0016C" w14:textId="77777777" w:rsidR="00816125" w:rsidRDefault="00816125" w:rsidP="00816125">
      <w:pPr>
        <w:pStyle w:val="aff1"/>
      </w:pPr>
    </w:p>
    <w:p w14:paraId="1C03719D" w14:textId="77777777" w:rsidR="00816125" w:rsidRDefault="00816125" w:rsidP="00816125">
      <w:pPr>
        <w:pStyle w:val="aff1"/>
      </w:pPr>
    </w:p>
    <w:p w14:paraId="4B2A64BC" w14:textId="77777777" w:rsidR="00816125" w:rsidRDefault="00816125" w:rsidP="00816125">
      <w:pPr>
        <w:pStyle w:val="aff1"/>
      </w:pPr>
    </w:p>
    <w:p w14:paraId="34674BD3" w14:textId="77777777" w:rsidR="00816125" w:rsidRDefault="00816125" w:rsidP="00816125">
      <w:pPr>
        <w:pStyle w:val="aff1"/>
      </w:pPr>
      <w:r>
        <w:t>Выпускная квалификационная работа</w:t>
      </w:r>
    </w:p>
    <w:p w14:paraId="79D4BB16" w14:textId="77777777" w:rsidR="00816125" w:rsidRDefault="00816125" w:rsidP="00816125">
      <w:pPr>
        <w:pStyle w:val="aff1"/>
      </w:pPr>
      <w:r>
        <w:t>студента 4 курса бакалаврской программы,</w:t>
      </w:r>
    </w:p>
    <w:p w14:paraId="711A283C" w14:textId="77777777" w:rsidR="00816125" w:rsidRDefault="00816125" w:rsidP="00816125">
      <w:pPr>
        <w:pStyle w:val="aff1"/>
      </w:pPr>
      <w:r>
        <w:t>профиль – Финансовый менеджмент</w:t>
      </w:r>
    </w:p>
    <w:p w14:paraId="13867FB5" w14:textId="0BBD3C0A" w:rsidR="00816125" w:rsidRDefault="00C4016E" w:rsidP="00816125">
      <w:pPr>
        <w:pStyle w:val="aff1"/>
        <w:rPr>
          <w:rStyle w:val="aff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A5845" wp14:editId="7E4EB498">
                <wp:simplePos x="0" y="0"/>
                <wp:positionH relativeFrom="margin">
                  <wp:posOffset>2661285</wp:posOffset>
                </wp:positionH>
                <wp:positionV relativeFrom="paragraph">
                  <wp:posOffset>206375</wp:posOffset>
                </wp:positionV>
                <wp:extent cx="2133600" cy="65532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3D49C" w14:textId="77777777" w:rsidR="00C4016E" w:rsidRDefault="00C4016E" w:rsidP="00C40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DA03140" wp14:editId="1BC824D3">
                                  <wp:extent cx="944880" cy="480116"/>
                                  <wp:effectExtent l="0" t="0" r="762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Безымянный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383" cy="484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A5845" id="Прямоугольник 10" o:spid="_x0000_s1026" style="position:absolute;left:0;text-align:left;margin-left:209.55pt;margin-top:16.25pt;width:16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" filled="f" stroked="f" strokeweight="2pt">
                <v:textbox>
                  <w:txbxContent>
                    <w:p w14:paraId="4423D49C" w14:textId="77777777" w:rsidR="00C4016E" w:rsidRDefault="00C4016E" w:rsidP="00C4016E">
                      <w:pPr>
                        <w:jc w:val="center"/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DA03140" wp14:editId="1BC824D3">
                            <wp:extent cx="944880" cy="480116"/>
                            <wp:effectExtent l="0" t="0" r="762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Безымянный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383" cy="484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E0C">
        <w:rPr>
          <w:rStyle w:val="aff3"/>
        </w:rPr>
        <w:t>КАЗАКОВА</w:t>
      </w:r>
      <w:r w:rsidR="00816125" w:rsidRPr="00D02D76">
        <w:rPr>
          <w:rStyle w:val="aff3"/>
        </w:rPr>
        <w:t xml:space="preserve"> </w:t>
      </w:r>
      <w:r w:rsidR="00474E0C">
        <w:rPr>
          <w:rStyle w:val="aff3"/>
        </w:rPr>
        <w:t>Михаила</w:t>
      </w:r>
      <w:r w:rsidR="00816125" w:rsidRPr="00D02D76">
        <w:rPr>
          <w:rStyle w:val="aff3"/>
        </w:rPr>
        <w:t xml:space="preserve"> </w:t>
      </w:r>
      <w:r w:rsidR="00474E0C">
        <w:rPr>
          <w:rStyle w:val="aff3"/>
        </w:rPr>
        <w:t>Сергеевича</w:t>
      </w:r>
    </w:p>
    <w:p w14:paraId="34F78997" w14:textId="47651401" w:rsidR="00C844F3" w:rsidRPr="0051341F" w:rsidRDefault="00C844F3" w:rsidP="0051341F">
      <w:pPr>
        <w:ind w:firstLine="0"/>
        <w:rPr>
          <w:sz w:val="14"/>
          <w:szCs w:val="12"/>
        </w:rPr>
      </w:pPr>
    </w:p>
    <w:p w14:paraId="29DE0A9D" w14:textId="498E8DFC" w:rsidR="00816125" w:rsidRPr="00532E58" w:rsidRDefault="00816125" w:rsidP="00816125">
      <w:pPr>
        <w:pStyle w:val="aff1"/>
        <w:spacing w:line="240" w:lineRule="auto"/>
        <w:rPr>
          <w:rStyle w:val="aff2"/>
        </w:rPr>
      </w:pP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 w:rsidR="00926D4C">
        <w:rPr>
          <w:rStyle w:val="aff2"/>
        </w:rPr>
        <w:tab/>
      </w:r>
      <w:r w:rsidR="00926D4C">
        <w:rPr>
          <w:rStyle w:val="aff2"/>
        </w:rPr>
        <w:tab/>
      </w:r>
      <w:r w:rsidR="00926D4C">
        <w:rPr>
          <w:rStyle w:val="aff2"/>
        </w:rPr>
        <w:tab/>
      </w:r>
      <w:r w:rsidR="00926D4C">
        <w:rPr>
          <w:rStyle w:val="aff2"/>
        </w:rPr>
        <w:tab/>
      </w:r>
    </w:p>
    <w:p w14:paraId="4649E3EE" w14:textId="77777777" w:rsidR="00816125" w:rsidRDefault="00816125" w:rsidP="00816125">
      <w:pPr>
        <w:pStyle w:val="aff1"/>
        <w:spacing w:line="240" w:lineRule="auto"/>
        <w:ind w:left="5952" w:firstLine="420"/>
        <w:rPr>
          <w:i/>
          <w:iCs/>
          <w:sz w:val="16"/>
          <w:szCs w:val="15"/>
        </w:rPr>
      </w:pPr>
      <w:r w:rsidRPr="00501B92">
        <w:rPr>
          <w:i/>
          <w:iCs/>
          <w:sz w:val="16"/>
          <w:szCs w:val="15"/>
        </w:rPr>
        <w:t>(подпись)</w:t>
      </w:r>
    </w:p>
    <w:p w14:paraId="1BB9F276" w14:textId="77777777" w:rsidR="00816125" w:rsidRPr="00501B92" w:rsidRDefault="00816125" w:rsidP="00816125">
      <w:pPr>
        <w:pStyle w:val="aff1"/>
      </w:pPr>
    </w:p>
    <w:p w14:paraId="479759E8" w14:textId="77777777" w:rsidR="00816125" w:rsidRDefault="00816125" w:rsidP="00816125">
      <w:pPr>
        <w:pStyle w:val="aff1"/>
      </w:pPr>
      <w:r>
        <w:t>Научный руководитель:</w:t>
      </w:r>
    </w:p>
    <w:p w14:paraId="1460E63C" w14:textId="47C73CFC" w:rsidR="00816125" w:rsidRPr="003E21C3" w:rsidRDefault="00816125" w:rsidP="00816125">
      <w:pPr>
        <w:pStyle w:val="aff1"/>
      </w:pPr>
      <w:r w:rsidRPr="00474E0C">
        <w:rPr>
          <w:color w:val="000000"/>
          <w:szCs w:val="24"/>
        </w:rPr>
        <w:t xml:space="preserve">кандидат </w:t>
      </w:r>
      <w:r w:rsidR="00C844F3">
        <w:rPr>
          <w:color w:val="000000"/>
          <w:szCs w:val="24"/>
        </w:rPr>
        <w:t>экономических</w:t>
      </w:r>
      <w:r w:rsidRPr="00474E0C">
        <w:rPr>
          <w:color w:val="000000"/>
          <w:szCs w:val="24"/>
        </w:rPr>
        <w:t xml:space="preserve"> наук, доцент кафедры финансов и учета</w:t>
      </w:r>
    </w:p>
    <w:p w14:paraId="646D542D" w14:textId="4C738D61" w:rsidR="00816125" w:rsidRDefault="00C844F3" w:rsidP="00816125">
      <w:pPr>
        <w:pStyle w:val="aff1"/>
        <w:rPr>
          <w:rStyle w:val="aff3"/>
        </w:rPr>
      </w:pPr>
      <w:r>
        <w:rPr>
          <w:rStyle w:val="aff3"/>
        </w:rPr>
        <w:t>СМИРНОВ</w:t>
      </w:r>
      <w:r w:rsidR="00816125" w:rsidRPr="00D02D76">
        <w:rPr>
          <w:rStyle w:val="aff3"/>
        </w:rPr>
        <w:t xml:space="preserve"> </w:t>
      </w:r>
      <w:r>
        <w:rPr>
          <w:rStyle w:val="aff3"/>
        </w:rPr>
        <w:t>Марат</w:t>
      </w:r>
      <w:r w:rsidR="00816125">
        <w:rPr>
          <w:rStyle w:val="aff3"/>
        </w:rPr>
        <w:t xml:space="preserve"> </w:t>
      </w:r>
      <w:r>
        <w:rPr>
          <w:rStyle w:val="aff3"/>
        </w:rPr>
        <w:t>Владимирович</w:t>
      </w:r>
    </w:p>
    <w:p w14:paraId="51432E05" w14:textId="77777777" w:rsidR="00816125" w:rsidRPr="00501B92" w:rsidRDefault="00816125" w:rsidP="00816125">
      <w:pPr>
        <w:spacing w:line="240" w:lineRule="auto"/>
      </w:pPr>
    </w:p>
    <w:p w14:paraId="19495055" w14:textId="77777777" w:rsidR="00816125" w:rsidRPr="00D02D76" w:rsidRDefault="00816125" w:rsidP="00816125">
      <w:pPr>
        <w:pStyle w:val="aff1"/>
        <w:spacing w:line="240" w:lineRule="auto"/>
        <w:rPr>
          <w:rStyle w:val="aff2"/>
        </w:rPr>
      </w:pP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  <w:r>
        <w:rPr>
          <w:rStyle w:val="aff2"/>
        </w:rPr>
        <w:tab/>
      </w:r>
    </w:p>
    <w:p w14:paraId="2C9B908A" w14:textId="77777777" w:rsidR="00816125" w:rsidRDefault="00816125" w:rsidP="00816125">
      <w:pPr>
        <w:pStyle w:val="aff1"/>
        <w:spacing w:line="240" w:lineRule="auto"/>
        <w:ind w:left="5952" w:firstLine="420"/>
        <w:rPr>
          <w:i/>
          <w:iCs/>
          <w:sz w:val="16"/>
          <w:szCs w:val="15"/>
        </w:rPr>
      </w:pPr>
      <w:r w:rsidRPr="00501B92">
        <w:rPr>
          <w:i/>
          <w:iCs/>
          <w:sz w:val="16"/>
          <w:szCs w:val="15"/>
        </w:rPr>
        <w:t>(подпись)</w:t>
      </w:r>
    </w:p>
    <w:p w14:paraId="6704D8CB" w14:textId="77777777" w:rsidR="00816125" w:rsidRPr="00501B92" w:rsidRDefault="00816125" w:rsidP="00816125">
      <w:pPr>
        <w:pStyle w:val="aff1"/>
      </w:pPr>
    </w:p>
    <w:p w14:paraId="3FFDDBB5" w14:textId="77777777" w:rsidR="00816125" w:rsidRDefault="00816125" w:rsidP="00816125">
      <w:pPr>
        <w:ind w:firstLine="0"/>
        <w:rPr>
          <w:szCs w:val="24"/>
        </w:rPr>
      </w:pPr>
    </w:p>
    <w:p w14:paraId="08E2812E" w14:textId="77777777" w:rsidR="00816125" w:rsidRDefault="00816125" w:rsidP="00816125">
      <w:pPr>
        <w:pStyle w:val="aff"/>
        <w:jc w:val="both"/>
      </w:pPr>
    </w:p>
    <w:p w14:paraId="74826DB1" w14:textId="77777777" w:rsidR="00816125" w:rsidRPr="00B26E0F" w:rsidRDefault="00816125" w:rsidP="00816125"/>
    <w:p w14:paraId="215FC8AD" w14:textId="77777777" w:rsidR="0051341F" w:rsidRDefault="0051341F" w:rsidP="00816125">
      <w:pPr>
        <w:pStyle w:val="aff"/>
      </w:pPr>
    </w:p>
    <w:p w14:paraId="4AB7110B" w14:textId="627443F4" w:rsidR="00816125" w:rsidRDefault="00816125" w:rsidP="00816125">
      <w:pPr>
        <w:pStyle w:val="aff"/>
      </w:pPr>
      <w:r>
        <w:t>Санкт-Петербург</w:t>
      </w:r>
    </w:p>
    <w:p w14:paraId="447AA3E8" w14:textId="77777777" w:rsidR="00816125" w:rsidRDefault="00816125" w:rsidP="00816125">
      <w:pPr>
        <w:ind w:firstLine="0"/>
        <w:jc w:val="center"/>
      </w:pPr>
      <w:r>
        <w:t>2022</w:t>
      </w:r>
    </w:p>
    <w:p w14:paraId="37DED6D2" w14:textId="3E9A6753" w:rsidR="003935F1" w:rsidRPr="00A312C5" w:rsidRDefault="003935F1" w:rsidP="00816125">
      <w:pPr>
        <w:ind w:firstLine="0"/>
        <w:rPr>
          <w:rFonts w:cs="Times New Roman"/>
          <w:b/>
          <w:bCs/>
          <w:sz w:val="28"/>
          <w:szCs w:val="28"/>
        </w:rPr>
      </w:pPr>
      <w:r w:rsidRPr="00A312C5">
        <w:rPr>
          <w:rFonts w:cs="Times New Roman"/>
          <w:b/>
          <w:bCs/>
          <w:sz w:val="28"/>
          <w:szCs w:val="28"/>
        </w:rPr>
        <w:lastRenderedPageBreak/>
        <w:t>Заявление о самостоятельном выполнении курсовой работы</w:t>
      </w:r>
    </w:p>
    <w:p w14:paraId="7AE3F992" w14:textId="5D71DA53" w:rsidR="003935F1" w:rsidRPr="00A312C5" w:rsidRDefault="003935F1" w:rsidP="003935F1">
      <w:pPr>
        <w:rPr>
          <w:rFonts w:eastAsia="Calibri" w:cs="Times New Roman"/>
        </w:rPr>
      </w:pPr>
      <w:r w:rsidRPr="00A312C5">
        <w:rPr>
          <w:rFonts w:eastAsia="Calibri" w:cs="Times New Roman"/>
        </w:rPr>
        <w:t xml:space="preserve">Я, </w:t>
      </w:r>
      <w:r>
        <w:rPr>
          <w:rFonts w:eastAsia="Calibri" w:cs="Times New Roman"/>
        </w:rPr>
        <w:t>Каз</w:t>
      </w:r>
      <w:r w:rsidR="00385B2B">
        <w:rPr>
          <w:rFonts w:eastAsia="Calibri" w:cs="Times New Roman"/>
        </w:rPr>
        <w:t>аков Михаил Сергеевич</w:t>
      </w:r>
      <w:r w:rsidRPr="00A312C5">
        <w:rPr>
          <w:rFonts w:eastAsia="Calibri" w:cs="Times New Roman"/>
        </w:rPr>
        <w:t>, студент 4 курса направления 38.03.02 «Менеджмент» (профиль подготовки – Финансовый менеджмент), заявляю, что в моей выпускной квалификационной работе на тему «</w:t>
      </w:r>
      <w:r w:rsidR="00385B2B">
        <w:rPr>
          <w:rFonts w:eastAsia="Calibri" w:cs="Times New Roman"/>
        </w:rPr>
        <w:t>Результативность инвестиций в специализированные компании по целевым слияниям и поглощени</w:t>
      </w:r>
      <w:r w:rsidR="00151506">
        <w:rPr>
          <w:rFonts w:eastAsia="Calibri" w:cs="Times New Roman"/>
        </w:rPr>
        <w:t>ям (</w:t>
      </w:r>
      <w:r w:rsidR="00151506">
        <w:rPr>
          <w:rFonts w:eastAsia="Calibri" w:cs="Times New Roman"/>
          <w:lang w:val="en-US"/>
        </w:rPr>
        <w:t>SPAC</w:t>
      </w:r>
      <w:r w:rsidR="00151506">
        <w:rPr>
          <w:rFonts w:eastAsia="Calibri" w:cs="Times New Roman"/>
        </w:rPr>
        <w:t>)</w:t>
      </w:r>
      <w:r w:rsidRPr="00A312C5">
        <w:rPr>
          <w:rFonts w:eastAsia="Calibri" w:cs="Times New Roman"/>
        </w:rPr>
        <w:t>», предоставленной в службу обеспечения программ бакалавриата для публичной защиты, не содержится элементов плагиата. Все прямые заимствования из печатных и электронных источников, а также из защищенных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16EA5A97" w14:textId="77777777" w:rsidR="003935F1" w:rsidRPr="00A312C5" w:rsidRDefault="003935F1" w:rsidP="003935F1">
      <w:pPr>
        <w:rPr>
          <w:rFonts w:eastAsia="Calibri" w:cs="Times New Roman"/>
        </w:rPr>
      </w:pPr>
      <w:r w:rsidRPr="00A312C5">
        <w:rPr>
          <w:rFonts w:eastAsia="Calibri" w:cs="Times New Roman"/>
        </w:rPr>
        <w:t>Мне известно содержание п. 6.3 Правил обучения по основным образовательным программам высшего и среднего профессионального образования в СПбГУ о том, что «Требования к выполнению курсовой работы устанавливаются рабочей программой учебных занятий», п. 3.1.4 Рабочей программы учебной дисциплины «Курсовая работа по менеджменту» о том, что «Обнаружение в ВКР студента плагиата (прямое или контекстуальное заимствование текста из печатных и электронных источников, а также из защищенных ранее выпускных квалификационных работ, кандидатских и докторских диссертаций без соответствующих ссылок) является основанием для выставления комиссией по защите курсовых работ оценки «</w:t>
      </w:r>
      <w:proofErr w:type="spellStart"/>
      <w:r w:rsidRPr="00A312C5">
        <w:rPr>
          <w:rFonts w:eastAsia="Calibri" w:cs="Times New Roman"/>
        </w:rPr>
        <w:t>незачтено</w:t>
      </w:r>
      <w:proofErr w:type="spellEnd"/>
      <w:r w:rsidRPr="00A312C5">
        <w:rPr>
          <w:rFonts w:eastAsia="Calibri" w:cs="Times New Roman"/>
        </w:rPr>
        <w:t xml:space="preserve"> (F)», и п.51 Устава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о том, что «студент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(лицами)».</w:t>
      </w:r>
    </w:p>
    <w:p w14:paraId="37A212C5" w14:textId="77777777" w:rsidR="003935F1" w:rsidRPr="00A312C5" w:rsidRDefault="003935F1" w:rsidP="003935F1">
      <w:pPr>
        <w:rPr>
          <w:rFonts w:cs="Times New Roman"/>
        </w:rPr>
      </w:pPr>
    </w:p>
    <w:p w14:paraId="5FB6E715" w14:textId="77777777" w:rsidR="003935F1" w:rsidRPr="00A312C5" w:rsidRDefault="003935F1" w:rsidP="003935F1">
      <w:pPr>
        <w:rPr>
          <w:rFonts w:cs="Times New Roman"/>
        </w:rPr>
      </w:pPr>
    </w:p>
    <w:p w14:paraId="06CBF077" w14:textId="77777777" w:rsidR="003935F1" w:rsidRPr="00A312C5" w:rsidRDefault="003935F1" w:rsidP="003935F1">
      <w:pPr>
        <w:rPr>
          <w:rFonts w:cs="Times New Roman"/>
        </w:rPr>
      </w:pPr>
    </w:p>
    <w:p w14:paraId="58D4C4EB" w14:textId="42A84114" w:rsidR="003935F1" w:rsidRPr="00A312C5" w:rsidRDefault="00C4016E" w:rsidP="003935F1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E2D3D9" wp14:editId="0E3165B9">
                <wp:simplePos x="0" y="0"/>
                <wp:positionH relativeFrom="margin">
                  <wp:posOffset>274320</wp:posOffset>
                </wp:positionH>
                <wp:positionV relativeFrom="paragraph">
                  <wp:posOffset>64770</wp:posOffset>
                </wp:positionV>
                <wp:extent cx="2133600" cy="65532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FC1E1" w14:textId="77777777" w:rsidR="00C4016E" w:rsidRDefault="00C4016E" w:rsidP="00C40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2DDA284" wp14:editId="5BB06A42">
                                  <wp:extent cx="944880" cy="480116"/>
                                  <wp:effectExtent l="0" t="0" r="762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Безымянный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383" cy="484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D3D9" id="Прямоугольник 16" o:spid="_x0000_s1027" style="position:absolute;left:0;text-align:left;margin-left:21.6pt;margin-top:5.1pt;width:168pt;height:51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" filled="f" stroked="f" strokeweight="2pt">
                <v:textbox>
                  <w:txbxContent>
                    <w:p w14:paraId="339FC1E1" w14:textId="77777777" w:rsidR="00C4016E" w:rsidRDefault="00C4016E" w:rsidP="00C4016E">
                      <w:pPr>
                        <w:jc w:val="center"/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2DDA284" wp14:editId="5BB06A42">
                            <wp:extent cx="944880" cy="480116"/>
                            <wp:effectExtent l="0" t="0" r="762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Безымянный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383" cy="484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935458" w14:textId="3927B06E" w:rsidR="003935F1" w:rsidRPr="00A312C5" w:rsidRDefault="003935F1" w:rsidP="003935F1">
      <w:pPr>
        <w:rPr>
          <w:rFonts w:eastAsia="Calibri" w:cs="Times New Roman"/>
        </w:rPr>
      </w:pPr>
      <w:r w:rsidRPr="00A312C5">
        <w:rPr>
          <w:rFonts w:eastAsia="Calibri" w:cs="Times New Roman"/>
        </w:rPr>
        <w:t>______________________________ (Подпись студента)</w:t>
      </w:r>
    </w:p>
    <w:p w14:paraId="5F43E9F3" w14:textId="74D5835B" w:rsidR="0037519D" w:rsidRDefault="003935F1" w:rsidP="003935F1">
      <w:pPr>
        <w:rPr>
          <w:rFonts w:eastAsia="Calibri" w:cs="Times New Roman"/>
        </w:rPr>
        <w:sectPr w:rsidR="0037519D" w:rsidSect="00E6636E">
          <w:footerReference w:type="default" r:id="rId12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A312C5">
        <w:rPr>
          <w:rFonts w:eastAsia="Calibri" w:cs="Times New Roman"/>
        </w:rPr>
        <w:t>__________</w:t>
      </w:r>
      <w:r w:rsidR="005E4F9A" w:rsidRPr="00910298">
        <w:rPr>
          <w:rFonts w:eastAsia="Calibri" w:cs="Times New Roman"/>
          <w:u w:val="single"/>
        </w:rPr>
        <w:t>29.05.2022</w:t>
      </w:r>
      <w:r w:rsidRPr="00A312C5">
        <w:rPr>
          <w:rFonts w:eastAsia="Calibri" w:cs="Times New Roman"/>
        </w:rPr>
        <w:t>________</w:t>
      </w:r>
      <w:r>
        <w:rPr>
          <w:rFonts w:eastAsia="Calibri" w:cs="Times New Roman"/>
        </w:rPr>
        <w:t>__</w:t>
      </w:r>
      <w:r w:rsidR="00910298">
        <w:rPr>
          <w:rFonts w:eastAsia="Calibri" w:cs="Times New Roman"/>
        </w:rPr>
        <w:t>__</w:t>
      </w:r>
      <w:r w:rsidRPr="00A312C5">
        <w:rPr>
          <w:rFonts w:eastAsia="Calibri" w:cs="Times New Roman"/>
        </w:rPr>
        <w:t>(Дата)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772518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C5B25" w14:textId="31DB5C1A" w:rsidR="009C566B" w:rsidRPr="005D7416" w:rsidRDefault="005D7416" w:rsidP="005D7416">
          <w:pPr>
            <w:pStyle w:val="afe"/>
            <w:spacing w:before="0" w:line="360" w:lineRule="auto"/>
            <w:rPr>
              <w:rFonts w:ascii="Times New Roman" w:hAnsi="Times New Roman" w:cs="Times New Roman"/>
              <w:b/>
              <w:bCs/>
              <w:cap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aps/>
              <w:color w:val="auto"/>
              <w:sz w:val="24"/>
              <w:szCs w:val="24"/>
            </w:rPr>
            <w:t>Содержание</w:t>
          </w:r>
        </w:p>
        <w:p w14:paraId="49D1A957" w14:textId="5E4B3674" w:rsidR="009C566B" w:rsidRDefault="009C566B" w:rsidP="00D545CE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50662" w:history="1">
            <w:r w:rsidRPr="00B02121">
              <w:rPr>
                <w:rStyle w:val="af6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_Toc102050662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1023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B5A56C2" w14:textId="4DF202CE" w:rsidR="009C566B" w:rsidRDefault="005438C5" w:rsidP="00D545CE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02050663" w:history="1">
            <w:r w:rsidR="009C566B" w:rsidRPr="00B02121">
              <w:rPr>
                <w:rStyle w:val="af6"/>
              </w:rPr>
              <w:t xml:space="preserve">Глава 1. Теоретическое описание </w:t>
            </w:r>
            <w:r w:rsidR="009C566B" w:rsidRPr="00B02121">
              <w:rPr>
                <w:rStyle w:val="af6"/>
                <w:lang w:val="en-US"/>
              </w:rPr>
              <w:t>SPAC</w:t>
            </w:r>
            <w:r w:rsidR="009C566B" w:rsidRPr="00B02121">
              <w:rPr>
                <w:rStyle w:val="af6"/>
              </w:rPr>
              <w:t xml:space="preserve"> и обзор научных статей</w:t>
            </w:r>
            <w:r w:rsidR="009C566B">
              <w:rPr>
                <w:webHidden/>
              </w:rPr>
              <w:tab/>
            </w:r>
            <w:r w:rsidR="009C566B">
              <w:rPr>
                <w:webHidden/>
              </w:rPr>
              <w:fldChar w:fldCharType="begin"/>
            </w:r>
            <w:r w:rsidR="009C566B">
              <w:rPr>
                <w:webHidden/>
              </w:rPr>
              <w:instrText xml:space="preserve"> PAGEREF _Toc102050663 \h </w:instrText>
            </w:r>
            <w:r w:rsidR="009C566B">
              <w:rPr>
                <w:webHidden/>
              </w:rPr>
            </w:r>
            <w:r w:rsidR="009C566B">
              <w:rPr>
                <w:webHidden/>
              </w:rPr>
              <w:fldChar w:fldCharType="separate"/>
            </w:r>
            <w:r w:rsidR="00C1023A">
              <w:rPr>
                <w:webHidden/>
              </w:rPr>
              <w:t>7</w:t>
            </w:r>
            <w:r w:rsidR="009C566B">
              <w:rPr>
                <w:webHidden/>
              </w:rPr>
              <w:fldChar w:fldCharType="end"/>
            </w:r>
          </w:hyperlink>
        </w:p>
        <w:p w14:paraId="23BF1663" w14:textId="5285D7A6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64" w:history="1">
            <w:r w:rsidR="009C566B" w:rsidRPr="00B02121">
              <w:rPr>
                <w:rStyle w:val="af6"/>
                <w:noProof/>
              </w:rPr>
              <w:t>1.1.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Описание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_Toc102050664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7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74CA997F" w14:textId="1866F942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65" w:history="1">
            <w:r w:rsidR="009C566B" w:rsidRPr="00B02121">
              <w:rPr>
                <w:rStyle w:val="af6"/>
                <w:noProof/>
              </w:rPr>
              <w:t>1.1.1.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>История специализированных компаний по целевым слияниям и поглощениям (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 w:rsidRPr="00B02121">
              <w:rPr>
                <w:rStyle w:val="af6"/>
                <w:noProof/>
              </w:rPr>
              <w:t>)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_Toc102050665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8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B6F8C8F" w14:textId="449376FB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66" w:history="1">
            <w:r w:rsidR="009C566B" w:rsidRPr="00B02121">
              <w:rPr>
                <w:rStyle w:val="af6"/>
                <w:noProof/>
              </w:rPr>
              <w:t>1.1.2.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Заинтересованные стороны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_Toc102050666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11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21700153" w14:textId="3C0940CC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67" w:history="1">
            <w:r w:rsidR="009C566B" w:rsidRPr="00B02121">
              <w:rPr>
                <w:rStyle w:val="af6"/>
                <w:noProof/>
              </w:rPr>
              <w:t>1.1.3.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Структура капитала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 w:rsidRPr="00B02121">
              <w:rPr>
                <w:rStyle w:val="af6"/>
                <w:noProof/>
              </w:rPr>
              <w:t>: ценные бумаги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_Toc102050667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17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60EF898B" w14:textId="2367DA6F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68" w:history="1">
            <w:r w:rsidR="009C566B" w:rsidRPr="00B02121">
              <w:rPr>
                <w:rStyle w:val="af6"/>
                <w:noProof/>
              </w:rPr>
              <w:t>1.1.4.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Жизненный цикл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_Toc102050668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18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607C82C5" w14:textId="7123B028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69" w:history="1">
            <w:r w:rsidR="009C566B" w:rsidRPr="00B02121">
              <w:rPr>
                <w:rStyle w:val="af6"/>
                <w:noProof/>
              </w:rPr>
              <w:t>1.2.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Сравнение традиционного </w:t>
            </w:r>
            <w:r w:rsidR="009C566B" w:rsidRPr="00B02121">
              <w:rPr>
                <w:rStyle w:val="af6"/>
                <w:noProof/>
                <w:lang w:val="en-US"/>
              </w:rPr>
              <w:t>IPO</w:t>
            </w:r>
            <w:r w:rsidR="009C566B" w:rsidRPr="00B02121">
              <w:rPr>
                <w:rStyle w:val="af6"/>
                <w:noProof/>
              </w:rPr>
              <w:t xml:space="preserve"> и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_Toc102050669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20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23B1A146" w14:textId="3C7FA4AC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0" w:history="1">
            <w:r w:rsidR="009C566B" w:rsidRPr="00B02121">
              <w:rPr>
                <w:rStyle w:val="af6"/>
                <w:noProof/>
              </w:rPr>
              <w:t>1.2.1.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Описание </w:t>
            </w:r>
            <w:r w:rsidR="009C566B" w:rsidRPr="00B02121">
              <w:rPr>
                <w:rStyle w:val="af6"/>
                <w:noProof/>
                <w:lang w:val="en-US"/>
              </w:rPr>
              <w:t>IPO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_Toc102050670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20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7084CEDF" w14:textId="49A66E63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1" w:history="1">
            <w:r w:rsidR="009C566B" w:rsidRPr="00B02121">
              <w:rPr>
                <w:rStyle w:val="af6"/>
                <w:noProof/>
              </w:rPr>
              <w:t>1.2.2.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Преимущества и недостатки </w:t>
            </w:r>
            <w:r w:rsidR="009C566B" w:rsidRPr="00B02121">
              <w:rPr>
                <w:rStyle w:val="af6"/>
                <w:noProof/>
                <w:lang w:val="en-US"/>
              </w:rPr>
              <w:t>IPO</w:t>
            </w:r>
            <w:r w:rsidR="009C566B" w:rsidRPr="00B02121">
              <w:rPr>
                <w:rStyle w:val="af6"/>
                <w:noProof/>
              </w:rPr>
              <w:t xml:space="preserve"> и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_Toc102050671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23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3201360D" w14:textId="54CBE4DF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2" w:history="1">
            <w:r w:rsidR="009C566B" w:rsidRPr="00B02121">
              <w:rPr>
                <w:rStyle w:val="af6"/>
                <w:noProof/>
              </w:rPr>
              <w:t>1.3.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Исследования результативности инвестиций в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 w:rsidRPr="00B02121">
              <w:rPr>
                <w:rStyle w:val="af6"/>
                <w:noProof/>
              </w:rPr>
              <w:t xml:space="preserve"> и </w:t>
            </w:r>
            <w:r w:rsidR="009C566B" w:rsidRPr="00B02121">
              <w:rPr>
                <w:rStyle w:val="af6"/>
                <w:noProof/>
                <w:lang w:val="en-US"/>
              </w:rPr>
              <w:t>IPO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_Toc102050672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26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73836012" w14:textId="0F3C435B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3" w:history="1">
            <w:r w:rsidR="009C566B" w:rsidRPr="00B02121">
              <w:rPr>
                <w:rStyle w:val="af6"/>
                <w:noProof/>
              </w:rPr>
              <w:t>1.3.1.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Исследования доходности ценных бумаг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_Toc102050673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27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2097A18" w14:textId="4D5AF126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4" w:history="1">
            <w:r w:rsidR="009C566B" w:rsidRPr="00B02121">
              <w:rPr>
                <w:rStyle w:val="af6"/>
                <w:noProof/>
              </w:rPr>
              <w:t>1.3.2.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>Исследования факторов результативност</w:t>
            </w:r>
            <w:r w:rsidR="00C50BEB">
              <w:rPr>
                <w:rStyle w:val="af6"/>
                <w:noProof/>
              </w:rPr>
              <w:t>и</w:t>
            </w:r>
            <w:r w:rsidR="009C566B" w:rsidRPr="00B02121">
              <w:rPr>
                <w:rStyle w:val="af6"/>
                <w:noProof/>
              </w:rPr>
              <w:t xml:space="preserve">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_Toc102050674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31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09D9F66" w14:textId="6059C94D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5" w:history="1">
            <w:r w:rsidR="009C566B" w:rsidRPr="00B02121">
              <w:rPr>
                <w:rStyle w:val="af6"/>
                <w:noProof/>
              </w:rPr>
              <w:t>1.3.3.</w:t>
            </w:r>
            <w:r w:rsidR="009C5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C566B" w:rsidRPr="00B02121">
              <w:rPr>
                <w:rStyle w:val="af6"/>
                <w:noProof/>
              </w:rPr>
              <w:t xml:space="preserve">Исследования результативности традиционного </w:t>
            </w:r>
            <w:r w:rsidR="009C566B" w:rsidRPr="00B02121">
              <w:rPr>
                <w:rStyle w:val="af6"/>
                <w:noProof/>
                <w:lang w:val="en-US"/>
              </w:rPr>
              <w:t>IPO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_Toc102050675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39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09F8B3C5" w14:textId="7CB9D5E6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6" w:history="1">
            <w:r w:rsidR="009C566B" w:rsidRPr="00B02121">
              <w:rPr>
                <w:rStyle w:val="af6"/>
                <w:noProof/>
              </w:rPr>
              <w:t>Выводы по первой главе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_Toc102050676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41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25154A62" w14:textId="105871F4" w:rsidR="009C566B" w:rsidRDefault="005438C5" w:rsidP="00D545CE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02050677" w:history="1">
            <w:r w:rsidR="009C566B" w:rsidRPr="00B02121">
              <w:rPr>
                <w:rStyle w:val="af6"/>
              </w:rPr>
              <w:t xml:space="preserve">Глава 2. Эмпирическое исследование результативности </w:t>
            </w:r>
            <w:r w:rsidR="009C566B" w:rsidRPr="00B02121">
              <w:rPr>
                <w:rStyle w:val="af6"/>
                <w:lang w:val="en-US"/>
              </w:rPr>
              <w:t>SPAC</w:t>
            </w:r>
            <w:r w:rsidR="009C566B">
              <w:rPr>
                <w:webHidden/>
              </w:rPr>
              <w:tab/>
            </w:r>
            <w:r w:rsidR="009C566B">
              <w:rPr>
                <w:webHidden/>
              </w:rPr>
              <w:fldChar w:fldCharType="begin"/>
            </w:r>
            <w:r w:rsidR="009C566B">
              <w:rPr>
                <w:webHidden/>
              </w:rPr>
              <w:instrText xml:space="preserve"> PAGEREF _Toc102050677 \h </w:instrText>
            </w:r>
            <w:r w:rsidR="009C566B">
              <w:rPr>
                <w:webHidden/>
              </w:rPr>
            </w:r>
            <w:r w:rsidR="009C566B">
              <w:rPr>
                <w:webHidden/>
              </w:rPr>
              <w:fldChar w:fldCharType="separate"/>
            </w:r>
            <w:r w:rsidR="00C1023A">
              <w:rPr>
                <w:webHidden/>
              </w:rPr>
              <w:t>44</w:t>
            </w:r>
            <w:r w:rsidR="009C566B">
              <w:rPr>
                <w:webHidden/>
              </w:rPr>
              <w:fldChar w:fldCharType="end"/>
            </w:r>
          </w:hyperlink>
        </w:p>
        <w:p w14:paraId="3CD365D2" w14:textId="3D2BDD95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8" w:history="1">
            <w:r w:rsidR="009C566B" w:rsidRPr="00B02121">
              <w:rPr>
                <w:rStyle w:val="af6"/>
                <w:noProof/>
              </w:rPr>
              <w:t>2.1. Формирование выборки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_Toc102050678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44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4F6096D" w14:textId="7D159031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79" w:history="1">
            <w:r w:rsidR="009C566B" w:rsidRPr="00B02121">
              <w:rPr>
                <w:rStyle w:val="af6"/>
                <w:noProof/>
              </w:rPr>
              <w:t>2.2. Методология исследования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_Toc102050679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45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3DD44FCC" w14:textId="07F87D87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0" w:history="1">
            <w:r w:rsidR="009C566B" w:rsidRPr="00B02121">
              <w:rPr>
                <w:rStyle w:val="af6"/>
                <w:noProof/>
              </w:rPr>
              <w:t xml:space="preserve">2.2.1. Доходность инвестиций в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_Toc102050680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45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5061D9A" w14:textId="52EDF991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1" w:history="1">
            <w:r w:rsidR="009C566B" w:rsidRPr="00B02121">
              <w:rPr>
                <w:rStyle w:val="af6"/>
                <w:noProof/>
              </w:rPr>
              <w:t xml:space="preserve">2.2.2. Доходность варрантов, портфель из варрантов и акций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_Toc102050681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49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26AA6447" w14:textId="2C394B6E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2" w:history="1">
            <w:r w:rsidR="009C566B" w:rsidRPr="00B02121">
              <w:rPr>
                <w:rStyle w:val="af6"/>
                <w:noProof/>
              </w:rPr>
              <w:t xml:space="preserve">2.2.3. Метод </w:t>
            </w:r>
            <w:r w:rsidR="009C566B" w:rsidRPr="00B02121">
              <w:rPr>
                <w:rStyle w:val="af6"/>
                <w:noProof/>
                <w:lang w:val="en-US"/>
              </w:rPr>
              <w:t>buy</w:t>
            </w:r>
            <w:r w:rsidR="009C566B" w:rsidRPr="00B02121">
              <w:rPr>
                <w:rStyle w:val="af6"/>
                <w:noProof/>
              </w:rPr>
              <w:t>-</w:t>
            </w:r>
            <w:r w:rsidR="009C566B" w:rsidRPr="00B02121">
              <w:rPr>
                <w:rStyle w:val="af6"/>
                <w:noProof/>
                <w:lang w:val="en-US"/>
              </w:rPr>
              <w:t>and</w:t>
            </w:r>
            <w:r w:rsidR="009C566B" w:rsidRPr="00B02121">
              <w:rPr>
                <w:rStyle w:val="af6"/>
                <w:noProof/>
              </w:rPr>
              <w:t>-</w:t>
            </w:r>
            <w:r w:rsidR="009C566B" w:rsidRPr="00B02121">
              <w:rPr>
                <w:rStyle w:val="af6"/>
                <w:noProof/>
                <w:lang w:val="en-US"/>
              </w:rPr>
              <w:t>hold</w:t>
            </w:r>
            <w:r w:rsidR="009C566B" w:rsidRPr="00B02121">
              <w:rPr>
                <w:rStyle w:val="af6"/>
                <w:noProof/>
              </w:rPr>
              <w:t xml:space="preserve"> </w:t>
            </w:r>
            <w:r w:rsidR="009C566B" w:rsidRPr="00B02121">
              <w:rPr>
                <w:rStyle w:val="af6"/>
                <w:noProof/>
                <w:lang w:val="en-US"/>
              </w:rPr>
              <w:t>abnormal</w:t>
            </w:r>
            <w:r w:rsidR="009C566B" w:rsidRPr="00B02121">
              <w:rPr>
                <w:rStyle w:val="af6"/>
                <w:noProof/>
              </w:rPr>
              <w:t xml:space="preserve"> </w:t>
            </w:r>
            <w:r w:rsidR="009C566B" w:rsidRPr="00B02121">
              <w:rPr>
                <w:rStyle w:val="af6"/>
                <w:noProof/>
                <w:lang w:val="en-US"/>
              </w:rPr>
              <w:t>return</w:t>
            </w:r>
            <w:r w:rsidR="009C566B" w:rsidRPr="00B02121">
              <w:rPr>
                <w:rStyle w:val="af6"/>
                <w:noProof/>
              </w:rPr>
              <w:t xml:space="preserve"> (</w:t>
            </w:r>
            <w:r w:rsidR="009C566B" w:rsidRPr="00B02121">
              <w:rPr>
                <w:rStyle w:val="af6"/>
                <w:noProof/>
                <w:lang w:val="en-US"/>
              </w:rPr>
              <w:t>BHAR</w:t>
            </w:r>
            <w:r w:rsidR="009C566B" w:rsidRPr="00B02121">
              <w:rPr>
                <w:rStyle w:val="af6"/>
                <w:noProof/>
              </w:rPr>
              <w:t>)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_Toc102050682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49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71D5CEA2" w14:textId="47A1871B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3" w:history="1">
            <w:r w:rsidR="009C566B" w:rsidRPr="00B02121">
              <w:rPr>
                <w:rStyle w:val="af6"/>
                <w:noProof/>
              </w:rPr>
              <w:t>2.2.4. Регрессионный анализ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_Toc102050683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49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32650AB3" w14:textId="2829D479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4" w:history="1">
            <w:r w:rsidR="009C566B" w:rsidRPr="00B02121">
              <w:rPr>
                <w:rStyle w:val="af6"/>
                <w:noProof/>
              </w:rPr>
              <w:t>2.3. Описательная статистика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_Toc102050684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50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69583397" w14:textId="214CD1D9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5" w:history="1">
            <w:r w:rsidR="009C566B" w:rsidRPr="00B02121">
              <w:rPr>
                <w:rStyle w:val="af6"/>
                <w:noProof/>
              </w:rPr>
              <w:t xml:space="preserve">2.3.1. Доходности акций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_Toc102050685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50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77C01B64" w14:textId="7FD1470F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6" w:history="1">
            <w:r w:rsidR="009C566B" w:rsidRPr="00B02121">
              <w:rPr>
                <w:rStyle w:val="af6"/>
                <w:noProof/>
              </w:rPr>
              <w:t xml:space="preserve">2.3.2. Сравнение доходности инвестиций в </w:t>
            </w:r>
            <w:r w:rsidR="009C566B" w:rsidRPr="00B02121">
              <w:rPr>
                <w:rStyle w:val="af6"/>
                <w:noProof/>
                <w:lang w:val="en-US"/>
              </w:rPr>
              <w:t>SPAC</w:t>
            </w:r>
            <w:r w:rsidR="009C566B" w:rsidRPr="00B02121">
              <w:rPr>
                <w:rStyle w:val="af6"/>
                <w:noProof/>
              </w:rPr>
              <w:t xml:space="preserve"> и доходности инвестиций в традиционное </w:t>
            </w:r>
            <w:r w:rsidR="009C566B" w:rsidRPr="00B02121">
              <w:rPr>
                <w:rStyle w:val="af6"/>
                <w:noProof/>
                <w:lang w:val="en-US"/>
              </w:rPr>
              <w:t>IPO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_Toc102050686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56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FE7CEFB" w14:textId="09ED8D2C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7" w:history="1">
            <w:r w:rsidR="009C566B" w:rsidRPr="00B02121">
              <w:rPr>
                <w:rStyle w:val="af6"/>
                <w:noProof/>
              </w:rPr>
              <w:t>2.3.3. Варранты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_Toc102050687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57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AFC2C35" w14:textId="2F860188" w:rsidR="009C566B" w:rsidRDefault="005438C5" w:rsidP="00C70F4D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8" w:history="1">
            <w:r w:rsidR="009C566B" w:rsidRPr="00B02121">
              <w:rPr>
                <w:rStyle w:val="af6"/>
                <w:noProof/>
              </w:rPr>
              <w:t>2.3.4. Независимые переменные в регрессии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_Toc102050688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59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5738A97F" w14:textId="5E43EF95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89" w:history="1">
            <w:r w:rsidR="009C566B" w:rsidRPr="00B02121">
              <w:rPr>
                <w:rStyle w:val="af6"/>
                <w:noProof/>
              </w:rPr>
              <w:t xml:space="preserve">2.4. Метод </w:t>
            </w:r>
            <w:r w:rsidR="009C566B" w:rsidRPr="00B02121">
              <w:rPr>
                <w:rStyle w:val="af6"/>
                <w:noProof/>
                <w:lang w:val="en-US"/>
              </w:rPr>
              <w:t>BHAR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_Toc102050689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61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33CB487A" w14:textId="2B9EF9B3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90" w:history="1">
            <w:r w:rsidR="009C566B" w:rsidRPr="00B02121">
              <w:rPr>
                <w:rStyle w:val="af6"/>
                <w:noProof/>
              </w:rPr>
              <w:t>2.5. Регрессионный анализ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_Toc102050690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61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8A833E9" w14:textId="3C98C36E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91" w:history="1">
            <w:r w:rsidR="009C566B" w:rsidRPr="00B02121">
              <w:rPr>
                <w:rStyle w:val="af6"/>
                <w:noProof/>
              </w:rPr>
              <w:t>Выводы по второй главе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_Toc102050691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63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07DC1EFB" w14:textId="280EC982" w:rsidR="009C566B" w:rsidRDefault="005438C5" w:rsidP="00D545CE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02050692" w:history="1">
            <w:r w:rsidR="009C566B" w:rsidRPr="00B02121">
              <w:rPr>
                <w:rStyle w:val="af6"/>
              </w:rPr>
              <w:t>Заключение</w:t>
            </w:r>
            <w:r w:rsidR="009C566B">
              <w:rPr>
                <w:webHidden/>
              </w:rPr>
              <w:tab/>
            </w:r>
            <w:r w:rsidR="009C566B">
              <w:rPr>
                <w:webHidden/>
              </w:rPr>
              <w:fldChar w:fldCharType="begin"/>
            </w:r>
            <w:r w:rsidR="009C566B">
              <w:rPr>
                <w:webHidden/>
              </w:rPr>
              <w:instrText xml:space="preserve"> PAGEREF _Toc102050692 \h </w:instrText>
            </w:r>
            <w:r w:rsidR="009C566B">
              <w:rPr>
                <w:webHidden/>
              </w:rPr>
            </w:r>
            <w:r w:rsidR="009C566B">
              <w:rPr>
                <w:webHidden/>
              </w:rPr>
              <w:fldChar w:fldCharType="separate"/>
            </w:r>
            <w:r w:rsidR="00C1023A">
              <w:rPr>
                <w:webHidden/>
              </w:rPr>
              <w:t>65</w:t>
            </w:r>
            <w:r w:rsidR="009C566B">
              <w:rPr>
                <w:webHidden/>
              </w:rPr>
              <w:fldChar w:fldCharType="end"/>
            </w:r>
          </w:hyperlink>
        </w:p>
        <w:p w14:paraId="229D328A" w14:textId="162B1E56" w:rsidR="009C566B" w:rsidRDefault="005438C5" w:rsidP="00D545CE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02050693" w:history="1">
            <w:r w:rsidR="009C566B" w:rsidRPr="00B02121">
              <w:rPr>
                <w:rStyle w:val="af6"/>
              </w:rPr>
              <w:t>Список использованной литературы</w:t>
            </w:r>
            <w:r w:rsidR="009C566B">
              <w:rPr>
                <w:webHidden/>
              </w:rPr>
              <w:tab/>
            </w:r>
            <w:r w:rsidR="009C566B">
              <w:rPr>
                <w:webHidden/>
              </w:rPr>
              <w:fldChar w:fldCharType="begin"/>
            </w:r>
            <w:r w:rsidR="009C566B">
              <w:rPr>
                <w:webHidden/>
              </w:rPr>
              <w:instrText xml:space="preserve"> PAGEREF _Toc102050693 \h </w:instrText>
            </w:r>
            <w:r w:rsidR="009C566B">
              <w:rPr>
                <w:webHidden/>
              </w:rPr>
            </w:r>
            <w:r w:rsidR="009C566B">
              <w:rPr>
                <w:webHidden/>
              </w:rPr>
              <w:fldChar w:fldCharType="separate"/>
            </w:r>
            <w:r w:rsidR="00C1023A">
              <w:rPr>
                <w:webHidden/>
              </w:rPr>
              <w:t>67</w:t>
            </w:r>
            <w:r w:rsidR="009C566B">
              <w:rPr>
                <w:webHidden/>
              </w:rPr>
              <w:fldChar w:fldCharType="end"/>
            </w:r>
          </w:hyperlink>
        </w:p>
        <w:p w14:paraId="03A8AA2F" w14:textId="5ED52F39" w:rsidR="009C566B" w:rsidRDefault="005438C5" w:rsidP="00D545CE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02050694" w:history="1">
            <w:r w:rsidR="009C566B" w:rsidRPr="00B02121">
              <w:rPr>
                <w:rStyle w:val="af6"/>
              </w:rPr>
              <w:t>Приложения</w:t>
            </w:r>
            <w:r w:rsidR="009C566B">
              <w:rPr>
                <w:webHidden/>
              </w:rPr>
              <w:tab/>
            </w:r>
            <w:r w:rsidR="009C566B">
              <w:rPr>
                <w:webHidden/>
              </w:rPr>
              <w:fldChar w:fldCharType="begin"/>
            </w:r>
            <w:r w:rsidR="009C566B">
              <w:rPr>
                <w:webHidden/>
              </w:rPr>
              <w:instrText xml:space="preserve"> PAGEREF _Toc102050694 \h </w:instrText>
            </w:r>
            <w:r w:rsidR="009C566B">
              <w:rPr>
                <w:webHidden/>
              </w:rPr>
            </w:r>
            <w:r w:rsidR="009C566B">
              <w:rPr>
                <w:webHidden/>
              </w:rPr>
              <w:fldChar w:fldCharType="separate"/>
            </w:r>
            <w:r w:rsidR="00C1023A">
              <w:rPr>
                <w:webHidden/>
              </w:rPr>
              <w:t>71</w:t>
            </w:r>
            <w:r w:rsidR="009C566B">
              <w:rPr>
                <w:webHidden/>
              </w:rPr>
              <w:fldChar w:fldCharType="end"/>
            </w:r>
          </w:hyperlink>
        </w:p>
        <w:p w14:paraId="78957C93" w14:textId="08558D3A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95" w:history="1">
            <w:r w:rsidR="009C566B" w:rsidRPr="00B02121">
              <w:rPr>
                <w:rStyle w:val="af6"/>
                <w:noProof/>
              </w:rPr>
              <w:t>Приложение 1. Частотные распределения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_Toc102050695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71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19D919C0" w14:textId="0460286B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96" w:history="1">
            <w:r w:rsidR="009C566B" w:rsidRPr="00B02121">
              <w:rPr>
                <w:rStyle w:val="af6"/>
                <w:noProof/>
              </w:rPr>
              <w:t>Приложение 2. Корреляционный анализ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_Toc102050696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72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38BDA874" w14:textId="7B96F1BA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97" w:history="1">
            <w:r w:rsidR="009C566B" w:rsidRPr="00B02121">
              <w:rPr>
                <w:rStyle w:val="af6"/>
                <w:noProof/>
              </w:rPr>
              <w:t>Приложение 3. Проверка на мультиколлинеарность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_Toc102050697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74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5EF42B7A" w14:textId="52C73717" w:rsidR="009C566B" w:rsidRDefault="005438C5" w:rsidP="00526B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2050698" w:history="1">
            <w:r w:rsidR="009C566B" w:rsidRPr="00B02121">
              <w:rPr>
                <w:rStyle w:val="af6"/>
                <w:noProof/>
              </w:rPr>
              <w:t>Приложение 4. Проверка на гетероскедастичность</w:t>
            </w:r>
            <w:r w:rsidR="009C566B">
              <w:rPr>
                <w:noProof/>
                <w:webHidden/>
              </w:rPr>
              <w:tab/>
            </w:r>
            <w:r w:rsidR="009C566B">
              <w:rPr>
                <w:noProof/>
                <w:webHidden/>
              </w:rPr>
              <w:fldChar w:fldCharType="begin"/>
            </w:r>
            <w:r w:rsidR="009C566B">
              <w:rPr>
                <w:noProof/>
                <w:webHidden/>
              </w:rPr>
              <w:instrText xml:space="preserve"> PAGEREF _Toc102050698 \h </w:instrText>
            </w:r>
            <w:r w:rsidR="009C566B">
              <w:rPr>
                <w:noProof/>
                <w:webHidden/>
              </w:rPr>
            </w:r>
            <w:r w:rsidR="009C566B">
              <w:rPr>
                <w:noProof/>
                <w:webHidden/>
              </w:rPr>
              <w:fldChar w:fldCharType="separate"/>
            </w:r>
            <w:r w:rsidR="00C1023A">
              <w:rPr>
                <w:noProof/>
                <w:webHidden/>
              </w:rPr>
              <w:t>75</w:t>
            </w:r>
            <w:r w:rsidR="009C566B">
              <w:rPr>
                <w:noProof/>
                <w:webHidden/>
              </w:rPr>
              <w:fldChar w:fldCharType="end"/>
            </w:r>
          </w:hyperlink>
        </w:p>
        <w:p w14:paraId="5187A9FB" w14:textId="6FF3C511" w:rsidR="00A10CB0" w:rsidRPr="00FA0A99" w:rsidRDefault="009C566B" w:rsidP="00FA0A99">
          <w:pPr>
            <w:ind w:firstLine="0"/>
            <w:sectPr w:rsidR="00A10CB0" w:rsidRPr="00FA0A99" w:rsidSect="00FF225C"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257C4383" w14:textId="146AA4AF" w:rsidR="004D3572" w:rsidRDefault="004D3572" w:rsidP="004D3572">
      <w:pPr>
        <w:pStyle w:val="1"/>
      </w:pPr>
      <w:bookmarkStart w:id="0" w:name="_Toc102050290"/>
      <w:bookmarkStart w:id="1" w:name="_Toc102050662"/>
      <w:r>
        <w:lastRenderedPageBreak/>
        <w:t>Введение</w:t>
      </w:r>
      <w:bookmarkEnd w:id="0"/>
      <w:bookmarkEnd w:id="1"/>
    </w:p>
    <w:p w14:paraId="4B1A9CB9" w14:textId="53CC6D4F" w:rsidR="007F29C4" w:rsidRDefault="000709AA" w:rsidP="004D3572">
      <w:r>
        <w:t xml:space="preserve">Выход компании на </w:t>
      </w:r>
      <w:r>
        <w:rPr>
          <w:lang w:val="en-US"/>
        </w:rPr>
        <w:t>IPO</w:t>
      </w:r>
      <w:r w:rsidRPr="001C377F">
        <w:t xml:space="preserve"> </w:t>
      </w:r>
      <w:r w:rsidR="001C377F">
        <w:t xml:space="preserve">является </w:t>
      </w:r>
      <w:r w:rsidR="002E210C">
        <w:t>одним из важнейших этапов жизни организации. Размещая свои акции на бирже</w:t>
      </w:r>
      <w:r w:rsidR="00B967E9">
        <w:t xml:space="preserve">, компании привлекают </w:t>
      </w:r>
      <w:r w:rsidR="00133939">
        <w:t xml:space="preserve">денежные средства, требуемые для финансирования своего развития и </w:t>
      </w:r>
      <w:r w:rsidR="0020394C">
        <w:t>прочих целей</w:t>
      </w:r>
      <w:r w:rsidR="0052777E" w:rsidRPr="0052777E">
        <w:t xml:space="preserve"> </w:t>
      </w:r>
      <w:r w:rsidR="0052777E" w:rsidRPr="008F52D0">
        <w:t>(</w:t>
      </w:r>
      <w:r w:rsidR="008F52D0">
        <w:t xml:space="preserve">увеличение ликвидности компании, </w:t>
      </w:r>
      <w:r w:rsidR="003D267B">
        <w:t xml:space="preserve">появление у собственников возможности измерения уровня богатства и </w:t>
      </w:r>
      <w:r w:rsidR="00D272F2">
        <w:t>т. д.</w:t>
      </w:r>
      <w:r w:rsidR="003D267B">
        <w:t>)</w:t>
      </w:r>
      <w:r w:rsidR="00133939">
        <w:t xml:space="preserve">. </w:t>
      </w:r>
      <w:r w:rsidR="0065739D">
        <w:t>Однако</w:t>
      </w:r>
      <w:r w:rsidR="00C41EB3">
        <w:t xml:space="preserve">, </w:t>
      </w:r>
      <w:r w:rsidR="0065739D">
        <w:t xml:space="preserve">классическое </w:t>
      </w:r>
      <w:r w:rsidR="0065739D">
        <w:rPr>
          <w:lang w:val="en-US"/>
        </w:rPr>
        <w:t>IPO</w:t>
      </w:r>
      <w:r w:rsidR="0065739D">
        <w:t xml:space="preserve"> не является единственной возможностью</w:t>
      </w:r>
      <w:r w:rsidR="00DF0602">
        <w:t xml:space="preserve"> </w:t>
      </w:r>
      <w:r w:rsidR="00D272F2">
        <w:t>компаний</w:t>
      </w:r>
      <w:r w:rsidR="00DF0602">
        <w:t xml:space="preserve"> выйти на биржу. </w:t>
      </w:r>
    </w:p>
    <w:p w14:paraId="7CF22626" w14:textId="232C2A0E" w:rsidR="004D3572" w:rsidRDefault="0027548F" w:rsidP="004D3572">
      <w:r>
        <w:t xml:space="preserve">Уже почти 20 лет </w:t>
      </w:r>
      <w:r w:rsidR="00C8106B">
        <w:t xml:space="preserve">на рынке </w:t>
      </w:r>
      <w:r>
        <w:t xml:space="preserve">существуют </w:t>
      </w:r>
      <w:r w:rsidR="0004339C">
        <w:t xml:space="preserve">специализированные компании по целевым слияниям и поглощениям, сокращенно </w:t>
      </w:r>
      <w:r w:rsidR="0004339C">
        <w:rPr>
          <w:lang w:val="en-US"/>
        </w:rPr>
        <w:t>SPAC</w:t>
      </w:r>
      <w:r w:rsidR="0004339C" w:rsidRPr="0004339C">
        <w:t xml:space="preserve"> (</w:t>
      </w:r>
      <w:r w:rsidR="0004339C">
        <w:rPr>
          <w:lang w:val="en-US"/>
        </w:rPr>
        <w:t>Special</w:t>
      </w:r>
      <w:r w:rsidR="0004339C" w:rsidRPr="0004339C">
        <w:t xml:space="preserve"> </w:t>
      </w:r>
      <w:r w:rsidR="0004339C">
        <w:rPr>
          <w:lang w:val="en-US"/>
        </w:rPr>
        <w:t>Purpose</w:t>
      </w:r>
      <w:r w:rsidR="0004339C" w:rsidRPr="0004339C">
        <w:t xml:space="preserve"> </w:t>
      </w:r>
      <w:r w:rsidR="0004339C">
        <w:rPr>
          <w:lang w:val="en-US"/>
        </w:rPr>
        <w:t>Acqu</w:t>
      </w:r>
      <w:r w:rsidR="00324E0F">
        <w:rPr>
          <w:lang w:val="en-US"/>
        </w:rPr>
        <w:t>isition</w:t>
      </w:r>
      <w:r w:rsidR="00324E0F" w:rsidRPr="00324E0F">
        <w:t xml:space="preserve"> </w:t>
      </w:r>
      <w:r w:rsidR="00324E0F">
        <w:rPr>
          <w:lang w:val="en-US"/>
        </w:rPr>
        <w:t>Company</w:t>
      </w:r>
      <w:r w:rsidR="00324E0F" w:rsidRPr="00324E0F">
        <w:t>).</w:t>
      </w:r>
      <w:r w:rsidR="003777AF" w:rsidRPr="003777AF">
        <w:t xml:space="preserve"> </w:t>
      </w:r>
      <w:r w:rsidR="003777AF">
        <w:t>Такие компании представ</w:t>
      </w:r>
      <w:r w:rsidR="007F29C4">
        <w:t xml:space="preserve">ляют </w:t>
      </w:r>
      <w:r w:rsidR="00B6392C">
        <w:t>собой</w:t>
      </w:r>
      <w:r w:rsidR="007F29C4">
        <w:t xml:space="preserve"> фирмы без активов, ввиду </w:t>
      </w:r>
      <w:r w:rsidR="00115596">
        <w:t>чего их относят к «компаниям-пустышкам»</w:t>
      </w:r>
      <w:r w:rsidR="00453D9D">
        <w:t>, тем не менее их акции обращаются на бирже</w:t>
      </w:r>
      <w:r w:rsidR="00B6392C">
        <w:t>, то есть</w:t>
      </w:r>
      <w:r w:rsidR="00F038FC">
        <w:t xml:space="preserve"> на </w:t>
      </w:r>
      <w:r w:rsidR="00F038FC">
        <w:rPr>
          <w:lang w:val="en-US"/>
        </w:rPr>
        <w:t>IPO</w:t>
      </w:r>
      <w:r w:rsidR="00F038FC">
        <w:t xml:space="preserve"> выводятся </w:t>
      </w:r>
      <w:r w:rsidR="00B6392C">
        <w:t xml:space="preserve">именно эти </w:t>
      </w:r>
      <w:r w:rsidR="00B6392C">
        <w:rPr>
          <w:lang w:val="en-US"/>
        </w:rPr>
        <w:t>SPAC</w:t>
      </w:r>
      <w:r w:rsidR="00453D9D">
        <w:t>. Цель</w:t>
      </w:r>
      <w:r w:rsidR="007A2023">
        <w:t xml:space="preserve"> создания</w:t>
      </w:r>
      <w:r w:rsidR="00453D9D">
        <w:t xml:space="preserve"> таких компаний </w:t>
      </w:r>
      <w:r w:rsidR="00651B00">
        <w:t xml:space="preserve">– найти </w:t>
      </w:r>
      <w:r w:rsidR="0081308D">
        <w:t xml:space="preserve">перспективную фирму и поглотить ее. Если </w:t>
      </w:r>
      <w:r w:rsidR="0081308D">
        <w:rPr>
          <w:lang w:val="en-US"/>
        </w:rPr>
        <w:t>SPAC</w:t>
      </w:r>
      <w:r w:rsidR="0081308D">
        <w:t xml:space="preserve"> не сделает это в определенное </w:t>
      </w:r>
      <w:r w:rsidR="004309AC">
        <w:t xml:space="preserve">установленное </w:t>
      </w:r>
      <w:r w:rsidR="006F0F91">
        <w:t>время, то компания будет ликвидирована, ее акции перестанут торговаться на бирже.</w:t>
      </w:r>
      <w:r w:rsidR="003C2568">
        <w:t xml:space="preserve"> </w:t>
      </w:r>
      <w:r w:rsidR="00D926C0">
        <w:t>Для поглощаемых компаний</w:t>
      </w:r>
      <w:r w:rsidR="000048DC">
        <w:t>-</w:t>
      </w:r>
      <w:proofErr w:type="spellStart"/>
      <w:r w:rsidR="000048DC">
        <w:t>таргетов</w:t>
      </w:r>
      <w:proofErr w:type="spellEnd"/>
      <w:r w:rsidR="00D926C0">
        <w:t xml:space="preserve"> </w:t>
      </w:r>
      <w:r w:rsidR="00EF2575">
        <w:t>это</w:t>
      </w:r>
      <w:r w:rsidR="000048DC">
        <w:t>т механизм</w:t>
      </w:r>
      <w:r w:rsidR="00EF2575">
        <w:t xml:space="preserve"> является </w:t>
      </w:r>
      <w:r w:rsidR="00CD7BFD">
        <w:t>удобным альтернативным</w:t>
      </w:r>
      <w:r w:rsidR="00EF2575">
        <w:t xml:space="preserve"> способом выхода на бирж</w:t>
      </w:r>
      <w:r w:rsidR="000500D3">
        <w:t>у</w:t>
      </w:r>
      <w:r w:rsidR="00907C8E">
        <w:t xml:space="preserve">, поскольку после поглощения </w:t>
      </w:r>
      <w:r w:rsidR="00340067">
        <w:t>новая компания торгуется под новым тикером</w:t>
      </w:r>
      <w:r w:rsidR="00F00B85">
        <w:t xml:space="preserve">, а денежные средства </w:t>
      </w:r>
      <w:r w:rsidR="00B432D1">
        <w:t xml:space="preserve">собственники </w:t>
      </w:r>
      <w:r w:rsidR="003F5B95">
        <w:t>компании-</w:t>
      </w:r>
      <w:r w:rsidR="00B432D1">
        <w:t>таргета</w:t>
      </w:r>
      <w:r w:rsidR="00F00B85">
        <w:t xml:space="preserve"> получа</w:t>
      </w:r>
      <w:r w:rsidR="00B432D1">
        <w:t>ю</w:t>
      </w:r>
      <w:r w:rsidR="00F00B85">
        <w:t>т в качестве платы за продажу бизнеса.</w:t>
      </w:r>
    </w:p>
    <w:p w14:paraId="531BF6F6" w14:textId="748E694A" w:rsidR="000C70F5" w:rsidRDefault="000C70F5" w:rsidP="004D3572">
      <w:r>
        <w:t xml:space="preserve">Несмотря на длительное существование на рынке, </w:t>
      </w:r>
      <w:r w:rsidR="009053E6">
        <w:t xml:space="preserve">«бум» </w:t>
      </w:r>
      <w:r w:rsidR="009053E6">
        <w:rPr>
          <w:lang w:val="en-US"/>
        </w:rPr>
        <w:t>SPAC</w:t>
      </w:r>
      <w:r w:rsidR="009053E6">
        <w:t xml:space="preserve"> произошел в 2020 и 2021 гг.: в 2020</w:t>
      </w:r>
      <w:r w:rsidR="00970B93">
        <w:t xml:space="preserve"> году</w:t>
      </w:r>
      <w:r w:rsidR="009053E6">
        <w:t xml:space="preserve"> число </w:t>
      </w:r>
      <w:r w:rsidR="009053E6">
        <w:rPr>
          <w:lang w:val="en-US"/>
        </w:rPr>
        <w:t>SPAC</w:t>
      </w:r>
      <w:r w:rsidR="009053E6">
        <w:t xml:space="preserve"> на бирже со</w:t>
      </w:r>
      <w:r w:rsidR="00E11CEE">
        <w:t xml:space="preserve">ставило </w:t>
      </w:r>
      <w:r w:rsidR="00D40B0C" w:rsidRPr="00D40B0C">
        <w:t xml:space="preserve">248 </w:t>
      </w:r>
      <w:r w:rsidR="00283DB7" w:rsidRPr="00283DB7">
        <w:t>(</w:t>
      </w:r>
      <w:r w:rsidR="00283DB7">
        <w:t>рост 320% к 2019 году), в 2021</w:t>
      </w:r>
      <w:r w:rsidR="00631C3A">
        <w:t xml:space="preserve"> году количество </w:t>
      </w:r>
      <w:r w:rsidR="00631C3A">
        <w:rPr>
          <w:lang w:val="en-US"/>
        </w:rPr>
        <w:t>SPAC</w:t>
      </w:r>
      <w:r w:rsidR="00631C3A">
        <w:t xml:space="preserve"> увеличилось </w:t>
      </w:r>
      <w:r w:rsidR="00A03607">
        <w:t xml:space="preserve">до </w:t>
      </w:r>
      <w:r w:rsidR="00567C80">
        <w:t>613.</w:t>
      </w:r>
      <w:r w:rsidR="00567C80">
        <w:rPr>
          <w:rStyle w:val="af5"/>
        </w:rPr>
        <w:footnoteReference w:id="2"/>
      </w:r>
      <w:r w:rsidR="00CC2833">
        <w:t xml:space="preserve"> </w:t>
      </w:r>
      <w:r w:rsidR="004153AD">
        <w:t xml:space="preserve">При этом </w:t>
      </w:r>
      <w:r w:rsidR="00CF6BD9">
        <w:t xml:space="preserve">доля выходов на биржу </w:t>
      </w:r>
      <w:r w:rsidR="00CF6BD9">
        <w:rPr>
          <w:lang w:val="en-US"/>
        </w:rPr>
        <w:t>SPAC</w:t>
      </w:r>
      <w:r w:rsidR="00CF6BD9">
        <w:t xml:space="preserve"> среди всех компаний, проводящих </w:t>
      </w:r>
      <w:r w:rsidR="00CF6BD9">
        <w:rPr>
          <w:lang w:val="en-US"/>
        </w:rPr>
        <w:t>IPO</w:t>
      </w:r>
      <w:r w:rsidR="00CF6BD9">
        <w:t xml:space="preserve">, составила более 50% с 2020 года. </w:t>
      </w:r>
      <w:r w:rsidR="00051425">
        <w:t xml:space="preserve">Большинство </w:t>
      </w:r>
      <w:r w:rsidR="00051425">
        <w:rPr>
          <w:lang w:val="en-US"/>
        </w:rPr>
        <w:t>SPAC</w:t>
      </w:r>
      <w:r w:rsidR="00051425">
        <w:t xml:space="preserve"> </w:t>
      </w:r>
      <w:r w:rsidR="00033D50">
        <w:t>создаются на рынке США</w:t>
      </w:r>
      <w:r w:rsidR="00051425">
        <w:t xml:space="preserve">, однако и на других рынках такая схема </w:t>
      </w:r>
      <w:r w:rsidR="00CC1B58">
        <w:t>выхо</w:t>
      </w:r>
      <w:r w:rsidR="0078590E">
        <w:t>да на биржу становится все более популярной. На момент написания ВКР на российских финансовых рынках не обращались акци</w:t>
      </w:r>
      <w:r w:rsidR="00F161CC">
        <w:t>и</w:t>
      </w:r>
      <w:r w:rsidR="0078590E">
        <w:t xml:space="preserve"> </w:t>
      </w:r>
      <w:r w:rsidR="0078590E">
        <w:rPr>
          <w:lang w:val="en-US"/>
        </w:rPr>
        <w:t>SPAC</w:t>
      </w:r>
      <w:r w:rsidR="0078590E">
        <w:t xml:space="preserve">, как и в целом не существовали российские </w:t>
      </w:r>
      <w:r w:rsidR="009E4149">
        <w:t xml:space="preserve">специализированные компании по целевым слияниям и поглощениям. </w:t>
      </w:r>
      <w:r w:rsidR="00F022E0">
        <w:t xml:space="preserve">Тем не менее, </w:t>
      </w:r>
      <w:r w:rsidR="008F7FA0">
        <w:t>согласно сообщениям Минэкономразвития</w:t>
      </w:r>
      <w:r w:rsidR="00974157">
        <w:t xml:space="preserve">, механизм </w:t>
      </w:r>
      <w:r w:rsidR="00974157">
        <w:rPr>
          <w:lang w:val="en-US"/>
        </w:rPr>
        <w:t>SPAC</w:t>
      </w:r>
      <w:r w:rsidR="00974157" w:rsidRPr="00974157">
        <w:t xml:space="preserve"> </w:t>
      </w:r>
      <w:r w:rsidR="00974157">
        <w:t xml:space="preserve">планируется </w:t>
      </w:r>
      <w:r w:rsidR="00F9468F">
        <w:t>к запуску</w:t>
      </w:r>
      <w:r w:rsidR="003D3A98">
        <w:t xml:space="preserve"> </w:t>
      </w:r>
      <w:r w:rsidR="00F9468F">
        <w:t>н</w:t>
      </w:r>
      <w:r w:rsidR="00C44DC1">
        <w:t>а</w:t>
      </w:r>
      <w:r w:rsidR="003D3A98">
        <w:t xml:space="preserve"> Мосбирже и СПБ Бирже </w:t>
      </w:r>
      <w:r w:rsidR="00F9468F">
        <w:t>весной 2022 года.</w:t>
      </w:r>
      <w:r w:rsidR="009B4C56">
        <w:rPr>
          <w:rStyle w:val="af5"/>
        </w:rPr>
        <w:footnoteReference w:id="3"/>
      </w:r>
    </w:p>
    <w:p w14:paraId="742E4D30" w14:textId="617014F2" w:rsidR="0081688C" w:rsidRDefault="007E4E4B" w:rsidP="004D3572">
      <w:r>
        <w:t>По причине беспрецедентного роста</w:t>
      </w:r>
      <w:r w:rsidR="00E04062">
        <w:t xml:space="preserve"> «компаний-пустышек» по целевым поглощениям в </w:t>
      </w:r>
      <w:r w:rsidR="004C7BC4">
        <w:t>2020–2021</w:t>
      </w:r>
      <w:r w:rsidR="00E04062">
        <w:t xml:space="preserve"> гг. тема </w:t>
      </w:r>
      <w:r w:rsidR="00E04062">
        <w:rPr>
          <w:lang w:val="en-US"/>
        </w:rPr>
        <w:t>SPAC</w:t>
      </w:r>
      <w:r w:rsidR="00E04062">
        <w:t xml:space="preserve"> становится все более актуальной, однако </w:t>
      </w:r>
      <w:r w:rsidR="004C7BC4">
        <w:t xml:space="preserve">результативность инвестиций в такие компании </w:t>
      </w:r>
      <w:r w:rsidR="007F134E">
        <w:t>не обозревалась активно в научной литературе</w:t>
      </w:r>
      <w:r w:rsidR="00881CEC">
        <w:t>: основной упор до 2020</w:t>
      </w:r>
      <w:r w:rsidR="00E11D3E">
        <w:t xml:space="preserve"> года</w:t>
      </w:r>
      <w:r w:rsidR="00881CEC">
        <w:t xml:space="preserve"> делался на исследовани</w:t>
      </w:r>
      <w:r w:rsidR="00E11D3E">
        <w:t>и</w:t>
      </w:r>
      <w:r w:rsidR="00881CEC">
        <w:t xml:space="preserve"> </w:t>
      </w:r>
      <w:r w:rsidR="00E47145">
        <w:t xml:space="preserve">факторов «выживания» </w:t>
      </w:r>
      <w:r w:rsidR="00E47145">
        <w:rPr>
          <w:lang w:val="en-US"/>
        </w:rPr>
        <w:t>SPAC</w:t>
      </w:r>
      <w:r w:rsidR="00D71998">
        <w:t xml:space="preserve"> и роли спонсоров</w:t>
      </w:r>
      <w:r w:rsidR="00E11D3E">
        <w:t xml:space="preserve"> в</w:t>
      </w:r>
      <w:r w:rsidR="00D71998">
        <w:t xml:space="preserve"> таких сделках.</w:t>
      </w:r>
    </w:p>
    <w:p w14:paraId="02B043BF" w14:textId="4123805D" w:rsidR="00D71998" w:rsidRDefault="0057575C" w:rsidP="004D3572">
      <w:r>
        <w:lastRenderedPageBreak/>
        <w:t>Целью данной</w:t>
      </w:r>
      <w:r w:rsidR="00A954D1">
        <w:t xml:space="preserve"> выпускной квалификационной работы является определение результативности инвестиций в </w:t>
      </w:r>
      <w:r w:rsidR="00A871BC">
        <w:t>специализированные</w:t>
      </w:r>
      <w:r w:rsidR="00A954D1">
        <w:t xml:space="preserve"> компании по </w:t>
      </w:r>
      <w:r w:rsidR="00A871BC">
        <w:t>целевым</w:t>
      </w:r>
      <w:r w:rsidR="00A954D1">
        <w:t xml:space="preserve"> </w:t>
      </w:r>
      <w:r w:rsidR="00A871BC">
        <w:t>слияниям</w:t>
      </w:r>
      <w:r w:rsidR="00A954D1">
        <w:t xml:space="preserve"> и поглощениям. </w:t>
      </w:r>
      <w:r w:rsidR="00882C2B">
        <w:t xml:space="preserve">Для достижения </w:t>
      </w:r>
      <w:r w:rsidR="005D3E7C">
        <w:t>заявленной цели были сформулированы следующие задачи:</w:t>
      </w:r>
    </w:p>
    <w:p w14:paraId="45BC8BD3" w14:textId="78DFC598" w:rsidR="005D3E7C" w:rsidRPr="006D1958" w:rsidRDefault="006D1958" w:rsidP="005D3E7C">
      <w:pPr>
        <w:pStyle w:val="ae"/>
        <w:numPr>
          <w:ilvl w:val="0"/>
          <w:numId w:val="8"/>
        </w:numPr>
        <w:ind w:left="993"/>
      </w:pPr>
      <w:r>
        <w:rPr>
          <w:bCs/>
          <w:spacing w:val="2"/>
        </w:rPr>
        <w:t>изучить различные аспекты деятельности специализированных компаний по целевым слияниям и поглощениям;</w:t>
      </w:r>
    </w:p>
    <w:p w14:paraId="52777326" w14:textId="1C6ABA3F" w:rsidR="006D1958" w:rsidRPr="00721D0B" w:rsidRDefault="00721D0B" w:rsidP="005D3E7C">
      <w:pPr>
        <w:pStyle w:val="ae"/>
        <w:numPr>
          <w:ilvl w:val="0"/>
          <w:numId w:val="8"/>
        </w:numPr>
        <w:ind w:left="993"/>
      </w:pPr>
      <w:r>
        <w:rPr>
          <w:bCs/>
          <w:spacing w:val="2"/>
        </w:rPr>
        <w:t xml:space="preserve">изучить текущие исследования, посвященные проблематике </w:t>
      </w:r>
      <w:r>
        <w:rPr>
          <w:bCs/>
          <w:spacing w:val="2"/>
          <w:lang w:val="en-US"/>
        </w:rPr>
        <w:t>SPAC</w:t>
      </w:r>
      <w:r>
        <w:rPr>
          <w:bCs/>
          <w:spacing w:val="2"/>
        </w:rPr>
        <w:t xml:space="preserve"> и оценке инвестиций в данные компании;</w:t>
      </w:r>
    </w:p>
    <w:p w14:paraId="18447BF4" w14:textId="46ACC104" w:rsidR="00721D0B" w:rsidRPr="008C00E1" w:rsidRDefault="008C00E1" w:rsidP="005D3E7C">
      <w:pPr>
        <w:pStyle w:val="ae"/>
        <w:numPr>
          <w:ilvl w:val="0"/>
          <w:numId w:val="8"/>
        </w:numPr>
        <w:ind w:left="993"/>
      </w:pPr>
      <w:r>
        <w:rPr>
          <w:bCs/>
          <w:spacing w:val="2"/>
        </w:rPr>
        <w:t xml:space="preserve">изучить научные работы, посвященные оценке результативности инвестиций в </w:t>
      </w:r>
      <w:r>
        <w:rPr>
          <w:bCs/>
          <w:spacing w:val="2"/>
          <w:lang w:val="en-US"/>
        </w:rPr>
        <w:t>IPO</w:t>
      </w:r>
      <w:r>
        <w:rPr>
          <w:bCs/>
          <w:spacing w:val="2"/>
        </w:rPr>
        <w:t>;</w:t>
      </w:r>
    </w:p>
    <w:p w14:paraId="75D1378B" w14:textId="5E8FF6B0" w:rsidR="008C00E1" w:rsidRPr="008C00E1" w:rsidRDefault="008C00E1" w:rsidP="005D3E7C">
      <w:pPr>
        <w:pStyle w:val="ae"/>
        <w:numPr>
          <w:ilvl w:val="0"/>
          <w:numId w:val="8"/>
        </w:numPr>
        <w:ind w:left="993"/>
      </w:pPr>
      <w:r>
        <w:rPr>
          <w:bCs/>
          <w:spacing w:val="2"/>
        </w:rPr>
        <w:t>составить выборку релевантных компаний;</w:t>
      </w:r>
    </w:p>
    <w:p w14:paraId="5FD68733" w14:textId="0A71531D" w:rsidR="008C00E1" w:rsidRPr="00A67058" w:rsidRDefault="00A67058" w:rsidP="005D3E7C">
      <w:pPr>
        <w:pStyle w:val="ae"/>
        <w:numPr>
          <w:ilvl w:val="0"/>
          <w:numId w:val="8"/>
        </w:numPr>
        <w:ind w:left="993"/>
      </w:pPr>
      <w:r>
        <w:rPr>
          <w:bCs/>
          <w:spacing w:val="2"/>
        </w:rPr>
        <w:t>провести расчет определенных метрик и построить эконометрические модели для оценки результативности;</w:t>
      </w:r>
    </w:p>
    <w:p w14:paraId="43DA4808" w14:textId="1CE7C4FA" w:rsidR="00A67058" w:rsidRPr="00B52407" w:rsidRDefault="00A67058" w:rsidP="005D3E7C">
      <w:pPr>
        <w:pStyle w:val="ae"/>
        <w:numPr>
          <w:ilvl w:val="0"/>
          <w:numId w:val="8"/>
        </w:numPr>
        <w:ind w:left="993"/>
      </w:pPr>
      <w:r>
        <w:rPr>
          <w:bCs/>
          <w:spacing w:val="2"/>
        </w:rPr>
        <w:t>сформулировать выводы о полученных результатах.</w:t>
      </w:r>
    </w:p>
    <w:p w14:paraId="4F79E9C0" w14:textId="3EAA3086" w:rsidR="00B52407" w:rsidRDefault="00452B1E" w:rsidP="00B52407">
      <w:r>
        <w:t>Работ</w:t>
      </w:r>
      <w:r w:rsidR="00CA2964">
        <w:t xml:space="preserve">а выполнена в формате эмпирического исследования. </w:t>
      </w:r>
      <w:r w:rsidR="00B448BD">
        <w:t xml:space="preserve">Объектом исследования стали </w:t>
      </w:r>
      <w:r w:rsidR="008540DD">
        <w:t xml:space="preserve">американские </w:t>
      </w:r>
      <w:r w:rsidR="008540DD">
        <w:rPr>
          <w:lang w:val="en-US"/>
        </w:rPr>
        <w:t>SPAC</w:t>
      </w:r>
      <w:r w:rsidR="008540DD">
        <w:t xml:space="preserve">, которые выходили на биржу в период с 2015 по 2021 год. </w:t>
      </w:r>
      <w:r w:rsidR="00A260EE">
        <w:t xml:space="preserve">Предмет исследования – </w:t>
      </w:r>
      <w:r w:rsidR="00FF70D6">
        <w:t xml:space="preserve">результативность инвестиций в </w:t>
      </w:r>
      <w:r w:rsidR="00FF70D6">
        <w:rPr>
          <w:lang w:val="en-US"/>
        </w:rPr>
        <w:t>SPAC</w:t>
      </w:r>
      <w:r w:rsidR="00FF70D6">
        <w:t>.</w:t>
      </w:r>
    </w:p>
    <w:p w14:paraId="1AA352EC" w14:textId="177B08CD" w:rsidR="00D22B5C" w:rsidRPr="002557B2" w:rsidRDefault="0029292D" w:rsidP="00B52407">
      <w:r>
        <w:t xml:space="preserve">Первая </w:t>
      </w:r>
      <w:r w:rsidR="008F6AD5">
        <w:t xml:space="preserve">глава работы посвящена </w:t>
      </w:r>
      <w:r w:rsidR="008679B7">
        <w:t xml:space="preserve">теоретическому описанию </w:t>
      </w:r>
      <w:r w:rsidR="008679B7">
        <w:rPr>
          <w:lang w:val="en-US"/>
        </w:rPr>
        <w:t>SPAC</w:t>
      </w:r>
      <w:r w:rsidR="008679B7">
        <w:t xml:space="preserve"> и обзору научной литературы</w:t>
      </w:r>
      <w:r w:rsidR="00D37BBE">
        <w:t xml:space="preserve">. </w:t>
      </w:r>
      <w:r w:rsidR="006B022E">
        <w:t xml:space="preserve">В частности, описание </w:t>
      </w:r>
      <w:r w:rsidR="006B022E">
        <w:rPr>
          <w:lang w:val="en-US"/>
        </w:rPr>
        <w:t>SPAC</w:t>
      </w:r>
      <w:r w:rsidR="006B022E">
        <w:t xml:space="preserve"> включает в себя историю специализированных компаний по целевым слияниям и поглощениям, </w:t>
      </w:r>
      <w:r w:rsidR="0066796A">
        <w:t xml:space="preserve">описание </w:t>
      </w:r>
      <w:r w:rsidR="00BF533E">
        <w:t>заинтересованны</w:t>
      </w:r>
      <w:r w:rsidR="0066796A">
        <w:t>х</w:t>
      </w:r>
      <w:r w:rsidR="00BF533E">
        <w:t xml:space="preserve"> сторон </w:t>
      </w:r>
      <w:r w:rsidR="00BF533E">
        <w:rPr>
          <w:lang w:val="en-US"/>
        </w:rPr>
        <w:t>SPAC</w:t>
      </w:r>
      <w:r w:rsidR="00BF533E">
        <w:t xml:space="preserve">, </w:t>
      </w:r>
      <w:r w:rsidR="00F72C71">
        <w:t xml:space="preserve">описание </w:t>
      </w:r>
      <w:r w:rsidR="00BF533E">
        <w:t>ценны</w:t>
      </w:r>
      <w:r w:rsidR="00F72C71">
        <w:t>х</w:t>
      </w:r>
      <w:r w:rsidR="00BF533E">
        <w:t xml:space="preserve"> бумаг </w:t>
      </w:r>
      <w:r w:rsidR="00BF533E">
        <w:rPr>
          <w:lang w:val="en-US"/>
        </w:rPr>
        <w:t>SPAC</w:t>
      </w:r>
      <w:r w:rsidR="00C67588">
        <w:t xml:space="preserve">, </w:t>
      </w:r>
      <w:r w:rsidR="0066796A">
        <w:t>описание</w:t>
      </w:r>
      <w:r w:rsidR="00F72C71">
        <w:t xml:space="preserve"> </w:t>
      </w:r>
      <w:r w:rsidR="00C67588">
        <w:t>жизненн</w:t>
      </w:r>
      <w:r w:rsidR="00F72C71">
        <w:t>ого</w:t>
      </w:r>
      <w:r w:rsidR="00C67588">
        <w:t xml:space="preserve"> цикл</w:t>
      </w:r>
      <w:r w:rsidR="00F72C71">
        <w:t>а</w:t>
      </w:r>
      <w:r w:rsidR="00C67588">
        <w:t xml:space="preserve"> </w:t>
      </w:r>
      <w:r w:rsidR="00C67588">
        <w:rPr>
          <w:lang w:val="en-US"/>
        </w:rPr>
        <w:t>SPAC</w:t>
      </w:r>
      <w:r w:rsidR="00C67588">
        <w:t xml:space="preserve">, а также блок, посвященный сравнению </w:t>
      </w:r>
      <w:r w:rsidR="00C67588">
        <w:rPr>
          <w:lang w:val="en-US"/>
        </w:rPr>
        <w:t>SPAC</w:t>
      </w:r>
      <w:r w:rsidR="00C67588">
        <w:t xml:space="preserve"> и классического </w:t>
      </w:r>
      <w:r w:rsidR="00C67588">
        <w:rPr>
          <w:lang w:val="en-US"/>
        </w:rPr>
        <w:t>IPO</w:t>
      </w:r>
      <w:r w:rsidR="00C67588" w:rsidRPr="00530112">
        <w:t>.</w:t>
      </w:r>
      <w:r w:rsidR="00C67588">
        <w:t xml:space="preserve"> </w:t>
      </w:r>
      <w:r w:rsidR="00A3573B">
        <w:t xml:space="preserve">Обзор научной литературы </w:t>
      </w:r>
      <w:r w:rsidR="00530112">
        <w:t xml:space="preserve">сконцентрирован на </w:t>
      </w:r>
      <w:r w:rsidR="00EA2426">
        <w:t>статьях</w:t>
      </w:r>
      <w:r w:rsidR="00BB1458">
        <w:t>, посвященных исследовани</w:t>
      </w:r>
      <w:r w:rsidR="00727E3C">
        <w:t>ям</w:t>
      </w:r>
      <w:r w:rsidR="00BB1458">
        <w:t xml:space="preserve"> доходности</w:t>
      </w:r>
      <w:r w:rsidR="00920919">
        <w:t xml:space="preserve"> инвестиций</w:t>
      </w:r>
      <w:r w:rsidR="00BB1458">
        <w:t xml:space="preserve"> </w:t>
      </w:r>
      <w:r w:rsidR="00BB1458">
        <w:rPr>
          <w:lang w:val="en-US"/>
        </w:rPr>
        <w:t>SPAC</w:t>
      </w:r>
      <w:r w:rsidR="00BB1458">
        <w:t>,</w:t>
      </w:r>
      <w:r w:rsidR="00920919">
        <w:t xml:space="preserve"> исследовани</w:t>
      </w:r>
      <w:r w:rsidR="00727E3C">
        <w:t>ям</w:t>
      </w:r>
      <w:r w:rsidR="00BB1458">
        <w:t xml:space="preserve"> детерминант доходности </w:t>
      </w:r>
      <w:r w:rsidR="002557B2">
        <w:t xml:space="preserve">инвестиций в </w:t>
      </w:r>
      <w:r w:rsidR="00BB1458">
        <w:rPr>
          <w:lang w:val="en-US"/>
        </w:rPr>
        <w:t>SPAC</w:t>
      </w:r>
      <w:r w:rsidR="002557B2">
        <w:t>, а также исследовани</w:t>
      </w:r>
      <w:r w:rsidR="00727E3C">
        <w:t>ям</w:t>
      </w:r>
      <w:r w:rsidR="002557B2">
        <w:t xml:space="preserve"> результативности инвестиций в традиционное </w:t>
      </w:r>
      <w:r w:rsidR="002557B2">
        <w:rPr>
          <w:lang w:val="en-US"/>
        </w:rPr>
        <w:t>IPO</w:t>
      </w:r>
      <w:r w:rsidR="002557B2">
        <w:t>.</w:t>
      </w:r>
    </w:p>
    <w:p w14:paraId="17509EB4" w14:textId="50BE096C" w:rsidR="00185D7A" w:rsidRPr="006738F0" w:rsidRDefault="00185D7A" w:rsidP="00185D7A">
      <w:pPr>
        <w:pStyle w:val="1"/>
      </w:pPr>
      <w:bookmarkStart w:id="2" w:name="_Toc102050291"/>
      <w:bookmarkStart w:id="3" w:name="_Toc102050663"/>
      <w:r>
        <w:lastRenderedPageBreak/>
        <w:t>Глава 1. Теоре</w:t>
      </w:r>
      <w:r w:rsidR="006738F0">
        <w:t xml:space="preserve">тическое описание </w:t>
      </w:r>
      <w:r w:rsidR="006738F0">
        <w:rPr>
          <w:lang w:val="en-US"/>
        </w:rPr>
        <w:t>SPAC</w:t>
      </w:r>
      <w:r w:rsidR="006738F0">
        <w:t xml:space="preserve"> и обзор научных статей</w:t>
      </w:r>
      <w:bookmarkEnd w:id="2"/>
      <w:bookmarkEnd w:id="3"/>
    </w:p>
    <w:p w14:paraId="4C1295FE" w14:textId="6B7F36B7" w:rsidR="002E5C65" w:rsidRPr="009873E5" w:rsidRDefault="00391D85" w:rsidP="009C64E4">
      <w:pPr>
        <w:pStyle w:val="2"/>
        <w:numPr>
          <w:ilvl w:val="1"/>
          <w:numId w:val="10"/>
        </w:numPr>
        <w:spacing w:before="120"/>
      </w:pPr>
      <w:bookmarkStart w:id="4" w:name="_Toc102050292"/>
      <w:bookmarkStart w:id="5" w:name="_Toc102050664"/>
      <w:r>
        <w:t>Описание</w:t>
      </w:r>
      <w:r w:rsidR="002E5C65">
        <w:t xml:space="preserve"> </w:t>
      </w:r>
      <w:r w:rsidR="002E5C65">
        <w:rPr>
          <w:lang w:val="en-US"/>
        </w:rPr>
        <w:t>SPAC</w:t>
      </w:r>
      <w:bookmarkEnd w:id="4"/>
      <w:bookmarkEnd w:id="5"/>
    </w:p>
    <w:p w14:paraId="4CA73C24" w14:textId="431DA599" w:rsidR="006B56AF" w:rsidRDefault="006C36C4" w:rsidP="002E5C65">
      <w:r>
        <w:t xml:space="preserve"> </w:t>
      </w:r>
      <w:r w:rsidR="009873E5">
        <w:t>Специализированные компании по целевым слияниям и поглощениям (</w:t>
      </w:r>
      <w:r w:rsidR="009873E5">
        <w:rPr>
          <w:lang w:val="en-US"/>
        </w:rPr>
        <w:t>SPAC</w:t>
      </w:r>
      <w:r w:rsidR="009873E5" w:rsidRPr="009873E5">
        <w:t>)</w:t>
      </w:r>
      <w:r w:rsidR="009873E5">
        <w:t xml:space="preserve"> </w:t>
      </w:r>
      <w:r w:rsidR="00831400">
        <w:t>–</w:t>
      </w:r>
      <w:r w:rsidR="009873E5">
        <w:t xml:space="preserve"> </w:t>
      </w:r>
      <w:r w:rsidR="00831400">
        <w:t xml:space="preserve">компании, </w:t>
      </w:r>
      <w:r w:rsidR="00730B7F">
        <w:t>образованные</w:t>
      </w:r>
      <w:r w:rsidR="00831400">
        <w:t xml:space="preserve"> </w:t>
      </w:r>
      <w:r w:rsidR="00730B7F">
        <w:t>для привлечения</w:t>
      </w:r>
      <w:r w:rsidR="00EF1482">
        <w:t xml:space="preserve"> капитала в ходе </w:t>
      </w:r>
      <w:r w:rsidR="00EF1482" w:rsidRPr="00EF1482">
        <w:t>первичного публичного предложения</w:t>
      </w:r>
      <w:r w:rsidR="00EF1482">
        <w:t xml:space="preserve"> (</w:t>
      </w:r>
      <w:r w:rsidR="00EF1482">
        <w:rPr>
          <w:lang w:val="en-US"/>
        </w:rPr>
        <w:t>IPO</w:t>
      </w:r>
      <w:r w:rsidR="00EF1482" w:rsidRPr="00EF1482">
        <w:t xml:space="preserve">) </w:t>
      </w:r>
      <w:r w:rsidR="00EF1482">
        <w:t xml:space="preserve">с целью использования </w:t>
      </w:r>
      <w:r w:rsidR="00C91DE9">
        <w:t xml:space="preserve">выручки для приобретения одного или нескольких </w:t>
      </w:r>
      <w:r w:rsidR="002758B8">
        <w:t>непубличных бизне</w:t>
      </w:r>
      <w:r w:rsidR="006D4BD3">
        <w:t>сов, становящихся публичными после поглощения.</w:t>
      </w:r>
      <w:r w:rsidR="006D4BD3">
        <w:rPr>
          <w:rStyle w:val="af5"/>
        </w:rPr>
        <w:footnoteReference w:id="4"/>
      </w:r>
      <w:r w:rsidR="008558EC">
        <w:t xml:space="preserve"> </w:t>
      </w:r>
      <w:r w:rsidR="00C91ABB">
        <w:t>Компании</w:t>
      </w:r>
      <w:r w:rsidR="0051370C">
        <w:t xml:space="preserve"> по приобретению специального назначения (альтернативный вариант перевода расшифровки </w:t>
      </w:r>
      <w:r w:rsidR="0051370C">
        <w:rPr>
          <w:lang w:val="en-US"/>
        </w:rPr>
        <w:t>SPAC</w:t>
      </w:r>
      <w:r w:rsidR="0051370C" w:rsidRPr="0051370C">
        <w:t>)</w:t>
      </w:r>
      <w:r w:rsidR="0051370C">
        <w:t xml:space="preserve"> используются </w:t>
      </w:r>
      <w:r w:rsidR="00B41A6C">
        <w:t>для быстрого</w:t>
      </w:r>
      <w:r w:rsidR="009601F0">
        <w:t xml:space="preserve"> </w:t>
      </w:r>
      <w:r w:rsidR="00547416">
        <w:t xml:space="preserve">вывода молодых стартапов или зрелых компаний на биржу, минуя классический процесс </w:t>
      </w:r>
      <w:r w:rsidR="00E27916">
        <w:rPr>
          <w:lang w:val="en-US"/>
        </w:rPr>
        <w:t>IPO</w:t>
      </w:r>
      <w:r w:rsidR="00E27916">
        <w:t>, при котором организация</w:t>
      </w:r>
      <w:r w:rsidR="00C729E4">
        <w:t xml:space="preserve"> ведет долгую работу вместе </w:t>
      </w:r>
      <w:r w:rsidR="00D377FB">
        <w:t>с</w:t>
      </w:r>
      <w:r w:rsidR="00C729E4">
        <w:t xml:space="preserve"> инвестиционными банками</w:t>
      </w:r>
      <w:r w:rsidR="00D377FB">
        <w:t xml:space="preserve"> и аудиторами по первичному размещению своих акций.</w:t>
      </w:r>
    </w:p>
    <w:p w14:paraId="78A682EB" w14:textId="459026D8" w:rsidR="00832630" w:rsidRPr="00395558" w:rsidRDefault="00760E72" w:rsidP="002E5C65">
      <w:r>
        <w:t>Кратко процесс</w:t>
      </w:r>
      <w:r w:rsidR="009C2591">
        <w:t>ы</w:t>
      </w:r>
      <w:r>
        <w:t xml:space="preserve"> создания </w:t>
      </w:r>
      <w:r w:rsidR="00E320EF">
        <w:t>и функционировани</w:t>
      </w:r>
      <w:r w:rsidR="009C2591">
        <w:t>я</w:t>
      </w:r>
      <w:r w:rsidR="00E320EF">
        <w:t xml:space="preserve"> </w:t>
      </w:r>
      <w:r>
        <w:rPr>
          <w:lang w:val="en-US"/>
        </w:rPr>
        <w:t>SPAC</w:t>
      </w:r>
      <w:r w:rsidR="00E320EF">
        <w:t xml:space="preserve"> можно описать следующим образом. Группа </w:t>
      </w:r>
      <w:r w:rsidR="00824D16">
        <w:t xml:space="preserve">менеджеров, как правило обладающих </w:t>
      </w:r>
      <w:r w:rsidR="00B50D47">
        <w:t>экспертизой</w:t>
      </w:r>
      <w:r w:rsidR="00E17704">
        <w:t xml:space="preserve"> в области финансов,</w:t>
      </w:r>
      <w:r w:rsidR="00DC72C9">
        <w:t xml:space="preserve"> участвуют в создании «компании-пустышки» и работают с андеррайтерами по выводу </w:t>
      </w:r>
      <w:r w:rsidR="008F673F">
        <w:rPr>
          <w:lang w:val="en-US"/>
        </w:rPr>
        <w:t>SPAC</w:t>
      </w:r>
      <w:r w:rsidR="008F673F">
        <w:t xml:space="preserve"> на биржу. </w:t>
      </w:r>
      <w:r w:rsidR="00EF1637">
        <w:t xml:space="preserve">В ходе </w:t>
      </w:r>
      <w:r w:rsidR="00EF1637">
        <w:rPr>
          <w:lang w:val="en-US"/>
        </w:rPr>
        <w:t>IPO</w:t>
      </w:r>
      <w:r w:rsidR="00EF1637" w:rsidRPr="00A43117">
        <w:t xml:space="preserve"> </w:t>
      </w:r>
      <w:r w:rsidR="00EF1637">
        <w:t>менеджеры получают 20% ценных бумаг, оставш</w:t>
      </w:r>
      <w:r w:rsidR="00A43117">
        <w:t xml:space="preserve">уюся же часть инвесторы могут приобрести на бирже. Поступления с </w:t>
      </w:r>
      <w:r w:rsidR="00A43117">
        <w:rPr>
          <w:lang w:val="en-US"/>
        </w:rPr>
        <w:t>IPO</w:t>
      </w:r>
      <w:r w:rsidR="00A43117" w:rsidRPr="00A43117">
        <w:t xml:space="preserve"> </w:t>
      </w:r>
      <w:r w:rsidR="00A43117">
        <w:t>кладутся на трастовый счет</w:t>
      </w:r>
      <w:r w:rsidR="00D24B70">
        <w:t xml:space="preserve"> </w:t>
      </w:r>
      <w:r w:rsidR="00D24B70">
        <w:rPr>
          <w:lang w:val="en-US"/>
        </w:rPr>
        <w:t>SPAC</w:t>
      </w:r>
      <w:r w:rsidR="00A43117">
        <w:t xml:space="preserve"> и будут в дальнейшем использоваться для</w:t>
      </w:r>
      <w:r w:rsidR="00C631DC">
        <w:t xml:space="preserve"> финансирования сделки по поглощению компании</w:t>
      </w:r>
      <w:r w:rsidR="0095200F">
        <w:t>-цели</w:t>
      </w:r>
      <w:r w:rsidR="00C631DC">
        <w:t>.</w:t>
      </w:r>
      <w:r w:rsidR="0032622C">
        <w:t xml:space="preserve"> Обычно </w:t>
      </w:r>
      <w:r w:rsidR="0032622C">
        <w:rPr>
          <w:lang w:val="en-US"/>
        </w:rPr>
        <w:t>SPAC</w:t>
      </w:r>
      <w:r w:rsidR="0032622C" w:rsidRPr="00A00A73">
        <w:t xml:space="preserve"> </w:t>
      </w:r>
      <w:r w:rsidR="0032622C">
        <w:t>дается два года на поиск компании-таргета</w:t>
      </w:r>
      <w:r w:rsidR="00A00A73">
        <w:t>, котору</w:t>
      </w:r>
      <w:r w:rsidR="00307228">
        <w:t xml:space="preserve">ю </w:t>
      </w:r>
      <w:r w:rsidR="00A00A73">
        <w:t xml:space="preserve">она поглотит. В случае, если </w:t>
      </w:r>
      <w:r w:rsidR="00307228">
        <w:t>таргет</w:t>
      </w:r>
      <w:r w:rsidR="00A00A73">
        <w:t xml:space="preserve"> не найден, </w:t>
      </w:r>
      <w:r w:rsidR="00307228">
        <w:rPr>
          <w:lang w:val="en-US"/>
        </w:rPr>
        <w:t>SPAC</w:t>
      </w:r>
      <w:r w:rsidR="00307228" w:rsidRPr="00114400">
        <w:t xml:space="preserve"> </w:t>
      </w:r>
      <w:r w:rsidR="00307228">
        <w:t>ликвидируется</w:t>
      </w:r>
      <w:r w:rsidR="00114400">
        <w:t>, все издержки по ликвидации несут менеджеры-создатели «компании-пустышки».</w:t>
      </w:r>
      <w:r w:rsidR="0099656F" w:rsidRPr="0099656F">
        <w:t xml:space="preserve"> </w:t>
      </w:r>
      <w:r w:rsidR="001F5B83">
        <w:t xml:space="preserve">Когда же в течение установленного срока </w:t>
      </w:r>
      <w:r w:rsidR="002C6284">
        <w:t>таргет находится</w:t>
      </w:r>
      <w:r w:rsidR="00B4649E">
        <w:t xml:space="preserve">, </w:t>
      </w:r>
      <w:r w:rsidR="00B4649E">
        <w:rPr>
          <w:lang w:val="en-US"/>
        </w:rPr>
        <w:t>SPAC</w:t>
      </w:r>
      <w:r w:rsidR="00B4649E" w:rsidRPr="00B4649E">
        <w:t xml:space="preserve"> </w:t>
      </w:r>
      <w:r w:rsidR="00B4649E">
        <w:t xml:space="preserve">приобретает компанию с помощью средств </w:t>
      </w:r>
      <w:r w:rsidR="0020099D">
        <w:t>из трастового счета. Как правило, в дальнейшем новая компания</w:t>
      </w:r>
      <w:r w:rsidR="00762DCC">
        <w:t xml:space="preserve"> (</w:t>
      </w:r>
      <w:r w:rsidR="00762DCC">
        <w:rPr>
          <w:lang w:val="en-US"/>
        </w:rPr>
        <w:t>SPAC</w:t>
      </w:r>
      <w:r w:rsidR="00762DCC" w:rsidRPr="00762DCC">
        <w:t>+</w:t>
      </w:r>
      <w:r w:rsidR="00762DCC">
        <w:t>таргет)</w:t>
      </w:r>
      <w:r w:rsidR="0020099D">
        <w:t xml:space="preserve"> меняет название и тикер </w:t>
      </w:r>
      <w:r w:rsidR="00BB6A15">
        <w:t>на бирже.</w:t>
      </w:r>
      <w:r w:rsidR="00CC17F6">
        <w:t xml:space="preserve"> </w:t>
      </w:r>
      <w:r w:rsidR="00F02283">
        <w:rPr>
          <w:lang w:val="en-US"/>
        </w:rPr>
        <w:t>SPAC</w:t>
      </w:r>
      <w:r w:rsidR="00F02283" w:rsidRPr="00F02283">
        <w:t xml:space="preserve"> </w:t>
      </w:r>
      <w:r w:rsidR="00F02283">
        <w:t xml:space="preserve">могут быть </w:t>
      </w:r>
      <w:r w:rsidR="00212790">
        <w:t>либо нацелены на поглощение компании из определенной отрасли, либо искать</w:t>
      </w:r>
      <w:r w:rsidR="002704A2">
        <w:t xml:space="preserve"> таргет в независимости от сферы деятельности.</w:t>
      </w:r>
      <w:r w:rsidR="00923C69">
        <w:t xml:space="preserve"> Например, </w:t>
      </w:r>
      <w:r w:rsidR="00A441B8">
        <w:rPr>
          <w:lang w:val="en-US"/>
        </w:rPr>
        <w:t>SPAC</w:t>
      </w:r>
      <w:r w:rsidR="00837D14">
        <w:t xml:space="preserve"> </w:t>
      </w:r>
      <w:proofErr w:type="spellStart"/>
      <w:r w:rsidR="00837D14">
        <w:rPr>
          <w:lang w:val="en-US"/>
        </w:rPr>
        <w:t>Arctors</w:t>
      </w:r>
      <w:proofErr w:type="spellEnd"/>
      <w:r w:rsidR="00837D14" w:rsidRPr="00A441B8">
        <w:t xml:space="preserve"> </w:t>
      </w:r>
      <w:proofErr w:type="spellStart"/>
      <w:r w:rsidR="00837D14">
        <w:rPr>
          <w:lang w:val="en-US"/>
        </w:rPr>
        <w:t>Northstar</w:t>
      </w:r>
      <w:proofErr w:type="spellEnd"/>
      <w:r w:rsidR="00837D14" w:rsidRPr="00A441B8">
        <w:t xml:space="preserve"> </w:t>
      </w:r>
      <w:r w:rsidR="00837D14">
        <w:rPr>
          <w:lang w:val="en-US"/>
        </w:rPr>
        <w:t>Acquisition</w:t>
      </w:r>
      <w:r w:rsidR="00837D14" w:rsidRPr="00A441B8">
        <w:t xml:space="preserve"> </w:t>
      </w:r>
      <w:proofErr w:type="spellStart"/>
      <w:r w:rsidR="00837D14">
        <w:rPr>
          <w:lang w:val="en-US"/>
        </w:rPr>
        <w:t>corp</w:t>
      </w:r>
      <w:proofErr w:type="spellEnd"/>
      <w:r w:rsidR="00837D14" w:rsidRPr="00A441B8">
        <w:t>. (</w:t>
      </w:r>
      <w:r w:rsidR="00837D14">
        <w:rPr>
          <w:lang w:val="en-US"/>
        </w:rPr>
        <w:t>ANAC</w:t>
      </w:r>
      <w:r w:rsidR="00837D14" w:rsidRPr="00A441B8">
        <w:t>)</w:t>
      </w:r>
      <w:r w:rsidR="00B26A72">
        <w:t xml:space="preserve">, </w:t>
      </w:r>
      <w:r w:rsidR="00E43E3D">
        <w:t xml:space="preserve">проведший </w:t>
      </w:r>
      <w:r w:rsidR="00E43E3D">
        <w:rPr>
          <w:lang w:val="en-US"/>
        </w:rPr>
        <w:t>IPO</w:t>
      </w:r>
      <w:r w:rsidR="00E43E3D">
        <w:t xml:space="preserve"> 23 февраля 2021 </w:t>
      </w:r>
      <w:r w:rsidR="00AC0B80">
        <w:t xml:space="preserve">года, </w:t>
      </w:r>
      <w:r w:rsidR="00AC0B80" w:rsidRPr="00A441B8">
        <w:t>в</w:t>
      </w:r>
      <w:r w:rsidR="002710AB">
        <w:t xml:space="preserve"> качестве цели выбирает компа</w:t>
      </w:r>
      <w:r w:rsidR="00A441B8">
        <w:t>нию в сфере спорта, СМИ и развлечений</w:t>
      </w:r>
      <w:r w:rsidR="00837D14">
        <w:t>.</w:t>
      </w:r>
      <w:r w:rsidR="00741698">
        <w:rPr>
          <w:rStyle w:val="af5"/>
        </w:rPr>
        <w:footnoteReference w:id="5"/>
      </w:r>
      <w:r w:rsidR="00212790">
        <w:t xml:space="preserve"> </w:t>
      </w:r>
      <w:r w:rsidR="004D1A97">
        <w:t>Промежуток времени</w:t>
      </w:r>
      <w:r w:rsidR="00F93961">
        <w:t>, начинающийся</w:t>
      </w:r>
      <w:r w:rsidR="004D1A97">
        <w:t xml:space="preserve"> после слияния</w:t>
      </w:r>
      <w:r w:rsidR="00FC1A7C">
        <w:t xml:space="preserve"> специализированной компании с таргетом</w:t>
      </w:r>
      <w:r w:rsidR="00F93961">
        <w:t>,</w:t>
      </w:r>
      <w:r w:rsidR="004D1A97">
        <w:t xml:space="preserve"> в научной литературе </w:t>
      </w:r>
      <w:r w:rsidR="008C5BB6">
        <w:t xml:space="preserve">принято обозначать </w:t>
      </w:r>
      <w:r w:rsidR="00FC1A7C">
        <w:rPr>
          <w:lang w:val="en-US"/>
        </w:rPr>
        <w:t>deSPAC</w:t>
      </w:r>
      <w:r w:rsidR="00FC1A7C" w:rsidRPr="00FC1A7C">
        <w:t xml:space="preserve"> </w:t>
      </w:r>
      <w:r w:rsidR="00FC1A7C">
        <w:t>периодом</w:t>
      </w:r>
      <w:r w:rsidR="00E76CBE">
        <w:t>.</w:t>
      </w:r>
      <w:r w:rsidR="008F3212">
        <w:t xml:space="preserve"> Также </w:t>
      </w:r>
      <w:r w:rsidR="008F3212">
        <w:rPr>
          <w:lang w:val="en-US"/>
        </w:rPr>
        <w:t>de</w:t>
      </w:r>
      <w:r w:rsidR="0030417F">
        <w:rPr>
          <w:lang w:val="en-US"/>
        </w:rPr>
        <w:t>SPAC</w:t>
      </w:r>
      <w:r w:rsidR="0030417F" w:rsidRPr="0030417F">
        <w:t xml:space="preserve"> </w:t>
      </w:r>
      <w:r w:rsidR="0030417F">
        <w:t xml:space="preserve">называются успешные </w:t>
      </w:r>
      <w:r w:rsidR="00594670">
        <w:t xml:space="preserve">сделки по слиянию </w:t>
      </w:r>
      <w:r w:rsidR="00395558">
        <w:rPr>
          <w:lang w:val="en-US"/>
        </w:rPr>
        <w:t>SPAC</w:t>
      </w:r>
      <w:r w:rsidR="00395558" w:rsidRPr="00395558">
        <w:t xml:space="preserve"> </w:t>
      </w:r>
      <w:r w:rsidR="00395558">
        <w:t>и таргет-компаний</w:t>
      </w:r>
      <w:r w:rsidR="003F1D92">
        <w:t>,</w:t>
      </w:r>
      <w:r w:rsidR="00A360BB">
        <w:t xml:space="preserve"> или</w:t>
      </w:r>
      <w:r w:rsidR="003F1D92">
        <w:t xml:space="preserve"> сама компания </w:t>
      </w:r>
      <w:r w:rsidR="003F1D92">
        <w:lastRenderedPageBreak/>
        <w:t xml:space="preserve">после поглощения называется </w:t>
      </w:r>
      <w:r w:rsidR="003F1D92">
        <w:rPr>
          <w:lang w:val="en-US"/>
        </w:rPr>
        <w:t>deSPAC</w:t>
      </w:r>
      <w:r w:rsidR="00395558">
        <w:t xml:space="preserve">, </w:t>
      </w:r>
      <w:r w:rsidR="00336939">
        <w:t>приведенная терминология будет активно использоваться в данной работе.</w:t>
      </w:r>
    </w:p>
    <w:p w14:paraId="0375FF24" w14:textId="7847AA99" w:rsidR="00B510E4" w:rsidRDefault="003933DB" w:rsidP="002E5C65">
      <w:r>
        <w:t xml:space="preserve">Одним из известных представителей </w:t>
      </w:r>
      <w:r w:rsidR="008F3212">
        <w:rPr>
          <w:lang w:val="en-US"/>
        </w:rPr>
        <w:t>deSPAC</w:t>
      </w:r>
      <w:r w:rsidR="008F3212" w:rsidRPr="008F3212">
        <w:t xml:space="preserve"> </w:t>
      </w:r>
      <w:r w:rsidR="00A20823">
        <w:t xml:space="preserve">является небезызвестная </w:t>
      </w:r>
      <w:r w:rsidR="0072073D">
        <w:t xml:space="preserve">компания </w:t>
      </w:r>
      <w:r w:rsidR="00A20823">
        <w:rPr>
          <w:lang w:val="en-US"/>
        </w:rPr>
        <w:t>Virgin</w:t>
      </w:r>
      <w:r w:rsidR="00A20823" w:rsidRPr="00A20823">
        <w:t xml:space="preserve"> </w:t>
      </w:r>
      <w:r w:rsidR="00A20823">
        <w:rPr>
          <w:lang w:val="en-US"/>
        </w:rPr>
        <w:t>Galactic</w:t>
      </w:r>
      <w:r w:rsidR="00A20823" w:rsidRPr="00A20823">
        <w:t xml:space="preserve"> (</w:t>
      </w:r>
      <w:r w:rsidR="0072073D">
        <w:rPr>
          <w:lang w:val="en-US"/>
        </w:rPr>
        <w:t>SPCE</w:t>
      </w:r>
      <w:r w:rsidR="0072073D" w:rsidRPr="0072073D">
        <w:t>)</w:t>
      </w:r>
      <w:r w:rsidR="00D54ED0">
        <w:t xml:space="preserve">, занимающаяся производством </w:t>
      </w:r>
      <w:r w:rsidR="000E23D3">
        <w:t>космических аппаратов</w:t>
      </w:r>
      <w:r w:rsidR="007D106A">
        <w:t xml:space="preserve">, </w:t>
      </w:r>
      <w:r w:rsidR="00DF1424">
        <w:t xml:space="preserve">которая вызвала </w:t>
      </w:r>
      <w:r w:rsidR="00A52747">
        <w:t xml:space="preserve">огромный интерес инвесторов в 2021, спровоцировав </w:t>
      </w:r>
      <w:r w:rsidR="002C0695">
        <w:t xml:space="preserve">беспрецедентный рост котировок бывшей </w:t>
      </w:r>
      <w:r w:rsidR="002C0695">
        <w:rPr>
          <w:lang w:val="en-US"/>
        </w:rPr>
        <w:t>SPAC</w:t>
      </w:r>
      <w:r w:rsidR="002C0695">
        <w:t xml:space="preserve">. </w:t>
      </w:r>
      <w:r w:rsidR="00511C57">
        <w:t xml:space="preserve">Однако, </w:t>
      </w:r>
      <w:r w:rsidR="00C41593">
        <w:t>поначалу успешный</w:t>
      </w:r>
      <w:r w:rsidR="00DC0503">
        <w:t xml:space="preserve"> </w:t>
      </w:r>
      <w:r w:rsidR="00DC0503">
        <w:rPr>
          <w:lang w:val="en-US"/>
        </w:rPr>
        <w:t>deSPAC</w:t>
      </w:r>
      <w:r w:rsidR="00DC0503" w:rsidRPr="00DC0503">
        <w:t xml:space="preserve"> </w:t>
      </w:r>
      <w:r w:rsidR="00DC0503">
        <w:t xml:space="preserve">на данный момент торгуется </w:t>
      </w:r>
      <w:r w:rsidR="007940CC">
        <w:t>ниже цены размещения</w:t>
      </w:r>
      <w:r w:rsidR="00A77E32" w:rsidRPr="00A77E32">
        <w:t xml:space="preserve"> ($8,44 </w:t>
      </w:r>
      <w:r w:rsidR="00A77E32">
        <w:t xml:space="preserve">на момент написания главы против </w:t>
      </w:r>
      <w:r w:rsidR="00A77E32" w:rsidRPr="00A77E32">
        <w:t xml:space="preserve">10$ </w:t>
      </w:r>
      <w:r w:rsidR="00A77E32">
        <w:t>при размещении</w:t>
      </w:r>
      <w:r w:rsidR="004958FB">
        <w:rPr>
          <w:rStyle w:val="af5"/>
        </w:rPr>
        <w:footnoteReference w:id="6"/>
      </w:r>
      <w:r w:rsidR="004958FB">
        <w:t xml:space="preserve">). </w:t>
      </w:r>
      <w:r w:rsidR="00F35D20">
        <w:t xml:space="preserve">Кейс </w:t>
      </w:r>
      <w:r w:rsidR="00F35D20">
        <w:rPr>
          <w:lang w:val="en-US"/>
        </w:rPr>
        <w:t>Virgin</w:t>
      </w:r>
      <w:r w:rsidR="00F35D20" w:rsidRPr="00F35D20">
        <w:t xml:space="preserve"> </w:t>
      </w:r>
      <w:r w:rsidR="00F35D20">
        <w:rPr>
          <w:lang w:val="en-US"/>
        </w:rPr>
        <w:t>Galactic</w:t>
      </w:r>
      <w:r w:rsidR="00F35D20" w:rsidRPr="00F35D20">
        <w:t xml:space="preserve"> </w:t>
      </w:r>
      <w:r w:rsidR="00F35D20">
        <w:t xml:space="preserve">является прекрасным примером низкой результативности </w:t>
      </w:r>
      <w:r w:rsidR="00F35D20">
        <w:rPr>
          <w:lang w:val="en-US"/>
        </w:rPr>
        <w:t>deSPAC</w:t>
      </w:r>
      <w:r w:rsidR="000320AF">
        <w:t xml:space="preserve"> компаний. </w:t>
      </w:r>
      <w:r w:rsidR="00DD5E26">
        <w:t>Г</w:t>
      </w:r>
      <w:r w:rsidR="007A4EB0">
        <w:t>лав</w:t>
      </w:r>
      <w:r w:rsidR="00DD5E26">
        <w:t>а 1</w:t>
      </w:r>
      <w:r w:rsidR="007A4EB0">
        <w:t xml:space="preserve"> работы буд</w:t>
      </w:r>
      <w:r w:rsidR="00DD5E26">
        <w:t>е</w:t>
      </w:r>
      <w:r w:rsidR="007A4EB0">
        <w:t>т</w:t>
      </w:r>
      <w:r w:rsidR="00076652">
        <w:t xml:space="preserve"> посвящены подробному разбору </w:t>
      </w:r>
      <w:r w:rsidR="00EF41A5">
        <w:t xml:space="preserve">сущности </w:t>
      </w:r>
      <w:r w:rsidR="00EF41A5">
        <w:rPr>
          <w:lang w:val="en-US"/>
        </w:rPr>
        <w:t>SPAC</w:t>
      </w:r>
      <w:r w:rsidR="002E488F">
        <w:t>, а также научной литературе,</w:t>
      </w:r>
      <w:r w:rsidR="009B0DCD">
        <w:t xml:space="preserve"> освещающей проблематику </w:t>
      </w:r>
      <w:r w:rsidR="009B0DCD">
        <w:rPr>
          <w:lang w:val="en-US"/>
        </w:rPr>
        <w:t>SPAC</w:t>
      </w:r>
      <w:r w:rsidR="009B0DCD">
        <w:t xml:space="preserve"> и сравнивающей </w:t>
      </w:r>
      <w:r w:rsidR="00F12DCE">
        <w:t xml:space="preserve">результативность таких компаний с традиционным </w:t>
      </w:r>
      <w:r w:rsidR="00F12DCE">
        <w:rPr>
          <w:lang w:val="en-US"/>
        </w:rPr>
        <w:t>IPO</w:t>
      </w:r>
      <w:r w:rsidR="00F12DCE">
        <w:t>.</w:t>
      </w:r>
    </w:p>
    <w:p w14:paraId="18F73B4D" w14:textId="2C6BEA6B" w:rsidR="00A149ED" w:rsidRDefault="00D30097" w:rsidP="009C64E4">
      <w:pPr>
        <w:pStyle w:val="3"/>
        <w:numPr>
          <w:ilvl w:val="2"/>
          <w:numId w:val="10"/>
        </w:numPr>
      </w:pPr>
      <w:bookmarkStart w:id="6" w:name="_Toc102050293"/>
      <w:bookmarkStart w:id="7" w:name="_Toc102050665"/>
      <w:r>
        <w:t>История специализированных компаний по целевым слияниям и поглощениям (</w:t>
      </w:r>
      <w:r>
        <w:rPr>
          <w:lang w:val="en-US"/>
        </w:rPr>
        <w:t>SPAC</w:t>
      </w:r>
      <w:r w:rsidRPr="00D30097">
        <w:t>)</w:t>
      </w:r>
      <w:bookmarkEnd w:id="6"/>
      <w:bookmarkEnd w:id="7"/>
    </w:p>
    <w:p w14:paraId="35E1422D" w14:textId="048D6311" w:rsidR="00C2332E" w:rsidRDefault="009C7110" w:rsidP="00D30097">
      <w:r>
        <w:t xml:space="preserve">Несмотря </w:t>
      </w:r>
      <w:r w:rsidR="00801BDD">
        <w:t xml:space="preserve">на </w:t>
      </w:r>
      <w:r w:rsidR="00E96746">
        <w:t>присутствие</w:t>
      </w:r>
      <w:r w:rsidR="00D334E4">
        <w:t xml:space="preserve"> </w:t>
      </w:r>
      <w:r w:rsidR="00D334E4" w:rsidRPr="00D334E4">
        <w:t>использовавшихся для поглощений</w:t>
      </w:r>
      <w:r w:rsidR="00E96746">
        <w:t xml:space="preserve"> «компаний-пустышек» </w:t>
      </w:r>
      <w:r w:rsidR="00D334E4">
        <w:t>в 18 веке</w:t>
      </w:r>
      <w:r w:rsidR="00F9782B">
        <w:t xml:space="preserve"> </w:t>
      </w:r>
      <w:r w:rsidR="001677B2" w:rsidRPr="001677B2">
        <w:t>[</w:t>
      </w:r>
      <w:proofErr w:type="spellStart"/>
      <w:r w:rsidR="0012330C" w:rsidRPr="0012330C">
        <w:t>Shachmurove</w:t>
      </w:r>
      <w:proofErr w:type="spellEnd"/>
      <w:r w:rsidR="0012330C">
        <w:t xml:space="preserve">, </w:t>
      </w:r>
      <w:proofErr w:type="spellStart"/>
      <w:r w:rsidR="0012330C">
        <w:rPr>
          <w:lang w:val="en-US"/>
        </w:rPr>
        <w:t>Vulanovic</w:t>
      </w:r>
      <w:proofErr w:type="spellEnd"/>
      <w:r w:rsidR="001677B2" w:rsidRPr="001677B2">
        <w:t>,</w:t>
      </w:r>
      <w:r w:rsidR="0012330C" w:rsidRPr="0012330C">
        <w:t xml:space="preserve"> 2017</w:t>
      </w:r>
      <w:r w:rsidR="001677B2" w:rsidRPr="001677B2">
        <w:t>]</w:t>
      </w:r>
      <w:r w:rsidR="002F6919">
        <w:t>, перв</w:t>
      </w:r>
      <w:r w:rsidR="00F17257">
        <w:t>ой</w:t>
      </w:r>
      <w:r w:rsidR="006F7BAD">
        <w:t xml:space="preserve"> компани</w:t>
      </w:r>
      <w:r w:rsidR="00F17257">
        <w:t>ей</w:t>
      </w:r>
      <w:r w:rsidR="006F7BAD">
        <w:t xml:space="preserve"> </w:t>
      </w:r>
      <w:r w:rsidR="006C0B5E">
        <w:t>по приобретению специального назначения</w:t>
      </w:r>
      <w:r w:rsidR="00F17257">
        <w:t xml:space="preserve">, близкой к современным </w:t>
      </w:r>
      <w:r w:rsidR="00F17257">
        <w:rPr>
          <w:lang w:val="en-US"/>
        </w:rPr>
        <w:t>SPAC</w:t>
      </w:r>
      <w:r w:rsidR="00F17257">
        <w:t>, стала</w:t>
      </w:r>
      <w:r w:rsidR="00775B44">
        <w:t xml:space="preserve"> </w:t>
      </w:r>
      <w:r w:rsidR="00601A1E">
        <w:rPr>
          <w:lang w:val="en-US"/>
        </w:rPr>
        <w:t>Information</w:t>
      </w:r>
      <w:r w:rsidR="00601A1E" w:rsidRPr="00601A1E">
        <w:t xml:space="preserve"> </w:t>
      </w:r>
      <w:r w:rsidR="00601A1E">
        <w:rPr>
          <w:lang w:val="en-US"/>
        </w:rPr>
        <w:t>Systems</w:t>
      </w:r>
      <w:r w:rsidR="00601A1E" w:rsidRPr="00601A1E">
        <w:t xml:space="preserve"> </w:t>
      </w:r>
      <w:r w:rsidR="00601A1E">
        <w:rPr>
          <w:lang w:val="en-US"/>
        </w:rPr>
        <w:t>Acquisition</w:t>
      </w:r>
      <w:r w:rsidR="00601A1E" w:rsidRPr="00601A1E">
        <w:t xml:space="preserve"> </w:t>
      </w:r>
      <w:r w:rsidR="00601A1E">
        <w:rPr>
          <w:lang w:val="en-US"/>
        </w:rPr>
        <w:t>Corp</w:t>
      </w:r>
      <w:r w:rsidR="00601A1E" w:rsidRPr="00601A1E">
        <w:t>.</w:t>
      </w:r>
      <w:r w:rsidR="00E52058">
        <w:t xml:space="preserve"> Фирма</w:t>
      </w:r>
      <w:r w:rsidR="006C0B5E">
        <w:t xml:space="preserve"> </w:t>
      </w:r>
      <w:r w:rsidR="0000066B">
        <w:t xml:space="preserve">провела первичное размещение </w:t>
      </w:r>
      <w:r w:rsidR="00E42DCF">
        <w:t xml:space="preserve">акций </w:t>
      </w:r>
      <w:r w:rsidR="00775B44">
        <w:t xml:space="preserve">в 1993 году по цене </w:t>
      </w:r>
      <w:r w:rsidR="00E42DCF" w:rsidRPr="00E42DCF">
        <w:t>$</w:t>
      </w:r>
      <w:r w:rsidR="00E42DCF">
        <w:t>6</w:t>
      </w:r>
      <w:r w:rsidR="00E42DCF" w:rsidRPr="00E42DCF">
        <w:t xml:space="preserve"> </w:t>
      </w:r>
      <w:r w:rsidR="00E42DCF">
        <w:t>за штуку.</w:t>
      </w:r>
    </w:p>
    <w:p w14:paraId="2E1726C0" w14:textId="732AF664" w:rsidR="00D30097" w:rsidRDefault="003240DE" w:rsidP="00D30097">
      <w:r>
        <w:t xml:space="preserve">Исследователи отмечают </w:t>
      </w:r>
      <w:r w:rsidR="001677B2" w:rsidRPr="001677B2">
        <w:t>[</w:t>
      </w:r>
      <w:proofErr w:type="spellStart"/>
      <w:r>
        <w:rPr>
          <w:lang w:val="en-US"/>
        </w:rPr>
        <w:t>Shachmurove</w:t>
      </w:r>
      <w:proofErr w:type="spellEnd"/>
      <w:r w:rsidRPr="00416899">
        <w:t xml:space="preserve">, </w:t>
      </w:r>
      <w:proofErr w:type="spellStart"/>
      <w:r>
        <w:rPr>
          <w:lang w:val="en-US"/>
        </w:rPr>
        <w:t>Vulanovic</w:t>
      </w:r>
      <w:proofErr w:type="spellEnd"/>
      <w:r w:rsidR="001677B2" w:rsidRPr="001677B2">
        <w:t>,</w:t>
      </w:r>
      <w:r w:rsidRPr="00416899">
        <w:t xml:space="preserve"> 2017</w:t>
      </w:r>
      <w:r w:rsidR="001677B2" w:rsidRPr="001677B2">
        <w:t>]</w:t>
      </w:r>
      <w:r>
        <w:t xml:space="preserve">, что </w:t>
      </w:r>
      <w:r w:rsidR="004F4FBA">
        <w:t xml:space="preserve">причиной создания некой юридически обоснованной </w:t>
      </w:r>
      <w:r w:rsidR="001160D6">
        <w:t xml:space="preserve">формы существования </w:t>
      </w:r>
      <w:r w:rsidR="005D5E92">
        <w:t xml:space="preserve">специализированной компании по поглощениям стала неадекватная ситуация </w:t>
      </w:r>
      <w:r w:rsidR="00E842BA">
        <w:t>на ры</w:t>
      </w:r>
      <w:r w:rsidR="00C21D9C">
        <w:t xml:space="preserve">нке «компаний-пустышек» в 1980-х годах. </w:t>
      </w:r>
      <w:r w:rsidR="00D32D2E">
        <w:t>В то время мошенники активно использовали схему</w:t>
      </w:r>
      <w:r w:rsidR="00FF610E">
        <w:t xml:space="preserve"> </w:t>
      </w:r>
      <w:r w:rsidR="002A0132">
        <w:t>«</w:t>
      </w:r>
      <w:r w:rsidR="00FF610E">
        <w:rPr>
          <w:lang w:val="en-US"/>
        </w:rPr>
        <w:t>Pum</w:t>
      </w:r>
      <w:r w:rsidR="002A0132">
        <w:rPr>
          <w:lang w:val="en-US"/>
        </w:rPr>
        <w:t>p</w:t>
      </w:r>
      <w:r w:rsidR="002A0132" w:rsidRPr="0060466A">
        <w:t>&amp;</w:t>
      </w:r>
      <w:r w:rsidR="002A0132">
        <w:rPr>
          <w:lang w:val="en-US"/>
        </w:rPr>
        <w:t>Dump</w:t>
      </w:r>
      <w:r w:rsidR="002A0132">
        <w:t>»</w:t>
      </w:r>
      <w:r w:rsidR="00F1578E" w:rsidRPr="0060466A">
        <w:t>:</w:t>
      </w:r>
      <w:r w:rsidR="00B63569">
        <w:t xml:space="preserve"> </w:t>
      </w:r>
      <w:r w:rsidR="0013732D">
        <w:t xml:space="preserve">менеджеры проводили спекулятивные сделки </w:t>
      </w:r>
      <w:r w:rsidR="006907B7">
        <w:t>с</w:t>
      </w:r>
      <w:r w:rsidR="0013732D">
        <w:t xml:space="preserve"> имеющи</w:t>
      </w:r>
      <w:r w:rsidR="006907B7">
        <w:t>ми</w:t>
      </w:r>
      <w:r w:rsidR="0013732D">
        <w:t xml:space="preserve">ся </w:t>
      </w:r>
      <w:r w:rsidR="006907B7">
        <w:t>варрантами</w:t>
      </w:r>
      <w:r w:rsidR="0013732D">
        <w:t xml:space="preserve">, получая </w:t>
      </w:r>
      <w:r w:rsidR="00B63569">
        <w:t xml:space="preserve">высокую прибыль на новостях о возможном поглощении. </w:t>
      </w:r>
      <w:r w:rsidR="008E5894">
        <w:t xml:space="preserve">Мошенническая схема имела следующий вид: </w:t>
      </w:r>
      <w:r w:rsidR="00A65E2E">
        <w:t xml:space="preserve">менеджеры </w:t>
      </w:r>
      <w:r w:rsidR="009834FC">
        <w:t>тесно сотрудничали с брокерами и прочими маркетмейкерами, скрывающими от первоначальных инвесторов информацию о ценах акций</w:t>
      </w:r>
      <w:r w:rsidR="00E05E56">
        <w:t xml:space="preserve">. </w:t>
      </w:r>
      <w:r w:rsidR="00E06B99">
        <w:t xml:space="preserve">Когда </w:t>
      </w:r>
      <w:r w:rsidR="00DE1CF8">
        <w:t>выходили новости о том</w:t>
      </w:r>
      <w:r w:rsidR="00E06B99">
        <w:t>, что</w:t>
      </w:r>
      <w:r w:rsidR="00350FBE">
        <w:t xml:space="preserve"> «компания-пустышка» </w:t>
      </w:r>
      <w:r w:rsidR="00431B0A">
        <w:t>гот</w:t>
      </w:r>
      <w:r w:rsidR="00B20DB4">
        <w:t xml:space="preserve">овится поглотить фирму, цены ее акций росли на фоне массовой скупки </w:t>
      </w:r>
      <w:r w:rsidR="00A1708F">
        <w:t xml:space="preserve">ценных бумаг. </w:t>
      </w:r>
      <w:r w:rsidR="00DC3F57">
        <w:t>После чего</w:t>
      </w:r>
      <w:r w:rsidR="00F2451C">
        <w:t xml:space="preserve"> менеджеры реализовали свои варранты</w:t>
      </w:r>
      <w:r w:rsidR="00122E20">
        <w:rPr>
          <w:rStyle w:val="af5"/>
        </w:rPr>
        <w:footnoteReference w:id="7"/>
      </w:r>
      <w:r w:rsidR="00F2451C">
        <w:t xml:space="preserve"> (опционы на покупку акций</w:t>
      </w:r>
      <w:r w:rsidR="00441981">
        <w:t xml:space="preserve"> компаний с пустыми чеками)</w:t>
      </w:r>
      <w:r w:rsidR="00691881">
        <w:t xml:space="preserve">, а затем фиксировали прибыль, продавая акции. </w:t>
      </w:r>
      <w:proofErr w:type="spellStart"/>
      <w:r w:rsidR="00832471">
        <w:t>Хей</w:t>
      </w:r>
      <w:r w:rsidR="005B421F">
        <w:t>ман</w:t>
      </w:r>
      <w:proofErr w:type="spellEnd"/>
      <w:r w:rsidR="005B421F">
        <w:t xml:space="preserve"> в своей статье </w:t>
      </w:r>
      <w:r w:rsidR="00FA6E1B" w:rsidRPr="00FA6E1B">
        <w:t>[</w:t>
      </w:r>
      <w:r w:rsidR="005B421F">
        <w:rPr>
          <w:lang w:val="en-US"/>
        </w:rPr>
        <w:t>Heyman</w:t>
      </w:r>
      <w:r w:rsidR="0021617D" w:rsidRPr="0021617D">
        <w:t>, 2007</w:t>
      </w:r>
      <w:r w:rsidR="00FA6E1B" w:rsidRPr="00FA6E1B">
        <w:t>]</w:t>
      </w:r>
      <w:r w:rsidR="0021617D" w:rsidRPr="0021617D">
        <w:t xml:space="preserve"> </w:t>
      </w:r>
      <w:r w:rsidR="0021617D">
        <w:t>оценивает, что в период с 1987 по 1990 на рынке оперировало 2700 компаний</w:t>
      </w:r>
      <w:r w:rsidR="0028499C">
        <w:t xml:space="preserve">, </w:t>
      </w:r>
      <w:r w:rsidR="00B300A0">
        <w:t xml:space="preserve">в которых были замечены спекулятивные сделки. </w:t>
      </w:r>
      <w:r w:rsidR="00FF09D3">
        <w:t xml:space="preserve">Конгресс США отреагировал на рост мошенничества введением </w:t>
      </w:r>
      <w:r w:rsidR="00A46F8D">
        <w:t xml:space="preserve">в 1990 </w:t>
      </w:r>
      <w:r w:rsidR="00A46F8D">
        <w:rPr>
          <w:lang w:val="en-US"/>
        </w:rPr>
        <w:t>Penny</w:t>
      </w:r>
      <w:r w:rsidR="00A46F8D" w:rsidRPr="0040390F">
        <w:t xml:space="preserve"> </w:t>
      </w:r>
      <w:r w:rsidR="0040390F">
        <w:rPr>
          <w:lang w:val="en-US"/>
        </w:rPr>
        <w:t>Stock</w:t>
      </w:r>
      <w:r w:rsidR="0040390F" w:rsidRPr="0040390F">
        <w:t xml:space="preserve"> </w:t>
      </w:r>
      <w:r w:rsidR="0040390F">
        <w:rPr>
          <w:lang w:val="en-US"/>
        </w:rPr>
        <w:t>Reform</w:t>
      </w:r>
      <w:r w:rsidR="0040390F" w:rsidRPr="0040390F">
        <w:t xml:space="preserve"> </w:t>
      </w:r>
      <w:r w:rsidR="0040390F">
        <w:rPr>
          <w:lang w:val="en-US"/>
        </w:rPr>
        <w:t>Act</w:t>
      </w:r>
      <w:r w:rsidR="0040390F" w:rsidRPr="0040390F">
        <w:t xml:space="preserve"> (</w:t>
      </w:r>
      <w:r w:rsidR="0040390F">
        <w:rPr>
          <w:lang w:val="en-US"/>
        </w:rPr>
        <w:t>PSRA</w:t>
      </w:r>
      <w:r w:rsidR="0040390F" w:rsidRPr="0040390F">
        <w:t>)</w:t>
      </w:r>
      <w:r w:rsidR="00646CE1">
        <w:t xml:space="preserve"> </w:t>
      </w:r>
      <w:r w:rsidR="00265768">
        <w:t>–</w:t>
      </w:r>
      <w:r w:rsidR="00646CE1">
        <w:t xml:space="preserve"> </w:t>
      </w:r>
      <w:r w:rsidR="00646CE1">
        <w:lastRenderedPageBreak/>
        <w:t>акта</w:t>
      </w:r>
      <w:r w:rsidR="00265768">
        <w:t xml:space="preserve">, </w:t>
      </w:r>
      <w:r w:rsidR="00890E8F">
        <w:t xml:space="preserve">призывающего </w:t>
      </w:r>
      <w:r w:rsidR="006F610F">
        <w:t>Комиссию по ценным бумагам и биржам США (</w:t>
      </w:r>
      <w:r w:rsidR="006F610F">
        <w:rPr>
          <w:lang w:val="en-US"/>
        </w:rPr>
        <w:t>SEC</w:t>
      </w:r>
      <w:r w:rsidR="006F610F" w:rsidRPr="00F148D6">
        <w:t>)</w:t>
      </w:r>
      <w:r w:rsidR="00F148D6">
        <w:t xml:space="preserve"> взять под контроль регистрацию «компаний-пустышек»</w:t>
      </w:r>
      <w:r w:rsidR="007E2704">
        <w:t>.</w:t>
      </w:r>
      <w:r w:rsidR="00223476">
        <w:rPr>
          <w:rStyle w:val="af5"/>
        </w:rPr>
        <w:footnoteReference w:id="8"/>
      </w:r>
      <w:r w:rsidR="007E2704">
        <w:t xml:space="preserve"> В свою очередь, </w:t>
      </w:r>
      <w:r w:rsidR="007E2704">
        <w:rPr>
          <w:lang w:val="en-US"/>
        </w:rPr>
        <w:t>SEC</w:t>
      </w:r>
      <w:r w:rsidR="007E2704" w:rsidRPr="00276CA3">
        <w:t xml:space="preserve"> </w:t>
      </w:r>
      <w:r w:rsidR="007E2704">
        <w:t xml:space="preserve">издает </w:t>
      </w:r>
      <w:r w:rsidR="00836B02">
        <w:t>правило 419</w:t>
      </w:r>
      <w:r w:rsidR="00A4476F">
        <w:t xml:space="preserve">, </w:t>
      </w:r>
      <w:r w:rsidR="00E74705">
        <w:t>согласно которому</w:t>
      </w:r>
      <w:r w:rsidR="00276CA3">
        <w:t xml:space="preserve"> не менее 80% поступлений </w:t>
      </w:r>
      <w:r w:rsidR="00276CA3">
        <w:rPr>
          <w:lang w:val="en-US"/>
        </w:rPr>
        <w:t>IPO</w:t>
      </w:r>
      <w:r w:rsidR="00276CA3">
        <w:t xml:space="preserve"> </w:t>
      </w:r>
      <w:r w:rsidR="007765A4">
        <w:t xml:space="preserve">«компании-пустышки» </w:t>
      </w:r>
      <w:r w:rsidR="00276CA3">
        <w:t xml:space="preserve">должны </w:t>
      </w:r>
      <w:r w:rsidR="002A7163">
        <w:t xml:space="preserve">быть вложены в государственные </w:t>
      </w:r>
      <w:r w:rsidR="00021745">
        <w:t>ценные бумаги с низким риском</w:t>
      </w:r>
      <w:r w:rsidR="00C546D1">
        <w:t xml:space="preserve">, а также они должны храниться на трастовом счете до момента поглощения таргета. </w:t>
      </w:r>
      <w:r w:rsidR="00A607CA">
        <w:t xml:space="preserve">Помимо этого, </w:t>
      </w:r>
      <w:r w:rsidR="00BA33D0">
        <w:t>количество инвесторов, к</w:t>
      </w:r>
      <w:r w:rsidR="000B22D2">
        <w:t>оторое может не одобрить покупку</w:t>
      </w:r>
      <w:r w:rsidR="003940C2">
        <w:t>, ограничено до 20%. Наконец, с введением правила компани</w:t>
      </w:r>
      <w:r w:rsidR="00C31B56">
        <w:t>я</w:t>
      </w:r>
      <w:r w:rsidR="003940C2">
        <w:t xml:space="preserve"> имеет лишь 18 месяцев </w:t>
      </w:r>
      <w:r w:rsidR="00C31B56">
        <w:t>от д</w:t>
      </w:r>
      <w:r w:rsidR="00FD4247">
        <w:t xml:space="preserve">аты первичного размещения акций на покупку таргета, а также еще дополнительные 6 месяцев </w:t>
      </w:r>
      <w:r w:rsidR="00955D20">
        <w:t>если сделка анонсирована, но не завершена в течение 18 месяцев.</w:t>
      </w:r>
    </w:p>
    <w:p w14:paraId="29A20A42" w14:textId="7F95E6EF" w:rsidR="00DC49C6" w:rsidRDefault="007E1EF1" w:rsidP="00D30097">
      <w:r>
        <w:t>В</w:t>
      </w:r>
      <w:r w:rsidR="003A57D5">
        <w:t xml:space="preserve">ышеупомянутые </w:t>
      </w:r>
      <w:r w:rsidR="00944975">
        <w:t xml:space="preserve">законодательные акты помогли в борьбе с </w:t>
      </w:r>
      <w:r w:rsidR="003A57D5">
        <w:t>мошенническими схемами</w:t>
      </w:r>
      <w:r w:rsidR="004D39BC">
        <w:t xml:space="preserve">, выход на биржу путем слияния с «компанией-пустышкой» </w:t>
      </w:r>
      <w:r w:rsidR="006336BC">
        <w:t>при этом</w:t>
      </w:r>
      <w:r w:rsidR="004D39BC">
        <w:t xml:space="preserve"> потерял популярность в середине 1990-х годов. </w:t>
      </w:r>
      <w:r w:rsidR="004914C6">
        <w:t>Причиной тому стал</w:t>
      </w:r>
      <w:r w:rsidR="005A7BC3">
        <w:t xml:space="preserve"> тот факт, что в это время </w:t>
      </w:r>
      <w:r w:rsidR="00EC2411">
        <w:t xml:space="preserve">компаниям было значительно легче привлекать денежные средства посредством классического выхода на </w:t>
      </w:r>
      <w:r w:rsidR="00204FF7">
        <w:rPr>
          <w:lang w:val="en-US"/>
        </w:rPr>
        <w:t>IPO</w:t>
      </w:r>
      <w:r w:rsidR="00204FF7">
        <w:t xml:space="preserve"> </w:t>
      </w:r>
      <w:r w:rsidR="00BB40C2" w:rsidRPr="00BB40C2">
        <w:t>[</w:t>
      </w:r>
      <w:r w:rsidR="00204FF7">
        <w:rPr>
          <w:lang w:val="en-US"/>
        </w:rPr>
        <w:t>Heyman</w:t>
      </w:r>
      <w:r w:rsidR="00204FF7" w:rsidRPr="00204FF7">
        <w:t>, 2007</w:t>
      </w:r>
      <w:r w:rsidR="00BB40C2" w:rsidRPr="00BB40C2">
        <w:t>]</w:t>
      </w:r>
      <w:r w:rsidR="00204FF7" w:rsidRPr="00204FF7">
        <w:t xml:space="preserve">. </w:t>
      </w:r>
      <w:r w:rsidR="00FC5B40">
        <w:t xml:space="preserve">Другим </w:t>
      </w:r>
      <w:r w:rsidR="00F56C0C">
        <w:t>фактором</w:t>
      </w:r>
      <w:r w:rsidR="00473848">
        <w:t xml:space="preserve"> </w:t>
      </w:r>
      <w:r w:rsidR="00BB40C2" w:rsidRPr="00BB40C2">
        <w:t>[</w:t>
      </w:r>
      <w:proofErr w:type="spellStart"/>
      <w:r w:rsidR="00473848">
        <w:rPr>
          <w:lang w:val="en-US"/>
        </w:rPr>
        <w:t>Shachmurove</w:t>
      </w:r>
      <w:proofErr w:type="spellEnd"/>
      <w:r w:rsidR="00473848" w:rsidRPr="00416899">
        <w:t xml:space="preserve">, </w:t>
      </w:r>
      <w:proofErr w:type="spellStart"/>
      <w:r w:rsidR="00473848">
        <w:rPr>
          <w:lang w:val="en-US"/>
        </w:rPr>
        <w:t>Vulanovic</w:t>
      </w:r>
      <w:proofErr w:type="spellEnd"/>
      <w:r w:rsidR="00BB40C2" w:rsidRPr="00BB40C2">
        <w:t>,</w:t>
      </w:r>
      <w:r w:rsidR="00473848" w:rsidRPr="00416899">
        <w:t xml:space="preserve"> 2017</w:t>
      </w:r>
      <w:r w:rsidR="00BB40C2" w:rsidRPr="00BB40C2">
        <w:t>]</w:t>
      </w:r>
      <w:r w:rsidR="00F56C0C">
        <w:t xml:space="preserve">, </w:t>
      </w:r>
      <w:r w:rsidR="00221E88">
        <w:t xml:space="preserve">подорвавшим </w:t>
      </w:r>
      <w:r w:rsidR="007412AA">
        <w:t xml:space="preserve">рост </w:t>
      </w:r>
      <w:r w:rsidR="004F73C8">
        <w:t>сделок с «компаниями-пустышками», стал</w:t>
      </w:r>
      <w:r w:rsidR="005E4A3C">
        <w:t xml:space="preserve"> масштабный отзыв лицензий 29 брокеров и</w:t>
      </w:r>
      <w:r w:rsidR="00F53A28">
        <w:t xml:space="preserve"> </w:t>
      </w:r>
      <w:r w:rsidR="003D6FEC">
        <w:t xml:space="preserve">исполнительного директора </w:t>
      </w:r>
      <w:r w:rsidR="003D6FEC">
        <w:rPr>
          <w:lang w:val="en-US"/>
        </w:rPr>
        <w:t>GKN</w:t>
      </w:r>
      <w:r w:rsidR="003D6FEC" w:rsidRPr="003D6FEC">
        <w:t xml:space="preserve"> </w:t>
      </w:r>
      <w:r w:rsidR="003D6FEC">
        <w:rPr>
          <w:lang w:val="en-US"/>
        </w:rPr>
        <w:t>Securities</w:t>
      </w:r>
      <w:r w:rsidR="003D6FEC" w:rsidRPr="003D6FEC">
        <w:t xml:space="preserve"> </w:t>
      </w:r>
      <w:r w:rsidR="003D6FEC">
        <w:rPr>
          <w:lang w:val="en-US"/>
        </w:rPr>
        <w:t>Corporation</w:t>
      </w:r>
      <w:r w:rsidR="003C4047">
        <w:t xml:space="preserve"> (главный</w:t>
      </w:r>
      <w:r w:rsidR="00D54FD4">
        <w:t xml:space="preserve"> организатор сделок в то время)</w:t>
      </w:r>
      <w:r w:rsidR="00E7557C">
        <w:t xml:space="preserve">, </w:t>
      </w:r>
      <w:r w:rsidR="00473848">
        <w:t>инициированный</w:t>
      </w:r>
      <w:r w:rsidR="00E7557C">
        <w:t xml:space="preserve"> Национальной Ассоциацией </w:t>
      </w:r>
      <w:r w:rsidR="009C2B59">
        <w:t>Дилеров по ценным бумагам (</w:t>
      </w:r>
      <w:r w:rsidR="009C2B59">
        <w:rPr>
          <w:lang w:val="en-US"/>
        </w:rPr>
        <w:t>NASD</w:t>
      </w:r>
      <w:r w:rsidR="009C2B59">
        <w:t>)</w:t>
      </w:r>
      <w:r w:rsidR="00473848">
        <w:t>.</w:t>
      </w:r>
      <w:r w:rsidR="00ED7E57" w:rsidRPr="00ED7E57">
        <w:t xml:space="preserve"> </w:t>
      </w:r>
      <w:r w:rsidR="001C1B4D">
        <w:t xml:space="preserve">Однако, в 2003 году </w:t>
      </w:r>
      <w:r w:rsidR="000171D4">
        <w:t xml:space="preserve">инвестиционный банк </w:t>
      </w:r>
      <w:r w:rsidR="000171D4">
        <w:rPr>
          <w:lang w:val="en-US"/>
        </w:rPr>
        <w:t>Early</w:t>
      </w:r>
      <w:r w:rsidR="000171D4" w:rsidRPr="00E26BD6">
        <w:t xml:space="preserve"> </w:t>
      </w:r>
      <w:r w:rsidR="000171D4">
        <w:rPr>
          <w:lang w:val="en-US"/>
        </w:rPr>
        <w:t>Bird</w:t>
      </w:r>
      <w:r w:rsidR="000171D4" w:rsidRPr="00E26BD6">
        <w:t xml:space="preserve"> </w:t>
      </w:r>
      <w:r w:rsidR="000171D4">
        <w:rPr>
          <w:lang w:val="en-US"/>
        </w:rPr>
        <w:t>Capital</w:t>
      </w:r>
      <w:r w:rsidR="00385D47">
        <w:t xml:space="preserve"> </w:t>
      </w:r>
      <w:r w:rsidR="00AC1DF9">
        <w:t xml:space="preserve">провел андеррайтинг </w:t>
      </w:r>
      <w:r w:rsidR="00E26BD6">
        <w:t xml:space="preserve">первого </w:t>
      </w:r>
      <w:r w:rsidR="00E26BD6">
        <w:rPr>
          <w:lang w:val="en-US"/>
        </w:rPr>
        <w:t>SPAC</w:t>
      </w:r>
      <w:r w:rsidR="00E26BD6">
        <w:t xml:space="preserve">, </w:t>
      </w:r>
      <w:r w:rsidR="00E26BD6">
        <w:rPr>
          <w:lang w:val="en-US"/>
        </w:rPr>
        <w:t>Millstream</w:t>
      </w:r>
      <w:r w:rsidR="00E26BD6" w:rsidRPr="00E26BD6">
        <w:t xml:space="preserve"> </w:t>
      </w:r>
      <w:r w:rsidR="00E26BD6">
        <w:rPr>
          <w:lang w:val="en-US"/>
        </w:rPr>
        <w:t>Acquisition</w:t>
      </w:r>
      <w:r w:rsidR="00E26BD6" w:rsidRPr="00E26BD6">
        <w:t xml:space="preserve"> </w:t>
      </w:r>
      <w:r w:rsidR="00E26BD6">
        <w:rPr>
          <w:lang w:val="en-US"/>
        </w:rPr>
        <w:t>Corp</w:t>
      </w:r>
      <w:r w:rsidR="00E26BD6" w:rsidRPr="00E26BD6">
        <w:t>.</w:t>
      </w:r>
      <w:r w:rsidR="00B4686A">
        <w:rPr>
          <w:rStyle w:val="af5"/>
        </w:rPr>
        <w:footnoteReference w:id="9"/>
      </w:r>
      <w:r w:rsidR="000258C6" w:rsidRPr="000258C6">
        <w:t xml:space="preserve"> </w:t>
      </w:r>
      <w:r w:rsidR="000258C6">
        <w:t>Юридически организация соответствовала всем требования</w:t>
      </w:r>
      <w:r w:rsidR="00B4686A">
        <w:t>м</w:t>
      </w:r>
      <w:r w:rsidR="000258C6">
        <w:t xml:space="preserve"> </w:t>
      </w:r>
      <w:r w:rsidR="00AA4ADD">
        <w:t>Комиссии США по ценным бумагам</w:t>
      </w:r>
      <w:r w:rsidR="00B4686A">
        <w:t xml:space="preserve">, закрепленным в правиле 419. С тех пор </w:t>
      </w:r>
      <w:r w:rsidR="00BD396D">
        <w:t xml:space="preserve">число </w:t>
      </w:r>
      <w:r w:rsidR="002C1D7F">
        <w:t>первичных разм</w:t>
      </w:r>
      <w:r w:rsidR="005C31EC">
        <w:t>ещений</w:t>
      </w:r>
      <w:r w:rsidR="00BD396D">
        <w:t xml:space="preserve"> </w:t>
      </w:r>
      <w:r w:rsidR="00BD396D">
        <w:rPr>
          <w:lang w:val="en-US"/>
        </w:rPr>
        <w:t>SPAC</w:t>
      </w:r>
      <w:r w:rsidR="00BD396D">
        <w:t xml:space="preserve"> росло экспоненциально, в 200</w:t>
      </w:r>
      <w:r w:rsidR="00B33545" w:rsidRPr="00B33545">
        <w:t>7</w:t>
      </w:r>
      <w:r w:rsidR="00BD396D">
        <w:t xml:space="preserve"> году </w:t>
      </w:r>
      <w:r w:rsidR="00B33545" w:rsidRPr="00B33545">
        <w:t>22</w:t>
      </w:r>
      <w:r w:rsidR="006452A5">
        <w:t xml:space="preserve">% </w:t>
      </w:r>
      <w:r w:rsidR="006452A5">
        <w:rPr>
          <w:lang w:val="en-US"/>
        </w:rPr>
        <w:t>IPO</w:t>
      </w:r>
      <w:r w:rsidR="006452A5">
        <w:t xml:space="preserve"> составили именно </w:t>
      </w:r>
      <w:r w:rsidR="006452A5">
        <w:rPr>
          <w:lang w:val="en-US"/>
        </w:rPr>
        <w:t>SPAC</w:t>
      </w:r>
      <w:r w:rsidR="00952E71">
        <w:t xml:space="preserve"> (суммарно </w:t>
      </w:r>
      <w:r w:rsidR="003A223C">
        <w:t xml:space="preserve">около </w:t>
      </w:r>
      <w:r w:rsidR="003A223C" w:rsidRPr="003A223C">
        <w:t>$</w:t>
      </w:r>
      <w:r w:rsidR="003A223C">
        <w:t>12 млрд поступлений).</w:t>
      </w:r>
      <w:r w:rsidR="00F73436">
        <w:rPr>
          <w:rStyle w:val="af5"/>
        </w:rPr>
        <w:footnoteReference w:id="10"/>
      </w:r>
      <w:r w:rsidR="00F73436">
        <w:t xml:space="preserve"> </w:t>
      </w:r>
    </w:p>
    <w:p w14:paraId="27C63CB4" w14:textId="39E61DEB" w:rsidR="002754B0" w:rsidRDefault="00D153AF" w:rsidP="00D30097">
      <w:r>
        <w:t xml:space="preserve">После финансового кризиса </w:t>
      </w:r>
      <w:r w:rsidR="00BA6D30" w:rsidRPr="00E0012B">
        <w:t xml:space="preserve">2008 </w:t>
      </w:r>
      <w:r w:rsidR="00BA6D30">
        <w:t xml:space="preserve">число </w:t>
      </w:r>
      <w:r w:rsidR="00BA6D30">
        <w:rPr>
          <w:lang w:val="en-US"/>
        </w:rPr>
        <w:t>SPAC</w:t>
      </w:r>
      <w:r w:rsidR="00BA6D30" w:rsidRPr="00E0012B">
        <w:t xml:space="preserve"> </w:t>
      </w:r>
      <w:r w:rsidR="00BA6D30">
        <w:t>значительно сокра</w:t>
      </w:r>
      <w:r w:rsidR="00E0012B">
        <w:t>тилось</w:t>
      </w:r>
      <w:r w:rsidR="002E06E3" w:rsidRPr="00DC49C6">
        <w:t xml:space="preserve">. </w:t>
      </w:r>
      <w:r w:rsidR="00385016">
        <w:t xml:space="preserve">В следующие </w:t>
      </w:r>
      <w:r w:rsidR="008342A2">
        <w:t>годы снижению способствовала</w:t>
      </w:r>
      <w:r w:rsidR="00DC49C6">
        <w:t xml:space="preserve"> так называемая «</w:t>
      </w:r>
      <w:r w:rsidR="00DC49C6">
        <w:rPr>
          <w:lang w:val="en-US"/>
        </w:rPr>
        <w:t>SPAC</w:t>
      </w:r>
      <w:r w:rsidR="00DC49C6">
        <w:t xml:space="preserve"> мафия» </w:t>
      </w:r>
      <w:r w:rsidR="00AD034D" w:rsidRPr="00F20D35">
        <w:t xml:space="preserve">- </w:t>
      </w:r>
      <w:r w:rsidR="006220D5">
        <w:t xml:space="preserve">хедж-фонды, занимающиеся </w:t>
      </w:r>
      <w:r w:rsidR="00F20D35">
        <w:t xml:space="preserve">скупкой варрантов с целью использования </w:t>
      </w:r>
      <w:r w:rsidR="00A77E2B">
        <w:t xml:space="preserve">с целью заработка на краткосрочных </w:t>
      </w:r>
      <w:r w:rsidR="00C30A8E">
        <w:t>ценовых аномалиях.</w:t>
      </w:r>
      <w:r w:rsidR="00F20D35">
        <w:rPr>
          <w:rStyle w:val="af5"/>
        </w:rPr>
        <w:footnoteReference w:id="11"/>
      </w:r>
      <w:r w:rsidR="00C30A8E">
        <w:t xml:space="preserve"> </w:t>
      </w:r>
      <w:r w:rsidR="00B27505">
        <w:t xml:space="preserve">Такие фонды покупали </w:t>
      </w:r>
      <w:r w:rsidR="00EC1296">
        <w:t>б</w:t>
      </w:r>
      <w:r w:rsidR="00275D0A">
        <w:t>о́</w:t>
      </w:r>
      <w:r w:rsidR="0000375B">
        <w:t xml:space="preserve">льшую долю в </w:t>
      </w:r>
      <w:r w:rsidR="0000375B">
        <w:rPr>
          <w:lang w:val="en-US"/>
        </w:rPr>
        <w:t>SPAC</w:t>
      </w:r>
      <w:r w:rsidR="0000375B">
        <w:t xml:space="preserve">, а </w:t>
      </w:r>
      <w:r w:rsidR="00A00E76">
        <w:t xml:space="preserve">затем, в случае нахождения таргета для </w:t>
      </w:r>
      <w:r w:rsidR="007A594E">
        <w:t xml:space="preserve">поглощения, блокировали сделку, пока менеджеры </w:t>
      </w:r>
      <w:r w:rsidR="007A594E">
        <w:rPr>
          <w:lang w:val="en-US"/>
        </w:rPr>
        <w:t>SPAC</w:t>
      </w:r>
      <w:r w:rsidR="007A594E">
        <w:t xml:space="preserve"> не согласятся отдать им </w:t>
      </w:r>
      <w:r w:rsidR="002573E3">
        <w:t>бо</w:t>
      </w:r>
      <w:r w:rsidR="005B61DA">
        <w:t>́</w:t>
      </w:r>
      <w:r w:rsidR="002573E3">
        <w:t>льшую часть дохода от поглощения</w:t>
      </w:r>
      <w:r w:rsidR="00681750">
        <w:t xml:space="preserve"> (</w:t>
      </w:r>
      <w:r w:rsidR="00635FD9">
        <w:t xml:space="preserve">спонсорского </w:t>
      </w:r>
      <w:r w:rsidR="00635FD9">
        <w:rPr>
          <w:lang w:val="en-US"/>
        </w:rPr>
        <w:t>promote</w:t>
      </w:r>
      <w:r w:rsidR="00635FD9" w:rsidRPr="00635FD9">
        <w:t xml:space="preserve"> </w:t>
      </w:r>
      <w:r w:rsidR="00635FD9">
        <w:t>–</w:t>
      </w:r>
      <w:r w:rsidR="00635FD9" w:rsidRPr="00635FD9">
        <w:t xml:space="preserve"> </w:t>
      </w:r>
      <w:r w:rsidR="00635FD9">
        <w:t xml:space="preserve">акций основателя, которые </w:t>
      </w:r>
      <w:r w:rsidR="00561BC8">
        <w:t xml:space="preserve">менеджеры получают </w:t>
      </w:r>
      <w:r w:rsidR="0038145C">
        <w:t xml:space="preserve">в ходе размещения </w:t>
      </w:r>
      <w:r w:rsidR="0038145C">
        <w:rPr>
          <w:lang w:val="en-US"/>
        </w:rPr>
        <w:t>SPAC</w:t>
      </w:r>
      <w:r w:rsidR="0038145C" w:rsidRPr="0038145C">
        <w:t>)</w:t>
      </w:r>
      <w:r w:rsidR="002573E3">
        <w:t>.</w:t>
      </w:r>
      <w:r w:rsidR="004F0C59" w:rsidRPr="004F0C59">
        <w:t xml:space="preserve"> </w:t>
      </w:r>
      <w:r w:rsidR="004F0C59">
        <w:t xml:space="preserve">В </w:t>
      </w:r>
      <w:r w:rsidR="00F87904">
        <w:t>период</w:t>
      </w:r>
      <w:r w:rsidR="004F0C59">
        <w:t xml:space="preserve"> с </w:t>
      </w:r>
      <w:r w:rsidR="004F0C59">
        <w:lastRenderedPageBreak/>
        <w:t xml:space="preserve">2010 по 2020 гг. </w:t>
      </w:r>
      <w:r w:rsidR="00425360">
        <w:t>«</w:t>
      </w:r>
      <w:r w:rsidR="00425360">
        <w:rPr>
          <w:lang w:val="en-US"/>
        </w:rPr>
        <w:t>SPAC</w:t>
      </w:r>
      <w:r w:rsidR="00425360" w:rsidRPr="00425360">
        <w:t xml:space="preserve"> </w:t>
      </w:r>
      <w:r w:rsidR="00425360">
        <w:t>мафия» в лице</w:t>
      </w:r>
      <w:r w:rsidR="00096CB4" w:rsidRPr="00096CB4">
        <w:t xml:space="preserve"> </w:t>
      </w:r>
      <w:r w:rsidR="00096CB4">
        <w:t xml:space="preserve">некоторых </w:t>
      </w:r>
      <w:r w:rsidR="00425360">
        <w:t>хедж-фондов</w:t>
      </w:r>
      <w:r w:rsidR="004F0C59">
        <w:t xml:space="preserve"> в среднем владел</w:t>
      </w:r>
      <w:r w:rsidR="00425360">
        <w:t>а</w:t>
      </w:r>
      <w:r w:rsidR="004F0C59">
        <w:t xml:space="preserve"> 70% акций</w:t>
      </w:r>
      <w:r w:rsidR="00425360">
        <w:t xml:space="preserve"> </w:t>
      </w:r>
      <w:r w:rsidR="00425360">
        <w:rPr>
          <w:lang w:val="en-US"/>
        </w:rPr>
        <w:t>SPAC</w:t>
      </w:r>
      <w:r w:rsidR="00425360">
        <w:t xml:space="preserve">, торгующихся после </w:t>
      </w:r>
      <w:r w:rsidR="00425360">
        <w:rPr>
          <w:lang w:val="en-US"/>
        </w:rPr>
        <w:t>IPO</w:t>
      </w:r>
      <w:r w:rsidR="00425360">
        <w:t xml:space="preserve">. </w:t>
      </w:r>
      <w:r w:rsidR="00F87904">
        <w:t xml:space="preserve">Среднее количество </w:t>
      </w:r>
      <w:r w:rsidR="00F87904">
        <w:rPr>
          <w:lang w:val="en-US"/>
        </w:rPr>
        <w:t>SPAC</w:t>
      </w:r>
      <w:r w:rsidR="00F87904">
        <w:t xml:space="preserve"> среди всех </w:t>
      </w:r>
      <w:r w:rsidR="00F87904">
        <w:rPr>
          <w:lang w:val="en-US"/>
        </w:rPr>
        <w:t>IPO</w:t>
      </w:r>
      <w:r w:rsidR="00F87904">
        <w:t xml:space="preserve"> с 2010 по </w:t>
      </w:r>
      <w:r w:rsidR="00BC2F8F">
        <w:t>201</w:t>
      </w:r>
      <w:r w:rsidR="00E76E5F" w:rsidRPr="002979C1">
        <w:t>6</w:t>
      </w:r>
      <w:r w:rsidR="00BC2F8F">
        <w:t xml:space="preserve"> составляло </w:t>
      </w:r>
      <w:r w:rsidR="00725CAE" w:rsidRPr="002979C1">
        <w:t>7</w:t>
      </w:r>
      <w:r w:rsidR="00BC2F8F">
        <w:t>,</w:t>
      </w:r>
      <w:r w:rsidR="00725CAE" w:rsidRPr="002979C1">
        <w:t>9</w:t>
      </w:r>
      <w:r w:rsidR="00BC2F8F">
        <w:t>%.</w:t>
      </w:r>
      <w:r w:rsidR="00BC2F8F">
        <w:rPr>
          <w:rStyle w:val="af5"/>
        </w:rPr>
        <w:footnoteReference w:id="12"/>
      </w:r>
      <w:r w:rsidR="00F87904">
        <w:t xml:space="preserve"> </w:t>
      </w:r>
      <w:r w:rsidR="002979C1">
        <w:rPr>
          <w:lang w:val="en-US"/>
        </w:rPr>
        <w:t>C</w:t>
      </w:r>
      <w:r w:rsidR="002979C1" w:rsidRPr="002979C1">
        <w:t xml:space="preserve"> 2017 </w:t>
      </w:r>
      <w:r w:rsidR="002979C1">
        <w:t>популярнос</w:t>
      </w:r>
      <w:r w:rsidR="00E54048">
        <w:t xml:space="preserve">ть </w:t>
      </w:r>
      <w:r w:rsidR="00E54048">
        <w:rPr>
          <w:lang w:val="en-US"/>
        </w:rPr>
        <w:t>SPAC</w:t>
      </w:r>
      <w:r w:rsidR="00E54048">
        <w:t xml:space="preserve"> реабилитируется среди розничных инвесторов, сделок становится больше</w:t>
      </w:r>
      <w:r w:rsidR="00673755">
        <w:t xml:space="preserve">, однако сложно назвать определенную причину повышенного внимания к </w:t>
      </w:r>
      <w:r w:rsidR="00673755">
        <w:rPr>
          <w:lang w:val="en-US"/>
        </w:rPr>
        <w:t>SPAC</w:t>
      </w:r>
      <w:r w:rsidR="00F86E39">
        <w:t xml:space="preserve">. В 2019 году 28% </w:t>
      </w:r>
      <w:r w:rsidR="00C32C34">
        <w:rPr>
          <w:lang w:val="en-US"/>
        </w:rPr>
        <w:t>IPO</w:t>
      </w:r>
      <w:r w:rsidR="00C32C34">
        <w:t xml:space="preserve"> </w:t>
      </w:r>
      <w:r w:rsidR="00283216">
        <w:t>пришлось</w:t>
      </w:r>
      <w:r w:rsidR="00C32C34">
        <w:t xml:space="preserve"> на </w:t>
      </w:r>
      <w:r w:rsidR="00C32C34">
        <w:rPr>
          <w:lang w:val="en-US"/>
        </w:rPr>
        <w:t>SPAC</w:t>
      </w:r>
      <w:r w:rsidR="00C32C34">
        <w:t xml:space="preserve">, общее число поступлений </w:t>
      </w:r>
      <w:r w:rsidR="00283216">
        <w:t xml:space="preserve">составляло </w:t>
      </w:r>
      <w:r w:rsidR="00283216" w:rsidRPr="00283216">
        <w:t>$</w:t>
      </w:r>
      <w:r w:rsidR="00283216">
        <w:t>13,6 млрд.</w:t>
      </w:r>
    </w:p>
    <w:p w14:paraId="16ABFDFA" w14:textId="518C6DF1" w:rsidR="00DF7767" w:rsidRDefault="00DF7767" w:rsidP="00D30097">
      <w:r>
        <w:t xml:space="preserve">В 2020 году произошел бум </w:t>
      </w:r>
      <w:r w:rsidR="00F91298">
        <w:t xml:space="preserve">компаний по приобретению специального назначения. </w:t>
      </w:r>
      <w:r w:rsidR="00263F36">
        <w:t xml:space="preserve">Доля </w:t>
      </w:r>
      <w:r w:rsidR="00263F36">
        <w:rPr>
          <w:lang w:val="en-US"/>
        </w:rPr>
        <w:t>SPAC</w:t>
      </w:r>
      <w:r w:rsidR="00263F36">
        <w:t xml:space="preserve"> среди всех первичных размещений составила уже 55%, </w:t>
      </w:r>
      <w:r w:rsidR="00A84059">
        <w:t xml:space="preserve">а общие поступления с </w:t>
      </w:r>
      <w:r w:rsidR="00A84059">
        <w:rPr>
          <w:lang w:val="en-US"/>
        </w:rPr>
        <w:t>IPO</w:t>
      </w:r>
      <w:r w:rsidR="00A84059">
        <w:t xml:space="preserve"> перевалили отметку в </w:t>
      </w:r>
      <w:r w:rsidR="00A84059" w:rsidRPr="00A84059">
        <w:t>$</w:t>
      </w:r>
      <w:r w:rsidR="00A84059">
        <w:t xml:space="preserve">80 млрд. </w:t>
      </w:r>
      <w:r w:rsidR="00257278">
        <w:t xml:space="preserve">Сложно выделить однозначную причину аномального интереса к </w:t>
      </w:r>
      <w:r w:rsidR="00257278">
        <w:rPr>
          <w:lang w:val="en-US"/>
        </w:rPr>
        <w:t>SPAC</w:t>
      </w:r>
      <w:r w:rsidR="00257278">
        <w:t xml:space="preserve">, возникшего </w:t>
      </w:r>
      <w:r w:rsidR="00912699">
        <w:t xml:space="preserve">в 2020 году. </w:t>
      </w:r>
      <w:r w:rsidR="00876646">
        <w:t>Некоторые эксперты утверждают</w:t>
      </w:r>
      <w:r w:rsidR="002778F6">
        <w:t xml:space="preserve">, что ввиду </w:t>
      </w:r>
      <w:r w:rsidR="00A03D30">
        <w:t xml:space="preserve">мягкой кредитно-денежной политики, низких процентных ставок на руках инвесторов образовалась высокая </w:t>
      </w:r>
      <w:r w:rsidR="008159F0">
        <w:t>ликвидность в виде денежных средств, которые нужно было куда-то вкладывать</w:t>
      </w:r>
      <w:r w:rsidR="005868E4" w:rsidRPr="005868E4">
        <w:t xml:space="preserve"> [</w:t>
      </w:r>
      <w:r w:rsidR="005868E4">
        <w:rPr>
          <w:lang w:val="en-US"/>
        </w:rPr>
        <w:t>Er</w:t>
      </w:r>
      <w:r w:rsidR="009776B5">
        <w:rPr>
          <w:lang w:val="en-US"/>
        </w:rPr>
        <w:t>ickson</w:t>
      </w:r>
      <w:r w:rsidR="009776B5" w:rsidRPr="009776B5">
        <w:t xml:space="preserve">, </w:t>
      </w:r>
      <w:r w:rsidR="009776B5">
        <w:rPr>
          <w:lang w:val="en-US"/>
        </w:rPr>
        <w:t>Drechsler</w:t>
      </w:r>
      <w:r w:rsidR="009776B5" w:rsidRPr="009776B5">
        <w:t xml:space="preserve">, </w:t>
      </w:r>
      <w:proofErr w:type="spellStart"/>
      <w:r w:rsidR="009776B5">
        <w:rPr>
          <w:lang w:val="en-US"/>
        </w:rPr>
        <w:t>Roussanov</w:t>
      </w:r>
      <w:proofErr w:type="spellEnd"/>
      <w:r w:rsidR="009776B5" w:rsidRPr="009776B5">
        <w:t xml:space="preserve">, </w:t>
      </w:r>
      <w:r w:rsidR="009776B5">
        <w:rPr>
          <w:lang w:val="en-US"/>
        </w:rPr>
        <w:t>Gomes</w:t>
      </w:r>
      <w:r w:rsidR="009776B5" w:rsidRPr="009776B5">
        <w:t>, 2021].</w:t>
      </w:r>
      <w:r w:rsidR="008159F0">
        <w:t xml:space="preserve"> </w:t>
      </w:r>
      <w:r w:rsidR="00FB3977">
        <w:t xml:space="preserve">Другой причиной мог стать кейс </w:t>
      </w:r>
      <w:r w:rsidR="00FB3977">
        <w:rPr>
          <w:lang w:val="en-US"/>
        </w:rPr>
        <w:t>Virgin</w:t>
      </w:r>
      <w:r w:rsidR="00FB3977" w:rsidRPr="00FB3977">
        <w:t xml:space="preserve"> </w:t>
      </w:r>
      <w:r w:rsidR="00FB3977">
        <w:rPr>
          <w:lang w:val="en-US"/>
        </w:rPr>
        <w:t>Galactic</w:t>
      </w:r>
      <w:r w:rsidR="00FB3977">
        <w:t>: стартапы в поисках финансирования стали ориентироваться на успех аэрокосмической компании</w:t>
      </w:r>
      <w:r w:rsidR="00D468AA">
        <w:t>, инициируя активный поиск «компаний-пустышек» для слияния.</w:t>
      </w:r>
      <w:r w:rsidR="00484EAD">
        <w:rPr>
          <w:rStyle w:val="af5"/>
        </w:rPr>
        <w:footnoteReference w:id="13"/>
      </w:r>
      <w:r w:rsidR="00484EAD">
        <w:t xml:space="preserve"> Наконец, пандемия </w:t>
      </w:r>
      <w:r w:rsidR="00484EAD">
        <w:rPr>
          <w:lang w:val="en-US"/>
        </w:rPr>
        <w:t>COVID</w:t>
      </w:r>
      <w:r w:rsidR="00484EAD" w:rsidRPr="005777EB">
        <w:t xml:space="preserve">-19 </w:t>
      </w:r>
      <w:r w:rsidR="00484EAD">
        <w:t>также повлиял</w:t>
      </w:r>
      <w:r w:rsidR="001D29FB">
        <w:t>а</w:t>
      </w:r>
      <w:r w:rsidR="005777EB">
        <w:t xml:space="preserve"> на инвесторов и молодые компании</w:t>
      </w:r>
      <w:r w:rsidR="00F4237C">
        <w:t xml:space="preserve">, поскольку классический процесс </w:t>
      </w:r>
      <w:r w:rsidR="00F4237C">
        <w:rPr>
          <w:lang w:val="en-US"/>
        </w:rPr>
        <w:t>IPO</w:t>
      </w:r>
      <w:r w:rsidR="00F4237C" w:rsidRPr="00F4237C">
        <w:t xml:space="preserve"> </w:t>
      </w:r>
      <w:r w:rsidR="00F4237C">
        <w:t xml:space="preserve">усложнился ввиду физических ограничений, а процесс </w:t>
      </w:r>
      <w:r w:rsidR="00F4237C">
        <w:rPr>
          <w:lang w:val="en-US"/>
        </w:rPr>
        <w:t>SPAC</w:t>
      </w:r>
      <w:r w:rsidR="00F4237C">
        <w:t xml:space="preserve"> является более быстрым выходом на биржу.</w:t>
      </w:r>
      <w:r w:rsidR="00E30579">
        <w:t xml:space="preserve"> </w:t>
      </w:r>
      <w:r w:rsidR="00E47B29" w:rsidRPr="00E47B29">
        <w:t xml:space="preserve"> </w:t>
      </w:r>
      <w:r w:rsidR="00E47B29">
        <w:t>В 2021</w:t>
      </w:r>
      <w:r w:rsidR="00C34762">
        <w:t xml:space="preserve"> бурный рост </w:t>
      </w:r>
      <w:r w:rsidR="00C34762">
        <w:rPr>
          <w:lang w:val="en-US"/>
        </w:rPr>
        <w:t>SPAC</w:t>
      </w:r>
      <w:r w:rsidR="00C34762">
        <w:t xml:space="preserve"> продолжился: </w:t>
      </w:r>
      <w:r w:rsidR="006B3B79">
        <w:t xml:space="preserve">63% первичных размещений относились к </w:t>
      </w:r>
      <w:r w:rsidR="006B3B79">
        <w:rPr>
          <w:lang w:val="en-US"/>
        </w:rPr>
        <w:t>SPAC</w:t>
      </w:r>
      <w:r w:rsidR="006B3B79">
        <w:t xml:space="preserve">, </w:t>
      </w:r>
      <w:r w:rsidR="00640315">
        <w:t xml:space="preserve">число поступлений удвоилось с 2020 года и составило </w:t>
      </w:r>
      <w:r w:rsidR="00640315" w:rsidRPr="00640315">
        <w:t>$</w:t>
      </w:r>
      <w:r w:rsidR="00640315">
        <w:t xml:space="preserve">162 млрд. </w:t>
      </w:r>
      <w:r w:rsidR="001E674B">
        <w:t xml:space="preserve">Однако, существенный вклад в рост «компаний-пустышек» </w:t>
      </w:r>
      <w:r w:rsidR="007D42A5">
        <w:t xml:space="preserve">внёс именно </w:t>
      </w:r>
      <w:r w:rsidR="00707D5B">
        <w:t>1 квартал (</w:t>
      </w:r>
      <w:r w:rsidR="00707D5B" w:rsidRPr="00707D5B">
        <w:t>$</w:t>
      </w:r>
      <w:r w:rsidR="00707D5B">
        <w:t xml:space="preserve">100 </w:t>
      </w:r>
      <w:proofErr w:type="gramStart"/>
      <w:r w:rsidR="00707D5B">
        <w:t>млрд.</w:t>
      </w:r>
      <w:proofErr w:type="gramEnd"/>
      <w:r w:rsidR="00707D5B">
        <w:t xml:space="preserve"> выручки с</w:t>
      </w:r>
      <w:r w:rsidR="00526235">
        <w:t xml:space="preserve"> </w:t>
      </w:r>
      <w:r w:rsidR="00526235">
        <w:rPr>
          <w:lang w:val="en-US"/>
        </w:rPr>
        <w:t>IPO</w:t>
      </w:r>
      <w:r w:rsidR="00526235">
        <w:t xml:space="preserve">). В апреле Комиссия США по ценным бумагам </w:t>
      </w:r>
      <w:r w:rsidR="009F5B16">
        <w:t xml:space="preserve">выпустила постановление о правилах учета варрантов, что повлекло </w:t>
      </w:r>
      <w:r w:rsidR="009E17F8">
        <w:t>за собой частичную остановку новых сделок.</w:t>
      </w:r>
      <w:r w:rsidR="009E17F8">
        <w:rPr>
          <w:rStyle w:val="af5"/>
        </w:rPr>
        <w:footnoteReference w:id="14"/>
      </w:r>
    </w:p>
    <w:p w14:paraId="7F360652" w14:textId="07B4FAD3" w:rsidR="00892069" w:rsidRDefault="00436D12" w:rsidP="00892069">
      <w:pPr>
        <w:pStyle w:val="a8"/>
      </w:pPr>
      <w:r>
        <w:rPr>
          <w:noProof/>
        </w:rPr>
        <w:lastRenderedPageBreak/>
        <w:drawing>
          <wp:inline distT="0" distB="0" distL="0" distR="0" wp14:anchorId="450730B7" wp14:editId="5C563608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B512D7B-421B-4FAC-90B1-B776883B70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5558AB" w14:textId="215D190A" w:rsidR="009B3DB1" w:rsidRPr="00151E1F" w:rsidRDefault="005E662A" w:rsidP="00151E1F">
      <w:pPr>
        <w:pStyle w:val="a0"/>
      </w:pPr>
      <w:r w:rsidRPr="00151E1F">
        <w:t xml:space="preserve">Динамика IPO США </w:t>
      </w:r>
      <w:proofErr w:type="gramStart"/>
      <w:r w:rsidRPr="00151E1F">
        <w:t>2003-2021</w:t>
      </w:r>
      <w:proofErr w:type="gramEnd"/>
      <w:r w:rsidR="00DA4E2D" w:rsidRPr="00151E1F">
        <w:t xml:space="preserve"> (Источник: </w:t>
      </w:r>
      <w:proofErr w:type="spellStart"/>
      <w:r w:rsidR="00DA4E2D" w:rsidRPr="00151E1F">
        <w:t>spacanalytics</w:t>
      </w:r>
      <w:proofErr w:type="spellEnd"/>
      <w:r w:rsidR="000941F2">
        <w:rPr>
          <w:rStyle w:val="af5"/>
        </w:rPr>
        <w:footnoteReference w:id="15"/>
      </w:r>
      <w:r w:rsidR="00151E1F" w:rsidRPr="00151E1F">
        <w:t>)</w:t>
      </w:r>
    </w:p>
    <w:p w14:paraId="0338EDB2" w14:textId="101D5B42" w:rsidR="004C7D8D" w:rsidRPr="006065F5" w:rsidRDefault="00DF686B" w:rsidP="009C64E4">
      <w:pPr>
        <w:pStyle w:val="3"/>
        <w:numPr>
          <w:ilvl w:val="2"/>
          <w:numId w:val="10"/>
        </w:numPr>
      </w:pPr>
      <w:bookmarkStart w:id="8" w:name="_Toc102050294"/>
      <w:bookmarkStart w:id="9" w:name="_Toc102050666"/>
      <w:r>
        <w:t xml:space="preserve">Заинтересованные </w:t>
      </w:r>
      <w:r w:rsidR="00175188">
        <w:t xml:space="preserve">стороны </w:t>
      </w:r>
      <w:r w:rsidR="00175188">
        <w:rPr>
          <w:lang w:val="en-US"/>
        </w:rPr>
        <w:t>SPAC</w:t>
      </w:r>
      <w:bookmarkEnd w:id="8"/>
      <w:bookmarkEnd w:id="9"/>
    </w:p>
    <w:p w14:paraId="010E172F" w14:textId="0E09426A" w:rsidR="00175188" w:rsidRDefault="00D9279E" w:rsidP="00175188">
      <w:r>
        <w:t xml:space="preserve">В качестве основных стейкхолдеров </w:t>
      </w:r>
      <w:r w:rsidR="000A2AC4">
        <w:t xml:space="preserve">в сделках </w:t>
      </w:r>
      <w:r w:rsidR="000A2AC4">
        <w:rPr>
          <w:lang w:val="en-US"/>
        </w:rPr>
        <w:t>SPAC</w:t>
      </w:r>
      <w:r w:rsidR="000A2AC4">
        <w:t xml:space="preserve"> можно выделить основателей </w:t>
      </w:r>
      <w:r w:rsidR="000A2AC4">
        <w:rPr>
          <w:lang w:val="en-US"/>
        </w:rPr>
        <w:t>SPAC</w:t>
      </w:r>
      <w:r w:rsidR="000A2AC4" w:rsidRPr="000A2AC4">
        <w:t xml:space="preserve"> </w:t>
      </w:r>
      <w:r w:rsidR="000A2AC4">
        <w:t>(спонсоров</w:t>
      </w:r>
      <w:r w:rsidR="00106E9A">
        <w:t>, менеджеров</w:t>
      </w:r>
      <w:r w:rsidR="000A2AC4">
        <w:t xml:space="preserve">), </w:t>
      </w:r>
      <w:r w:rsidR="00AA4E02">
        <w:t>андеррайтеров, инвесторов, а также компании-таргеты.</w:t>
      </w:r>
      <w:r w:rsidR="00C12EE5">
        <w:t xml:space="preserve"> Ниже дано описание каждой заинтересованной стороны</w:t>
      </w:r>
      <w:r w:rsidR="00852110">
        <w:t xml:space="preserve"> и </w:t>
      </w:r>
      <w:r w:rsidR="00444140">
        <w:t>выгод, которые они получают от участия в сделках.</w:t>
      </w:r>
    </w:p>
    <w:p w14:paraId="6E3BE06A" w14:textId="7CC79739" w:rsidR="00444140" w:rsidRPr="00E8004C" w:rsidRDefault="00444140" w:rsidP="00345DC9">
      <w:pPr>
        <w:ind w:firstLine="0"/>
        <w:rPr>
          <w:b/>
          <w:bCs/>
          <w:i/>
          <w:iCs/>
        </w:rPr>
      </w:pPr>
      <w:r w:rsidRPr="00E8004C">
        <w:rPr>
          <w:b/>
          <w:bCs/>
          <w:i/>
          <w:iCs/>
        </w:rPr>
        <w:t xml:space="preserve">Спонсоры </w:t>
      </w:r>
      <w:r w:rsidRPr="00E8004C">
        <w:rPr>
          <w:b/>
          <w:bCs/>
          <w:i/>
          <w:iCs/>
          <w:lang w:val="en-US"/>
        </w:rPr>
        <w:t>SPAC</w:t>
      </w:r>
    </w:p>
    <w:p w14:paraId="009BCC92" w14:textId="4B51A527" w:rsidR="007D2C4A" w:rsidRPr="006C03CE" w:rsidRDefault="00384891" w:rsidP="00175188">
      <w:r>
        <w:t>Менеджеры</w:t>
      </w:r>
      <w:r w:rsidR="001B12F8">
        <w:t xml:space="preserve"> основывают </w:t>
      </w:r>
      <w:r w:rsidR="00921115">
        <w:t xml:space="preserve">«компанию-пустышку» </w:t>
      </w:r>
      <w:r w:rsidR="009F7277">
        <w:t xml:space="preserve">с целью привлечения финансирования для поглощения </w:t>
      </w:r>
      <w:r w:rsidR="008E68C7">
        <w:t xml:space="preserve">неопределенного </w:t>
      </w:r>
      <w:r w:rsidR="009F7277">
        <w:t>таргета</w:t>
      </w:r>
      <w:r w:rsidR="008E68C7">
        <w:t xml:space="preserve"> в будущем</w:t>
      </w:r>
      <w:r w:rsidR="009F7277">
        <w:t xml:space="preserve">. </w:t>
      </w:r>
      <w:r w:rsidR="00A1425B">
        <w:t xml:space="preserve">В регистрационной форме </w:t>
      </w:r>
      <w:r w:rsidR="00861C9C">
        <w:t>любо</w:t>
      </w:r>
      <w:r w:rsidR="00100FE3">
        <w:t xml:space="preserve">го </w:t>
      </w:r>
      <w:r w:rsidR="00100FE3">
        <w:rPr>
          <w:lang w:val="en-US"/>
        </w:rPr>
        <w:t>SPAC</w:t>
      </w:r>
      <w:r w:rsidR="00100FE3">
        <w:t xml:space="preserve"> можно найти блок, посвященный менеджерам-основателям, их опыту работы и компетенциям в финансовой сфере. </w:t>
      </w:r>
      <w:r w:rsidR="009D443B">
        <w:t xml:space="preserve">Бэкграунд </w:t>
      </w:r>
      <w:r w:rsidR="00151667">
        <w:t xml:space="preserve">директоров важен, поскольку </w:t>
      </w:r>
      <w:r w:rsidR="00B546FE">
        <w:t>их интеллектуальный капитал вносит весомый вклад в поиск успешной компании-таргета для поглощения.</w:t>
      </w:r>
      <w:r w:rsidR="00E30694">
        <w:t xml:space="preserve"> Также </w:t>
      </w:r>
      <w:r w:rsidR="000C2614">
        <w:t xml:space="preserve">высокая </w:t>
      </w:r>
      <w:r w:rsidR="00E30694">
        <w:t xml:space="preserve">репутация менеджеров важна </w:t>
      </w:r>
      <w:r w:rsidR="000C2614">
        <w:t xml:space="preserve">по той причине, что таким образом </w:t>
      </w:r>
      <w:r w:rsidR="000C2614">
        <w:rPr>
          <w:lang w:val="en-US"/>
        </w:rPr>
        <w:t>SPAC</w:t>
      </w:r>
      <w:r w:rsidR="000C2614" w:rsidRPr="000C2614">
        <w:t xml:space="preserve"> </w:t>
      </w:r>
      <w:r w:rsidR="000C2614">
        <w:t xml:space="preserve">сможет привлечь больше инвестиций при </w:t>
      </w:r>
      <w:r w:rsidR="000C2614">
        <w:rPr>
          <w:lang w:val="en-US"/>
        </w:rPr>
        <w:t>IPO</w:t>
      </w:r>
      <w:r w:rsidR="000C2614">
        <w:t xml:space="preserve">. </w:t>
      </w:r>
      <w:r w:rsidR="006E16B8">
        <w:t xml:space="preserve">Спонсорами помимо </w:t>
      </w:r>
      <w:r w:rsidR="00A17B30">
        <w:t>физических лиц могут</w:t>
      </w:r>
      <w:r w:rsidR="00232F2E">
        <w:t xml:space="preserve"> также</w:t>
      </w:r>
      <w:r w:rsidR="00A17B30">
        <w:t xml:space="preserve"> выступать </w:t>
      </w:r>
      <w:r w:rsidR="00790369">
        <w:t>крупные частные и венчурные фонды, а также хедж-фонды.</w:t>
      </w:r>
      <w:r w:rsidR="000B2FFA" w:rsidRPr="000B2FFA">
        <w:t xml:space="preserve"> </w:t>
      </w:r>
      <w:r w:rsidR="000B2FFA">
        <w:t xml:space="preserve">Иногда </w:t>
      </w:r>
      <w:r w:rsidR="00B94856">
        <w:t>именно такие фонды могут выступать основателями специализированных компаний, вкладывая первые деньги и назначая во главу своих менеджеров.</w:t>
      </w:r>
      <w:r w:rsidR="0064752C" w:rsidRPr="0064752C">
        <w:t xml:space="preserve"> </w:t>
      </w:r>
      <w:r w:rsidR="002E01F2">
        <w:t xml:space="preserve">В среднем, </w:t>
      </w:r>
      <w:r w:rsidR="00254812">
        <w:t>команда директоров</w:t>
      </w:r>
      <w:r w:rsidR="006C03CE">
        <w:t xml:space="preserve"> </w:t>
      </w:r>
      <w:r w:rsidR="006C03CE">
        <w:rPr>
          <w:lang w:val="en-US"/>
        </w:rPr>
        <w:t>SPAC</w:t>
      </w:r>
      <w:r w:rsidR="006C03CE">
        <w:t xml:space="preserve"> </w:t>
      </w:r>
      <w:r w:rsidR="00A55956">
        <w:t>состояла</w:t>
      </w:r>
      <w:r w:rsidR="006C03CE">
        <w:t xml:space="preserve"> из 6 человек, средний возраст составил </w:t>
      </w:r>
      <w:r w:rsidR="009A01A2">
        <w:t xml:space="preserve">51 год </w:t>
      </w:r>
      <w:r w:rsidR="00447D83" w:rsidRPr="00447D83">
        <w:t>[</w:t>
      </w:r>
      <w:proofErr w:type="spellStart"/>
      <w:r w:rsidR="009A01A2">
        <w:rPr>
          <w:lang w:val="en-US"/>
        </w:rPr>
        <w:t>Shachmurove</w:t>
      </w:r>
      <w:proofErr w:type="spellEnd"/>
      <w:r w:rsidR="009A01A2" w:rsidRPr="00416899">
        <w:t xml:space="preserve">, </w:t>
      </w:r>
      <w:proofErr w:type="spellStart"/>
      <w:r w:rsidR="009A01A2">
        <w:rPr>
          <w:lang w:val="en-US"/>
        </w:rPr>
        <w:t>Vulanovic</w:t>
      </w:r>
      <w:proofErr w:type="spellEnd"/>
      <w:r w:rsidR="00447D83" w:rsidRPr="00447D83">
        <w:t>,</w:t>
      </w:r>
      <w:r w:rsidR="009A01A2" w:rsidRPr="00416899">
        <w:t xml:space="preserve"> 2017</w:t>
      </w:r>
      <w:r w:rsidR="00447D83" w:rsidRPr="00447D83">
        <w:t>]</w:t>
      </w:r>
      <w:r w:rsidR="009A01A2">
        <w:t xml:space="preserve">. </w:t>
      </w:r>
    </w:p>
    <w:p w14:paraId="582F18E7" w14:textId="6950A8F6" w:rsidR="00812425" w:rsidRDefault="00511C81" w:rsidP="001F522E">
      <w:r>
        <w:t xml:space="preserve"> </w:t>
      </w:r>
      <w:r w:rsidR="00943D28">
        <w:t>Спонсоры оплачивают все административные расходы</w:t>
      </w:r>
      <w:r w:rsidR="00A64796">
        <w:t xml:space="preserve"> по учреждению </w:t>
      </w:r>
      <w:r w:rsidR="00A64796">
        <w:rPr>
          <w:lang w:val="en-US"/>
        </w:rPr>
        <w:t>SPAC</w:t>
      </w:r>
      <w:r w:rsidR="002D5C70">
        <w:t xml:space="preserve">, связанные </w:t>
      </w:r>
      <w:r w:rsidR="00823A25">
        <w:t>с услугами советников, юристов и бухгалтеров</w:t>
      </w:r>
      <w:r w:rsidR="00E12F49">
        <w:t>, а также комиссии инвестиционным банкам</w:t>
      </w:r>
      <w:r w:rsidR="00A55EC6">
        <w:t xml:space="preserve">. </w:t>
      </w:r>
      <w:r w:rsidR="00E90E3A">
        <w:t>Помимо этого</w:t>
      </w:r>
      <w:r w:rsidR="0065268B">
        <w:t xml:space="preserve">, менеджеры платят как правило </w:t>
      </w:r>
      <w:r w:rsidR="00CF689C">
        <w:t xml:space="preserve">номинальную </w:t>
      </w:r>
      <w:r w:rsidR="00CF689C">
        <w:lastRenderedPageBreak/>
        <w:t xml:space="preserve">сумму в </w:t>
      </w:r>
      <w:r w:rsidR="0065268B" w:rsidRPr="00CF689C">
        <w:t>$</w:t>
      </w:r>
      <w:r w:rsidR="0065268B">
        <w:t>25 тыс.</w:t>
      </w:r>
      <w:r w:rsidR="00357F40" w:rsidRPr="00357F40">
        <w:t xml:space="preserve"> </w:t>
      </w:r>
      <w:r w:rsidR="008B2811">
        <w:t xml:space="preserve">для приобретения акций </w:t>
      </w:r>
      <w:r w:rsidR="008B2811">
        <w:rPr>
          <w:lang w:val="en-US"/>
        </w:rPr>
        <w:t>SPAC</w:t>
      </w:r>
      <w:r w:rsidR="008B2811" w:rsidRPr="008B2811">
        <w:t>.</w:t>
      </w:r>
      <w:r w:rsidR="008B2811">
        <w:t xml:space="preserve"> </w:t>
      </w:r>
      <w:r w:rsidR="00C865D4">
        <w:t xml:space="preserve">Спонсоры не получают заработную плату или прочий вид финансового вознаграждения в традиционном понимании (премии, бонусы). </w:t>
      </w:r>
      <w:r w:rsidR="00F4732D">
        <w:t xml:space="preserve">В качестве </w:t>
      </w:r>
      <w:r w:rsidR="001B306E">
        <w:t>награды</w:t>
      </w:r>
      <w:r w:rsidR="00F4732D">
        <w:t xml:space="preserve"> за проделанную работу основатели получают </w:t>
      </w:r>
      <w:r w:rsidR="002C79E1">
        <w:t xml:space="preserve">20% акций </w:t>
      </w:r>
      <w:r w:rsidR="002C79E1">
        <w:rPr>
          <w:lang w:val="en-US"/>
        </w:rPr>
        <w:t>SPAC</w:t>
      </w:r>
      <w:r w:rsidR="002C79E1">
        <w:t xml:space="preserve">. </w:t>
      </w:r>
      <w:r w:rsidR="00B76ADE">
        <w:t>Здесь и кроетс</w:t>
      </w:r>
      <w:r w:rsidR="00026272">
        <w:t xml:space="preserve">я основной заработок менеджеров: вложив всего </w:t>
      </w:r>
      <w:r w:rsidR="00026272" w:rsidRPr="006F7DA2">
        <w:t>$</w:t>
      </w:r>
      <w:r w:rsidR="00026272">
        <w:t xml:space="preserve">25 000, </w:t>
      </w:r>
      <w:r w:rsidR="006F7DA2">
        <w:t xml:space="preserve">основатели могут получить миллионы долларов за счет привлечения </w:t>
      </w:r>
      <w:r w:rsidR="00F14AE9">
        <w:t xml:space="preserve">большого количества средств на </w:t>
      </w:r>
      <w:r w:rsidR="00F14AE9">
        <w:rPr>
          <w:lang w:val="en-US"/>
        </w:rPr>
        <w:t>IPO</w:t>
      </w:r>
      <w:r w:rsidR="00F14AE9">
        <w:t xml:space="preserve">. </w:t>
      </w:r>
      <w:r w:rsidR="00BE184D">
        <w:t xml:space="preserve">Например, </w:t>
      </w:r>
      <w:r w:rsidR="00060D98">
        <w:t xml:space="preserve">в ходе первичного размещения </w:t>
      </w:r>
      <w:r w:rsidR="00060D98">
        <w:rPr>
          <w:lang w:val="en-US"/>
        </w:rPr>
        <w:t>SPAC</w:t>
      </w:r>
      <w:r w:rsidR="00060D98">
        <w:t xml:space="preserve"> привлекает </w:t>
      </w:r>
      <w:r w:rsidR="00060D98" w:rsidRPr="00E024FA">
        <w:t xml:space="preserve">$100 </w:t>
      </w:r>
      <w:r w:rsidR="00060D98">
        <w:t>млн</w:t>
      </w:r>
      <w:r w:rsidR="00257127">
        <w:t xml:space="preserve">, из </w:t>
      </w:r>
      <w:r w:rsidR="00E024FA">
        <w:t xml:space="preserve">них </w:t>
      </w:r>
      <w:r w:rsidR="00CA0AB6" w:rsidRPr="00CA0AB6">
        <w:t>$</w:t>
      </w:r>
      <w:r w:rsidR="00CA0AB6">
        <w:t>20 млн</w:t>
      </w:r>
      <w:r w:rsidR="00092A43" w:rsidRPr="00092A43">
        <w:t xml:space="preserve"> </w:t>
      </w:r>
      <w:r w:rsidR="00092A43">
        <w:t>в виде акций</w:t>
      </w:r>
      <w:r w:rsidR="00CA0AB6">
        <w:t xml:space="preserve"> получ</w:t>
      </w:r>
      <w:r w:rsidR="00305183">
        <w:t>а</w:t>
      </w:r>
      <w:r w:rsidR="00CA0AB6">
        <w:t xml:space="preserve">т </w:t>
      </w:r>
      <w:r w:rsidR="00CD76CE">
        <w:t>спонсор</w:t>
      </w:r>
      <w:r w:rsidR="00305183">
        <w:t>ы</w:t>
      </w:r>
      <w:r w:rsidR="00BA1992">
        <w:t xml:space="preserve"> (не деньгами, но в качестве оценочной стоимости акций)</w:t>
      </w:r>
      <w:r w:rsidR="00CD76CE">
        <w:t xml:space="preserve">, </w:t>
      </w:r>
      <w:r w:rsidR="009F78E6">
        <w:t>что является колоссально высокой отдачей на вложенные средства. Стоит снова упомянуть, что</w:t>
      </w:r>
      <w:r w:rsidR="00B3489A">
        <w:t xml:space="preserve"> </w:t>
      </w:r>
      <w:r w:rsidR="000F1407">
        <w:t>прибыль</w:t>
      </w:r>
      <w:r w:rsidR="00B3489A">
        <w:t xml:space="preserve"> зависит от квалификации менеджеров, в период бума </w:t>
      </w:r>
      <w:r w:rsidR="00B3489A">
        <w:rPr>
          <w:lang w:val="en-US"/>
        </w:rPr>
        <w:t>SPAC</w:t>
      </w:r>
      <w:r w:rsidR="00B3489A">
        <w:t xml:space="preserve"> спонсорам не всегда удается </w:t>
      </w:r>
      <w:r w:rsidR="00320050">
        <w:t>получить</w:t>
      </w:r>
      <w:r w:rsidR="000F1407">
        <w:t xml:space="preserve"> так</w:t>
      </w:r>
      <w:r w:rsidR="00320050">
        <w:t>ую</w:t>
      </w:r>
      <w:r w:rsidR="000F1407">
        <w:t xml:space="preserve"> высок</w:t>
      </w:r>
      <w:r w:rsidR="00320050">
        <w:t>ую</w:t>
      </w:r>
      <w:r w:rsidR="000F1407">
        <w:t xml:space="preserve"> доходност</w:t>
      </w:r>
      <w:r w:rsidR="00320050">
        <w:t>ь</w:t>
      </w:r>
      <w:r w:rsidR="000F1407">
        <w:t>.</w:t>
      </w:r>
      <w:r w:rsidR="0060149D">
        <w:t xml:space="preserve"> </w:t>
      </w:r>
    </w:p>
    <w:p w14:paraId="534BB213" w14:textId="2821544D" w:rsidR="00327E86" w:rsidRDefault="0060149D" w:rsidP="00C209AB">
      <w:r>
        <w:t xml:space="preserve">Доля в 20% называется </w:t>
      </w:r>
      <w:r w:rsidR="002467E9" w:rsidRPr="00320050">
        <w:rPr>
          <w:b/>
          <w:bCs/>
        </w:rPr>
        <w:t>акциями основателей</w:t>
      </w:r>
      <w:r w:rsidR="002467E9">
        <w:t xml:space="preserve"> или </w:t>
      </w:r>
      <w:r w:rsidR="002467E9" w:rsidRPr="005A2200">
        <w:t>“</w:t>
      </w:r>
      <w:r w:rsidR="002467E9" w:rsidRPr="00320050">
        <w:rPr>
          <w:b/>
          <w:bCs/>
          <w:lang w:val="en-US"/>
        </w:rPr>
        <w:t>promote</w:t>
      </w:r>
      <w:r w:rsidR="002467E9" w:rsidRPr="005A2200">
        <w:t xml:space="preserve">”. </w:t>
      </w:r>
      <w:r w:rsidR="00250541">
        <w:t xml:space="preserve">Однако, в отличие </w:t>
      </w:r>
      <w:r w:rsidR="005A2200">
        <w:t xml:space="preserve">от публичных акций, </w:t>
      </w:r>
      <w:r w:rsidR="00722FA6">
        <w:t xml:space="preserve">у </w:t>
      </w:r>
      <w:r w:rsidR="00722FA6">
        <w:rPr>
          <w:lang w:val="en-US"/>
        </w:rPr>
        <w:t>promote</w:t>
      </w:r>
      <w:r w:rsidR="00722FA6" w:rsidRPr="00722FA6">
        <w:t xml:space="preserve"> </w:t>
      </w:r>
      <w:r w:rsidR="00722FA6">
        <w:t>нет права выкупа</w:t>
      </w:r>
      <w:r w:rsidR="00F707E8">
        <w:t>, то есть акции основателя нельзя продать.</w:t>
      </w:r>
      <w:r w:rsidR="00BC18A6">
        <w:t xml:space="preserve"> Продажу можно осуществить лишь </w:t>
      </w:r>
      <w:r w:rsidR="00CD45A4">
        <w:t>при</w:t>
      </w:r>
      <w:r w:rsidR="00722FA6">
        <w:t xml:space="preserve"> </w:t>
      </w:r>
      <w:r w:rsidR="00B97C66">
        <w:t>успешно</w:t>
      </w:r>
      <w:r w:rsidR="00CD45A4">
        <w:t>м</w:t>
      </w:r>
      <w:r w:rsidR="00B97C66">
        <w:t xml:space="preserve"> завершени</w:t>
      </w:r>
      <w:r w:rsidR="00CD45A4">
        <w:t>и</w:t>
      </w:r>
      <w:r w:rsidR="00B97C66">
        <w:t xml:space="preserve"> сделки поглощения: </w:t>
      </w:r>
      <w:r w:rsidR="00CD45A4">
        <w:t>в таком случае, акции основателя конвертируются в обыкновенные акции, которые могут быть проданы на бирже.</w:t>
      </w:r>
      <w:r w:rsidR="0018128D">
        <w:t xml:space="preserve"> </w:t>
      </w:r>
      <w:r w:rsidR="009D5039">
        <w:t xml:space="preserve">Если </w:t>
      </w:r>
      <w:r w:rsidR="009D5039">
        <w:rPr>
          <w:lang w:val="en-US"/>
        </w:rPr>
        <w:t>SPAC</w:t>
      </w:r>
      <w:r w:rsidR="009D5039">
        <w:t xml:space="preserve"> не удается найти цель для поглощения в</w:t>
      </w:r>
      <w:r w:rsidR="00CF002A">
        <w:t xml:space="preserve"> течение 2 лет, спонсор несет убытки в размере </w:t>
      </w:r>
      <w:r w:rsidR="003E783A">
        <w:t>стартовых</w:t>
      </w:r>
      <w:r w:rsidR="00CF002A">
        <w:t xml:space="preserve"> затрат и инв</w:t>
      </w:r>
      <w:r w:rsidR="003E783A">
        <w:t>естиций в собственный капитал</w:t>
      </w:r>
      <w:r w:rsidR="006E5709">
        <w:t xml:space="preserve">, а также </w:t>
      </w:r>
      <w:r w:rsidR="007959A7">
        <w:t xml:space="preserve">сильно страдает его деловая репутация (иногда </w:t>
      </w:r>
      <w:r w:rsidR="00132F3C">
        <w:t xml:space="preserve">спонсоры участвуют в основании сразу нескольких </w:t>
      </w:r>
      <w:r w:rsidR="00132F3C">
        <w:rPr>
          <w:lang w:val="en-US"/>
        </w:rPr>
        <w:t>SPAC</w:t>
      </w:r>
      <w:r w:rsidR="00132F3C">
        <w:t>)</w:t>
      </w:r>
      <w:r w:rsidR="003E783A">
        <w:t xml:space="preserve">. Таким образом, схема </w:t>
      </w:r>
      <w:r w:rsidR="008B48AA">
        <w:t xml:space="preserve">ведет к тому, что в большинстве случаев менеджерам </w:t>
      </w:r>
      <w:r w:rsidR="008B48AA">
        <w:rPr>
          <w:lang w:val="en-US"/>
        </w:rPr>
        <w:t>SPAC</w:t>
      </w:r>
      <w:r w:rsidR="008B48AA">
        <w:t xml:space="preserve"> всегда выгодно одобрить</w:t>
      </w:r>
      <w:r w:rsidR="00FC724B">
        <w:t xml:space="preserve"> будущую</w:t>
      </w:r>
      <w:r w:rsidR="008B48AA">
        <w:t xml:space="preserve"> сделку</w:t>
      </w:r>
      <w:r w:rsidR="00FC724B">
        <w:t xml:space="preserve"> </w:t>
      </w:r>
      <w:r w:rsidR="00FC724B">
        <w:rPr>
          <w:lang w:val="en-US"/>
        </w:rPr>
        <w:t>M</w:t>
      </w:r>
      <w:r w:rsidR="00FC724B" w:rsidRPr="00FC724B">
        <w:t>&amp;</w:t>
      </w:r>
      <w:r w:rsidR="00FC724B">
        <w:rPr>
          <w:lang w:val="en-US"/>
        </w:rPr>
        <w:t>A</w:t>
      </w:r>
      <w:r w:rsidR="00AD79EE">
        <w:t xml:space="preserve">, так как даже при значительно снизившихся ценах на акции </w:t>
      </w:r>
      <w:r w:rsidR="00AD79EE">
        <w:rPr>
          <w:lang w:val="en-US"/>
        </w:rPr>
        <w:t>SPAC</w:t>
      </w:r>
      <w:r w:rsidR="00AD79EE">
        <w:t xml:space="preserve">, </w:t>
      </w:r>
      <w:r w:rsidR="00D03823">
        <w:t xml:space="preserve">менеджеры скорее всего все равно выйдут в плюс. </w:t>
      </w:r>
      <w:r w:rsidR="00B943C7">
        <w:t xml:space="preserve">Предполагая, что менеджеры не будут докупать обыкновенные акции </w:t>
      </w:r>
      <w:r w:rsidR="00B943C7">
        <w:rPr>
          <w:lang w:val="en-US"/>
        </w:rPr>
        <w:t>SPAC</w:t>
      </w:r>
      <w:r w:rsidR="00B943C7">
        <w:t xml:space="preserve">, </w:t>
      </w:r>
      <w:r w:rsidR="00BC2931">
        <w:t xml:space="preserve">исследователи обнаружили, что </w:t>
      </w:r>
      <w:r w:rsidR="00B943C7">
        <w:t xml:space="preserve">при цене </w:t>
      </w:r>
      <w:r w:rsidR="00596202">
        <w:t xml:space="preserve">акции выше </w:t>
      </w:r>
      <w:r w:rsidR="00596202" w:rsidRPr="00596202">
        <w:t>$1</w:t>
      </w:r>
      <w:r w:rsidR="00596202">
        <w:t xml:space="preserve"> основатели будет иметь положительную доходность </w:t>
      </w:r>
      <w:r w:rsidR="00447D83" w:rsidRPr="00447D83">
        <w:t>[</w:t>
      </w:r>
      <w:proofErr w:type="spellStart"/>
      <w:r w:rsidR="00596202">
        <w:rPr>
          <w:lang w:val="en-US"/>
        </w:rPr>
        <w:t>Lakicevic</w:t>
      </w:r>
      <w:proofErr w:type="spellEnd"/>
      <w:r w:rsidR="00596202" w:rsidRPr="00596202">
        <w:t xml:space="preserve">, </w:t>
      </w:r>
      <w:proofErr w:type="spellStart"/>
      <w:r w:rsidR="005C6C86">
        <w:rPr>
          <w:lang w:val="en-US"/>
        </w:rPr>
        <w:t>Vulanovic</w:t>
      </w:r>
      <w:proofErr w:type="spellEnd"/>
      <w:r w:rsidR="00447D83" w:rsidRPr="00447D83">
        <w:t>,</w:t>
      </w:r>
      <w:r w:rsidR="005C6C86" w:rsidRPr="005C6C86">
        <w:t xml:space="preserve"> 2011</w:t>
      </w:r>
      <w:r w:rsidR="00447D83" w:rsidRPr="00447D83">
        <w:t>]</w:t>
      </w:r>
      <w:r w:rsidR="005C6C86" w:rsidRPr="005C6C86">
        <w:t>.</w:t>
      </w:r>
      <w:r w:rsidR="001F522E">
        <w:t xml:space="preserve"> </w:t>
      </w:r>
      <w:r w:rsidR="005F1370">
        <w:t>Помимо акций основател</w:t>
      </w:r>
      <w:r w:rsidR="0052027A">
        <w:t>ь дополнительно могут приобрести варранты (колл-опционы</w:t>
      </w:r>
      <w:r w:rsidR="009F5953">
        <w:t xml:space="preserve"> на акции </w:t>
      </w:r>
      <w:r w:rsidR="009F5953">
        <w:rPr>
          <w:lang w:val="en-US"/>
        </w:rPr>
        <w:t>SPAC</w:t>
      </w:r>
      <w:r w:rsidR="0052027A">
        <w:t>, подробнее раскрыто в следующих разделах работы)</w:t>
      </w:r>
      <w:r w:rsidR="001E1B0D">
        <w:t xml:space="preserve">. Деньги от </w:t>
      </w:r>
      <w:r w:rsidR="00B21CF3">
        <w:t xml:space="preserve">этой операции пойдут на трастовый счет и будут использованы в случае нехватки </w:t>
      </w:r>
      <w:r w:rsidR="00C209AB">
        <w:t xml:space="preserve">средств для </w:t>
      </w:r>
      <w:r w:rsidR="00F41795">
        <w:t>совершения сделки поглощения</w:t>
      </w:r>
      <w:r w:rsidR="00C209AB">
        <w:t xml:space="preserve">. </w:t>
      </w:r>
      <w:r w:rsidR="00450728">
        <w:t xml:space="preserve">К 80% средств, вырученных с </w:t>
      </w:r>
      <w:r w:rsidR="00450728">
        <w:rPr>
          <w:lang w:val="en-US"/>
        </w:rPr>
        <w:t>IPO</w:t>
      </w:r>
      <w:r w:rsidR="00402A78">
        <w:t xml:space="preserve"> и лежащих на трастовом счете</w:t>
      </w:r>
      <w:r w:rsidR="00450728">
        <w:t xml:space="preserve">, основатели не имеют доступа, соответственно инвесторы могут </w:t>
      </w:r>
      <w:r w:rsidR="00210CC8">
        <w:t>предъявить</w:t>
      </w:r>
      <w:r w:rsidR="00450728">
        <w:t xml:space="preserve"> акции</w:t>
      </w:r>
      <w:r w:rsidR="00210CC8">
        <w:t xml:space="preserve"> к выкупу</w:t>
      </w:r>
      <w:r w:rsidR="00450728">
        <w:t xml:space="preserve">, не опасаясь пропажи их вложенных </w:t>
      </w:r>
      <w:r w:rsidR="00402A78">
        <w:t>средств.</w:t>
      </w:r>
    </w:p>
    <w:p w14:paraId="6C9276FB" w14:textId="0FC85B7D" w:rsidR="00FF01C3" w:rsidRPr="00E8004C" w:rsidRDefault="00FF01C3" w:rsidP="00FF01C3">
      <w:pPr>
        <w:ind w:firstLine="0"/>
        <w:rPr>
          <w:b/>
          <w:bCs/>
          <w:i/>
          <w:iCs/>
        </w:rPr>
      </w:pPr>
      <w:r w:rsidRPr="00E8004C">
        <w:rPr>
          <w:b/>
          <w:bCs/>
          <w:i/>
          <w:iCs/>
        </w:rPr>
        <w:t>Андеррайтеры</w:t>
      </w:r>
    </w:p>
    <w:p w14:paraId="6DB0E7C2" w14:textId="7C9BAED5" w:rsidR="00EF2D53" w:rsidRPr="00946341" w:rsidRDefault="00357CC9" w:rsidP="00FF01C3">
      <w:r>
        <w:t xml:space="preserve">В роли андеррайтеров, как и в случае классического </w:t>
      </w:r>
      <w:r>
        <w:rPr>
          <w:lang w:val="en-US"/>
        </w:rPr>
        <w:t>IPO</w:t>
      </w:r>
      <w:r>
        <w:t xml:space="preserve">, выступают инвестиционные банки. </w:t>
      </w:r>
      <w:r w:rsidR="00A220AD">
        <w:t>Тремя крупней</w:t>
      </w:r>
      <w:r w:rsidR="00B4660A">
        <w:t xml:space="preserve">шими андеррайтерами по количеству сделок на сентябрь 2021 года </w:t>
      </w:r>
      <w:r w:rsidR="007B3ECC">
        <w:t xml:space="preserve">являются </w:t>
      </w:r>
      <w:r w:rsidR="007B3ECC">
        <w:rPr>
          <w:lang w:val="en-US"/>
        </w:rPr>
        <w:t>Citigroup</w:t>
      </w:r>
      <w:r w:rsidR="007B3ECC" w:rsidRPr="007B3ECC">
        <w:t xml:space="preserve">, </w:t>
      </w:r>
      <w:r w:rsidR="007B3ECC">
        <w:rPr>
          <w:lang w:val="en-US"/>
        </w:rPr>
        <w:t>Goldman</w:t>
      </w:r>
      <w:r w:rsidR="007B3ECC" w:rsidRPr="007B3ECC">
        <w:t xml:space="preserve"> </w:t>
      </w:r>
      <w:r w:rsidR="007B3ECC">
        <w:rPr>
          <w:lang w:val="en-US"/>
        </w:rPr>
        <w:t>Sachs</w:t>
      </w:r>
      <w:r w:rsidR="007B3ECC" w:rsidRPr="007B3ECC">
        <w:t xml:space="preserve"> </w:t>
      </w:r>
      <w:r w:rsidR="007B3ECC">
        <w:t xml:space="preserve">и </w:t>
      </w:r>
      <w:r w:rsidR="007B3ECC">
        <w:rPr>
          <w:lang w:val="en-US"/>
        </w:rPr>
        <w:t>Credit</w:t>
      </w:r>
      <w:r w:rsidR="007B3ECC" w:rsidRPr="007B3ECC">
        <w:t xml:space="preserve"> </w:t>
      </w:r>
      <w:r w:rsidR="007B3ECC">
        <w:rPr>
          <w:lang w:val="en-US"/>
        </w:rPr>
        <w:t>Suisse</w:t>
      </w:r>
      <w:r w:rsidR="007B3ECC" w:rsidRPr="007B3ECC">
        <w:t xml:space="preserve"> </w:t>
      </w:r>
      <w:r w:rsidR="007B3ECC">
        <w:t>(в топ</w:t>
      </w:r>
      <w:r w:rsidR="00723E6C">
        <w:t xml:space="preserve">-10 также входят </w:t>
      </w:r>
      <w:r w:rsidR="00817818">
        <w:rPr>
          <w:lang w:val="en-US"/>
        </w:rPr>
        <w:lastRenderedPageBreak/>
        <w:t>Morgan</w:t>
      </w:r>
      <w:r w:rsidR="00723E6C" w:rsidRPr="00723E6C">
        <w:t xml:space="preserve"> </w:t>
      </w:r>
      <w:r w:rsidR="00723E6C">
        <w:rPr>
          <w:lang w:val="en-US"/>
        </w:rPr>
        <w:t>Stanley</w:t>
      </w:r>
      <w:r w:rsidR="00723E6C" w:rsidRPr="00723E6C">
        <w:t xml:space="preserve"> </w:t>
      </w:r>
      <w:r w:rsidR="00723E6C">
        <w:t xml:space="preserve">и </w:t>
      </w:r>
      <w:r w:rsidR="00723E6C">
        <w:rPr>
          <w:lang w:val="en-US"/>
        </w:rPr>
        <w:t>JP</w:t>
      </w:r>
      <w:r w:rsidR="00723E6C" w:rsidRPr="00723E6C">
        <w:t xml:space="preserve"> </w:t>
      </w:r>
      <w:r w:rsidR="00723E6C">
        <w:rPr>
          <w:lang w:val="en-US"/>
        </w:rPr>
        <w:t>Morgan</w:t>
      </w:r>
      <w:r w:rsidR="00723E6C">
        <w:t>).</w:t>
      </w:r>
      <w:r w:rsidR="00723E6C">
        <w:rPr>
          <w:rStyle w:val="af5"/>
        </w:rPr>
        <w:footnoteReference w:id="16"/>
      </w:r>
      <w:r w:rsidR="00723E6C">
        <w:t xml:space="preserve"> </w:t>
      </w:r>
      <w:r w:rsidR="00AF6680">
        <w:t>Инвестиционные банки оказывают</w:t>
      </w:r>
      <w:r w:rsidR="00341AA5">
        <w:t xml:space="preserve"> услуги по выведению </w:t>
      </w:r>
      <w:r w:rsidR="00341AA5">
        <w:rPr>
          <w:lang w:val="en-US"/>
        </w:rPr>
        <w:t>SPAC</w:t>
      </w:r>
      <w:r w:rsidR="00341AA5">
        <w:t xml:space="preserve"> на биржу, а также играют роль советников на протяжении всего существования «компаний-пустышек».</w:t>
      </w:r>
      <w:r w:rsidR="00C134FA" w:rsidRPr="00C134FA">
        <w:t xml:space="preserve"> </w:t>
      </w:r>
    </w:p>
    <w:p w14:paraId="3DF0F853" w14:textId="6B795026" w:rsidR="00B33870" w:rsidRDefault="00C134FA" w:rsidP="00FF01C3">
      <w:r>
        <w:t xml:space="preserve">Как правило, </w:t>
      </w:r>
      <w:r w:rsidR="00085340">
        <w:t xml:space="preserve">плата за андеррайтинг составляет </w:t>
      </w:r>
      <w:r w:rsidR="00440D23">
        <w:t xml:space="preserve">5,5% от поступлений с </w:t>
      </w:r>
      <w:r w:rsidR="00440D23">
        <w:rPr>
          <w:lang w:val="en-US"/>
        </w:rPr>
        <w:t>IPO</w:t>
      </w:r>
      <w:r w:rsidR="00440D23">
        <w:t xml:space="preserve">, 2% из которых банки получают после </w:t>
      </w:r>
      <w:r w:rsidR="00E65027">
        <w:t xml:space="preserve">вывода </w:t>
      </w:r>
      <w:r w:rsidR="00E65027">
        <w:rPr>
          <w:lang w:val="en-US"/>
        </w:rPr>
        <w:t>SPAC</w:t>
      </w:r>
      <w:r w:rsidR="00E65027">
        <w:t xml:space="preserve"> на биржу, 3,5% - после заключения сделки о поглощении.</w:t>
      </w:r>
      <w:r w:rsidR="00A16B10">
        <w:t xml:space="preserve"> Однако, </w:t>
      </w:r>
      <w:r w:rsidR="00CD222F">
        <w:t xml:space="preserve">финансисты, занимающиеся изучением издержек </w:t>
      </w:r>
      <w:r w:rsidR="00CD222F">
        <w:rPr>
          <w:lang w:val="en-US"/>
        </w:rPr>
        <w:t>SPAC</w:t>
      </w:r>
      <w:r w:rsidR="00CD222F">
        <w:t xml:space="preserve"> </w:t>
      </w:r>
      <w:r w:rsidR="00A81712" w:rsidRPr="00A81712">
        <w:t>[</w:t>
      </w:r>
      <w:r w:rsidR="004B1288">
        <w:rPr>
          <w:lang w:val="en-US"/>
        </w:rPr>
        <w:t>Klausner</w:t>
      </w:r>
      <w:r w:rsidR="004B1288" w:rsidRPr="00BE76D4">
        <w:t xml:space="preserve">, </w:t>
      </w:r>
      <w:proofErr w:type="spellStart"/>
      <w:r w:rsidR="004B1288">
        <w:rPr>
          <w:lang w:val="en-US"/>
        </w:rPr>
        <w:t>Ohlrogge</w:t>
      </w:r>
      <w:proofErr w:type="spellEnd"/>
      <w:r w:rsidR="00A81712" w:rsidRPr="00A81712">
        <w:t xml:space="preserve">, </w:t>
      </w:r>
      <w:r w:rsidR="00AD619A" w:rsidRPr="00BE76D4">
        <w:t>2020</w:t>
      </w:r>
      <w:r w:rsidR="00A81712" w:rsidRPr="00A81712">
        <w:t>]</w:t>
      </w:r>
      <w:r w:rsidR="00AD619A" w:rsidRPr="00BE76D4">
        <w:t xml:space="preserve"> </w:t>
      </w:r>
      <w:r w:rsidR="00AD619A">
        <w:t xml:space="preserve">выяснили, </w:t>
      </w:r>
      <w:r w:rsidR="000450BD">
        <w:t>что,</w:t>
      </w:r>
      <w:r w:rsidR="00AD619A">
        <w:t xml:space="preserve"> </w:t>
      </w:r>
      <w:r w:rsidR="00BE76D4">
        <w:t xml:space="preserve">если учитывать в расчете комиссии те акции, которые были выкуплены, </w:t>
      </w:r>
      <w:r w:rsidR="003015FA">
        <w:t xml:space="preserve">плата за андеррайтинг будет принимать гораздо более высокие значения. </w:t>
      </w:r>
      <w:r w:rsidR="00034616">
        <w:t>То есть,</w:t>
      </w:r>
      <w:r w:rsidR="00040E94">
        <w:t xml:space="preserve"> когда </w:t>
      </w:r>
      <w:r w:rsidR="00B517BE">
        <w:t xml:space="preserve">первоначальные </w:t>
      </w:r>
      <w:r w:rsidR="00040E94">
        <w:t xml:space="preserve">инвесторы изъявляют право вернуть </w:t>
      </w:r>
      <w:r w:rsidR="00B517BE">
        <w:t xml:space="preserve">вложенные деньги, выручка с </w:t>
      </w:r>
      <w:r w:rsidR="00B517BE">
        <w:rPr>
          <w:lang w:val="en-US"/>
        </w:rPr>
        <w:t>IPO</w:t>
      </w:r>
      <w:r w:rsidR="00B517BE">
        <w:t xml:space="preserve"> снижается, а значит увеличивается </w:t>
      </w:r>
      <w:r w:rsidR="00FA40F4">
        <w:t xml:space="preserve">процентная </w:t>
      </w:r>
      <w:r w:rsidR="00B517BE">
        <w:t xml:space="preserve">комиссия андеррайтера. </w:t>
      </w:r>
      <w:r w:rsidR="00C527EE">
        <w:t>Исследователи выяснили</w:t>
      </w:r>
      <w:r w:rsidR="009457CE">
        <w:t xml:space="preserve"> </w:t>
      </w:r>
      <w:r w:rsidR="00F6563B" w:rsidRPr="00F6563B">
        <w:t>[</w:t>
      </w:r>
      <w:r w:rsidR="009457CE">
        <w:rPr>
          <w:lang w:val="en-US"/>
        </w:rPr>
        <w:t>Klausner</w:t>
      </w:r>
      <w:r w:rsidR="009457CE" w:rsidRPr="00BE76D4">
        <w:t xml:space="preserve">, </w:t>
      </w:r>
      <w:proofErr w:type="spellStart"/>
      <w:r w:rsidR="009457CE">
        <w:rPr>
          <w:lang w:val="en-US"/>
        </w:rPr>
        <w:t>Ohlrogge</w:t>
      </w:r>
      <w:proofErr w:type="spellEnd"/>
      <w:r w:rsidR="00F6563B" w:rsidRPr="00F6563B">
        <w:t>,</w:t>
      </w:r>
      <w:r w:rsidR="009457CE" w:rsidRPr="00BE76D4">
        <w:t xml:space="preserve"> 2020</w:t>
      </w:r>
      <w:r w:rsidR="00F6563B" w:rsidRPr="00F6563B">
        <w:t>]</w:t>
      </w:r>
      <w:r w:rsidR="00C527EE">
        <w:t xml:space="preserve">, что при таком подсчете медианный доход андеррайтеров составляет 16% </w:t>
      </w:r>
      <w:r w:rsidR="00E76B70">
        <w:t>от величины размещения</w:t>
      </w:r>
      <w:r w:rsidR="00F172F6">
        <w:t xml:space="preserve"> </w:t>
      </w:r>
      <w:r w:rsidR="00C527EE">
        <w:t>(против медианного 5,5% без учета выкупленных акций)</w:t>
      </w:r>
      <w:r w:rsidR="00961931">
        <w:t>. Принимая во внимание тот факт, что медианная сумма выкупов составила 73%</w:t>
      </w:r>
      <w:r w:rsidR="004028CE">
        <w:t xml:space="preserve"> от </w:t>
      </w:r>
      <w:r w:rsidR="002A6401">
        <w:t>поступлений с размещения</w:t>
      </w:r>
      <w:r w:rsidR="00961931">
        <w:t>, сред</w:t>
      </w:r>
      <w:r w:rsidR="00D622F5">
        <w:t xml:space="preserve">няя плата за андеррайтинг достигла 311% – на выборочную характеристику значительно повлияли те </w:t>
      </w:r>
      <w:r w:rsidR="00D622F5">
        <w:rPr>
          <w:lang w:val="en-US"/>
        </w:rPr>
        <w:t>SPAC</w:t>
      </w:r>
      <w:r w:rsidR="00D622F5">
        <w:t xml:space="preserve">, </w:t>
      </w:r>
      <w:r w:rsidR="00E2551A">
        <w:t>в которых</w:t>
      </w:r>
      <w:r w:rsidR="00D622F5">
        <w:t xml:space="preserve"> коэффициент выкупа стремился к 100%.</w:t>
      </w:r>
      <w:r w:rsidR="00DA1BA3">
        <w:t xml:space="preserve"> Эти скрытые издержки </w:t>
      </w:r>
      <w:r w:rsidR="003B399E">
        <w:t xml:space="preserve">являются одним из основных контраргументов к общепринятому мнению о том, что </w:t>
      </w:r>
      <w:r w:rsidR="00457C3C">
        <w:t xml:space="preserve">комиссии за вывод </w:t>
      </w:r>
      <w:r w:rsidR="00457C3C">
        <w:rPr>
          <w:lang w:val="en-US"/>
        </w:rPr>
        <w:t>SPAC</w:t>
      </w:r>
      <w:r w:rsidR="00457C3C">
        <w:t xml:space="preserve"> на биржу ниже, чем при традиционном </w:t>
      </w:r>
      <w:r w:rsidR="00457C3C">
        <w:rPr>
          <w:lang w:val="en-US"/>
        </w:rPr>
        <w:t>IPO</w:t>
      </w:r>
      <w:r w:rsidR="00457C3C">
        <w:t>.</w:t>
      </w:r>
    </w:p>
    <w:p w14:paraId="57DBD790" w14:textId="6EA6EB13" w:rsidR="00FF01C3" w:rsidRDefault="00B33870" w:rsidP="00FF01C3">
      <w:r>
        <w:t xml:space="preserve">Обычно </w:t>
      </w:r>
      <w:r>
        <w:rPr>
          <w:lang w:val="en-US"/>
        </w:rPr>
        <w:t>SPAC</w:t>
      </w:r>
      <w:r>
        <w:t xml:space="preserve"> сопровождает не один инвестиционный банк, а группа финансовых организаций, образуя так называемый «синдикат андеррайтеров». На практике синдикат состоит из 4 инвестиционных банков</w:t>
      </w:r>
      <w:r w:rsidR="00300E07">
        <w:t xml:space="preserve">. </w:t>
      </w:r>
      <w:r w:rsidR="00443792">
        <w:t xml:space="preserve">Однако связь между количеством </w:t>
      </w:r>
      <w:r w:rsidR="0050046D">
        <w:t>андеррайтеров и вероятностью</w:t>
      </w:r>
      <w:r w:rsidR="0066612A">
        <w:t xml:space="preserve"> </w:t>
      </w:r>
      <w:r w:rsidR="00B25BFA">
        <w:t xml:space="preserve">заключения сделки </w:t>
      </w:r>
      <w:r w:rsidR="0070454B">
        <w:rPr>
          <w:lang w:val="en-US"/>
        </w:rPr>
        <w:t>M</w:t>
      </w:r>
      <w:r w:rsidR="0070454B" w:rsidRPr="0070454B">
        <w:t>&amp;</w:t>
      </w:r>
      <w:r w:rsidR="0070454B">
        <w:rPr>
          <w:lang w:val="en-US"/>
        </w:rPr>
        <w:t>A</w:t>
      </w:r>
      <w:r w:rsidR="0050046D">
        <w:t xml:space="preserve"> </w:t>
      </w:r>
      <w:r w:rsidR="00842663">
        <w:t xml:space="preserve">возникает только на </w:t>
      </w:r>
      <w:r w:rsidR="0070454B">
        <w:t>не</w:t>
      </w:r>
      <w:r w:rsidR="00842663">
        <w:t>высоком уровне значимости (10%)</w:t>
      </w:r>
      <w:r w:rsidR="00312B9A">
        <w:t xml:space="preserve">, </w:t>
      </w:r>
      <w:r w:rsidR="004B371B">
        <w:t xml:space="preserve">при этом она </w:t>
      </w:r>
      <w:r w:rsidR="000F053C">
        <w:t>является</w:t>
      </w:r>
      <w:r w:rsidR="004B371B">
        <w:t xml:space="preserve"> </w:t>
      </w:r>
      <w:r w:rsidR="0043193B">
        <w:t>обратной</w:t>
      </w:r>
      <w:r w:rsidR="004B371B">
        <w:t xml:space="preserve"> </w:t>
      </w:r>
      <w:r w:rsidR="00F6563B" w:rsidRPr="00F6563B">
        <w:t>[</w:t>
      </w:r>
      <w:r w:rsidR="00BD49A8">
        <w:rPr>
          <w:lang w:val="en-US"/>
        </w:rPr>
        <w:t>Cumming</w:t>
      </w:r>
      <w:r w:rsidR="00BD49A8" w:rsidRPr="00BD49A8">
        <w:t xml:space="preserve">, </w:t>
      </w:r>
      <w:r w:rsidR="000F053C">
        <w:rPr>
          <w:lang w:val="en-US"/>
        </w:rPr>
        <w:t>Hass</w:t>
      </w:r>
      <w:r w:rsidR="000F053C" w:rsidRPr="000F053C">
        <w:t xml:space="preserve">, </w:t>
      </w:r>
      <w:r w:rsidR="000F053C">
        <w:rPr>
          <w:lang w:val="en-US"/>
        </w:rPr>
        <w:t>Schweizer</w:t>
      </w:r>
      <w:r w:rsidR="00F6563B" w:rsidRPr="00F6563B">
        <w:t>,</w:t>
      </w:r>
      <w:r w:rsidR="000F053C" w:rsidRPr="000F053C">
        <w:t xml:space="preserve"> 201</w:t>
      </w:r>
      <w:r w:rsidR="00D61633" w:rsidRPr="00D61633">
        <w:t>4</w:t>
      </w:r>
      <w:r w:rsidR="00F6563B" w:rsidRPr="00F6563B">
        <w:t>]</w:t>
      </w:r>
      <w:r w:rsidR="000F053C" w:rsidRPr="000F053C">
        <w:t xml:space="preserve">. </w:t>
      </w:r>
      <w:r w:rsidR="0066612A">
        <w:t xml:space="preserve">С другой стороны, </w:t>
      </w:r>
      <w:r w:rsidR="0070454B">
        <w:t xml:space="preserve">осуществление сделки </w:t>
      </w:r>
      <w:r w:rsidR="0070454B">
        <w:rPr>
          <w:lang w:val="en-US"/>
        </w:rPr>
        <w:t>M</w:t>
      </w:r>
      <w:r w:rsidR="0070454B" w:rsidRPr="0070454B">
        <w:t>&amp;</w:t>
      </w:r>
      <w:r w:rsidR="0070454B">
        <w:rPr>
          <w:lang w:val="en-US"/>
        </w:rPr>
        <w:t>A</w:t>
      </w:r>
      <w:r w:rsidR="0066612A">
        <w:t xml:space="preserve"> более вероятно в тех случаях, когда репутация </w:t>
      </w:r>
      <w:r w:rsidR="00F9761E">
        <w:t xml:space="preserve">инвестиционных банков </w:t>
      </w:r>
      <w:r w:rsidR="002B393D">
        <w:t xml:space="preserve">более высокая </w:t>
      </w:r>
      <w:r w:rsidR="00F6563B" w:rsidRPr="00F6563B">
        <w:t>[</w:t>
      </w:r>
      <w:r w:rsidR="002B393D">
        <w:rPr>
          <w:lang w:val="en-US"/>
        </w:rPr>
        <w:t>Cumming</w:t>
      </w:r>
      <w:r w:rsidR="002B393D" w:rsidRPr="00BD49A8">
        <w:t xml:space="preserve">, </w:t>
      </w:r>
      <w:r w:rsidR="002B393D">
        <w:rPr>
          <w:lang w:val="en-US"/>
        </w:rPr>
        <w:t>Hass</w:t>
      </w:r>
      <w:r w:rsidR="002B393D" w:rsidRPr="000F053C">
        <w:t xml:space="preserve">, </w:t>
      </w:r>
      <w:r w:rsidR="002B393D">
        <w:rPr>
          <w:lang w:val="en-US"/>
        </w:rPr>
        <w:t>Schweizer</w:t>
      </w:r>
      <w:r w:rsidR="00F6563B" w:rsidRPr="00F6563B">
        <w:t>,</w:t>
      </w:r>
      <w:r w:rsidR="002B393D" w:rsidRPr="000F053C">
        <w:t xml:space="preserve"> 201</w:t>
      </w:r>
      <w:r w:rsidR="00D61633" w:rsidRPr="00D61633">
        <w:t>4</w:t>
      </w:r>
      <w:r w:rsidR="00F6563B" w:rsidRPr="00F6563B">
        <w:t>]</w:t>
      </w:r>
      <w:r w:rsidR="002B393D">
        <w:t>. Некоторые исследователи включали в модель</w:t>
      </w:r>
      <w:r w:rsidR="007655FF">
        <w:t xml:space="preserve"> определенный банк, такой как </w:t>
      </w:r>
      <w:proofErr w:type="spellStart"/>
      <w:r w:rsidR="00425CD1">
        <w:t>EarlyBirdCapita</w:t>
      </w:r>
      <w:proofErr w:type="spellEnd"/>
      <w:r w:rsidR="00425CD1">
        <w:rPr>
          <w:lang w:val="en-US"/>
        </w:rPr>
        <w:t>l</w:t>
      </w:r>
      <w:r w:rsidR="00425CD1">
        <w:t xml:space="preserve">, наличие которого в синдикате увеличивало вероятность слияния </w:t>
      </w:r>
      <w:r w:rsidR="0074662B" w:rsidRPr="0074662B">
        <w:t>[</w:t>
      </w:r>
      <w:proofErr w:type="spellStart"/>
      <w:r w:rsidR="00F838D6">
        <w:rPr>
          <w:lang w:val="en-US"/>
        </w:rPr>
        <w:t>Lakicevic</w:t>
      </w:r>
      <w:proofErr w:type="spellEnd"/>
      <w:r w:rsidR="00F838D6" w:rsidRPr="00F838D6">
        <w:t xml:space="preserve">, </w:t>
      </w:r>
      <w:proofErr w:type="spellStart"/>
      <w:r w:rsidR="00F838D6">
        <w:rPr>
          <w:lang w:val="en-US"/>
        </w:rPr>
        <w:t>Shachmurove</w:t>
      </w:r>
      <w:proofErr w:type="spellEnd"/>
      <w:r w:rsidR="00F838D6" w:rsidRPr="00F838D6">
        <w:t xml:space="preserve">, </w:t>
      </w:r>
      <w:proofErr w:type="spellStart"/>
      <w:r w:rsidR="00F838D6">
        <w:rPr>
          <w:lang w:val="en-US"/>
        </w:rPr>
        <w:t>Vulanovic</w:t>
      </w:r>
      <w:proofErr w:type="spellEnd"/>
      <w:r w:rsidR="0074662B" w:rsidRPr="0074662B">
        <w:t>,</w:t>
      </w:r>
      <w:r w:rsidR="00F838D6" w:rsidRPr="00F838D6">
        <w:t xml:space="preserve"> 2013</w:t>
      </w:r>
      <w:r w:rsidR="0074662B" w:rsidRPr="0074662B">
        <w:t>]</w:t>
      </w:r>
      <w:r w:rsidR="00F838D6" w:rsidRPr="00F838D6">
        <w:t>.</w:t>
      </w:r>
    </w:p>
    <w:p w14:paraId="6D5A5A0F" w14:textId="4782A7C8" w:rsidR="000929E2" w:rsidRPr="00E8004C" w:rsidRDefault="009D412C" w:rsidP="009D412C">
      <w:pPr>
        <w:ind w:firstLine="0"/>
        <w:rPr>
          <w:b/>
          <w:bCs/>
          <w:i/>
          <w:iCs/>
        </w:rPr>
      </w:pPr>
      <w:r w:rsidRPr="00E8004C">
        <w:rPr>
          <w:b/>
          <w:bCs/>
          <w:i/>
          <w:iCs/>
        </w:rPr>
        <w:t>Инвесторы</w:t>
      </w:r>
    </w:p>
    <w:p w14:paraId="0769F1F2" w14:textId="75D9A1A2" w:rsidR="009D412C" w:rsidRDefault="007621B9" w:rsidP="009D412C">
      <w:r>
        <w:t xml:space="preserve">Инвесторы – физически или юридические лица, </w:t>
      </w:r>
      <w:r w:rsidR="001018B0">
        <w:t xml:space="preserve">покупающие ценные бумаги </w:t>
      </w:r>
      <w:r w:rsidR="001018B0">
        <w:rPr>
          <w:lang w:val="en-US"/>
        </w:rPr>
        <w:t>SPAC</w:t>
      </w:r>
      <w:r w:rsidR="001018B0">
        <w:t xml:space="preserve">. </w:t>
      </w:r>
      <w:r w:rsidR="00D01386">
        <w:t xml:space="preserve">Среди них выделяют первоначальных инвесторов </w:t>
      </w:r>
      <w:r w:rsidR="00D27889">
        <w:t>–</w:t>
      </w:r>
      <w:r w:rsidR="00D01386">
        <w:t xml:space="preserve"> </w:t>
      </w:r>
      <w:r w:rsidR="00D27889">
        <w:t>тех, кто вкладывают</w:t>
      </w:r>
      <w:r w:rsidR="001F480B">
        <w:t>ся</w:t>
      </w:r>
      <w:r w:rsidR="00D27889">
        <w:t xml:space="preserve"> в </w:t>
      </w:r>
      <w:r w:rsidR="00D27889">
        <w:rPr>
          <w:lang w:val="en-US"/>
        </w:rPr>
        <w:t>SPAC</w:t>
      </w:r>
      <w:r w:rsidR="00D27889">
        <w:t xml:space="preserve"> в ходе</w:t>
      </w:r>
      <w:r w:rsidR="005F414D">
        <w:t xml:space="preserve"> </w:t>
      </w:r>
      <w:r w:rsidR="001F480B">
        <w:t>первичного размещения</w:t>
      </w:r>
      <w:r w:rsidR="005F414D">
        <w:t>.</w:t>
      </w:r>
      <w:r w:rsidR="003A7ED7">
        <w:t xml:space="preserve"> Большинство инвесторов</w:t>
      </w:r>
      <w:r w:rsidR="00DD122F">
        <w:t xml:space="preserve"> </w:t>
      </w:r>
      <w:r w:rsidR="00DD122F">
        <w:rPr>
          <w:lang w:val="en-US"/>
        </w:rPr>
        <w:t>SPAC</w:t>
      </w:r>
      <w:r w:rsidR="00DD122F" w:rsidRPr="00033FE3">
        <w:t xml:space="preserve"> </w:t>
      </w:r>
      <w:r w:rsidR="00DD122F">
        <w:t>являются институциональными</w:t>
      </w:r>
      <w:r w:rsidR="00033FE3">
        <w:t xml:space="preserve"> </w:t>
      </w:r>
      <w:r w:rsidR="00033FE3">
        <w:lastRenderedPageBreak/>
        <w:t>организациями</w:t>
      </w:r>
      <w:r w:rsidR="00DD122F">
        <w:t xml:space="preserve">, зачастую </w:t>
      </w:r>
      <w:r w:rsidR="00437B6D">
        <w:t>представленными</w:t>
      </w:r>
      <w:r w:rsidR="00033FE3">
        <w:t xml:space="preserve"> специализированны</w:t>
      </w:r>
      <w:r w:rsidR="00437B6D">
        <w:t>ми</w:t>
      </w:r>
      <w:r w:rsidR="00033FE3">
        <w:t xml:space="preserve"> хедж-фонд</w:t>
      </w:r>
      <w:r w:rsidR="00437B6D">
        <w:t>ами</w:t>
      </w:r>
      <w:r w:rsidR="00033FE3">
        <w:t xml:space="preserve">. </w:t>
      </w:r>
      <w:r w:rsidR="000570C3">
        <w:t>Средний про</w:t>
      </w:r>
      <w:r w:rsidR="00243B56">
        <w:t xml:space="preserve">цент владения акциями после </w:t>
      </w:r>
      <w:r w:rsidR="00243B56">
        <w:rPr>
          <w:lang w:val="en-US"/>
        </w:rPr>
        <w:t>IPO</w:t>
      </w:r>
      <w:r w:rsidR="00243B56">
        <w:t xml:space="preserve"> хедж-фондами составляет </w:t>
      </w:r>
      <w:r w:rsidR="00D01015">
        <w:t>82%, незадолго до приобретения таргета – 79%</w:t>
      </w:r>
      <w:r w:rsidR="00E23EB9">
        <w:t xml:space="preserve"> </w:t>
      </w:r>
      <w:r w:rsidR="006E486A" w:rsidRPr="006E486A">
        <w:t>[</w:t>
      </w:r>
      <w:r w:rsidR="002E6DCD">
        <w:rPr>
          <w:lang w:val="en-US"/>
        </w:rPr>
        <w:t>Klausner</w:t>
      </w:r>
      <w:r w:rsidR="002E6DCD" w:rsidRPr="00BE76D4">
        <w:t xml:space="preserve">, </w:t>
      </w:r>
      <w:proofErr w:type="spellStart"/>
      <w:r w:rsidR="002E6DCD">
        <w:rPr>
          <w:lang w:val="en-US"/>
        </w:rPr>
        <w:t>Ohlrogge</w:t>
      </w:r>
      <w:proofErr w:type="spellEnd"/>
      <w:r w:rsidR="006E486A" w:rsidRPr="006E486A">
        <w:t>,</w:t>
      </w:r>
      <w:r w:rsidR="002E6DCD" w:rsidRPr="00BE76D4">
        <w:t xml:space="preserve"> 2020</w:t>
      </w:r>
      <w:r w:rsidR="006E486A" w:rsidRPr="006E486A">
        <w:t>]</w:t>
      </w:r>
      <w:r w:rsidR="002E6DCD" w:rsidRPr="002E6DCD">
        <w:t>.</w:t>
      </w:r>
    </w:p>
    <w:p w14:paraId="638C4D87" w14:textId="37AF1C8A" w:rsidR="00A6204B" w:rsidRDefault="00A6204B" w:rsidP="009D412C">
      <w:r>
        <w:t xml:space="preserve">На </w:t>
      </w:r>
      <w:r>
        <w:rPr>
          <w:lang w:val="en-US"/>
        </w:rPr>
        <w:t>IPO</w:t>
      </w:r>
      <w:r w:rsidRPr="00D034CB">
        <w:t xml:space="preserve"> </w:t>
      </w:r>
      <w:r w:rsidR="00D034CB">
        <w:t xml:space="preserve">первоначальные инвесторы получают юниты </w:t>
      </w:r>
      <w:r w:rsidR="00827709">
        <w:t>–</w:t>
      </w:r>
      <w:r w:rsidR="00827709" w:rsidRPr="00827709">
        <w:t xml:space="preserve"> </w:t>
      </w:r>
      <w:r w:rsidR="00827709">
        <w:t>ценные бумаги</w:t>
      </w:r>
      <w:r w:rsidR="00F654D6">
        <w:t xml:space="preserve">, единица которых содержит в себе одну обыкновенную акцию и </w:t>
      </w:r>
      <w:r w:rsidR="004077B2">
        <w:t>определенную часть варранта (может быть как целый варрант, так и доля, например, ½</w:t>
      </w:r>
      <w:r w:rsidR="004077B2" w:rsidRPr="004077B2">
        <w:t xml:space="preserve"> </w:t>
      </w:r>
      <w:r w:rsidR="004077B2">
        <w:t xml:space="preserve">варранта). </w:t>
      </w:r>
      <w:r w:rsidR="00A302A8">
        <w:t xml:space="preserve">Спустя 52 дня после покупки инвестор может разделить юнит </w:t>
      </w:r>
      <w:r w:rsidR="00802D1B">
        <w:t xml:space="preserve">на акцию и варрант и продавать их как разные ценные бумаги. Либо акционер может продолжать торговать юнитами </w:t>
      </w:r>
      <w:r w:rsidR="00136518">
        <w:t xml:space="preserve">на бирже. </w:t>
      </w:r>
      <w:r w:rsidR="008665EC">
        <w:t xml:space="preserve">Средства, вложенные в </w:t>
      </w:r>
      <w:r w:rsidR="00142674">
        <w:t>покупку юнитов, кладутся на трастовый счет и инвестируются в надежные государственные облигации.</w:t>
      </w:r>
    </w:p>
    <w:p w14:paraId="68297FB5" w14:textId="4C4848F8" w:rsidR="00496D94" w:rsidRDefault="002E7A2B" w:rsidP="009D412C">
      <w:r>
        <w:t xml:space="preserve">Инвесторы обладают уникальным </w:t>
      </w:r>
      <w:r w:rsidRPr="003A7CFA">
        <w:rPr>
          <w:b/>
          <w:bCs/>
        </w:rPr>
        <w:t xml:space="preserve">правом </w:t>
      </w:r>
      <w:r w:rsidR="00D34CFA">
        <w:rPr>
          <w:b/>
          <w:bCs/>
        </w:rPr>
        <w:t>предъявления акций к выкупу</w:t>
      </w:r>
      <w:r w:rsidR="00397218">
        <w:t xml:space="preserve">. </w:t>
      </w:r>
      <w:r w:rsidR="00AF6B55">
        <w:t xml:space="preserve">После того, как спонсор объявляет о нахождении компании-таргета, </w:t>
      </w:r>
      <w:r w:rsidR="00C11B7A">
        <w:t xml:space="preserve">среди акционеров проводится голосование за или против </w:t>
      </w:r>
      <w:r w:rsidR="005233C9">
        <w:t xml:space="preserve">сделки. </w:t>
      </w:r>
      <w:r w:rsidR="005926C9">
        <w:t xml:space="preserve">Если </w:t>
      </w:r>
      <w:r w:rsidR="004D2E9A">
        <w:t xml:space="preserve">акционер не </w:t>
      </w:r>
      <w:r w:rsidR="0009438F">
        <w:t xml:space="preserve">согласен, что сделка </w:t>
      </w:r>
      <w:r w:rsidR="00297F94">
        <w:t>по поглощению таргета окажется выгодной, он может потребовать</w:t>
      </w:r>
      <w:r w:rsidR="004D31CF">
        <w:t xml:space="preserve"> </w:t>
      </w:r>
      <w:r w:rsidR="00537000">
        <w:t xml:space="preserve">назад </w:t>
      </w:r>
      <w:r w:rsidR="004D31CF">
        <w:t xml:space="preserve">деньги, вложенные в обыкновенные акции. </w:t>
      </w:r>
      <w:r w:rsidR="00537000">
        <w:rPr>
          <w:lang w:val="en-US"/>
        </w:rPr>
        <w:t>SPAC</w:t>
      </w:r>
      <w:r w:rsidR="00537000">
        <w:t xml:space="preserve"> обязан выкупить</w:t>
      </w:r>
      <w:r w:rsidR="00992BC7">
        <w:t xml:space="preserve"> акции</w:t>
      </w:r>
      <w:r w:rsidR="0099231B">
        <w:t xml:space="preserve"> у инвестора</w:t>
      </w:r>
      <w:r w:rsidR="00992BC7">
        <w:t xml:space="preserve"> по цене 10</w:t>
      </w:r>
      <w:r w:rsidR="00992BC7" w:rsidRPr="0099231B">
        <w:t>$</w:t>
      </w:r>
      <w:r w:rsidR="00992BC7">
        <w:t xml:space="preserve"> за одну штуку</w:t>
      </w:r>
      <w:r w:rsidR="00D652EC">
        <w:t xml:space="preserve"> (</w:t>
      </w:r>
      <w:r w:rsidR="00906BD9">
        <w:t xml:space="preserve">в большинстве ситуаций цена выкупа именно </w:t>
      </w:r>
      <w:r w:rsidR="00906BD9" w:rsidRPr="00906BD9">
        <w:t>$10)</w:t>
      </w:r>
      <w:r w:rsidR="00261EB7">
        <w:t xml:space="preserve">, для этого используются деньги из трастового счета. </w:t>
      </w:r>
      <w:r w:rsidR="0058276B">
        <w:t>В прошлом</w:t>
      </w:r>
      <w:r w:rsidR="004705E0">
        <w:t xml:space="preserve"> только акционеры, голосовавшие против сделки поглощени</w:t>
      </w:r>
      <w:r w:rsidR="00BD2AF7">
        <w:t>я</w:t>
      </w:r>
      <w:r w:rsidR="004705E0">
        <w:t xml:space="preserve">, имели право </w:t>
      </w:r>
      <w:r w:rsidR="001C0CAB">
        <w:t>выкуп</w:t>
      </w:r>
      <w:r w:rsidR="00A559FC">
        <w:t>ить</w:t>
      </w:r>
      <w:r w:rsidR="001C0CAB">
        <w:t xml:space="preserve"> акци</w:t>
      </w:r>
      <w:r w:rsidR="00A559FC">
        <w:t>и</w:t>
      </w:r>
      <w:r w:rsidR="00476745" w:rsidRPr="00476745">
        <w:t xml:space="preserve"> </w:t>
      </w:r>
      <w:r w:rsidR="00476745" w:rsidRPr="0052675C">
        <w:t>[</w:t>
      </w:r>
      <w:proofErr w:type="spellStart"/>
      <w:r w:rsidR="0052675C">
        <w:rPr>
          <w:lang w:val="en-US"/>
        </w:rPr>
        <w:t>Kalisvaart</w:t>
      </w:r>
      <w:proofErr w:type="spellEnd"/>
      <w:r w:rsidR="0052675C" w:rsidRPr="0052675C">
        <w:t>, 2021</w:t>
      </w:r>
      <w:r w:rsidR="0052675C" w:rsidRPr="007F11B1">
        <w:t>]</w:t>
      </w:r>
      <w:r w:rsidR="007F11B1" w:rsidRPr="007F11B1">
        <w:t>.</w:t>
      </w:r>
      <w:r w:rsidR="001C0CAB">
        <w:t xml:space="preserve"> </w:t>
      </w:r>
      <w:r w:rsidR="00321F73">
        <w:t xml:space="preserve">Однако, сейчас учредительные документы </w:t>
      </w:r>
      <w:r w:rsidR="00321F73">
        <w:rPr>
          <w:lang w:val="en-US"/>
        </w:rPr>
        <w:t>SPAC</w:t>
      </w:r>
      <w:r w:rsidR="00321F73">
        <w:t xml:space="preserve"> предписывают право </w:t>
      </w:r>
      <w:r w:rsidR="004441F6">
        <w:t>предъявления акций к выкупу</w:t>
      </w:r>
      <w:r w:rsidR="00321F73">
        <w:t xml:space="preserve"> всем </w:t>
      </w:r>
      <w:r w:rsidR="004441F6">
        <w:t>акционерам</w:t>
      </w:r>
      <w:r w:rsidR="00321F73">
        <w:t xml:space="preserve"> в независимости </w:t>
      </w:r>
      <w:r w:rsidR="00E8004C">
        <w:t xml:space="preserve">от их голоса. Более того, </w:t>
      </w:r>
      <w:r w:rsidR="000C312C">
        <w:t xml:space="preserve">в </w:t>
      </w:r>
      <w:r w:rsidR="005D60DB">
        <w:t xml:space="preserve">редких случаях, когда голосование акционеров </w:t>
      </w:r>
      <w:r w:rsidR="00E94CE3">
        <w:t xml:space="preserve">для одобрения сделки не требуется, </w:t>
      </w:r>
      <w:r w:rsidR="00E94CE3">
        <w:rPr>
          <w:lang w:val="en-US"/>
        </w:rPr>
        <w:t>SPAC</w:t>
      </w:r>
      <w:r w:rsidR="00E94CE3">
        <w:t xml:space="preserve"> обязан провести </w:t>
      </w:r>
      <w:r w:rsidR="0030273B">
        <w:t xml:space="preserve">тендерное предложение </w:t>
      </w:r>
      <w:r w:rsidR="003A7CFA">
        <w:t xml:space="preserve">о выкупе обыкновенных акций </w:t>
      </w:r>
      <w:r w:rsidR="00CE7A56">
        <w:t>среди всех инвесторов.</w:t>
      </w:r>
      <w:r w:rsidR="00A908F2">
        <w:rPr>
          <w:rStyle w:val="af5"/>
        </w:rPr>
        <w:footnoteReference w:id="17"/>
      </w:r>
      <w:r w:rsidR="00D259B8">
        <w:t xml:space="preserve"> Правом </w:t>
      </w:r>
      <w:r w:rsidR="004441F6">
        <w:t>предъявления акций к выкупу</w:t>
      </w:r>
      <w:r w:rsidR="00D259B8">
        <w:t xml:space="preserve"> не облада</w:t>
      </w:r>
      <w:r w:rsidR="00BD42EB">
        <w:t>е</w:t>
      </w:r>
      <w:r w:rsidR="00D259B8">
        <w:t xml:space="preserve">т </w:t>
      </w:r>
      <w:r w:rsidR="00766BD9">
        <w:t xml:space="preserve">команда менеджеров </w:t>
      </w:r>
      <w:r w:rsidR="00766BD9">
        <w:rPr>
          <w:lang w:val="en-US"/>
        </w:rPr>
        <w:t>SPAC</w:t>
      </w:r>
      <w:r w:rsidR="00766BD9">
        <w:t xml:space="preserve"> и спонсоры</w:t>
      </w:r>
      <w:r w:rsidR="008E15D9">
        <w:t xml:space="preserve"> (здесь менеджеры и спонсоры отделены, поскольку ранее описывалась ситуация, когда спонсорами могут выступать хедж-фонды, финансирующие все расходы </w:t>
      </w:r>
      <w:r w:rsidR="009072C0">
        <w:rPr>
          <w:lang w:val="en-US"/>
        </w:rPr>
        <w:t>SPAC</w:t>
      </w:r>
      <w:r w:rsidR="009072C0">
        <w:t xml:space="preserve">, ставя при этом менеджеров как управленцев, не инвестировавших свои средства). </w:t>
      </w:r>
      <w:r w:rsidR="002A4F43">
        <w:t>Помимо этого, инвесторы не имеют права</w:t>
      </w:r>
      <w:r w:rsidR="005C4C01">
        <w:t xml:space="preserve"> </w:t>
      </w:r>
      <w:r w:rsidR="004441F6">
        <w:t xml:space="preserve">предъявления </w:t>
      </w:r>
      <w:r w:rsidR="005C4C01">
        <w:t>варрантов</w:t>
      </w:r>
      <w:r w:rsidR="004441F6">
        <w:t xml:space="preserve"> к выкупу</w:t>
      </w:r>
      <w:r w:rsidR="005C4C01">
        <w:t xml:space="preserve">. </w:t>
      </w:r>
      <w:r w:rsidR="003B0FE0">
        <w:t>Колл-опционы могут быть либо исполнены, либо проданы на бирже, либо аннулированы</w:t>
      </w:r>
      <w:r w:rsidR="00AE1126" w:rsidRPr="00AE1126">
        <w:t xml:space="preserve"> </w:t>
      </w:r>
      <w:r w:rsidR="004276DB">
        <w:t xml:space="preserve">ввиду ликвидации </w:t>
      </w:r>
      <w:r w:rsidR="004276DB">
        <w:rPr>
          <w:lang w:val="en-US"/>
        </w:rPr>
        <w:t>SPAC</w:t>
      </w:r>
      <w:r w:rsidR="004276DB" w:rsidRPr="004276DB">
        <w:t>.</w:t>
      </w:r>
    </w:p>
    <w:p w14:paraId="75E17B5B" w14:textId="28AE3010" w:rsidR="00B41D1D" w:rsidRDefault="004C559E" w:rsidP="00B41D1D">
      <w:r>
        <w:t>В качестве</w:t>
      </w:r>
      <w:r w:rsidR="00764B7C">
        <w:t xml:space="preserve"> особого вида инвестирования отдельное внимание стоит уделить </w:t>
      </w:r>
      <w:r w:rsidR="000B1339" w:rsidRPr="00EB6501">
        <w:rPr>
          <w:b/>
          <w:bCs/>
        </w:rPr>
        <w:t>частным инвестициям в публичную компания (</w:t>
      </w:r>
      <w:r w:rsidR="000B1339" w:rsidRPr="00EB6501">
        <w:rPr>
          <w:b/>
          <w:bCs/>
          <w:lang w:val="en-US"/>
        </w:rPr>
        <w:t>PIPE</w:t>
      </w:r>
      <w:r w:rsidR="000B1339" w:rsidRPr="00EB6501">
        <w:rPr>
          <w:b/>
          <w:bCs/>
        </w:rPr>
        <w:t>)</w:t>
      </w:r>
      <w:r w:rsidR="000B1339">
        <w:t xml:space="preserve">, которые довольно распространены в </w:t>
      </w:r>
      <w:r w:rsidR="00CB78B5">
        <w:t xml:space="preserve">сделках </w:t>
      </w:r>
      <w:r w:rsidR="00CB78B5">
        <w:rPr>
          <w:lang w:val="en-US"/>
        </w:rPr>
        <w:t>SPAC</w:t>
      </w:r>
      <w:r w:rsidR="00CB78B5">
        <w:t xml:space="preserve">. </w:t>
      </w:r>
      <w:r w:rsidR="00042442">
        <w:t xml:space="preserve">Поскольку практика </w:t>
      </w:r>
      <w:r w:rsidR="005169EB">
        <w:t>предъявления акций к выкупу</w:t>
      </w:r>
      <w:r w:rsidR="00042442">
        <w:t xml:space="preserve"> весьма распространена среди инвесторов, как было подтверждено ранее</w:t>
      </w:r>
      <w:r w:rsidR="00B212E6">
        <w:t>, на тра</w:t>
      </w:r>
      <w:r w:rsidR="009323EE">
        <w:t xml:space="preserve">стовом счету </w:t>
      </w:r>
      <w:r w:rsidR="009323EE">
        <w:rPr>
          <w:lang w:val="en-US"/>
        </w:rPr>
        <w:t>SPAC</w:t>
      </w:r>
      <w:r w:rsidR="009323EE">
        <w:t xml:space="preserve"> </w:t>
      </w:r>
      <w:r w:rsidR="009323EE">
        <w:lastRenderedPageBreak/>
        <w:t xml:space="preserve">может не </w:t>
      </w:r>
      <w:r w:rsidR="00635E28">
        <w:t xml:space="preserve">оказаться достаточных средств для покупки компании-таргета. В таких ситуациях на помощь </w:t>
      </w:r>
      <w:r w:rsidR="00635E28">
        <w:rPr>
          <w:lang w:val="en-US"/>
        </w:rPr>
        <w:t>SPAC</w:t>
      </w:r>
      <w:r w:rsidR="00635E28" w:rsidRPr="00536E16">
        <w:t xml:space="preserve"> </w:t>
      </w:r>
      <w:r w:rsidR="0053737D">
        <w:t xml:space="preserve">приходят </w:t>
      </w:r>
      <w:r w:rsidR="0053737D">
        <w:rPr>
          <w:lang w:val="en-US"/>
        </w:rPr>
        <w:t>PIPE</w:t>
      </w:r>
      <w:r w:rsidR="0053737D">
        <w:t>-инвесторы</w:t>
      </w:r>
      <w:r w:rsidR="006553FD">
        <w:t xml:space="preserve">, вкладывающие </w:t>
      </w:r>
      <w:r w:rsidR="00536E16">
        <w:t xml:space="preserve">свои средства в приобретение таргета. </w:t>
      </w:r>
      <w:r w:rsidR="00D41031">
        <w:t xml:space="preserve">В </w:t>
      </w:r>
      <w:r w:rsidR="00D22FD4">
        <w:t xml:space="preserve">транзакциях </w:t>
      </w:r>
      <w:r w:rsidR="00D22FD4">
        <w:rPr>
          <w:lang w:val="en-US"/>
        </w:rPr>
        <w:t>PIPE</w:t>
      </w:r>
      <w:r w:rsidR="00D22FD4">
        <w:t xml:space="preserve"> могут участвовать только аккредитованные инвесторы</w:t>
      </w:r>
      <w:r w:rsidR="00D22FD4">
        <w:rPr>
          <w:rStyle w:val="af5"/>
        </w:rPr>
        <w:footnoteReference w:id="18"/>
      </w:r>
      <w:r w:rsidR="00D22FD4">
        <w:t xml:space="preserve">, поэтому </w:t>
      </w:r>
      <w:r w:rsidR="00F267CB">
        <w:t>в лице таких инвесторов выс</w:t>
      </w:r>
      <w:r w:rsidR="00C60884">
        <w:t>тупают специализированные хедж-фонды.</w:t>
      </w:r>
      <w:r w:rsidR="00306E22" w:rsidRPr="00306E22">
        <w:t xml:space="preserve"> </w:t>
      </w:r>
      <w:r w:rsidR="000B4919">
        <w:t xml:space="preserve">Часто </w:t>
      </w:r>
      <w:r w:rsidR="00BC4DB5">
        <w:t xml:space="preserve">менеджмент </w:t>
      </w:r>
      <w:r w:rsidR="00BC4DB5">
        <w:rPr>
          <w:lang w:val="en-US"/>
        </w:rPr>
        <w:t>SPAC</w:t>
      </w:r>
      <w:r w:rsidR="00BC4DB5">
        <w:t xml:space="preserve"> заключает досрочный контракт с каким-либо фондом на предоставление </w:t>
      </w:r>
      <w:r w:rsidR="000A0942">
        <w:t xml:space="preserve">инвестиций, такой договор называется </w:t>
      </w:r>
      <w:r w:rsidR="000A0942">
        <w:rPr>
          <w:lang w:val="en-US"/>
        </w:rPr>
        <w:t>forward</w:t>
      </w:r>
      <w:r w:rsidR="000A0942" w:rsidRPr="000A0942">
        <w:t xml:space="preserve"> </w:t>
      </w:r>
      <w:r w:rsidR="000A0942">
        <w:rPr>
          <w:lang w:val="en-US"/>
        </w:rPr>
        <w:t>purchase</w:t>
      </w:r>
      <w:r w:rsidR="000A0942" w:rsidRPr="000A0942">
        <w:t xml:space="preserve"> </w:t>
      </w:r>
      <w:r w:rsidR="000A0942">
        <w:rPr>
          <w:lang w:val="en-US"/>
        </w:rPr>
        <w:t>agreement</w:t>
      </w:r>
      <w:r w:rsidR="000A0942" w:rsidRPr="000A0942">
        <w:t xml:space="preserve"> </w:t>
      </w:r>
      <w:r w:rsidR="00A27AC6" w:rsidRPr="00A27AC6">
        <w:t>(</w:t>
      </w:r>
      <w:r w:rsidR="00A27AC6">
        <w:rPr>
          <w:lang w:val="en-US"/>
        </w:rPr>
        <w:t>FPA</w:t>
      </w:r>
      <w:r w:rsidR="00A27AC6" w:rsidRPr="00A27AC6">
        <w:t>)</w:t>
      </w:r>
      <w:r w:rsidR="00A27AC6">
        <w:t>.</w:t>
      </w:r>
      <w:r w:rsidR="00B41D1D">
        <w:t xml:space="preserve"> </w:t>
      </w:r>
    </w:p>
    <w:p w14:paraId="305713E7" w14:textId="459E84A6" w:rsidR="00C56637" w:rsidRPr="000464D0" w:rsidRDefault="00410BCA" w:rsidP="00B41D1D">
      <w:r>
        <w:rPr>
          <w:lang w:val="en-US"/>
        </w:rPr>
        <w:t>PIPE</w:t>
      </w:r>
      <w:r w:rsidRPr="00410BCA">
        <w:t>-</w:t>
      </w:r>
      <w:r>
        <w:t xml:space="preserve">инвестирование происходит следующим образом. </w:t>
      </w:r>
      <w:r>
        <w:rPr>
          <w:lang w:val="en-US"/>
        </w:rPr>
        <w:t>SPAC</w:t>
      </w:r>
      <w:r>
        <w:t xml:space="preserve"> выпускает дополнительные акции</w:t>
      </w:r>
      <w:r w:rsidR="002C20B1">
        <w:t>, которые продаются фондам либо за 10</w:t>
      </w:r>
      <w:r w:rsidR="002C20B1" w:rsidRPr="002C20B1">
        <w:t>$</w:t>
      </w:r>
      <w:r w:rsidR="002C20B1">
        <w:t xml:space="preserve"> за акцию, либо с ди</w:t>
      </w:r>
      <w:r w:rsidR="00B0426C">
        <w:t>сконтом</w:t>
      </w:r>
      <w:r w:rsidR="007A33E9">
        <w:t xml:space="preserve"> (</w:t>
      </w:r>
      <w:r w:rsidR="000A482E">
        <w:t>иногда в отношении текущей рыночной цены акции)</w:t>
      </w:r>
      <w:r w:rsidR="00B0426C">
        <w:t>, при котором цена становится меньше 10</w:t>
      </w:r>
      <w:r w:rsidR="00B0426C" w:rsidRPr="00B0426C">
        <w:t>$</w:t>
      </w:r>
      <w:r w:rsidR="00B0426C">
        <w:t>.</w:t>
      </w:r>
      <w:r w:rsidR="00522444" w:rsidRPr="00522444">
        <w:t xml:space="preserve"> </w:t>
      </w:r>
      <w:r w:rsidR="00A6273E">
        <w:t>Согласно актуальным исследованиям,</w:t>
      </w:r>
      <w:r w:rsidR="00C14632">
        <w:t xml:space="preserve"> медианный дисконт к цене составлял 5,5%, причем </w:t>
      </w:r>
      <w:r w:rsidR="00A6273E">
        <w:t xml:space="preserve">в 37% случаев, когда </w:t>
      </w:r>
      <w:r w:rsidR="00A6273E">
        <w:rPr>
          <w:lang w:val="en-US"/>
        </w:rPr>
        <w:t>SPAC</w:t>
      </w:r>
      <w:r w:rsidR="00A6273E">
        <w:t xml:space="preserve"> нуждался в </w:t>
      </w:r>
      <w:r w:rsidR="00A6273E">
        <w:rPr>
          <w:lang w:val="en-US"/>
        </w:rPr>
        <w:t>PIPE</w:t>
      </w:r>
      <w:r w:rsidR="00A6273E" w:rsidRPr="00A6273E">
        <w:t>-</w:t>
      </w:r>
      <w:r w:rsidR="00A6273E">
        <w:t>инвестировании, дисконт принимал значения большие или равные 10%</w:t>
      </w:r>
      <w:r w:rsidR="00A6273E" w:rsidRPr="00A6273E">
        <w:t xml:space="preserve"> </w:t>
      </w:r>
      <w:r w:rsidR="006E486A" w:rsidRPr="006E486A">
        <w:t>[</w:t>
      </w:r>
      <w:r w:rsidR="00A6273E">
        <w:rPr>
          <w:lang w:val="en-US"/>
        </w:rPr>
        <w:t>Klausner</w:t>
      </w:r>
      <w:r w:rsidR="00A6273E" w:rsidRPr="00BE76D4">
        <w:t xml:space="preserve">, </w:t>
      </w:r>
      <w:proofErr w:type="spellStart"/>
      <w:r w:rsidR="00A6273E">
        <w:rPr>
          <w:lang w:val="en-US"/>
        </w:rPr>
        <w:t>Ohlrogge</w:t>
      </w:r>
      <w:proofErr w:type="spellEnd"/>
      <w:r w:rsidR="006E486A" w:rsidRPr="006E486A">
        <w:t xml:space="preserve">, </w:t>
      </w:r>
      <w:r w:rsidR="00A6273E" w:rsidRPr="00BE76D4">
        <w:t>2020</w:t>
      </w:r>
      <w:r w:rsidR="006E486A" w:rsidRPr="006E486A">
        <w:t>]</w:t>
      </w:r>
      <w:r w:rsidR="00A6273E" w:rsidRPr="00A6273E">
        <w:t xml:space="preserve">. </w:t>
      </w:r>
      <w:r w:rsidR="00113789">
        <w:t xml:space="preserve">Полученные акции фонды не могут продавать в течение определенного времени, пока </w:t>
      </w:r>
      <w:r w:rsidR="00F250BC">
        <w:t>Комиссия по ценным бумагам США не одобрит сделку</w:t>
      </w:r>
      <w:r w:rsidR="00234AAF">
        <w:t xml:space="preserve"> (период может занимать от 5 до 30 дней). </w:t>
      </w:r>
      <w:r w:rsidR="000B4D8D">
        <w:t xml:space="preserve">Но и после этого зачастую </w:t>
      </w:r>
      <w:r w:rsidR="000B4D8D">
        <w:rPr>
          <w:lang w:val="en-US"/>
        </w:rPr>
        <w:t>PIPE</w:t>
      </w:r>
      <w:r w:rsidR="000B4D8D" w:rsidRPr="000B4D8D">
        <w:t>-</w:t>
      </w:r>
      <w:r w:rsidR="000B4D8D">
        <w:t xml:space="preserve">инвесторы не могут продать акции, поскольку наступает </w:t>
      </w:r>
      <w:r w:rsidR="000B4D8D">
        <w:rPr>
          <w:lang w:val="en-US"/>
        </w:rPr>
        <w:t>lock</w:t>
      </w:r>
      <w:r w:rsidR="000B4D8D" w:rsidRPr="000B4D8D">
        <w:t>-</w:t>
      </w:r>
      <w:r w:rsidR="000B4D8D">
        <w:rPr>
          <w:lang w:val="en-US"/>
        </w:rPr>
        <w:t>up</w:t>
      </w:r>
      <w:r w:rsidR="000B4D8D" w:rsidRPr="000B4D8D">
        <w:t xml:space="preserve"> </w:t>
      </w:r>
      <w:r w:rsidR="000B4D8D">
        <w:t xml:space="preserve">период. Сделано это для того, чтобы фонды не стали массово распродавать акции, </w:t>
      </w:r>
      <w:r w:rsidR="00964A60">
        <w:t xml:space="preserve">оказывая тем </w:t>
      </w:r>
      <w:r w:rsidR="00225AB9">
        <w:t>мощнейший</w:t>
      </w:r>
      <w:r w:rsidR="00964A60">
        <w:t xml:space="preserve"> удар на цены компании, что, в свою очередь, может привести к оттоку розничных инвесторов. </w:t>
      </w:r>
      <w:r w:rsidR="00225AB9">
        <w:t xml:space="preserve">После того, как </w:t>
      </w:r>
      <w:r w:rsidR="00225AB9">
        <w:rPr>
          <w:lang w:val="en-US"/>
        </w:rPr>
        <w:t>lock</w:t>
      </w:r>
      <w:r w:rsidR="00225AB9" w:rsidRPr="00225AB9">
        <w:t>-</w:t>
      </w:r>
      <w:r w:rsidR="00225AB9">
        <w:rPr>
          <w:lang w:val="en-US"/>
        </w:rPr>
        <w:t>up</w:t>
      </w:r>
      <w:r w:rsidR="00225AB9" w:rsidRPr="00225AB9">
        <w:t xml:space="preserve"> </w:t>
      </w:r>
      <w:r w:rsidR="00225AB9">
        <w:t xml:space="preserve">период закончен, </w:t>
      </w:r>
      <w:r w:rsidR="00225AB9">
        <w:rPr>
          <w:lang w:val="en-US"/>
        </w:rPr>
        <w:t>PIPE</w:t>
      </w:r>
      <w:r w:rsidR="00225AB9" w:rsidRPr="00225AB9">
        <w:t>-</w:t>
      </w:r>
      <w:r w:rsidR="00225AB9">
        <w:t>инвесторы имеют право продавать ценные бумаги.</w:t>
      </w:r>
    </w:p>
    <w:p w14:paraId="0CA4D29A" w14:textId="57BED68E" w:rsidR="009E3547" w:rsidRDefault="009E3547" w:rsidP="00B41D1D">
      <w:r>
        <w:rPr>
          <w:lang w:val="en-US"/>
        </w:rPr>
        <w:t>PIPE</w:t>
      </w:r>
      <w:r w:rsidRPr="00866EBC">
        <w:t>-</w:t>
      </w:r>
      <w:r>
        <w:t xml:space="preserve">инвестирование несомненно является </w:t>
      </w:r>
      <w:r w:rsidR="00866EBC">
        <w:t xml:space="preserve">полезным инструментом для </w:t>
      </w:r>
      <w:r w:rsidR="00866EBC">
        <w:rPr>
          <w:lang w:val="en-US"/>
        </w:rPr>
        <w:t>SPAC</w:t>
      </w:r>
      <w:r w:rsidR="00866EBC">
        <w:t xml:space="preserve"> в случае нехватки денежных средств на трастовых счетах, необходимых для </w:t>
      </w:r>
      <w:r w:rsidR="00517A45">
        <w:t>осуществления сделки по поглощению таргета</w:t>
      </w:r>
      <w:r w:rsidR="00DC1CD3">
        <w:t>.</w:t>
      </w:r>
      <w:r w:rsidR="00517A45">
        <w:t xml:space="preserve"> </w:t>
      </w:r>
      <w:r w:rsidR="00DC1CD3">
        <w:t>Вдобавок</w:t>
      </w:r>
      <w:r w:rsidR="00517A45">
        <w:t xml:space="preserve">, эти инвестиции можно получить быстро и без </w:t>
      </w:r>
      <w:r w:rsidR="001A3F96">
        <w:t>особых бюрократических проблем</w:t>
      </w:r>
      <w:r w:rsidR="008268F2">
        <w:t>, которые могут возникнуть ввиду деятельности регулятора</w:t>
      </w:r>
      <w:r w:rsidR="001A3F96">
        <w:t xml:space="preserve">. Однако, </w:t>
      </w:r>
      <w:r w:rsidR="003241E8">
        <w:t>такие сделки размывают ценность акций текущих акционеров</w:t>
      </w:r>
      <w:r w:rsidR="00440628">
        <w:t xml:space="preserve">, поскольку </w:t>
      </w:r>
      <w:r w:rsidR="00440628">
        <w:rPr>
          <w:lang w:val="en-US"/>
        </w:rPr>
        <w:t>PIPE</w:t>
      </w:r>
      <w:r w:rsidR="00440628">
        <w:t xml:space="preserve"> инвестор</w:t>
      </w:r>
      <w:r w:rsidR="00833D21">
        <w:t xml:space="preserve">ы покупают акции с дисконтом, ввиду чего при делении капитализации на </w:t>
      </w:r>
      <w:r w:rsidR="00294925">
        <w:t>количество акции получается цена ниже рыночной стоимости</w:t>
      </w:r>
      <w:r w:rsidR="00102704" w:rsidRPr="00102704">
        <w:t>.</w:t>
      </w:r>
      <w:r w:rsidR="00102704">
        <w:t xml:space="preserve"> Помимо этого, </w:t>
      </w:r>
      <w:r w:rsidR="00F24D56">
        <w:rPr>
          <w:lang w:val="en-US"/>
        </w:rPr>
        <w:t>SPAC</w:t>
      </w:r>
      <w:r w:rsidR="00F24D56">
        <w:t xml:space="preserve"> может столкнуться с риском недостаточного финансирования </w:t>
      </w:r>
      <w:r w:rsidR="000464D0">
        <w:t>ввиду дисконта</w:t>
      </w:r>
      <w:r w:rsidR="005D51D5">
        <w:t>, поскольку очень много инвесторов приняло решение о</w:t>
      </w:r>
      <w:r w:rsidR="005169EB">
        <w:t xml:space="preserve"> предъявлени</w:t>
      </w:r>
      <w:r w:rsidR="00C03BE2">
        <w:t>и</w:t>
      </w:r>
      <w:r w:rsidR="005169EB">
        <w:t xml:space="preserve"> акций к выкупу</w:t>
      </w:r>
      <w:r w:rsidR="005D51D5">
        <w:t>.</w:t>
      </w:r>
    </w:p>
    <w:p w14:paraId="2EF46AB0" w14:textId="0C96EBB1" w:rsidR="000464D0" w:rsidRDefault="000464D0" w:rsidP="000464D0">
      <w:pPr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Компании-таргеты</w:t>
      </w:r>
    </w:p>
    <w:p w14:paraId="6D1E403D" w14:textId="0B769F47" w:rsidR="00EB4944" w:rsidRDefault="00C330E8" w:rsidP="000464D0">
      <w:r>
        <w:t>Таргеты</w:t>
      </w:r>
      <w:r w:rsidR="000B6413">
        <w:t xml:space="preserve"> – компании, </w:t>
      </w:r>
      <w:r w:rsidR="007E5D8C">
        <w:t xml:space="preserve">которые поглощаются </w:t>
      </w:r>
      <w:r w:rsidR="007E5D8C">
        <w:rPr>
          <w:lang w:val="en-US"/>
        </w:rPr>
        <w:t>SPAC</w:t>
      </w:r>
      <w:r w:rsidR="00254032">
        <w:t xml:space="preserve">. </w:t>
      </w:r>
      <w:r w:rsidR="00675018">
        <w:t xml:space="preserve">После </w:t>
      </w:r>
      <w:r w:rsidR="00F75446">
        <w:t>слияния</w:t>
      </w:r>
      <w:r w:rsidR="00675018">
        <w:t xml:space="preserve"> </w:t>
      </w:r>
      <w:r w:rsidR="006C133B">
        <w:t xml:space="preserve">акции таргета начинают торговаться на бирже (тикер </w:t>
      </w:r>
      <w:r w:rsidR="006C133B">
        <w:rPr>
          <w:lang w:val="en-US"/>
        </w:rPr>
        <w:t>SPAC</w:t>
      </w:r>
      <w:r w:rsidR="006C133B">
        <w:t xml:space="preserve"> как правило сменяется)</w:t>
      </w:r>
      <w:r w:rsidR="004C54C3">
        <w:t xml:space="preserve">, финансирование же она получает за счет </w:t>
      </w:r>
      <w:r w:rsidR="00F75446">
        <w:t>платы за поглощение.</w:t>
      </w:r>
      <w:r w:rsidR="008E6BF0">
        <w:t xml:space="preserve"> </w:t>
      </w:r>
      <w:r w:rsidR="00A21538">
        <w:t>Таргетом не может выступать «компания-</w:t>
      </w:r>
      <w:r w:rsidR="00A21538">
        <w:lastRenderedPageBreak/>
        <w:t>пустышка», поглощаемая организация должна производить и продавать товары или услуги.</w:t>
      </w:r>
      <w:r w:rsidR="00294F2F">
        <w:t xml:space="preserve"> В большинстве случаев</w:t>
      </w:r>
      <w:r w:rsidR="007F1586">
        <w:t xml:space="preserve"> компани</w:t>
      </w:r>
      <w:r w:rsidR="00834853">
        <w:t>ями</w:t>
      </w:r>
      <w:r w:rsidR="007F1586">
        <w:t>-</w:t>
      </w:r>
      <w:proofErr w:type="spellStart"/>
      <w:r w:rsidR="007F1586">
        <w:t>таргетами</w:t>
      </w:r>
      <w:proofErr w:type="spellEnd"/>
      <w:r w:rsidR="007F1586">
        <w:t xml:space="preserve"> оказываются молодые стартапы. </w:t>
      </w:r>
      <w:r w:rsidR="00E55AEB">
        <w:t xml:space="preserve">Аналитики </w:t>
      </w:r>
      <w:r w:rsidR="00E55AEB">
        <w:rPr>
          <w:lang w:val="en-US"/>
        </w:rPr>
        <w:t>Crunchbase</w:t>
      </w:r>
      <w:r w:rsidR="00E55AEB" w:rsidRPr="00756835">
        <w:t xml:space="preserve"> </w:t>
      </w:r>
      <w:r w:rsidR="00E55AEB">
        <w:t xml:space="preserve">провели </w:t>
      </w:r>
      <w:r w:rsidR="00756835">
        <w:t>исследование компаний, получивших венчурное финансирование на ранних этапах и вых</w:t>
      </w:r>
      <w:r w:rsidR="00234191">
        <w:t>одящих на биржу.</w:t>
      </w:r>
      <w:r w:rsidR="00FB647C">
        <w:rPr>
          <w:rStyle w:val="af5"/>
        </w:rPr>
        <w:footnoteReference w:id="19"/>
      </w:r>
      <w:r w:rsidR="00234191">
        <w:t xml:space="preserve"> Результаты оказались следующими: медианный возраст таких молодых компаний</w:t>
      </w:r>
      <w:r w:rsidR="00B27545">
        <w:t xml:space="preserve">, выходящих на биржу посредством </w:t>
      </w:r>
      <w:r w:rsidR="00B27545">
        <w:rPr>
          <w:lang w:val="en-US"/>
        </w:rPr>
        <w:t>SPAC</w:t>
      </w:r>
      <w:r w:rsidR="00B27545">
        <w:t xml:space="preserve">, </w:t>
      </w:r>
      <w:r w:rsidR="00FB647C">
        <w:t xml:space="preserve">примерно на 3 года меньше медианного возраста тех компаний, которые выходили на биржу посредством классического </w:t>
      </w:r>
      <w:r w:rsidR="00FB647C">
        <w:rPr>
          <w:lang w:val="en-US"/>
        </w:rPr>
        <w:t>IPO</w:t>
      </w:r>
      <w:r w:rsidR="00FB647C">
        <w:t>.</w:t>
      </w:r>
      <w:r w:rsidR="00575E3C">
        <w:t xml:space="preserve"> </w:t>
      </w:r>
      <w:r w:rsidR="008B5D16">
        <w:t xml:space="preserve">Причина такого феномена заключается в том, что </w:t>
      </w:r>
      <w:r w:rsidR="005D3454">
        <w:t xml:space="preserve">стартапам нужен большой объем финансирования, который и может предоставить </w:t>
      </w:r>
      <w:r w:rsidR="005D3454">
        <w:rPr>
          <w:lang w:val="en-US"/>
        </w:rPr>
        <w:t>SPAC</w:t>
      </w:r>
      <w:r w:rsidR="005D3454">
        <w:t xml:space="preserve">. </w:t>
      </w:r>
      <w:r w:rsidR="00327B9D">
        <w:t xml:space="preserve">На момент листинга </w:t>
      </w:r>
      <w:r w:rsidR="00417830">
        <w:t xml:space="preserve">молодые компании скорее всего убыточны. Инвесторы, вкладывающие деньги в </w:t>
      </w:r>
      <w:r w:rsidR="00417830">
        <w:rPr>
          <w:lang w:val="en-US"/>
        </w:rPr>
        <w:t>SPAC</w:t>
      </w:r>
      <w:r w:rsidR="00417830">
        <w:t xml:space="preserve">, </w:t>
      </w:r>
      <w:r w:rsidR="00AB0F94">
        <w:t xml:space="preserve">не требуют от поглощаемой компании </w:t>
      </w:r>
      <w:r w:rsidR="00BC1DE4">
        <w:t xml:space="preserve">высоких доходов и </w:t>
      </w:r>
      <w:r w:rsidR="003C7A45">
        <w:t>сбалансированных</w:t>
      </w:r>
      <w:r w:rsidR="00BC1DE4">
        <w:t xml:space="preserve"> финансовых показателей</w:t>
      </w:r>
      <w:r w:rsidR="00AB0F94">
        <w:t xml:space="preserve">, но </w:t>
      </w:r>
      <w:r w:rsidR="00233F6F">
        <w:t xml:space="preserve">при этом ждут от нее высоких перспектив роста. </w:t>
      </w:r>
      <w:r w:rsidR="00BC1DE4">
        <w:t xml:space="preserve">Выходом на биржу через традиционное </w:t>
      </w:r>
      <w:r w:rsidR="00BC1DE4">
        <w:rPr>
          <w:lang w:val="en-US"/>
        </w:rPr>
        <w:t>IPO</w:t>
      </w:r>
      <w:r w:rsidR="00BC1DE4">
        <w:t xml:space="preserve"> как правило пользуются </w:t>
      </w:r>
      <w:r w:rsidR="005F7469">
        <w:t xml:space="preserve">устоявшиеся зрелые компании с </w:t>
      </w:r>
      <w:r w:rsidR="0045787A">
        <w:t xml:space="preserve">определенной финансовой историей. </w:t>
      </w:r>
      <w:r w:rsidR="009273D7">
        <w:t>Для стартапа, выходящ</w:t>
      </w:r>
      <w:r w:rsidR="006F6F36">
        <w:t xml:space="preserve">его на биржу через слияние с </w:t>
      </w:r>
      <w:r w:rsidR="006F6F36">
        <w:rPr>
          <w:lang w:val="en-US"/>
        </w:rPr>
        <w:t>SPAC</w:t>
      </w:r>
      <w:r w:rsidR="006F6F36">
        <w:t xml:space="preserve">, достаточно </w:t>
      </w:r>
      <w:r w:rsidR="00483F96">
        <w:t>прогнозных</w:t>
      </w:r>
      <w:r w:rsidR="00EF7F13">
        <w:t xml:space="preserve"> доходов на ближайшие </w:t>
      </w:r>
      <w:r w:rsidR="007740AC">
        <w:t>3 года и прогноза прочих показателей.</w:t>
      </w:r>
      <w:r w:rsidR="007740AC">
        <w:rPr>
          <w:rStyle w:val="af5"/>
        </w:rPr>
        <w:footnoteReference w:id="20"/>
      </w:r>
      <w:r w:rsidR="007E485D">
        <w:t xml:space="preserve"> </w:t>
      </w:r>
    </w:p>
    <w:p w14:paraId="6C2BCF7E" w14:textId="45397BA7" w:rsidR="000464D0" w:rsidRDefault="00A531D8" w:rsidP="000464D0">
      <w:r>
        <w:t xml:space="preserve">Также </w:t>
      </w:r>
      <w:r w:rsidR="00633F19">
        <w:t>компании-</w:t>
      </w:r>
      <w:r>
        <w:t>таргеты должны соответствовать различным</w:t>
      </w:r>
      <w:r w:rsidR="004962F6" w:rsidRPr="00B80EA7">
        <w:t xml:space="preserve"> </w:t>
      </w:r>
      <w:r w:rsidR="004962F6">
        <w:t xml:space="preserve">критериям, которые </w:t>
      </w:r>
      <w:r w:rsidR="00B80EA7">
        <w:t xml:space="preserve">в специальной форме </w:t>
      </w:r>
      <w:r w:rsidR="00B80EA7">
        <w:rPr>
          <w:lang w:val="en-US"/>
        </w:rPr>
        <w:t>S</w:t>
      </w:r>
      <w:r w:rsidR="00B80EA7" w:rsidRPr="00B80EA7">
        <w:t>-8</w:t>
      </w:r>
      <w:r w:rsidR="00B80EA7">
        <w:t xml:space="preserve"> отражает менеджмент </w:t>
      </w:r>
      <w:r w:rsidR="00B80EA7">
        <w:rPr>
          <w:lang w:val="en-US"/>
        </w:rPr>
        <w:t>SPAC</w:t>
      </w:r>
      <w:r w:rsidR="00B80EA7">
        <w:t>. Например, эт</w:t>
      </w:r>
      <w:r w:rsidR="00016AD0">
        <w:t>а</w:t>
      </w:r>
      <w:r w:rsidR="00B80EA7">
        <w:t xml:space="preserve"> </w:t>
      </w:r>
      <w:r w:rsidR="00016AD0">
        <w:t>компания</w:t>
      </w:r>
      <w:r w:rsidR="00A04555">
        <w:t xml:space="preserve"> </w:t>
      </w:r>
      <w:r w:rsidR="00016AD0">
        <w:t>должна</w:t>
      </w:r>
      <w:r w:rsidR="00A04555">
        <w:t xml:space="preserve"> относиться к </w:t>
      </w:r>
      <w:r w:rsidR="00AD4F95">
        <w:t xml:space="preserve">определенной индустрии, на которую ориентируется </w:t>
      </w:r>
      <w:r w:rsidR="00AD4F95">
        <w:rPr>
          <w:lang w:val="en-US"/>
        </w:rPr>
        <w:t>SPAC</w:t>
      </w:r>
      <w:r w:rsidR="00AD4F95">
        <w:t xml:space="preserve">. </w:t>
      </w:r>
      <w:r w:rsidR="009827D6">
        <w:t xml:space="preserve">Иногда критерии к таргетам могут относиться и к рыночным позициям молодых </w:t>
      </w:r>
      <w:r w:rsidR="00016AD0">
        <w:t>компаний</w:t>
      </w:r>
      <w:r w:rsidR="00341E93">
        <w:t xml:space="preserve">. Например, </w:t>
      </w:r>
      <w:r w:rsidR="00B23051">
        <w:t>«компания-пустышка</w:t>
      </w:r>
      <w:r w:rsidR="00C65726">
        <w:t xml:space="preserve">» </w:t>
      </w:r>
      <w:proofErr w:type="spellStart"/>
      <w:r w:rsidR="00C65726">
        <w:rPr>
          <w:lang w:val="en-US"/>
        </w:rPr>
        <w:t>Slac</w:t>
      </w:r>
      <w:proofErr w:type="spellEnd"/>
      <w:r w:rsidR="00C65726" w:rsidRPr="006C5F95">
        <w:t xml:space="preserve"> </w:t>
      </w:r>
      <w:r w:rsidR="00C65726">
        <w:rPr>
          <w:lang w:val="en-US"/>
        </w:rPr>
        <w:t>Corp</w:t>
      </w:r>
      <w:r w:rsidR="00C65726" w:rsidRPr="006C5F95">
        <w:t xml:space="preserve">. </w:t>
      </w:r>
      <w:r w:rsidR="00C65726">
        <w:t>ожидает</w:t>
      </w:r>
      <w:r w:rsidR="006C5F95">
        <w:rPr>
          <w:rStyle w:val="af5"/>
        </w:rPr>
        <w:footnoteReference w:id="21"/>
      </w:r>
      <w:r w:rsidR="00C65726">
        <w:t>, что таргет</w:t>
      </w:r>
      <w:r w:rsidR="006C5F95">
        <w:t xml:space="preserve"> будет иметь лидирующие позиции </w:t>
      </w:r>
      <w:r w:rsidR="00E6797E">
        <w:t xml:space="preserve">на рынке за счет </w:t>
      </w:r>
      <w:r w:rsidR="00872D41">
        <w:t xml:space="preserve">устойчивой долгосрочной </w:t>
      </w:r>
      <w:r w:rsidR="00E6797E">
        <w:t>технологической дифференциации</w:t>
      </w:r>
      <w:r w:rsidR="00FA2E86">
        <w:t xml:space="preserve">. </w:t>
      </w:r>
      <w:r w:rsidR="00D921BE">
        <w:t xml:space="preserve">Помимо конкурентоспособности таргета, </w:t>
      </w:r>
      <w:r w:rsidR="00D921BE">
        <w:rPr>
          <w:lang w:val="en-US"/>
        </w:rPr>
        <w:t>SPAC</w:t>
      </w:r>
      <w:r w:rsidR="00D921BE">
        <w:t xml:space="preserve"> </w:t>
      </w:r>
      <w:r w:rsidR="00D02D2D">
        <w:t>может иметь</w:t>
      </w:r>
      <w:r w:rsidR="00D921BE">
        <w:t xml:space="preserve"> определенные требования</w:t>
      </w:r>
      <w:r w:rsidR="00D02D2D">
        <w:t xml:space="preserve"> и к команде менеджеров поглощаемой компании. Таким образом, </w:t>
      </w:r>
      <w:r w:rsidR="00707CF8">
        <w:t xml:space="preserve">большое число критериев к таргетам могут принимать скорее качественное выражение, нежели количественное. </w:t>
      </w:r>
      <w:r w:rsidR="00A92992">
        <w:t xml:space="preserve">Наконец, спонсоры могут рассмотреть вариант покупки несколько </w:t>
      </w:r>
      <w:proofErr w:type="spellStart"/>
      <w:r w:rsidR="00A92992">
        <w:t>таргетов</w:t>
      </w:r>
      <w:proofErr w:type="spellEnd"/>
      <w:r w:rsidR="00A92992">
        <w:t xml:space="preserve">, однако такое происходит довольно редко. </w:t>
      </w:r>
      <w:r w:rsidR="00A76137">
        <w:t>Если таргет уже является публичной компанией за пределами США, это не является</w:t>
      </w:r>
      <w:r w:rsidR="004F2A56">
        <w:t xml:space="preserve"> препятствием для поглощения, поэтому такая компания все равно </w:t>
      </w:r>
      <w:r w:rsidR="004F2A56">
        <w:lastRenderedPageBreak/>
        <w:t>получает шанс стать публичной в США.</w:t>
      </w:r>
      <w:r w:rsidR="006244AE" w:rsidRPr="006244AE">
        <w:t xml:space="preserve"> </w:t>
      </w:r>
      <w:r w:rsidR="006244AE">
        <w:t xml:space="preserve">Издержки </w:t>
      </w:r>
      <w:proofErr w:type="spellStart"/>
      <w:r w:rsidR="006244AE">
        <w:t>таргетов</w:t>
      </w:r>
      <w:proofErr w:type="spellEnd"/>
      <w:r w:rsidR="00250224">
        <w:t>, а также</w:t>
      </w:r>
      <w:r w:rsidR="006244AE">
        <w:t xml:space="preserve"> преимущества и недостатки выхода через </w:t>
      </w:r>
      <w:r w:rsidR="006244AE">
        <w:rPr>
          <w:lang w:val="en-US"/>
        </w:rPr>
        <w:t>SPAC</w:t>
      </w:r>
      <w:r w:rsidR="006244AE">
        <w:t xml:space="preserve"> будут рассмотрены позже в работе.</w:t>
      </w:r>
    </w:p>
    <w:p w14:paraId="37D70BD9" w14:textId="312ED1E6" w:rsidR="006244AE" w:rsidRDefault="00531574" w:rsidP="009C64E4">
      <w:pPr>
        <w:pStyle w:val="3"/>
        <w:numPr>
          <w:ilvl w:val="2"/>
          <w:numId w:val="10"/>
        </w:numPr>
      </w:pPr>
      <w:bookmarkStart w:id="10" w:name="_Toc102050295"/>
      <w:bookmarkStart w:id="11" w:name="_Toc102050667"/>
      <w:r>
        <w:t xml:space="preserve">Структура капитала </w:t>
      </w:r>
      <w:r>
        <w:rPr>
          <w:lang w:val="en-US"/>
        </w:rPr>
        <w:t>SPAC</w:t>
      </w:r>
      <w:r>
        <w:t>: ценные бумаги</w:t>
      </w:r>
      <w:bookmarkEnd w:id="10"/>
      <w:bookmarkEnd w:id="11"/>
    </w:p>
    <w:p w14:paraId="28733CF3" w14:textId="2AAF3643" w:rsidR="00531574" w:rsidRDefault="00671CE9" w:rsidP="00531574">
      <w:r>
        <w:t xml:space="preserve">В процессе </w:t>
      </w:r>
      <w:r>
        <w:rPr>
          <w:lang w:val="en-US"/>
        </w:rPr>
        <w:t>SPAC</w:t>
      </w:r>
      <w:r>
        <w:t xml:space="preserve"> отдельное внимание стоит уделить ценным бумагам, выпускаемыми</w:t>
      </w:r>
      <w:r w:rsidR="004670D3">
        <w:t xml:space="preserve"> в ходе </w:t>
      </w:r>
      <w:r w:rsidR="004670D3">
        <w:rPr>
          <w:lang w:val="en-US"/>
        </w:rPr>
        <w:t>IPO</w:t>
      </w:r>
      <w:r w:rsidR="004670D3">
        <w:t xml:space="preserve"> «компаний-пустышек». </w:t>
      </w:r>
      <w:r w:rsidR="001B3471">
        <w:t xml:space="preserve">В разделе, посвященном заинтересованным сторонам </w:t>
      </w:r>
      <w:r w:rsidR="001B3471">
        <w:rPr>
          <w:lang w:val="en-US"/>
        </w:rPr>
        <w:t>SPAC</w:t>
      </w:r>
      <w:r w:rsidR="001B3471">
        <w:t xml:space="preserve">, </w:t>
      </w:r>
      <w:r w:rsidR="00F110E3">
        <w:t xml:space="preserve">уже </w:t>
      </w:r>
      <w:r w:rsidR="000E16F8">
        <w:t xml:space="preserve">подробно были разобраны </w:t>
      </w:r>
      <w:r w:rsidR="000E16F8" w:rsidRPr="00EF37E6">
        <w:rPr>
          <w:i/>
          <w:iCs/>
        </w:rPr>
        <w:t>акции</w:t>
      </w:r>
      <w:r w:rsidR="00EF37E6" w:rsidRPr="00EF37E6">
        <w:rPr>
          <w:i/>
          <w:iCs/>
        </w:rPr>
        <w:t xml:space="preserve"> основателя</w:t>
      </w:r>
      <w:r w:rsidR="000E16F8">
        <w:t xml:space="preserve"> и </w:t>
      </w:r>
      <w:r w:rsidR="000E16F8" w:rsidRPr="00EF37E6">
        <w:rPr>
          <w:i/>
          <w:iCs/>
        </w:rPr>
        <w:t>варранты основателя</w:t>
      </w:r>
      <w:r w:rsidR="000E16F8">
        <w:t xml:space="preserve"> – ценные бумаги, выдающиеся в качестве вознаграждения менеджерам, без права </w:t>
      </w:r>
      <w:r w:rsidR="00902B15">
        <w:t>пре</w:t>
      </w:r>
      <w:r w:rsidR="00A46A06">
        <w:t>дъявления акций к выкупу</w:t>
      </w:r>
      <w:r w:rsidR="000E16F8">
        <w:t>,</w:t>
      </w:r>
      <w:r w:rsidR="006B1A54">
        <w:t xml:space="preserve"> но с правом их конвертации в публичные финансовые инструменты.</w:t>
      </w:r>
      <w:r w:rsidR="000A2C31">
        <w:t xml:space="preserve"> Далее </w:t>
      </w:r>
      <w:r w:rsidR="00662FFA">
        <w:t xml:space="preserve">описана специфика юнитов и варрантов </w:t>
      </w:r>
      <w:r w:rsidR="00662FFA">
        <w:rPr>
          <w:lang w:val="en-US"/>
        </w:rPr>
        <w:t>SPAC</w:t>
      </w:r>
      <w:r w:rsidR="00662FFA">
        <w:t>.</w:t>
      </w:r>
    </w:p>
    <w:p w14:paraId="266A9436" w14:textId="1062B500" w:rsidR="00662FFA" w:rsidRDefault="009D21EC" w:rsidP="009D21EC">
      <w:pPr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Юниты</w:t>
      </w:r>
    </w:p>
    <w:p w14:paraId="1C6EBB77" w14:textId="0D0BB3E6" w:rsidR="009D21EC" w:rsidRPr="00AB532D" w:rsidRDefault="00370B33" w:rsidP="009D21EC">
      <w:r>
        <w:t xml:space="preserve">Юнит – ценная бумага, состоящая </w:t>
      </w:r>
      <w:r w:rsidR="00190073">
        <w:t xml:space="preserve">из акции и варранта (целого или дробного). </w:t>
      </w:r>
      <w:r w:rsidR="000C338B">
        <w:t xml:space="preserve">Цена юнита </w:t>
      </w:r>
      <w:r w:rsidR="00C86013">
        <w:t>практически всегда равна 10</w:t>
      </w:r>
      <w:r w:rsidR="00C86013" w:rsidRPr="009A0BF6">
        <w:t>$.</w:t>
      </w:r>
      <w:r w:rsidR="003D0FB4" w:rsidRPr="009A0BF6">
        <w:t xml:space="preserve"> </w:t>
      </w:r>
      <w:r w:rsidR="00CF15D2">
        <w:t xml:space="preserve">Юниты начинают торговаться </w:t>
      </w:r>
      <w:r w:rsidR="009A0BF6">
        <w:t xml:space="preserve">в первый день </w:t>
      </w:r>
      <w:r w:rsidR="009A0BF6">
        <w:rPr>
          <w:lang w:val="en-US"/>
        </w:rPr>
        <w:t>IPO</w:t>
      </w:r>
      <w:r w:rsidR="009A0BF6" w:rsidRPr="00727727">
        <w:t xml:space="preserve"> </w:t>
      </w:r>
      <w:r w:rsidR="009A0BF6">
        <w:rPr>
          <w:lang w:val="en-US"/>
        </w:rPr>
        <w:t>SPAC</w:t>
      </w:r>
      <w:r w:rsidR="009A0BF6">
        <w:t xml:space="preserve">. </w:t>
      </w:r>
      <w:r w:rsidR="00727727">
        <w:t>Спустя 52 дней после начала торгов</w:t>
      </w:r>
      <w:r w:rsidR="000C14B1">
        <w:t xml:space="preserve"> инвестор имеет право </w:t>
      </w:r>
      <w:r w:rsidR="00F17DE1">
        <w:t xml:space="preserve">разделить юнит на его составляющие: обыкновенные акции и варранты. </w:t>
      </w:r>
      <w:r w:rsidR="001714D2">
        <w:t xml:space="preserve">Когда </w:t>
      </w:r>
      <w:r w:rsidR="00F8649C">
        <w:rPr>
          <w:lang w:val="en-US"/>
        </w:rPr>
        <w:t>SPAC</w:t>
      </w:r>
      <w:r w:rsidR="00F8649C">
        <w:t xml:space="preserve"> заключает сделку</w:t>
      </w:r>
      <w:r w:rsidR="007F30A1">
        <w:t xml:space="preserve"> </w:t>
      </w:r>
      <w:r w:rsidR="00F8649C">
        <w:t>поглощени</w:t>
      </w:r>
      <w:r w:rsidR="007F30A1">
        <w:t>я</w:t>
      </w:r>
      <w:r w:rsidR="00F8649C">
        <w:t>, юнит</w:t>
      </w:r>
      <w:r w:rsidR="00122116">
        <w:t xml:space="preserve"> разделяется автоматически и становится недоступным к торговле. </w:t>
      </w:r>
      <w:r w:rsidR="002D3D80">
        <w:t>Акции</w:t>
      </w:r>
      <w:r w:rsidR="00DB654D">
        <w:t xml:space="preserve"> после </w:t>
      </w:r>
      <w:r w:rsidR="00011EB2">
        <w:t>разделения</w:t>
      </w:r>
      <w:r w:rsidR="00DB654D">
        <w:t xml:space="preserve"> юнита относятся к классу А, такие акции называют публичными акциями, чтобы отличать их от акций основателя. </w:t>
      </w:r>
      <w:r w:rsidR="00827401">
        <w:t xml:space="preserve">Что такое дробные варранты? </w:t>
      </w:r>
      <w:r w:rsidR="00406A21">
        <w:t>Под этим термином понимают долю варранта, содержащуюся в одном юните.</w:t>
      </w:r>
      <w:r w:rsidR="00122116">
        <w:t xml:space="preserve"> </w:t>
      </w:r>
      <w:r w:rsidR="000F4918">
        <w:t>Например</w:t>
      </w:r>
      <w:r w:rsidR="00D6043A">
        <w:t xml:space="preserve">, юнит </w:t>
      </w:r>
      <w:r w:rsidR="00D6043A">
        <w:rPr>
          <w:lang w:val="en-US"/>
        </w:rPr>
        <w:t>Switchback</w:t>
      </w:r>
      <w:r w:rsidR="00D6043A" w:rsidRPr="00D6043A">
        <w:t xml:space="preserve"> </w:t>
      </w:r>
      <w:r w:rsidR="00D6043A">
        <w:rPr>
          <w:lang w:val="en-US"/>
        </w:rPr>
        <w:t>II</w:t>
      </w:r>
      <w:r w:rsidR="00840BCB">
        <w:t xml:space="preserve"> состоит из одной обыкновенной акции и 1</w:t>
      </w:r>
      <w:r w:rsidR="00840BCB" w:rsidRPr="00840BCB">
        <w:t>/</w:t>
      </w:r>
      <w:r w:rsidR="00840BCB">
        <w:t>5 варранта.</w:t>
      </w:r>
      <w:r w:rsidR="006F3FBE">
        <w:rPr>
          <w:rStyle w:val="af5"/>
        </w:rPr>
        <w:footnoteReference w:id="22"/>
      </w:r>
      <w:r w:rsidR="009770A9">
        <w:t xml:space="preserve"> Это означает, что при покупке 5 юнитов</w:t>
      </w:r>
      <w:r w:rsidR="006F3FBE">
        <w:t xml:space="preserve"> после их раздела инвестор получит один варрант. </w:t>
      </w:r>
      <w:r w:rsidR="0009624E">
        <w:t>Дробная часть варранта может варьировать</w:t>
      </w:r>
      <w:r w:rsidR="00B14C60">
        <w:t>ся</w:t>
      </w:r>
      <w:r w:rsidR="0009624E">
        <w:t xml:space="preserve"> и принимать значения в ½, </w:t>
      </w:r>
      <w:r w:rsidR="0009624E" w:rsidRPr="0009624E">
        <w:t>1/3</w:t>
      </w:r>
      <w:r w:rsidR="0009624E">
        <w:t xml:space="preserve">, </w:t>
      </w:r>
      <w:bookmarkStart w:id="12" w:name="_Hlk96093171"/>
      <w:r w:rsidR="0009624E">
        <w:t>¼</w:t>
      </w:r>
      <w:bookmarkEnd w:id="12"/>
      <w:r w:rsidR="0009624E">
        <w:t xml:space="preserve"> и меньше.</w:t>
      </w:r>
      <w:r w:rsidR="00AB532D">
        <w:t xml:space="preserve"> Дробная часть варранта не может быть исполнена.</w:t>
      </w:r>
    </w:p>
    <w:p w14:paraId="1AB3FEDA" w14:textId="34AC5BCF" w:rsidR="00285521" w:rsidRDefault="00034A53" w:rsidP="00285521">
      <w:pPr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Варранты</w:t>
      </w:r>
    </w:p>
    <w:p w14:paraId="7A789FE0" w14:textId="6CB36CE6" w:rsidR="00034A53" w:rsidRDefault="002907B6" w:rsidP="00034A53">
      <w:r>
        <w:t xml:space="preserve">Варрант – ценная бумага, дающая право </w:t>
      </w:r>
      <w:r w:rsidR="009B4E09">
        <w:t xml:space="preserve">владельцу купить </w:t>
      </w:r>
      <w:r w:rsidR="002F36B9">
        <w:t xml:space="preserve">акцию </w:t>
      </w:r>
      <w:r w:rsidR="002F36B9">
        <w:rPr>
          <w:lang w:val="en-US"/>
        </w:rPr>
        <w:t>SPAC</w:t>
      </w:r>
      <w:r w:rsidR="002F36B9">
        <w:t xml:space="preserve"> </w:t>
      </w:r>
      <w:r w:rsidR="002D1B5D">
        <w:t xml:space="preserve">по определенной цене в определенную дату. </w:t>
      </w:r>
      <w:r w:rsidR="006C7B67">
        <w:t xml:space="preserve">С </w:t>
      </w:r>
      <w:r w:rsidR="00693017">
        <w:t xml:space="preserve">точки зрения специфики работы варрант похож на опцион </w:t>
      </w:r>
      <w:r w:rsidR="00693017">
        <w:rPr>
          <w:lang w:val="en-US"/>
        </w:rPr>
        <w:t>call</w:t>
      </w:r>
      <w:r w:rsidR="000F466D">
        <w:t>, однако есть ключевая разница:</w:t>
      </w:r>
      <w:r w:rsidR="00147641">
        <w:t xml:space="preserve"> варрант выпускается напрямую инвестору, </w:t>
      </w:r>
      <w:r w:rsidR="005E0713">
        <w:t>при его исполнении компания продает акции инвестор</w:t>
      </w:r>
      <w:r w:rsidR="00CF52F2">
        <w:t>ам, владеющим в данный момент варрантом; колл-опционы – это договор между двумя участниками финансового рынка, компания</w:t>
      </w:r>
      <w:r w:rsidR="00844452">
        <w:t>, на чьи акции заключен договор, не участвует в этих операциях.</w:t>
      </w:r>
      <w:r w:rsidR="00BA0BF8">
        <w:t xml:space="preserve"> </w:t>
      </w:r>
      <w:r w:rsidR="007001CB">
        <w:t xml:space="preserve">Варранты </w:t>
      </w:r>
      <w:r w:rsidR="007001CB">
        <w:rPr>
          <w:lang w:val="en-US"/>
        </w:rPr>
        <w:t>SPAC</w:t>
      </w:r>
      <w:r w:rsidR="007001CB" w:rsidRPr="000E6D6C">
        <w:t xml:space="preserve"> </w:t>
      </w:r>
      <w:r w:rsidR="007001CB">
        <w:t xml:space="preserve">могут быть исполнены </w:t>
      </w:r>
      <w:r w:rsidR="0006072B">
        <w:t>через 12 месяцев</w:t>
      </w:r>
      <w:r w:rsidR="00455FD9">
        <w:t xml:space="preserve"> после первичного размещения акций </w:t>
      </w:r>
      <w:r w:rsidR="00455FD9">
        <w:rPr>
          <w:lang w:val="en-US"/>
        </w:rPr>
        <w:t>SPAC</w:t>
      </w:r>
      <w:r w:rsidR="0006072B">
        <w:t xml:space="preserve"> </w:t>
      </w:r>
      <w:r w:rsidR="000E6D6C">
        <w:t xml:space="preserve">(если в течение 12 месяцев </w:t>
      </w:r>
      <w:r w:rsidR="000E6D6C">
        <w:rPr>
          <w:lang w:val="en-US"/>
        </w:rPr>
        <w:t>SPAC</w:t>
      </w:r>
      <w:r w:rsidR="000E6D6C">
        <w:t xml:space="preserve"> не нашел </w:t>
      </w:r>
      <w:r w:rsidR="00F25B06">
        <w:t>компанию для поглощения)</w:t>
      </w:r>
      <w:r w:rsidR="00455FD9">
        <w:t xml:space="preserve">, либо </w:t>
      </w:r>
      <w:r w:rsidR="00B94F40">
        <w:t xml:space="preserve">не позднее, чем </w:t>
      </w:r>
      <w:r w:rsidR="00455FD9">
        <w:lastRenderedPageBreak/>
        <w:t xml:space="preserve">через 30 дней </w:t>
      </w:r>
      <w:r w:rsidR="009101D4">
        <w:t>после заключения сделки о поглощении</w:t>
      </w:r>
      <w:r w:rsidR="004727BB">
        <w:t>.</w:t>
      </w:r>
      <w:r w:rsidR="00E73E32">
        <w:t xml:space="preserve"> Срок действия варрантов истекает, как правило, через 5 лет после поглощения</w:t>
      </w:r>
      <w:r w:rsidR="004B40AC">
        <w:t>, либо по ликвидации.</w:t>
      </w:r>
    </w:p>
    <w:p w14:paraId="670C7FAD" w14:textId="52AFDE47" w:rsidR="008C336B" w:rsidRDefault="00E513DE" w:rsidP="00122D78">
      <w:pPr>
        <w:pStyle w:val="3"/>
        <w:numPr>
          <w:ilvl w:val="2"/>
          <w:numId w:val="10"/>
        </w:numPr>
      </w:pPr>
      <w:bookmarkStart w:id="13" w:name="_Toc102050296"/>
      <w:bookmarkStart w:id="14" w:name="_Toc102050668"/>
      <w:r>
        <w:t xml:space="preserve">Жизненный цикл </w:t>
      </w:r>
      <w:r>
        <w:rPr>
          <w:lang w:val="en-US"/>
        </w:rPr>
        <w:t>SPAC</w:t>
      </w:r>
      <w:bookmarkEnd w:id="13"/>
      <w:bookmarkEnd w:id="14"/>
    </w:p>
    <w:p w14:paraId="1A30941D" w14:textId="19D058CA" w:rsidR="00E513DE" w:rsidRDefault="008352C5" w:rsidP="00E513DE">
      <w:r>
        <w:t xml:space="preserve">В завершение </w:t>
      </w:r>
      <w:r w:rsidR="00FD1935">
        <w:t xml:space="preserve">теоретической части, касающейся сущности </w:t>
      </w:r>
      <w:r w:rsidR="00FD1935">
        <w:rPr>
          <w:lang w:val="en-US"/>
        </w:rPr>
        <w:t>SPAC</w:t>
      </w:r>
      <w:r w:rsidR="00FD1935">
        <w:t xml:space="preserve">, рассмотрим </w:t>
      </w:r>
      <w:r w:rsidR="00947A14">
        <w:t xml:space="preserve">стадии </w:t>
      </w:r>
      <w:r w:rsidR="001858F1">
        <w:t xml:space="preserve">жизненного цикла </w:t>
      </w:r>
      <w:r w:rsidR="001858F1">
        <w:rPr>
          <w:lang w:val="en-US"/>
        </w:rPr>
        <w:t>SPAC</w:t>
      </w:r>
      <w:r w:rsidR="00186CA7">
        <w:t>.</w:t>
      </w:r>
    </w:p>
    <w:p w14:paraId="59A48719" w14:textId="14CA067D" w:rsidR="00963DCD" w:rsidRDefault="00963DCD" w:rsidP="00963DCD">
      <w:pPr>
        <w:pStyle w:val="a8"/>
      </w:pPr>
      <w:r>
        <w:rPr>
          <w:noProof/>
        </w:rPr>
        <w:drawing>
          <wp:inline distT="0" distB="0" distL="0" distR="0" wp14:anchorId="0E487B84" wp14:editId="6CA497FF">
            <wp:extent cx="5181600" cy="2492486"/>
            <wp:effectExtent l="0" t="0" r="0" b="3175"/>
            <wp:docPr id="2" name="Рисунок 2" descr="Going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ing publ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40" cy="25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4234" w14:textId="3A2D1999" w:rsidR="006A6735" w:rsidRPr="006A6735" w:rsidRDefault="006A6735" w:rsidP="006A6735">
      <w:pPr>
        <w:pStyle w:val="a0"/>
      </w:pPr>
      <w:r>
        <w:t xml:space="preserve">Жизненный цикл </w:t>
      </w:r>
      <w:r>
        <w:rPr>
          <w:lang w:val="en-US"/>
        </w:rPr>
        <w:t>SPAC</w:t>
      </w:r>
      <w:r w:rsidRPr="006A6735">
        <w:t xml:space="preserve"> (</w:t>
      </w:r>
      <w:r>
        <w:t xml:space="preserve">Источник: </w:t>
      </w:r>
      <w:r>
        <w:rPr>
          <w:lang w:val="en-US"/>
        </w:rPr>
        <w:t>PWC</w:t>
      </w:r>
      <w:r w:rsidR="00F36DFE">
        <w:rPr>
          <w:rStyle w:val="af5"/>
          <w:lang w:val="en-US"/>
        </w:rPr>
        <w:footnoteReference w:id="23"/>
      </w:r>
      <w:r w:rsidRPr="006A6735">
        <w:t>)</w:t>
      </w:r>
    </w:p>
    <w:p w14:paraId="77A890B7" w14:textId="15ACC888" w:rsidR="005132BD" w:rsidRPr="00387A27" w:rsidRDefault="00107CD2" w:rsidP="005132BD">
      <w:pPr>
        <w:ind w:firstLine="0"/>
        <w:rPr>
          <w:b/>
          <w:bCs/>
          <w:i/>
          <w:iCs/>
        </w:rPr>
      </w:pPr>
      <w:r w:rsidRPr="00107CD2">
        <w:rPr>
          <w:b/>
          <w:bCs/>
          <w:i/>
          <w:iCs/>
          <w:lang w:val="en-US"/>
        </w:rPr>
        <w:t>Pre</w:t>
      </w:r>
      <w:r w:rsidRPr="00387A27">
        <w:rPr>
          <w:b/>
          <w:bCs/>
          <w:i/>
          <w:iCs/>
        </w:rPr>
        <w:t>-</w:t>
      </w:r>
      <w:r w:rsidRPr="00107CD2">
        <w:rPr>
          <w:b/>
          <w:bCs/>
          <w:i/>
          <w:iCs/>
          <w:lang w:val="en-US"/>
        </w:rPr>
        <w:t>IPO</w:t>
      </w:r>
      <w:r w:rsidR="00675E54" w:rsidRPr="00387A27">
        <w:rPr>
          <w:b/>
          <w:bCs/>
          <w:i/>
          <w:iCs/>
        </w:rPr>
        <w:t xml:space="preserve"> </w:t>
      </w:r>
      <w:r w:rsidR="00387A27">
        <w:rPr>
          <w:b/>
          <w:bCs/>
          <w:i/>
          <w:iCs/>
        </w:rPr>
        <w:t>и</w:t>
      </w:r>
      <w:r w:rsidR="00387A27" w:rsidRPr="00387A27">
        <w:rPr>
          <w:b/>
          <w:bCs/>
          <w:i/>
          <w:iCs/>
        </w:rPr>
        <w:t xml:space="preserve"> </w:t>
      </w:r>
      <w:r w:rsidR="00387A27">
        <w:rPr>
          <w:b/>
          <w:bCs/>
          <w:i/>
          <w:iCs/>
          <w:lang w:val="en-US"/>
        </w:rPr>
        <w:t>IPO</w:t>
      </w:r>
      <w:r w:rsidR="00387A27" w:rsidRPr="00387A27">
        <w:rPr>
          <w:b/>
          <w:bCs/>
          <w:i/>
          <w:iCs/>
        </w:rPr>
        <w:t xml:space="preserve"> (8+ </w:t>
      </w:r>
      <w:r w:rsidR="00387A27">
        <w:rPr>
          <w:b/>
          <w:bCs/>
          <w:i/>
          <w:iCs/>
        </w:rPr>
        <w:t>недель)</w:t>
      </w:r>
    </w:p>
    <w:p w14:paraId="1F9DABDE" w14:textId="77777777" w:rsidR="000D79D1" w:rsidRDefault="008727FF" w:rsidP="00D814C8">
      <w:r>
        <w:t xml:space="preserve">В начале </w:t>
      </w:r>
      <w:r w:rsidR="00794CB8">
        <w:t xml:space="preserve">команда </w:t>
      </w:r>
      <w:r w:rsidR="00AB033E">
        <w:t xml:space="preserve">квалифицированных менеджеров ведет переговоры с инвестиционными банками о выводе на биржу </w:t>
      </w:r>
      <w:r w:rsidR="005F091F">
        <w:t>специализированной компании по целевым слияниям и поглощениям. Андеррайтеры о</w:t>
      </w:r>
      <w:r w:rsidR="00FE1BA1">
        <w:t xml:space="preserve">т лица команды менеджеров подают </w:t>
      </w:r>
      <w:r w:rsidR="00BA34C0">
        <w:t xml:space="preserve">регистрационную форму </w:t>
      </w:r>
      <w:r w:rsidR="001F367E">
        <w:rPr>
          <w:lang w:val="en-US"/>
        </w:rPr>
        <w:t>S</w:t>
      </w:r>
      <w:r w:rsidR="001F367E" w:rsidRPr="001F367E">
        <w:t xml:space="preserve">-1 </w:t>
      </w:r>
      <w:r w:rsidR="001F367E">
        <w:t>в комиссию США по ценным бумагам</w:t>
      </w:r>
      <w:r w:rsidR="000C122F">
        <w:t xml:space="preserve">. </w:t>
      </w:r>
      <w:r w:rsidR="001806BF">
        <w:t>Данный документ довольно объемен и может занимать вплоть до 200 страниц</w:t>
      </w:r>
      <w:r w:rsidR="0049675F">
        <w:t>. В</w:t>
      </w:r>
      <w:r w:rsidR="00C87E07">
        <w:t xml:space="preserve"> нем содержится</w:t>
      </w:r>
      <w:r w:rsidR="0049675F">
        <w:t>:</w:t>
      </w:r>
      <w:r w:rsidR="00C87E07">
        <w:t xml:space="preserve"> </w:t>
      </w:r>
    </w:p>
    <w:p w14:paraId="20117099" w14:textId="77777777" w:rsidR="000D79D1" w:rsidRDefault="00D814C8" w:rsidP="00D814C8">
      <w:r>
        <w:t xml:space="preserve">а) </w:t>
      </w:r>
      <w:r w:rsidR="008547CF">
        <w:t xml:space="preserve">общая информация о </w:t>
      </w:r>
      <w:r w:rsidR="008547CF">
        <w:rPr>
          <w:lang w:val="en-US"/>
        </w:rPr>
        <w:t>SPAC</w:t>
      </w:r>
      <w:r w:rsidR="008547CF">
        <w:t xml:space="preserve"> (менеджеры и спонсоры, желаемые таргеты к поглощению, </w:t>
      </w:r>
      <w:r w:rsidR="005D7984">
        <w:t>бизнес-стратеги</w:t>
      </w:r>
      <w:r w:rsidR="009A6827">
        <w:t xml:space="preserve">я, </w:t>
      </w:r>
      <w:r w:rsidR="00CA19F3">
        <w:t xml:space="preserve">корпоративная информация, финансовые данные и </w:t>
      </w:r>
      <w:proofErr w:type="gramStart"/>
      <w:r w:rsidR="00CA19F3">
        <w:t>т.д.</w:t>
      </w:r>
      <w:proofErr w:type="gramEnd"/>
      <w:r w:rsidR="00CA19F3">
        <w:t xml:space="preserve">); </w:t>
      </w:r>
    </w:p>
    <w:p w14:paraId="5E58BD58" w14:textId="6611807B" w:rsidR="000D79D1" w:rsidRDefault="00CA19F3" w:rsidP="00D814C8">
      <w:r>
        <w:t>б) предложение о размещении (</w:t>
      </w:r>
      <w:r w:rsidR="006B5F03">
        <w:t>количество юнитов, акций и варрантов к размещению</w:t>
      </w:r>
      <w:r w:rsidR="00EE4E25">
        <w:t>;</w:t>
      </w:r>
      <w:r w:rsidR="006B5F03">
        <w:t xml:space="preserve"> тикеры, </w:t>
      </w:r>
      <w:r w:rsidR="00EE4E25">
        <w:t xml:space="preserve">цена исполнения варрантов, информация об </w:t>
      </w:r>
      <w:r w:rsidR="00E11D41">
        <w:t>акциях</w:t>
      </w:r>
      <w:r w:rsidR="00EE4E25">
        <w:t xml:space="preserve"> основателей и </w:t>
      </w:r>
      <w:proofErr w:type="gramStart"/>
      <w:r w:rsidR="00EE4E25">
        <w:t>т.д.</w:t>
      </w:r>
      <w:proofErr w:type="gramEnd"/>
      <w:r w:rsidR="00EE4E25">
        <w:t xml:space="preserve">); </w:t>
      </w:r>
    </w:p>
    <w:p w14:paraId="6D266A1B" w14:textId="77777777" w:rsidR="000D79D1" w:rsidRDefault="00EE4E25" w:rsidP="00D814C8">
      <w:r>
        <w:t xml:space="preserve">в) </w:t>
      </w:r>
      <w:r w:rsidR="00EF773E">
        <w:t xml:space="preserve">факторы риска; </w:t>
      </w:r>
    </w:p>
    <w:p w14:paraId="1DEA9568" w14:textId="1AAB0E1E" w:rsidR="000D79D1" w:rsidRDefault="00EF773E" w:rsidP="00D814C8">
      <w:r>
        <w:t xml:space="preserve">г) </w:t>
      </w:r>
      <w:r w:rsidR="00D16A8B">
        <w:t>информаци</w:t>
      </w:r>
      <w:r w:rsidR="008D2A15">
        <w:t>ю</w:t>
      </w:r>
      <w:r w:rsidR="00D16A8B">
        <w:t xml:space="preserve"> о поступлениях с </w:t>
      </w:r>
      <w:r w:rsidR="00D16A8B">
        <w:rPr>
          <w:lang w:val="en-US"/>
        </w:rPr>
        <w:t>IPO</w:t>
      </w:r>
      <w:r w:rsidR="00D16A8B">
        <w:t xml:space="preserve">; </w:t>
      </w:r>
    </w:p>
    <w:p w14:paraId="032ECBF1" w14:textId="622A7293" w:rsidR="000D79D1" w:rsidRDefault="004E233F" w:rsidP="000D79D1">
      <w:r>
        <w:lastRenderedPageBreak/>
        <w:t>д) дивидендн</w:t>
      </w:r>
      <w:r w:rsidR="000C4744">
        <w:t>ая</w:t>
      </w:r>
      <w:r>
        <w:t xml:space="preserve"> политик</w:t>
      </w:r>
      <w:r w:rsidR="000C4744">
        <w:t>а</w:t>
      </w:r>
      <w:r w:rsidR="000D79D1">
        <w:t xml:space="preserve"> (</w:t>
      </w:r>
      <w:r w:rsidR="00132CAD">
        <w:t xml:space="preserve">в ней всегда пишется об отсутствии намерений платить дивиденды ввиду специфики </w:t>
      </w:r>
      <w:r w:rsidR="00132CAD">
        <w:rPr>
          <w:lang w:val="en-US"/>
        </w:rPr>
        <w:t>SPAC</w:t>
      </w:r>
      <w:r w:rsidR="00993E90">
        <w:t>)</w:t>
      </w:r>
    </w:p>
    <w:p w14:paraId="5190DB06" w14:textId="6AD505D0" w:rsidR="00993E90" w:rsidRDefault="00993E90" w:rsidP="000D79D1">
      <w:r>
        <w:t>е) информаци</w:t>
      </w:r>
      <w:r w:rsidR="00747238">
        <w:t>я</w:t>
      </w:r>
      <w:r>
        <w:t xml:space="preserve"> о «разводнении» цены акций</w:t>
      </w:r>
      <w:r w:rsidR="00EC36D3">
        <w:t>;</w:t>
      </w:r>
    </w:p>
    <w:p w14:paraId="0B77F2EE" w14:textId="6D0CDA7C" w:rsidR="00EC36D3" w:rsidRPr="008319FE" w:rsidRDefault="00EC36D3" w:rsidP="000D79D1">
      <w:r>
        <w:t xml:space="preserve">ж) </w:t>
      </w:r>
      <w:r w:rsidR="008D2A15">
        <w:t>раздел о</w:t>
      </w:r>
      <w:r w:rsidR="00205A0F">
        <w:t xml:space="preserve">б итоговой капитализации </w:t>
      </w:r>
      <w:r w:rsidR="00205A0F">
        <w:rPr>
          <w:lang w:val="en-US"/>
        </w:rPr>
        <w:t>SPAC</w:t>
      </w:r>
      <w:r w:rsidR="008319FE">
        <w:t>;</w:t>
      </w:r>
    </w:p>
    <w:p w14:paraId="27C2E599" w14:textId="6553CD5F" w:rsidR="008319FE" w:rsidRDefault="00205A0F" w:rsidP="008319FE">
      <w:r>
        <w:t xml:space="preserve">з) </w:t>
      </w:r>
      <w:r w:rsidR="002D7B52">
        <w:t>информаци</w:t>
      </w:r>
      <w:r w:rsidR="00747238">
        <w:t>я</w:t>
      </w:r>
      <w:r w:rsidR="002D7B52">
        <w:t xml:space="preserve"> о </w:t>
      </w:r>
      <w:r w:rsidR="008319FE">
        <w:t xml:space="preserve">бенефициарном владении акциями </w:t>
      </w:r>
      <w:r w:rsidR="008319FE">
        <w:rPr>
          <w:lang w:val="en-US"/>
        </w:rPr>
        <w:t>SPAC</w:t>
      </w:r>
      <w:r w:rsidR="008319FE">
        <w:t>;</w:t>
      </w:r>
    </w:p>
    <w:p w14:paraId="358255E8" w14:textId="5AE9CF64" w:rsidR="008319FE" w:rsidRDefault="00D36DA4" w:rsidP="008319FE">
      <w:r>
        <w:t xml:space="preserve">и) </w:t>
      </w:r>
      <w:r w:rsidR="00611EE3">
        <w:t>информаци</w:t>
      </w:r>
      <w:r w:rsidR="00747238">
        <w:t>я</w:t>
      </w:r>
      <w:r w:rsidR="00611EE3">
        <w:t xml:space="preserve"> об отношениях и сделках со связанными сторонами;</w:t>
      </w:r>
    </w:p>
    <w:p w14:paraId="1E81502A" w14:textId="17BE0050" w:rsidR="003F4916" w:rsidRDefault="003F4916" w:rsidP="008319FE">
      <w:r>
        <w:t>к) описание ценных бумаг;</w:t>
      </w:r>
    </w:p>
    <w:p w14:paraId="0BB45E47" w14:textId="06ADE48C" w:rsidR="003F4916" w:rsidRDefault="00611EE3" w:rsidP="008319FE">
      <w:r>
        <w:t>л) информаци</w:t>
      </w:r>
      <w:r w:rsidR="00747238">
        <w:t>я</w:t>
      </w:r>
      <w:r>
        <w:t xml:space="preserve"> о налогообложении;</w:t>
      </w:r>
    </w:p>
    <w:p w14:paraId="784DA28B" w14:textId="314B1752" w:rsidR="00611EE3" w:rsidRDefault="00CE648C" w:rsidP="008319FE">
      <w:r>
        <w:t>м) информаци</w:t>
      </w:r>
      <w:r w:rsidR="00747238">
        <w:t>я</w:t>
      </w:r>
      <w:r>
        <w:t xml:space="preserve"> об андеррайтинге (кто выступает андеррайтерами</w:t>
      </w:r>
      <w:r w:rsidR="00DB4F30">
        <w:t>,</w:t>
      </w:r>
      <w:r w:rsidR="00A4589E">
        <w:t xml:space="preserve"> </w:t>
      </w:r>
      <w:r w:rsidR="00DB4F30">
        <w:t>комиссия, прочие условия и ограничения)</w:t>
      </w:r>
    </w:p>
    <w:p w14:paraId="538FCCC1" w14:textId="088898DD" w:rsidR="00DB4F30" w:rsidRDefault="00DB4F30" w:rsidP="008319FE">
      <w:r>
        <w:t>н)</w:t>
      </w:r>
      <w:r w:rsidR="002529CA">
        <w:t xml:space="preserve"> </w:t>
      </w:r>
      <w:r w:rsidR="00E606B5">
        <w:t xml:space="preserve">прочая информация (правовые </w:t>
      </w:r>
      <w:r w:rsidR="001E6F2D">
        <w:t>вопросы, информация об аудиторах, финансовые показатели).</w:t>
      </w:r>
    </w:p>
    <w:p w14:paraId="3DA2E534" w14:textId="0A68A56E" w:rsidR="00227171" w:rsidRDefault="000E4B7D" w:rsidP="0031643E">
      <w:pPr>
        <w:ind w:firstLine="0"/>
      </w:pPr>
      <w:r>
        <w:t xml:space="preserve">После того, как </w:t>
      </w:r>
      <w:r>
        <w:rPr>
          <w:lang w:val="en-US"/>
        </w:rPr>
        <w:t>SEC</w:t>
      </w:r>
      <w:r w:rsidRPr="00737BC3">
        <w:t xml:space="preserve"> </w:t>
      </w:r>
      <w:r w:rsidR="004C6D8C">
        <w:t>удостоверяет регистрационную форму</w:t>
      </w:r>
      <w:r w:rsidR="00C92BC9">
        <w:t xml:space="preserve">, менеджеры и андеррайтеры начинают готовиться к </w:t>
      </w:r>
      <w:r w:rsidR="009630D8">
        <w:t>размещению</w:t>
      </w:r>
      <w:r w:rsidR="00AA74AF">
        <w:t xml:space="preserve">: проводится </w:t>
      </w:r>
      <w:proofErr w:type="spellStart"/>
      <w:r w:rsidR="00AA74AF">
        <w:t>роуд</w:t>
      </w:r>
      <w:proofErr w:type="spellEnd"/>
      <w:r w:rsidR="00AA74AF">
        <w:t>-шоу</w:t>
      </w:r>
      <w:r w:rsidR="005D5DF6">
        <w:t xml:space="preserve">, </w:t>
      </w:r>
      <w:r w:rsidR="001844C6">
        <w:t xml:space="preserve">форма в случае необходимости </w:t>
      </w:r>
      <w:r w:rsidR="00D22DBB">
        <w:t>дополняется поправками, подлежащими регистраци</w:t>
      </w:r>
      <w:r w:rsidR="00CB0D34">
        <w:t xml:space="preserve">и, решаются прочие административные вопросы. Непосредственно </w:t>
      </w:r>
      <w:r w:rsidR="008531F2">
        <w:t xml:space="preserve">до даты </w:t>
      </w:r>
      <w:r w:rsidR="009630D8">
        <w:t>размещения</w:t>
      </w:r>
      <w:r w:rsidR="008531F2">
        <w:t xml:space="preserve"> </w:t>
      </w:r>
      <w:r w:rsidR="004C6D23">
        <w:t>андеррайтеры подают финальный проспект</w:t>
      </w:r>
      <w:r w:rsidR="00A54D9C">
        <w:t xml:space="preserve">, в котором содержатся </w:t>
      </w:r>
      <w:r w:rsidR="007841F1">
        <w:t>все изменения после</w:t>
      </w:r>
      <w:r w:rsidR="00E239E4">
        <w:t xml:space="preserve"> </w:t>
      </w:r>
      <w:r w:rsidR="00E239E4">
        <w:rPr>
          <w:lang w:val="en-US"/>
        </w:rPr>
        <w:t>S</w:t>
      </w:r>
      <w:r w:rsidR="00E239E4" w:rsidRPr="00E239E4">
        <w:t>-1.</w:t>
      </w:r>
    </w:p>
    <w:p w14:paraId="2592654A" w14:textId="66130DB5" w:rsidR="00675E54" w:rsidRDefault="00505F92" w:rsidP="0063385C">
      <w:r>
        <w:t>По итогам</w:t>
      </w:r>
      <w:r w:rsidR="0046741B">
        <w:t xml:space="preserve"> </w:t>
      </w:r>
      <w:r w:rsidR="000733BB">
        <w:t>начинаются торги юнитами.</w:t>
      </w:r>
      <w:r w:rsidR="00A62A32">
        <w:t xml:space="preserve"> </w:t>
      </w:r>
      <w:r w:rsidR="00F94AE3">
        <w:rPr>
          <w:lang w:val="en-US"/>
        </w:rPr>
        <w:t>SPAC</w:t>
      </w:r>
      <w:r w:rsidR="00F94AE3">
        <w:t xml:space="preserve"> получает выручку от </w:t>
      </w:r>
      <w:r w:rsidR="00F94AE3">
        <w:rPr>
          <w:lang w:val="en-US"/>
        </w:rPr>
        <w:t>IPO</w:t>
      </w:r>
      <w:r w:rsidR="00F94AE3">
        <w:t>, процент от выручки</w:t>
      </w:r>
      <w:r w:rsidR="009D1BCA">
        <w:t xml:space="preserve"> идет в качестве платы андеррайтерам</w:t>
      </w:r>
      <w:r w:rsidR="00F94AE3">
        <w:t xml:space="preserve"> </w:t>
      </w:r>
      <w:r w:rsidR="00375CFE">
        <w:t xml:space="preserve">(как было указано ранее в работе, </w:t>
      </w:r>
      <w:r w:rsidR="009D1BCA">
        <w:t>это лишь часть от общей ком</w:t>
      </w:r>
      <w:r w:rsidR="00160600">
        <w:t>иссии</w:t>
      </w:r>
      <w:r w:rsidR="00A4257D">
        <w:t>).</w:t>
      </w:r>
      <w:r w:rsidR="00277596">
        <w:t xml:space="preserve"> Поступления с </w:t>
      </w:r>
      <w:r w:rsidR="00277596">
        <w:rPr>
          <w:lang w:val="en-US"/>
        </w:rPr>
        <w:t>IPO</w:t>
      </w:r>
      <w:r w:rsidR="00277596">
        <w:t xml:space="preserve"> </w:t>
      </w:r>
      <w:r w:rsidR="007D4887">
        <w:t>кладутся на трастовый</w:t>
      </w:r>
      <w:r w:rsidR="00D472E8">
        <w:t xml:space="preserve"> счет</w:t>
      </w:r>
      <w:r w:rsidR="00DB7157">
        <w:t xml:space="preserve">, где затем они инвестируются в </w:t>
      </w:r>
      <w:r w:rsidR="003B5087">
        <w:t xml:space="preserve">краткосрочные </w:t>
      </w:r>
      <w:proofErr w:type="spellStart"/>
      <w:r w:rsidR="003B5087">
        <w:t>низкорисковые</w:t>
      </w:r>
      <w:proofErr w:type="spellEnd"/>
      <w:r w:rsidR="003B5087">
        <w:t xml:space="preserve"> облигации</w:t>
      </w:r>
      <w:r w:rsidR="003B5E6E">
        <w:t xml:space="preserve"> (как правило, </w:t>
      </w:r>
      <w:r w:rsidR="003B5E6E">
        <w:rPr>
          <w:lang w:val="en-US"/>
        </w:rPr>
        <w:t>U</w:t>
      </w:r>
      <w:r w:rsidR="003B5E6E" w:rsidRPr="003B5E6E">
        <w:t>.</w:t>
      </w:r>
      <w:r w:rsidR="003B5E6E">
        <w:rPr>
          <w:lang w:val="en-US"/>
        </w:rPr>
        <w:t>S</w:t>
      </w:r>
      <w:r w:rsidR="003B5E6E" w:rsidRPr="003B5E6E">
        <w:t xml:space="preserve">. </w:t>
      </w:r>
      <w:r w:rsidR="003B5E6E">
        <w:rPr>
          <w:lang w:val="en-US"/>
        </w:rPr>
        <w:t>Treasury</w:t>
      </w:r>
      <w:r w:rsidR="003B5E6E" w:rsidRPr="003B5E6E">
        <w:t xml:space="preserve"> </w:t>
      </w:r>
      <w:r w:rsidR="003B5E6E">
        <w:rPr>
          <w:lang w:val="en-US"/>
        </w:rPr>
        <w:t>bills</w:t>
      </w:r>
      <w:r w:rsidR="003B5E6E" w:rsidRPr="003B5E6E">
        <w:t>)</w:t>
      </w:r>
      <w:r w:rsidR="003B5E6E">
        <w:t>.</w:t>
      </w:r>
      <w:r w:rsidR="00183C3E" w:rsidRPr="00183C3E">
        <w:t xml:space="preserve"> </w:t>
      </w:r>
      <w:r w:rsidR="00183C3E">
        <w:t>Менеджеры же получают 20%</w:t>
      </w:r>
      <w:r w:rsidR="00A130F5">
        <w:t xml:space="preserve"> от привлеченных средств в виде акций и варрантов основателей, которые нельзя продать и</w:t>
      </w:r>
      <w:r w:rsidR="00BC7D5E">
        <w:t xml:space="preserve"> исполнить до заключения сделки поглощения.</w:t>
      </w:r>
      <w:r w:rsidR="0003268D">
        <w:t xml:space="preserve"> </w:t>
      </w:r>
      <w:r w:rsidR="00326F52">
        <w:t xml:space="preserve">Примерно через 52 дня </w:t>
      </w:r>
      <w:r w:rsidR="006F1FB8">
        <w:t>после начала торгов юни</w:t>
      </w:r>
      <w:r w:rsidR="00BA3A36">
        <w:t>т разделяется на акции и варранты.</w:t>
      </w:r>
    </w:p>
    <w:p w14:paraId="7E365A6E" w14:textId="1CA2D49B" w:rsidR="00D028EC" w:rsidRPr="001451E6" w:rsidRDefault="00D028EC" w:rsidP="00D028EC">
      <w:pPr>
        <w:ind w:firstLine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Pre</w:t>
      </w:r>
      <w:r w:rsidRPr="00963DCD"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merger</w:t>
      </w:r>
      <w:r w:rsidR="001451E6">
        <w:rPr>
          <w:b/>
          <w:bCs/>
          <w:i/>
          <w:iCs/>
        </w:rPr>
        <w:t xml:space="preserve"> (до </w:t>
      </w:r>
      <w:r w:rsidR="00B50847">
        <w:rPr>
          <w:b/>
          <w:bCs/>
          <w:i/>
          <w:iCs/>
        </w:rPr>
        <w:t>19 месяцев)</w:t>
      </w:r>
    </w:p>
    <w:p w14:paraId="7F4D1283" w14:textId="23B545DE" w:rsidR="00D028EC" w:rsidRDefault="009F7325" w:rsidP="00D028EC">
      <w:r>
        <w:t xml:space="preserve">У </w:t>
      </w:r>
      <w:r>
        <w:rPr>
          <w:lang w:val="en-US"/>
        </w:rPr>
        <w:t>SPAC</w:t>
      </w:r>
      <w:r w:rsidRPr="009F7325">
        <w:t xml:space="preserve"> </w:t>
      </w:r>
      <w:r>
        <w:t xml:space="preserve">есть два года </w:t>
      </w:r>
      <w:r w:rsidR="00C33C0F">
        <w:t>на нахождение компании для поглощения</w:t>
      </w:r>
      <w:r w:rsidR="00696C68">
        <w:t xml:space="preserve">, у некоторых </w:t>
      </w:r>
      <w:r w:rsidR="00560438">
        <w:t>компаний есть и вовсе 18 месяцев, но с учетом дополнительных 6 месяцев,</w:t>
      </w:r>
      <w:r w:rsidR="007C429C">
        <w:t xml:space="preserve"> выделенных для </w:t>
      </w:r>
      <w:r w:rsidR="008508E1">
        <w:t>юридических процессов по поглощению таргета.</w:t>
      </w:r>
      <w:r w:rsidR="00E67AF3">
        <w:t xml:space="preserve"> В некоторых случаях </w:t>
      </w:r>
      <w:r w:rsidR="00E67AF3">
        <w:rPr>
          <w:lang w:val="en-US"/>
        </w:rPr>
        <w:t>SPAC</w:t>
      </w:r>
      <w:r w:rsidR="00E67AF3" w:rsidRPr="00E67AF3">
        <w:t xml:space="preserve"> </w:t>
      </w:r>
      <w:r w:rsidR="00E67AF3">
        <w:t>может потребовать продление период</w:t>
      </w:r>
      <w:r w:rsidR="007C003D">
        <w:t xml:space="preserve">а для </w:t>
      </w:r>
      <w:r w:rsidR="00E15480">
        <w:t>заключения всех необходимых договоров.</w:t>
      </w:r>
      <w:r w:rsidR="008508E1">
        <w:t xml:space="preserve"> </w:t>
      </w:r>
      <w:r w:rsidR="0071668E">
        <w:t xml:space="preserve">Менеджмент </w:t>
      </w:r>
      <w:r w:rsidR="0071668E">
        <w:rPr>
          <w:lang w:val="en-US"/>
        </w:rPr>
        <w:t>SPAC</w:t>
      </w:r>
      <w:r w:rsidR="0071668E">
        <w:t xml:space="preserve"> </w:t>
      </w:r>
      <w:r w:rsidR="00EC27DF">
        <w:t xml:space="preserve">ведет переговоры с различными фирмами, стартапами, прочими </w:t>
      </w:r>
      <w:r w:rsidR="00E67AF3">
        <w:t xml:space="preserve">кандидатами на поглощение. </w:t>
      </w:r>
      <w:r w:rsidR="00E15480">
        <w:t xml:space="preserve">Если </w:t>
      </w:r>
      <w:r w:rsidR="00A071B3">
        <w:rPr>
          <w:lang w:val="en-US"/>
        </w:rPr>
        <w:t>SPAC</w:t>
      </w:r>
      <w:r w:rsidR="00A071B3">
        <w:t xml:space="preserve"> не удается найти цель для поглощения</w:t>
      </w:r>
      <w:r w:rsidR="000604EF">
        <w:t>,</w:t>
      </w:r>
      <w:r w:rsidR="00A071B3">
        <w:t xml:space="preserve"> и пролонгация поиска также не</w:t>
      </w:r>
      <w:r w:rsidR="0081668B">
        <w:t xml:space="preserve">возможна, </w:t>
      </w:r>
      <w:r w:rsidR="00BC7D5E">
        <w:t xml:space="preserve">компания ликвидируется, а средства инвесторов возвращаются из трастового счет в размере </w:t>
      </w:r>
      <w:r w:rsidR="00BC7D5E" w:rsidRPr="00BC7D5E">
        <w:t xml:space="preserve">$10 </w:t>
      </w:r>
      <w:r w:rsidR="00BC7D5E">
        <w:t>за акцию</w:t>
      </w:r>
      <w:r w:rsidR="00236730">
        <w:t xml:space="preserve"> </w:t>
      </w:r>
      <w:r w:rsidR="00236730">
        <w:t>(типовой бенчмарк для реализации права предъявить акции к выкупу)</w:t>
      </w:r>
      <w:r w:rsidR="002A4ECC">
        <w:t>, варранты при этом сгорают.</w:t>
      </w:r>
    </w:p>
    <w:p w14:paraId="07DA48B2" w14:textId="1E94E8B4" w:rsidR="00767921" w:rsidRDefault="00BC10BF" w:rsidP="00347233">
      <w:r>
        <w:lastRenderedPageBreak/>
        <w:t xml:space="preserve">Как только </w:t>
      </w:r>
      <w:r w:rsidR="00867371">
        <w:rPr>
          <w:lang w:val="en-US"/>
        </w:rPr>
        <w:t>SPAC</w:t>
      </w:r>
      <w:r w:rsidR="00867371">
        <w:t xml:space="preserve"> находит таргет, менеджмент анонсирует информацию о возможном приобретении</w:t>
      </w:r>
      <w:r w:rsidR="009C3BCF">
        <w:t xml:space="preserve"> средствам массовой информации </w:t>
      </w:r>
      <w:r w:rsidR="00CE26E4">
        <w:t xml:space="preserve">и комиссии по ценным бумагам. </w:t>
      </w:r>
      <w:r w:rsidR="00347233">
        <w:t xml:space="preserve">Основатели также должны подать форму </w:t>
      </w:r>
      <w:r w:rsidR="00347233">
        <w:rPr>
          <w:lang w:val="en-US"/>
        </w:rPr>
        <w:t>S</w:t>
      </w:r>
      <w:r w:rsidR="00347233" w:rsidRPr="00020B85">
        <w:t xml:space="preserve">-4 </w:t>
      </w:r>
      <w:r w:rsidR="00347233">
        <w:t xml:space="preserve">в </w:t>
      </w:r>
      <w:r w:rsidR="00347233">
        <w:rPr>
          <w:lang w:val="en-US"/>
        </w:rPr>
        <w:t>SEC</w:t>
      </w:r>
      <w:r w:rsidR="00347233">
        <w:t xml:space="preserve"> для одобрения сделки со стороны регулятора. В ней содержится информация о результатах переговоров менеджмента </w:t>
      </w:r>
      <w:r w:rsidR="00347233">
        <w:rPr>
          <w:lang w:val="en-US"/>
        </w:rPr>
        <w:t>SPAC</w:t>
      </w:r>
      <w:r w:rsidR="00347233">
        <w:t xml:space="preserve"> и компании-таргета, историческая финансовая информация </w:t>
      </w:r>
      <w:r w:rsidR="00347233">
        <w:rPr>
          <w:lang w:val="en-US"/>
        </w:rPr>
        <w:t>SPAC</w:t>
      </w:r>
      <w:r w:rsidR="00347233">
        <w:t xml:space="preserve"> и таргета, данные о затратах на акцию, описание структуры компании, а также любые соглашения о долговом финансировании, связанные с </w:t>
      </w:r>
      <w:r w:rsidR="00347233">
        <w:rPr>
          <w:lang w:val="en-US"/>
        </w:rPr>
        <w:t>deSPAC</w:t>
      </w:r>
      <w:r w:rsidR="00347233">
        <w:t xml:space="preserve">. </w:t>
      </w:r>
      <w:r w:rsidR="00637112">
        <w:t xml:space="preserve">Следующим этапом является согласование сделки </w:t>
      </w:r>
      <w:r w:rsidR="00F62F69">
        <w:t xml:space="preserve">с акционерами. </w:t>
      </w:r>
      <w:r w:rsidR="00017D2C">
        <w:t>Держателям акций</w:t>
      </w:r>
      <w:r w:rsidR="00417053">
        <w:t xml:space="preserve"> предлагается вся информация о </w:t>
      </w:r>
      <w:r w:rsidR="00BA33AE">
        <w:t>потенциальной цели для поглощения</w:t>
      </w:r>
      <w:r w:rsidR="00A71C7C">
        <w:t xml:space="preserve">, затем </w:t>
      </w:r>
      <w:r w:rsidR="00092851">
        <w:t>проводится</w:t>
      </w:r>
      <w:r w:rsidR="00A71C7C">
        <w:t xml:space="preserve"> собрание, на котором акционеры голосуют за или против поглощени</w:t>
      </w:r>
      <w:r w:rsidR="00D23F0C">
        <w:t>я</w:t>
      </w:r>
      <w:r w:rsidR="00A71C7C">
        <w:t>.</w:t>
      </w:r>
      <w:r w:rsidR="00344B49">
        <w:t xml:space="preserve"> Процесс может затянуться, поскольку часто инвесторы предпочитают проголосовать против и воспользоваться правом </w:t>
      </w:r>
      <w:r w:rsidR="00D3147E">
        <w:t>предъявления акций к выкупу</w:t>
      </w:r>
      <w:r w:rsidR="00344B49">
        <w:t xml:space="preserve">. </w:t>
      </w:r>
      <w:r w:rsidR="00C264C4">
        <w:t xml:space="preserve">Обычно для одобрения сделки достаточно </w:t>
      </w:r>
      <w:r w:rsidR="00730875">
        <w:t xml:space="preserve">20% голосов за, но у каждой компании правила могут быть разные. Если за поглощение проголосовало недостаточное количество акционеров, </w:t>
      </w:r>
      <w:r w:rsidR="00401E74">
        <w:rPr>
          <w:lang w:val="en-US"/>
        </w:rPr>
        <w:t>SPAC</w:t>
      </w:r>
      <w:r w:rsidR="00401E74">
        <w:t xml:space="preserve"> либо продолжает искать новый таргет, если имеет в запасе время, либо лик</w:t>
      </w:r>
      <w:r w:rsidR="005C1413">
        <w:t>видируется</w:t>
      </w:r>
      <w:r w:rsidR="00020B85">
        <w:t xml:space="preserve"> (тогда деньги возвращаются акционерам)</w:t>
      </w:r>
      <w:r w:rsidR="005C1413">
        <w:t xml:space="preserve">. </w:t>
      </w:r>
      <w:r w:rsidR="005B5702">
        <w:t xml:space="preserve">Если </w:t>
      </w:r>
      <w:r w:rsidR="00B77E63">
        <w:rPr>
          <w:lang w:val="en-US"/>
        </w:rPr>
        <w:t>SPAC</w:t>
      </w:r>
      <w:r w:rsidR="00B77E63">
        <w:t xml:space="preserve"> хватает средств на трастовом счету, то компания приобретает таргет. </w:t>
      </w:r>
      <w:r w:rsidR="00A129A7">
        <w:t>В противном случае</w:t>
      </w:r>
      <w:r w:rsidR="00B77E63">
        <w:t xml:space="preserve"> </w:t>
      </w:r>
      <w:r w:rsidR="00B77E63">
        <w:rPr>
          <w:lang w:val="en-US"/>
        </w:rPr>
        <w:t>SPAC</w:t>
      </w:r>
      <w:r w:rsidR="005B1E54" w:rsidRPr="005B1E54">
        <w:t xml:space="preserve"> </w:t>
      </w:r>
      <w:r w:rsidR="005B1E54">
        <w:t xml:space="preserve">привлекает </w:t>
      </w:r>
      <w:r w:rsidR="005B1E54">
        <w:rPr>
          <w:lang w:val="en-US"/>
        </w:rPr>
        <w:t>PIPE</w:t>
      </w:r>
      <w:r w:rsidR="005B1E54" w:rsidRPr="005B1E54">
        <w:t>-</w:t>
      </w:r>
      <w:r w:rsidR="005B1E54">
        <w:t xml:space="preserve">инвесторов для привлечения дополнительного капитала, после чего </w:t>
      </w:r>
      <w:r w:rsidR="00765B3F">
        <w:t>сделка осуществляется.</w:t>
      </w:r>
    </w:p>
    <w:p w14:paraId="119DDF1B" w14:textId="704352F1" w:rsidR="00765B3F" w:rsidRPr="007058C8" w:rsidRDefault="00765B3F" w:rsidP="00765B3F">
      <w:pPr>
        <w:ind w:firstLine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Post</w:t>
      </w:r>
      <w:r w:rsidRPr="007058C8"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merger</w:t>
      </w:r>
    </w:p>
    <w:p w14:paraId="0F4B093F" w14:textId="7A5AAD47" w:rsidR="00387A27" w:rsidRDefault="007058C8" w:rsidP="0063385C">
      <w:r>
        <w:t xml:space="preserve">После успешной сделки </w:t>
      </w:r>
      <w:r>
        <w:rPr>
          <w:lang w:val="en-US"/>
        </w:rPr>
        <w:t>SPAC</w:t>
      </w:r>
      <w:r>
        <w:t xml:space="preserve"> входит в период </w:t>
      </w:r>
      <w:r>
        <w:rPr>
          <w:lang w:val="en-US"/>
        </w:rPr>
        <w:t>deSPAC</w:t>
      </w:r>
      <w:r w:rsidR="00821B97">
        <w:t>. Юниты принудительно разделяются</w:t>
      </w:r>
      <w:r w:rsidR="00B92794">
        <w:t xml:space="preserve"> (если инвестор по-прежнему держит неразделенный юнит, то он </w:t>
      </w:r>
      <w:r w:rsidR="003B5664">
        <w:t>делится принудительно)</w:t>
      </w:r>
      <w:r w:rsidR="00821B97">
        <w:t xml:space="preserve">, акции компании в большинстве случаев начинают торговаться под новым тикером. </w:t>
      </w:r>
      <w:r w:rsidR="00E819CD">
        <w:t>Менеджеры могут конвертировать свои акции основателя в публичные акции</w:t>
      </w:r>
      <w:r w:rsidR="00D50BAC">
        <w:t>, варранты исполняются спустя 30 дней после поглощения.</w:t>
      </w:r>
    </w:p>
    <w:p w14:paraId="0F10850E" w14:textId="305F71DF" w:rsidR="008C3167" w:rsidRDefault="008C3167" w:rsidP="00122D78">
      <w:pPr>
        <w:pStyle w:val="2"/>
        <w:numPr>
          <w:ilvl w:val="1"/>
          <w:numId w:val="10"/>
        </w:numPr>
      </w:pPr>
      <w:bookmarkStart w:id="15" w:name="_Toc102050297"/>
      <w:bookmarkStart w:id="16" w:name="_Toc102050669"/>
      <w:r>
        <w:t xml:space="preserve">Сравнение </w:t>
      </w:r>
      <w:r w:rsidR="003B5664">
        <w:t xml:space="preserve">традиционного </w:t>
      </w:r>
      <w:r>
        <w:rPr>
          <w:lang w:val="en-US"/>
        </w:rPr>
        <w:t>IPO</w:t>
      </w:r>
      <w:r w:rsidRPr="00E0289E">
        <w:t xml:space="preserve"> </w:t>
      </w:r>
      <w:r>
        <w:t xml:space="preserve">и </w:t>
      </w:r>
      <w:r>
        <w:rPr>
          <w:lang w:val="en-US"/>
        </w:rPr>
        <w:t>SPAC</w:t>
      </w:r>
      <w:bookmarkEnd w:id="15"/>
      <w:bookmarkEnd w:id="16"/>
    </w:p>
    <w:p w14:paraId="24592219" w14:textId="7A6B7F60" w:rsidR="008C3167" w:rsidRDefault="00FD4C4E" w:rsidP="008C3167">
      <w:r>
        <w:t xml:space="preserve">Выход на биржу посредством </w:t>
      </w:r>
      <w:r w:rsidR="00E1412D">
        <w:t>слияния с</w:t>
      </w:r>
      <w:r w:rsidR="00542A48">
        <w:t>о</w:t>
      </w:r>
      <w:r w:rsidR="00E1412D">
        <w:t xml:space="preserve"> </w:t>
      </w:r>
      <w:r w:rsidR="00E1412D">
        <w:rPr>
          <w:lang w:val="en-US"/>
        </w:rPr>
        <w:t>SPAC</w:t>
      </w:r>
      <w:r w:rsidR="00E1412D">
        <w:t xml:space="preserve"> имеет свои преимущества и недостатки, однако</w:t>
      </w:r>
      <w:r w:rsidR="0093586A">
        <w:t xml:space="preserve"> </w:t>
      </w:r>
      <w:r w:rsidR="00D6199A">
        <w:t xml:space="preserve">для их четкого обозначения необходимо проанализировать суть процесса классического </w:t>
      </w:r>
      <w:r w:rsidR="00D6199A">
        <w:rPr>
          <w:lang w:val="en-US"/>
        </w:rPr>
        <w:t>IPO</w:t>
      </w:r>
      <w:r w:rsidR="00D6199A">
        <w:t xml:space="preserve"> и на основе научных работ</w:t>
      </w:r>
      <w:r w:rsidR="007D5956">
        <w:t xml:space="preserve">, посвященных данной проблематике, и прочих ресурсов </w:t>
      </w:r>
      <w:r w:rsidR="00D65E1F">
        <w:t>дать сравнительную характеристику данных методов размещения акций на бирже.</w:t>
      </w:r>
    </w:p>
    <w:p w14:paraId="058F826A" w14:textId="0149DE1F" w:rsidR="00D33C59" w:rsidRDefault="00391D85" w:rsidP="00122D78">
      <w:pPr>
        <w:pStyle w:val="3"/>
        <w:numPr>
          <w:ilvl w:val="2"/>
          <w:numId w:val="10"/>
        </w:numPr>
      </w:pPr>
      <w:bookmarkStart w:id="17" w:name="_Toc102050298"/>
      <w:bookmarkStart w:id="18" w:name="_Toc102050670"/>
      <w:r>
        <w:t>Описание</w:t>
      </w:r>
      <w:r w:rsidR="00D33C59">
        <w:t xml:space="preserve"> </w:t>
      </w:r>
      <w:r w:rsidR="00D33C59">
        <w:rPr>
          <w:lang w:val="en-US"/>
        </w:rPr>
        <w:t>IPO</w:t>
      </w:r>
      <w:bookmarkEnd w:id="17"/>
      <w:bookmarkEnd w:id="18"/>
    </w:p>
    <w:p w14:paraId="6FE814E7" w14:textId="1AB7057A" w:rsidR="00D33C59" w:rsidRDefault="00A4739D" w:rsidP="00D33C59">
      <w:r>
        <w:rPr>
          <w:lang w:val="en-US"/>
        </w:rPr>
        <w:t>Initial</w:t>
      </w:r>
      <w:r w:rsidRPr="008D349B">
        <w:t xml:space="preserve"> </w:t>
      </w:r>
      <w:r>
        <w:rPr>
          <w:lang w:val="en-US"/>
        </w:rPr>
        <w:t>Pub</w:t>
      </w:r>
      <w:r w:rsidR="00F63916">
        <w:rPr>
          <w:lang w:val="en-US"/>
        </w:rPr>
        <w:t>lic</w:t>
      </w:r>
      <w:r w:rsidR="00F63916" w:rsidRPr="008D349B">
        <w:t xml:space="preserve"> </w:t>
      </w:r>
      <w:r w:rsidR="00F63916">
        <w:rPr>
          <w:lang w:val="en-US"/>
        </w:rPr>
        <w:t>Offering</w:t>
      </w:r>
      <w:r w:rsidR="008D349B" w:rsidRPr="008D349B">
        <w:t xml:space="preserve"> (</w:t>
      </w:r>
      <w:r w:rsidR="008D349B">
        <w:rPr>
          <w:lang w:val="en-US"/>
        </w:rPr>
        <w:t>I</w:t>
      </w:r>
      <w:r w:rsidR="00F63916">
        <w:rPr>
          <w:lang w:val="en-US"/>
        </w:rPr>
        <w:t>PO</w:t>
      </w:r>
      <w:r w:rsidR="00F63916" w:rsidRPr="008D349B">
        <w:t>)</w:t>
      </w:r>
      <w:r w:rsidR="00FE1B1B" w:rsidRPr="008D349B">
        <w:t xml:space="preserve"> </w:t>
      </w:r>
      <w:r w:rsidR="008D349B" w:rsidRPr="008D349B">
        <w:t>–</w:t>
      </w:r>
      <w:r w:rsidR="00FE1B1B" w:rsidRPr="008D349B">
        <w:t xml:space="preserve"> </w:t>
      </w:r>
      <w:r w:rsidR="008D349B">
        <w:t>первичное</w:t>
      </w:r>
      <w:r w:rsidR="008D349B" w:rsidRPr="008D349B">
        <w:t xml:space="preserve"> </w:t>
      </w:r>
      <w:r w:rsidR="008D349B">
        <w:t>публичное</w:t>
      </w:r>
      <w:r w:rsidR="008D349B" w:rsidRPr="008D349B">
        <w:t xml:space="preserve"> </w:t>
      </w:r>
      <w:r w:rsidR="008D349B">
        <w:t>размещение акций</w:t>
      </w:r>
      <w:r w:rsidR="00F4220E">
        <w:t xml:space="preserve"> на бирже, после чего ценные бумаги становятся доступными к покупке и продаже широкому кругу инвесторов.</w:t>
      </w:r>
      <w:r w:rsidR="00022719" w:rsidRPr="00022719">
        <w:t xml:space="preserve"> </w:t>
      </w:r>
      <w:r w:rsidR="00022719">
        <w:t xml:space="preserve">В результате размещения структура собственности компании меняется: </w:t>
      </w:r>
      <w:r w:rsidR="00022719">
        <w:lastRenderedPageBreak/>
        <w:t>размывается доля п</w:t>
      </w:r>
      <w:r w:rsidR="00162CDB">
        <w:t xml:space="preserve">ервоначальных </w:t>
      </w:r>
      <w:r w:rsidR="003A3AD4">
        <w:t xml:space="preserve">акционеров. При этом компания получает </w:t>
      </w:r>
      <w:r w:rsidR="00D06B50">
        <w:t>большой объем денежный средств в результате продажи акций.</w:t>
      </w:r>
      <w:r w:rsidR="007A2D97">
        <w:t xml:space="preserve"> Главным п</w:t>
      </w:r>
      <w:r w:rsidR="00BC092A">
        <w:t xml:space="preserve">артнером кандидатов на размещение акций являются андеррайтеры, в лице которых выступают инвестиционные </w:t>
      </w:r>
      <w:r w:rsidR="00C9600E">
        <w:t xml:space="preserve">банки. </w:t>
      </w:r>
      <w:r w:rsidR="00B02C24">
        <w:t xml:space="preserve">Андеррайтеры сопровождают компанию на всех этапах </w:t>
      </w:r>
      <w:r w:rsidR="00B02C24">
        <w:rPr>
          <w:lang w:val="en-US"/>
        </w:rPr>
        <w:t>IPO</w:t>
      </w:r>
      <w:r w:rsidR="00C43CED">
        <w:t xml:space="preserve">, затрагивающих </w:t>
      </w:r>
      <w:r w:rsidR="006A5C6A">
        <w:t>подготовку</w:t>
      </w:r>
      <w:r w:rsidR="00C43CED">
        <w:t xml:space="preserve"> документов, анализ цены размещения, маркетинга фирмы и пр.</w:t>
      </w:r>
      <w:r w:rsidR="008545C1">
        <w:t xml:space="preserve"> Несмотря на то, что компания имеет право</w:t>
      </w:r>
      <w:r w:rsidR="00956B29">
        <w:t xml:space="preserve"> выйти на биржу без использования услуг андеррайтеров</w:t>
      </w:r>
      <w:r w:rsidR="00805354">
        <w:t xml:space="preserve"> (прямой листинг), </w:t>
      </w:r>
      <w:r w:rsidR="00281A71">
        <w:t>менеджменты очень редко выбирают такой способ размещения ввиду сло</w:t>
      </w:r>
      <w:r w:rsidR="009D0FCF">
        <w:t>жности процесса, поэтому прямой листинг не рассматривается в данной работе.</w:t>
      </w:r>
      <w:r w:rsidR="00964612">
        <w:t xml:space="preserve"> Общее ч</w:t>
      </w:r>
      <w:r w:rsidR="00D333E5">
        <w:t xml:space="preserve">исло </w:t>
      </w:r>
      <w:r w:rsidR="00E053EB">
        <w:t>американских</w:t>
      </w:r>
      <w:r w:rsidR="0015146C" w:rsidRPr="00964612">
        <w:t xml:space="preserve"> </w:t>
      </w:r>
      <w:r w:rsidR="0015146C">
        <w:rPr>
          <w:lang w:val="en-US"/>
        </w:rPr>
        <w:t>IPO</w:t>
      </w:r>
      <w:r w:rsidR="0015146C">
        <w:t xml:space="preserve"> </w:t>
      </w:r>
      <w:r w:rsidR="00964612">
        <w:t>в 2021 году составило 968</w:t>
      </w:r>
      <w:r w:rsidR="006604EB">
        <w:t xml:space="preserve">, что примерно в 3 раза числа первичных размещений в 2007 году </w:t>
      </w:r>
      <w:r w:rsidR="0074671E">
        <w:t xml:space="preserve">и в 20 раз больше количество </w:t>
      </w:r>
      <w:r w:rsidR="0074671E">
        <w:rPr>
          <w:lang w:val="en-US"/>
        </w:rPr>
        <w:t>IPO</w:t>
      </w:r>
      <w:r w:rsidR="0074671E">
        <w:t xml:space="preserve"> в 2008 году. Из 968 компаний </w:t>
      </w:r>
      <w:r w:rsidR="00AE695B">
        <w:t xml:space="preserve">лишь 355 фирм вышли на биржу путем традиционного </w:t>
      </w:r>
      <w:r w:rsidR="00AE695B">
        <w:rPr>
          <w:lang w:val="en-US"/>
        </w:rPr>
        <w:t>IPO</w:t>
      </w:r>
      <w:r w:rsidR="00AE695B">
        <w:t xml:space="preserve">. </w:t>
      </w:r>
      <w:r w:rsidR="004D4259">
        <w:t xml:space="preserve">До 2018 года </w:t>
      </w:r>
      <w:r w:rsidR="004B3CCC">
        <w:t xml:space="preserve">доля классического </w:t>
      </w:r>
      <w:r w:rsidR="004B3CCC">
        <w:rPr>
          <w:lang w:val="en-US"/>
        </w:rPr>
        <w:t>IPO</w:t>
      </w:r>
      <w:r w:rsidR="004B3CCC">
        <w:t xml:space="preserve"> не была ниже 80%.</w:t>
      </w:r>
      <w:r w:rsidR="00EC2D82">
        <w:rPr>
          <w:rStyle w:val="af5"/>
        </w:rPr>
        <w:footnoteReference w:id="24"/>
      </w:r>
    </w:p>
    <w:p w14:paraId="47CFA8A8" w14:textId="79E81F2E" w:rsidR="0010220D" w:rsidRDefault="00CF1F71" w:rsidP="00D33C59">
      <w:r>
        <w:t xml:space="preserve">Процесс </w:t>
      </w:r>
      <w:r w:rsidR="002D66EE">
        <w:t>первичного размещения акций</w:t>
      </w:r>
      <w:r w:rsidR="00CA2541">
        <w:rPr>
          <w:rStyle w:val="af5"/>
        </w:rPr>
        <w:footnoteReference w:id="25"/>
      </w:r>
      <w:r w:rsidR="002D66EE">
        <w:t xml:space="preserve"> можно разделить на </w:t>
      </w:r>
      <w:r w:rsidR="007624AA">
        <w:t>2 основных этапа</w:t>
      </w:r>
      <w:r w:rsidR="002D66EE">
        <w:t>:</w:t>
      </w:r>
    </w:p>
    <w:p w14:paraId="492ED23A" w14:textId="77777777" w:rsidR="00617104" w:rsidRDefault="00220B59" w:rsidP="0067640E">
      <w:pPr>
        <w:pStyle w:val="ae"/>
        <w:numPr>
          <w:ilvl w:val="0"/>
          <w:numId w:val="5"/>
        </w:numPr>
      </w:pPr>
      <w:r w:rsidRPr="00220B59">
        <w:rPr>
          <w:b/>
          <w:bCs/>
        </w:rPr>
        <w:t xml:space="preserve">Подготовка к </w:t>
      </w:r>
      <w:r w:rsidRPr="00220B59">
        <w:rPr>
          <w:b/>
          <w:bCs/>
          <w:lang w:val="en-US"/>
        </w:rPr>
        <w:t>IPO</w:t>
      </w:r>
      <w:r>
        <w:t xml:space="preserve">. </w:t>
      </w:r>
    </w:p>
    <w:p w14:paraId="33A88F96" w14:textId="6644538C" w:rsidR="002D66EE" w:rsidRDefault="000661E4" w:rsidP="00617104">
      <w:r>
        <w:t>После принятия решен</w:t>
      </w:r>
      <w:r w:rsidR="00595CD1">
        <w:t xml:space="preserve">ия о выходе на биржу, </w:t>
      </w:r>
      <w:r w:rsidR="00F95967">
        <w:t>топ-менеджме</w:t>
      </w:r>
      <w:r w:rsidR="00F10945">
        <w:t xml:space="preserve">нт инициирует </w:t>
      </w:r>
      <w:r w:rsidR="00A64C91">
        <w:t>проведение следующих мероприятий</w:t>
      </w:r>
      <w:r w:rsidR="00F10945">
        <w:t xml:space="preserve">: </w:t>
      </w:r>
      <w:r w:rsidR="00A64C91">
        <w:t xml:space="preserve">обсуждение </w:t>
      </w:r>
      <w:r w:rsidR="006E6A11">
        <w:t>того</w:t>
      </w:r>
      <w:r w:rsidR="00A64C91">
        <w:t xml:space="preserve">, </w:t>
      </w:r>
      <w:r w:rsidR="00F10945">
        <w:t>через какую фирму будет проводиться листинг</w:t>
      </w:r>
      <w:r w:rsidR="00A64C91">
        <w:t>;</w:t>
      </w:r>
      <w:r w:rsidR="00134B27">
        <w:t xml:space="preserve"> </w:t>
      </w:r>
      <w:r w:rsidR="003E298E">
        <w:t>формирование</w:t>
      </w:r>
      <w:r w:rsidR="00134B27">
        <w:t xml:space="preserve"> финансовой </w:t>
      </w:r>
      <w:r w:rsidR="007C1271">
        <w:t>информации за последние три года</w:t>
      </w:r>
      <w:r w:rsidR="00F10945">
        <w:t xml:space="preserve"> </w:t>
      </w:r>
      <w:r w:rsidR="003E298E">
        <w:t xml:space="preserve">вместе с </w:t>
      </w:r>
      <w:r w:rsidR="001C1F89">
        <w:t xml:space="preserve">подготовкой к раскрытию финансовой отчетности по стандартам </w:t>
      </w:r>
      <w:r w:rsidR="00D260E9">
        <w:t>МСФО</w:t>
      </w:r>
      <w:r w:rsidR="00111B17">
        <w:t xml:space="preserve">; </w:t>
      </w:r>
      <w:r w:rsidR="00F87584">
        <w:t xml:space="preserve">оценка </w:t>
      </w:r>
      <w:r w:rsidR="00F85735">
        <w:t>эффективности финансовой функции организации (ревизия систем бюджетирования, аудирования</w:t>
      </w:r>
      <w:r w:rsidR="0067640E">
        <w:t>, финансового и управленческого учета);</w:t>
      </w:r>
      <w:r w:rsidR="003E2CB1">
        <w:t xml:space="preserve"> </w:t>
      </w:r>
      <w:r w:rsidR="00A124E0">
        <w:t>анализ</w:t>
      </w:r>
      <w:r w:rsidR="00FB4DD9">
        <w:t xml:space="preserve"> </w:t>
      </w:r>
      <w:r w:rsidR="00582860">
        <w:t>соответствия</w:t>
      </w:r>
      <w:r w:rsidR="00FB4DD9">
        <w:t xml:space="preserve"> прочим требованиям к проведению </w:t>
      </w:r>
      <w:r w:rsidR="00FB4DD9" w:rsidRPr="00617104">
        <w:rPr>
          <w:lang w:val="en-US"/>
        </w:rPr>
        <w:t>IPO</w:t>
      </w:r>
      <w:r w:rsidR="00FB4DD9">
        <w:t>.</w:t>
      </w:r>
      <w:r w:rsidR="001E0E0C">
        <w:t xml:space="preserve"> Одним из важнейшем элементов данного этапа является </w:t>
      </w:r>
      <w:r w:rsidR="00EF6D69">
        <w:t>выбор</w:t>
      </w:r>
      <w:r w:rsidR="00B4604C">
        <w:t xml:space="preserve"> партнеров </w:t>
      </w:r>
      <w:r w:rsidR="00B4604C" w:rsidRPr="00617104">
        <w:rPr>
          <w:lang w:val="en-US"/>
        </w:rPr>
        <w:t>IPO</w:t>
      </w:r>
      <w:r w:rsidR="00B4604C">
        <w:t>, в число которых входят</w:t>
      </w:r>
      <w:r w:rsidR="00097C79">
        <w:t xml:space="preserve">: </w:t>
      </w:r>
      <w:r w:rsidR="00C27ADD">
        <w:t xml:space="preserve">инвестиционные банки, </w:t>
      </w:r>
      <w:r w:rsidR="00097C79">
        <w:t>юридические консультанты компании и андеррайтера</w:t>
      </w:r>
      <w:r w:rsidR="00C27ADD">
        <w:t>, независимый аудитор</w:t>
      </w:r>
      <w:r w:rsidR="00EE0B28">
        <w:t xml:space="preserve"> и прочие консультанты (связь с общественностью, маркетинг</w:t>
      </w:r>
      <w:r w:rsidR="0002778C">
        <w:t>, подготовка презентаций и пр.).</w:t>
      </w:r>
    </w:p>
    <w:p w14:paraId="1D86788A" w14:textId="11B00963" w:rsidR="00F70765" w:rsidRPr="00617104" w:rsidRDefault="00617104" w:rsidP="0067640E">
      <w:pPr>
        <w:pStyle w:val="ae"/>
        <w:numPr>
          <w:ilvl w:val="0"/>
          <w:numId w:val="5"/>
        </w:numPr>
      </w:pPr>
      <w:r>
        <w:rPr>
          <w:b/>
          <w:bCs/>
        </w:rPr>
        <w:t>Процесс выхода на биржу</w:t>
      </w:r>
    </w:p>
    <w:p w14:paraId="1B285889" w14:textId="7AA47C15" w:rsidR="00617104" w:rsidRDefault="00034BC5" w:rsidP="00617104">
      <w:r>
        <w:t xml:space="preserve">Компания проводит </w:t>
      </w:r>
      <w:r w:rsidR="000C7F14">
        <w:t>организационную</w:t>
      </w:r>
      <w:r>
        <w:t xml:space="preserve"> встречу со всеми участниками </w:t>
      </w:r>
      <w:r w:rsidR="00915E1E">
        <w:rPr>
          <w:lang w:val="en-US"/>
        </w:rPr>
        <w:t>IPO</w:t>
      </w:r>
      <w:r w:rsidR="00915E1E">
        <w:t xml:space="preserve"> с целью обсуждения первичных аспектов, связанных с размещением, и </w:t>
      </w:r>
      <w:r w:rsidR="00094BB2">
        <w:t>определения дедлайнов.</w:t>
      </w:r>
      <w:r w:rsidR="00915E1E">
        <w:t xml:space="preserve"> </w:t>
      </w:r>
      <w:r w:rsidR="00F32A83">
        <w:t xml:space="preserve">На данном этапе большой </w:t>
      </w:r>
      <w:r w:rsidR="00EC1D84">
        <w:t>объем работы посвящен составлению ряда документов</w:t>
      </w:r>
      <w:r w:rsidR="009C4461">
        <w:t xml:space="preserve">: финансовые данные для аналитиков из инвестиционных банков, </w:t>
      </w:r>
      <w:r w:rsidR="003A054C">
        <w:rPr>
          <w:lang w:val="en-US"/>
        </w:rPr>
        <w:t>due</w:t>
      </w:r>
      <w:r w:rsidR="003A054C" w:rsidRPr="003A054C">
        <w:t xml:space="preserve"> </w:t>
      </w:r>
      <w:r w:rsidR="003A054C">
        <w:rPr>
          <w:lang w:val="en-US"/>
        </w:rPr>
        <w:t>diligence</w:t>
      </w:r>
      <w:r w:rsidR="003A054C" w:rsidRPr="003A054C">
        <w:t xml:space="preserve"> (</w:t>
      </w:r>
      <w:r w:rsidR="003A054C">
        <w:t>юридическая проверка финансово-хозяйственной деятельности</w:t>
      </w:r>
      <w:r w:rsidR="003539EA">
        <w:t>), проспект эмиссии.</w:t>
      </w:r>
      <w:r>
        <w:t xml:space="preserve"> </w:t>
      </w:r>
      <w:r w:rsidR="0077687C">
        <w:t>Последний документ является особенно важным, поскольку он</w:t>
      </w:r>
      <w:r w:rsidR="001C1BF7">
        <w:t xml:space="preserve"> содержит важную информацию о бизнесе как для регулятора, так</w:t>
      </w:r>
      <w:r w:rsidR="004150B7">
        <w:t xml:space="preserve"> и для инвесторов. </w:t>
      </w:r>
      <w:r w:rsidR="00386785">
        <w:t>Проспект эмиссии включает</w:t>
      </w:r>
      <w:r w:rsidR="00160B3D">
        <w:t>:</w:t>
      </w:r>
      <w:r w:rsidR="00386785">
        <w:t xml:space="preserve"> </w:t>
      </w:r>
      <w:r w:rsidR="002E57FF">
        <w:t xml:space="preserve">информацию </w:t>
      </w:r>
      <w:r w:rsidR="00A62B57">
        <w:t xml:space="preserve">о </w:t>
      </w:r>
      <w:r w:rsidR="00160B3D">
        <w:t xml:space="preserve">бизнесе и </w:t>
      </w:r>
      <w:r w:rsidR="00160B3D">
        <w:lastRenderedPageBreak/>
        <w:t>его рисках;</w:t>
      </w:r>
      <w:r w:rsidR="00386785">
        <w:t xml:space="preserve"> </w:t>
      </w:r>
      <w:r w:rsidR="002E57FF">
        <w:t xml:space="preserve">информацию об </w:t>
      </w:r>
      <w:r w:rsidR="00211C6B">
        <w:t xml:space="preserve">использовании средств, привлеченных с </w:t>
      </w:r>
      <w:r w:rsidR="00211C6B">
        <w:rPr>
          <w:lang w:val="en-US"/>
        </w:rPr>
        <w:t>IPO</w:t>
      </w:r>
      <w:r w:rsidR="00160B3D">
        <w:t>; политик</w:t>
      </w:r>
      <w:r w:rsidR="002E57FF">
        <w:t>у</w:t>
      </w:r>
      <w:r w:rsidR="00160B3D">
        <w:t xml:space="preserve"> в области дивидендов; капитализаци</w:t>
      </w:r>
      <w:r w:rsidR="002E57FF">
        <w:t>ю</w:t>
      </w:r>
      <w:r w:rsidR="00160B3D">
        <w:t>; финанс</w:t>
      </w:r>
      <w:r w:rsidR="002E57FF">
        <w:t>овые данные</w:t>
      </w:r>
      <w:r w:rsidR="00160B3D">
        <w:t xml:space="preserve">; </w:t>
      </w:r>
      <w:r w:rsidR="002E57FF">
        <w:t xml:space="preserve">анализ </w:t>
      </w:r>
      <w:r w:rsidR="001168EA">
        <w:t>результатов финансово-хозяйственной деятельности руководством компании (</w:t>
      </w:r>
      <w:r w:rsidR="001168EA">
        <w:rPr>
          <w:lang w:val="en-US"/>
        </w:rPr>
        <w:t>MD</w:t>
      </w:r>
      <w:r w:rsidR="001168EA" w:rsidRPr="001168EA">
        <w:t>&amp;</w:t>
      </w:r>
      <w:r w:rsidR="001168EA">
        <w:rPr>
          <w:lang w:val="en-US"/>
        </w:rPr>
        <w:t>A</w:t>
      </w:r>
      <w:r w:rsidR="001168EA" w:rsidRPr="001168EA">
        <w:t>)</w:t>
      </w:r>
      <w:r w:rsidR="001168EA">
        <w:t>; информацию о ликвидности; информацию об источниках капитала; информацию о забалансовых источниках капитала и прочее.</w:t>
      </w:r>
      <w:r w:rsidR="000E4D46">
        <w:t xml:space="preserve"> Регулятор проверяет проспект эмиссии. Затем </w:t>
      </w:r>
      <w:r w:rsidR="00950E02">
        <w:t xml:space="preserve">компания проводит встречи с </w:t>
      </w:r>
      <w:r w:rsidR="003C4E99">
        <w:t xml:space="preserve">брокерами и институциональными </w:t>
      </w:r>
      <w:r w:rsidR="00950E02">
        <w:t>инвесторами (</w:t>
      </w:r>
      <w:proofErr w:type="spellStart"/>
      <w:r w:rsidR="002D087F">
        <w:t>роуд</w:t>
      </w:r>
      <w:proofErr w:type="spellEnd"/>
      <w:r w:rsidR="002D087F">
        <w:t>-шоу)</w:t>
      </w:r>
      <w:r w:rsidR="003C4E99">
        <w:t xml:space="preserve"> для обеспечения успешной продажи акций. </w:t>
      </w:r>
      <w:r w:rsidR="0007254C">
        <w:t>Наконец, топ-менеджмент проводит переговоры о</w:t>
      </w:r>
      <w:r w:rsidR="00297ACF">
        <w:t>б окончательной цене размещени</w:t>
      </w:r>
      <w:r w:rsidR="00644E01">
        <w:t xml:space="preserve">я. Аналитики инвестиционных банков используют различные методы (в том числе метод </w:t>
      </w:r>
      <w:r w:rsidR="00644E01">
        <w:rPr>
          <w:lang w:val="en-US"/>
        </w:rPr>
        <w:t>DCF</w:t>
      </w:r>
      <w:r w:rsidR="00644E01">
        <w:t xml:space="preserve"> и анализ мультипликаторов) для </w:t>
      </w:r>
      <w:r w:rsidR="00F93B9A">
        <w:t>расчета первичной цены акций</w:t>
      </w:r>
      <w:r w:rsidR="0047052A">
        <w:t>.</w:t>
      </w:r>
      <w:r w:rsidR="001A6DB2">
        <w:t xml:space="preserve"> В ходе завершительного заседания компания объявляет о дате размещения акций</w:t>
      </w:r>
      <w:r w:rsidR="00F91947">
        <w:t>.</w:t>
      </w:r>
    </w:p>
    <w:p w14:paraId="2D8C0B66" w14:textId="78D62794" w:rsidR="00F91947" w:rsidRDefault="00725D18" w:rsidP="00617104">
      <w:r>
        <w:t xml:space="preserve">Инвестиции в </w:t>
      </w:r>
      <w:r>
        <w:rPr>
          <w:lang w:val="en-US"/>
        </w:rPr>
        <w:t>IPO</w:t>
      </w:r>
      <w:r>
        <w:t xml:space="preserve"> </w:t>
      </w:r>
      <w:r w:rsidR="002D11EF">
        <w:t>доступны всем розничным</w:t>
      </w:r>
      <w:r w:rsidR="00965A8C" w:rsidRPr="00965A8C">
        <w:t xml:space="preserve"> </w:t>
      </w:r>
      <w:r w:rsidR="00965A8C">
        <w:t>инвесторам</w:t>
      </w:r>
      <w:r w:rsidR="008C7A02">
        <w:t>, однако у каждого американского брокера есть свои правила участия в сделке</w:t>
      </w:r>
      <w:r w:rsidR="00F642C4" w:rsidRPr="00F642C4">
        <w:t xml:space="preserve"> (</w:t>
      </w:r>
      <w:r w:rsidR="00F642C4">
        <w:t xml:space="preserve">например, </w:t>
      </w:r>
      <w:r w:rsidR="00442E00">
        <w:t>для покупки</w:t>
      </w:r>
      <w:r w:rsidR="00AC3CEF">
        <w:t xml:space="preserve"> акций по цене размещения через </w:t>
      </w:r>
      <w:r w:rsidR="00AC3CEF">
        <w:rPr>
          <w:lang w:val="en-US"/>
        </w:rPr>
        <w:t>Fidelity</w:t>
      </w:r>
      <w:r w:rsidR="00AC3CEF" w:rsidRPr="00AC3CEF">
        <w:t xml:space="preserve"> </w:t>
      </w:r>
      <w:r w:rsidR="00AC3CEF">
        <w:t xml:space="preserve">необходимо иметь </w:t>
      </w:r>
      <w:r w:rsidR="00AC3CEF" w:rsidRPr="00AC3CEF">
        <w:t>$</w:t>
      </w:r>
      <w:r w:rsidR="00AC3CEF">
        <w:t>100</w:t>
      </w:r>
      <w:r w:rsidR="00442E00">
        <w:t> 000</w:t>
      </w:r>
      <w:r w:rsidR="00442E00" w:rsidRPr="00442E00">
        <w:t xml:space="preserve"> </w:t>
      </w:r>
      <w:r w:rsidR="00442E00">
        <w:t>на счету</w:t>
      </w:r>
      <w:r w:rsidR="00442E00">
        <w:rPr>
          <w:rStyle w:val="af5"/>
        </w:rPr>
        <w:footnoteReference w:id="26"/>
      </w:r>
      <w:r w:rsidR="00442E00">
        <w:t>)</w:t>
      </w:r>
      <w:r w:rsidR="002A77FE">
        <w:t xml:space="preserve">, российские инвесторы без ограничений могут участвовать в российских </w:t>
      </w:r>
      <w:r w:rsidR="002A77FE">
        <w:rPr>
          <w:lang w:val="en-US"/>
        </w:rPr>
        <w:t>IPO</w:t>
      </w:r>
      <w:r w:rsidR="002A77FE">
        <w:t xml:space="preserve">, но для участия в американских </w:t>
      </w:r>
      <w:r w:rsidR="002A77FE">
        <w:rPr>
          <w:lang w:val="en-US"/>
        </w:rPr>
        <w:t>IPO</w:t>
      </w:r>
      <w:r w:rsidR="002A77FE">
        <w:t xml:space="preserve"> необходим статус квалифицированного инвестора.</w:t>
      </w:r>
      <w:r w:rsidR="00D1587C">
        <w:t xml:space="preserve"> </w:t>
      </w:r>
      <w:r w:rsidR="00CA3632">
        <w:t>Первоначальными инвесторами в компанию, собирающуюся разместить свои акции на бирже, в боль</w:t>
      </w:r>
      <w:r w:rsidR="00BF1DB5">
        <w:t>шинстве случаев являются институциональные инвесторы</w:t>
      </w:r>
      <w:r w:rsidR="00A46A29">
        <w:t xml:space="preserve">, принимающие решения о вложении после </w:t>
      </w:r>
      <w:proofErr w:type="spellStart"/>
      <w:r w:rsidR="00A46A29">
        <w:t>роуд</w:t>
      </w:r>
      <w:proofErr w:type="spellEnd"/>
      <w:r w:rsidR="00A46A29">
        <w:t xml:space="preserve">-шоу. Затем </w:t>
      </w:r>
      <w:r w:rsidR="00CA6E0F">
        <w:t xml:space="preserve">инвестиционные </w:t>
      </w:r>
      <w:r w:rsidR="005704DE">
        <w:t>банки</w:t>
      </w:r>
      <w:r w:rsidR="00CA6E0F">
        <w:t xml:space="preserve"> формируют книгу заявок</w:t>
      </w:r>
      <w:r w:rsidR="005704DE">
        <w:t xml:space="preserve"> для инвесторов, желающих купить акции по размещения (предварительно </w:t>
      </w:r>
      <w:r w:rsidR="006B674A">
        <w:t>в СМИ публикуются информация о ценовом диапазоне</w:t>
      </w:r>
      <w:r w:rsidR="006B5B9E">
        <w:t xml:space="preserve"> размещения). </w:t>
      </w:r>
      <w:r w:rsidR="00F81790">
        <w:t xml:space="preserve">Далее определяется стоимость акции и аллокация - </w:t>
      </w:r>
      <w:r w:rsidR="007F1689" w:rsidRPr="007F1689">
        <w:t>процентный показатель выполнения заявок на приобретение акций при их первичном размещении.</w:t>
      </w:r>
      <w:r w:rsidR="007F1689">
        <w:rPr>
          <w:rStyle w:val="af5"/>
        </w:rPr>
        <w:footnoteReference w:id="27"/>
      </w:r>
      <w:r w:rsidR="007F1689" w:rsidRPr="007F1689">
        <w:t xml:space="preserve"> </w:t>
      </w:r>
      <w:r w:rsidR="00C21120">
        <w:t xml:space="preserve">С уменьшением вложенного капитала как правило уменьшается и аллокация, ввиду чего процент выполнения заявок у частных инвесторов гораздо ниже, чем у институциональных в </w:t>
      </w:r>
      <w:r w:rsidR="00F61E3E">
        <w:t>лице крупных хедж-фондов.</w:t>
      </w:r>
      <w:r w:rsidR="009C0132">
        <w:t xml:space="preserve"> После размещения </w:t>
      </w:r>
      <w:r w:rsidR="00B20498">
        <w:t xml:space="preserve">часто на акции накладывается </w:t>
      </w:r>
      <w:r w:rsidR="00B20498">
        <w:rPr>
          <w:lang w:val="en-US"/>
        </w:rPr>
        <w:t>lock</w:t>
      </w:r>
      <w:r w:rsidR="006C6978">
        <w:t>-</w:t>
      </w:r>
      <w:r w:rsidR="00B20498">
        <w:rPr>
          <w:lang w:val="en-US"/>
        </w:rPr>
        <w:t>up</w:t>
      </w:r>
      <w:r w:rsidR="00B20498" w:rsidRPr="00B20498">
        <w:t xml:space="preserve"> </w:t>
      </w:r>
      <w:r w:rsidR="00B20498">
        <w:t xml:space="preserve">период: инвесторы не могут продавать </w:t>
      </w:r>
      <w:r w:rsidR="007972B2">
        <w:t>свои ценные бумаги в течение определенного времени (может ранжироваться от 3 до 24 месяцев).</w:t>
      </w:r>
    </w:p>
    <w:p w14:paraId="54FC89FA" w14:textId="5F2D0A08" w:rsidR="00F96A95" w:rsidRDefault="00036EA6" w:rsidP="00F96A95">
      <w:r>
        <w:t xml:space="preserve">Затраты на </w:t>
      </w:r>
      <w:r>
        <w:rPr>
          <w:lang w:val="en-US"/>
        </w:rPr>
        <w:t>IPO</w:t>
      </w:r>
      <w:r>
        <w:t xml:space="preserve"> </w:t>
      </w:r>
      <w:r w:rsidR="005E5C30">
        <w:t xml:space="preserve">зависят от размера компании, суммы поступлений с </w:t>
      </w:r>
      <w:r w:rsidR="005E5C30">
        <w:rPr>
          <w:lang w:val="en-US"/>
        </w:rPr>
        <w:t>IPO</w:t>
      </w:r>
      <w:r w:rsidR="00173531">
        <w:t>, сложности структур</w:t>
      </w:r>
      <w:r w:rsidR="00896904">
        <w:t xml:space="preserve">ы </w:t>
      </w:r>
      <w:r w:rsidR="00896904">
        <w:rPr>
          <w:lang w:val="en-US"/>
        </w:rPr>
        <w:t>IPO</w:t>
      </w:r>
      <w:r w:rsidR="007E4D4A">
        <w:t xml:space="preserve"> и прочих факторов. Большая часть расходов приходится на плату за андеррайтинг, выражающуюся в проценте от привлеченных денежных средств с </w:t>
      </w:r>
      <w:r w:rsidR="007E4D4A">
        <w:lastRenderedPageBreak/>
        <w:t xml:space="preserve">размещения. </w:t>
      </w:r>
      <w:r w:rsidR="00221497">
        <w:t xml:space="preserve">Согласно аналитике </w:t>
      </w:r>
      <w:r w:rsidR="00221497">
        <w:rPr>
          <w:lang w:val="en-US"/>
        </w:rPr>
        <w:t>PWC</w:t>
      </w:r>
      <w:r w:rsidR="00221497">
        <w:t xml:space="preserve">, </w:t>
      </w:r>
      <w:r w:rsidR="00F834BA">
        <w:t xml:space="preserve">среди 829 исследованных сделок </w:t>
      </w:r>
      <w:r w:rsidR="00F834BA">
        <w:rPr>
          <w:lang w:val="en-US"/>
        </w:rPr>
        <w:t>IPO</w:t>
      </w:r>
      <w:r w:rsidR="00F834BA">
        <w:t xml:space="preserve"> </w:t>
      </w:r>
      <w:r w:rsidR="0013361F">
        <w:t xml:space="preserve">плата за андеррайтинг варьировалась от 3,5% до 7,0% от поступлений с </w:t>
      </w:r>
      <w:r w:rsidR="0013361F">
        <w:rPr>
          <w:lang w:val="en-US"/>
        </w:rPr>
        <w:t>IPO</w:t>
      </w:r>
      <w:r w:rsidR="0013361F">
        <w:t>.</w:t>
      </w:r>
      <w:r w:rsidR="0013361F">
        <w:rPr>
          <w:rStyle w:val="af5"/>
        </w:rPr>
        <w:footnoteReference w:id="28"/>
      </w:r>
      <w:r w:rsidR="0013361F">
        <w:t xml:space="preserve"> </w:t>
      </w:r>
      <w:r w:rsidR="00AD0190">
        <w:t xml:space="preserve">Чем </w:t>
      </w:r>
      <w:r w:rsidR="00852C12">
        <w:t>больше сумма сделки, тем меньше процент комиссии инвестиционных банков: так 3,5%</w:t>
      </w:r>
      <w:r w:rsidR="00D034F8">
        <w:t xml:space="preserve"> составляли затраты для компаний, которые привлекли более </w:t>
      </w:r>
      <w:r w:rsidR="00D034F8" w:rsidRPr="009E5B12">
        <w:t>$</w:t>
      </w:r>
      <w:r w:rsidR="00D034F8">
        <w:t>1</w:t>
      </w:r>
      <w:r w:rsidR="00D034F8" w:rsidRPr="009E5B12">
        <w:t xml:space="preserve"> </w:t>
      </w:r>
      <w:r w:rsidR="00D034F8">
        <w:t>млрд</w:t>
      </w:r>
      <w:r w:rsidR="009E5B12">
        <w:t xml:space="preserve">, 7,5% - </w:t>
      </w:r>
      <w:r w:rsidR="00D45301">
        <w:t xml:space="preserve">для компаний с поступлениями </w:t>
      </w:r>
      <w:r w:rsidR="009E5B12">
        <w:t>в интервал</w:t>
      </w:r>
      <w:r w:rsidR="00D45301">
        <w:t>е</w:t>
      </w:r>
      <w:r w:rsidR="009E5B12">
        <w:t xml:space="preserve"> от </w:t>
      </w:r>
      <w:r w:rsidR="009E5B12" w:rsidRPr="009E5B12">
        <w:t>$</w:t>
      </w:r>
      <w:r w:rsidR="009E5B12">
        <w:t xml:space="preserve">25 до </w:t>
      </w:r>
      <w:r w:rsidR="009E5B12" w:rsidRPr="009E5B12">
        <w:t>$99</w:t>
      </w:r>
      <w:r w:rsidR="009E5B12">
        <w:t xml:space="preserve"> тыс.</w:t>
      </w:r>
      <w:r w:rsidR="00D45301">
        <w:t xml:space="preserve"> </w:t>
      </w:r>
      <w:r w:rsidR="007A4958">
        <w:t>Другими</w:t>
      </w:r>
      <w:r w:rsidR="00820B03">
        <w:t xml:space="preserve"> затратами на </w:t>
      </w:r>
      <w:r w:rsidR="00820B03">
        <w:rPr>
          <w:lang w:val="en-US"/>
        </w:rPr>
        <w:t>IPO</w:t>
      </w:r>
      <w:r w:rsidR="00820B03">
        <w:t xml:space="preserve"> являются юридические услуги, бухгалтерский учет, </w:t>
      </w:r>
      <w:r w:rsidR="0039015F">
        <w:t>печать, регистраци</w:t>
      </w:r>
      <w:r w:rsidR="00FC6FE0">
        <w:t>я</w:t>
      </w:r>
      <w:r w:rsidR="0039015F">
        <w:t xml:space="preserve"> в </w:t>
      </w:r>
      <w:r w:rsidR="0039015F">
        <w:rPr>
          <w:lang w:val="en-US"/>
        </w:rPr>
        <w:t>SEC</w:t>
      </w:r>
      <w:r w:rsidR="00FC6FE0">
        <w:t xml:space="preserve">, подача документов </w:t>
      </w:r>
      <w:r w:rsidR="00D30BEF">
        <w:t xml:space="preserve">в </w:t>
      </w:r>
      <w:r w:rsidR="005C2AC5" w:rsidRPr="005C2AC5">
        <w:t>Служб</w:t>
      </w:r>
      <w:r w:rsidR="005C2AC5">
        <w:t>у</w:t>
      </w:r>
      <w:r w:rsidR="005C2AC5" w:rsidRPr="005C2AC5">
        <w:t xml:space="preserve"> регулирования отрасли финансовых услуг </w:t>
      </w:r>
      <w:r w:rsidR="005C2AC5">
        <w:t>(</w:t>
      </w:r>
      <w:r w:rsidR="00D30BEF">
        <w:rPr>
          <w:lang w:val="en-US"/>
        </w:rPr>
        <w:t>FINRA</w:t>
      </w:r>
      <w:r w:rsidR="005C2AC5">
        <w:t>)</w:t>
      </w:r>
      <w:r w:rsidR="00D30BEF">
        <w:t>, биржевой листинг и прочие</w:t>
      </w:r>
      <w:r w:rsidR="00BC252F">
        <w:t xml:space="preserve"> затраты, напрямую связанные с предложением.</w:t>
      </w:r>
    </w:p>
    <w:p w14:paraId="46C847AC" w14:textId="7DCC2297" w:rsidR="00F96A95" w:rsidRDefault="006770A9" w:rsidP="006770A9">
      <w:r>
        <w:t>Существует ряд причин</w:t>
      </w:r>
      <w:r w:rsidR="00242112">
        <w:t xml:space="preserve">, почему компании решают разместить свои акции на бирже, </w:t>
      </w:r>
      <w:r w:rsidR="00652AFC">
        <w:t xml:space="preserve">основной из них безусловно является привлечение существенного объема денежных средств </w:t>
      </w:r>
      <w:r w:rsidR="00DB096F">
        <w:t>для финансирования инвестиционных проектов.</w:t>
      </w:r>
      <w:r w:rsidR="006E56A6">
        <w:t xml:space="preserve"> </w:t>
      </w:r>
      <w:r w:rsidR="003D30D0">
        <w:t xml:space="preserve">Помимо этого, выход на </w:t>
      </w:r>
      <w:r w:rsidR="003D30D0">
        <w:rPr>
          <w:lang w:val="en-US"/>
        </w:rPr>
        <w:t>IPO</w:t>
      </w:r>
      <w:r w:rsidR="003D30D0">
        <w:t xml:space="preserve"> – отличная возможность повысить ликвидность </w:t>
      </w:r>
      <w:r w:rsidR="003E5C71">
        <w:t>капитала, особенно выгодным это может быть для менеджеров</w:t>
      </w:r>
      <w:r w:rsidR="008248A6">
        <w:t>, владеющих акциями компании. Вдобавок, некотор</w:t>
      </w:r>
      <w:r w:rsidR="004758C6">
        <w:t>ые публичные компании могут получать заемные средства под залог акций.</w:t>
      </w:r>
      <w:r w:rsidR="00D55674">
        <w:t xml:space="preserve"> </w:t>
      </w:r>
      <w:r w:rsidR="003F4172">
        <w:t>Помимо вышеперечисленного</w:t>
      </w:r>
      <w:r w:rsidR="00D55674">
        <w:t xml:space="preserve">, </w:t>
      </w:r>
      <w:r w:rsidR="000B656A">
        <w:t xml:space="preserve">выход на </w:t>
      </w:r>
      <w:r w:rsidR="000B656A">
        <w:rPr>
          <w:lang w:val="en-US"/>
        </w:rPr>
        <w:t>IPO</w:t>
      </w:r>
      <w:r w:rsidR="000B656A">
        <w:t xml:space="preserve"> можно воспринимать и как</w:t>
      </w:r>
      <w:r w:rsidR="0055316F">
        <w:t xml:space="preserve"> некий </w:t>
      </w:r>
      <w:r w:rsidR="0055316F">
        <w:rPr>
          <w:lang w:val="en-US"/>
        </w:rPr>
        <w:t>PR</w:t>
      </w:r>
      <w:r w:rsidR="0055316F" w:rsidRPr="0055316F">
        <w:t>-</w:t>
      </w:r>
      <w:r w:rsidR="0055316F">
        <w:t>ход, привлекающих большое внимание общественности и усиливающий давление на конкурентов.</w:t>
      </w:r>
      <w:r w:rsidR="00EA065C" w:rsidRPr="00EA065C">
        <w:t xml:space="preserve"> </w:t>
      </w:r>
      <w:r w:rsidR="00690ED5">
        <w:t xml:space="preserve">Для некоторых компаний, в особенности финансовых организаций, выход на </w:t>
      </w:r>
      <w:r w:rsidR="00690ED5">
        <w:rPr>
          <w:lang w:val="en-US"/>
        </w:rPr>
        <w:t>IPO</w:t>
      </w:r>
      <w:r w:rsidR="00690ED5">
        <w:t xml:space="preserve"> может обозначать и повышение лояльности клиентов, поскольку </w:t>
      </w:r>
      <w:r w:rsidR="00067CD4">
        <w:t>аудированная финансовая отчетность</w:t>
      </w:r>
      <w:r w:rsidR="00B80A8C">
        <w:t xml:space="preserve"> (обязательная </w:t>
      </w:r>
      <w:r w:rsidR="00141604">
        <w:t>после первичного размещения)</w:t>
      </w:r>
      <w:r w:rsidR="00067CD4">
        <w:t xml:space="preserve"> </w:t>
      </w:r>
      <w:r w:rsidR="00B80A8C">
        <w:t>говорит о надежности организации.</w:t>
      </w:r>
    </w:p>
    <w:p w14:paraId="5B31F193" w14:textId="70EC3435" w:rsidR="00696609" w:rsidRDefault="00696609" w:rsidP="00122D78">
      <w:pPr>
        <w:pStyle w:val="3"/>
        <w:numPr>
          <w:ilvl w:val="2"/>
          <w:numId w:val="10"/>
        </w:numPr>
      </w:pPr>
      <w:bookmarkStart w:id="19" w:name="_Toc102050299"/>
      <w:bookmarkStart w:id="20" w:name="_Toc102050671"/>
      <w:r>
        <w:t xml:space="preserve">Преимущества и недостатки </w:t>
      </w:r>
      <w:r>
        <w:rPr>
          <w:lang w:val="en-US"/>
        </w:rPr>
        <w:t>IPO</w:t>
      </w:r>
      <w:r>
        <w:t xml:space="preserve"> и </w:t>
      </w:r>
      <w:r>
        <w:rPr>
          <w:lang w:val="en-US"/>
        </w:rPr>
        <w:t>SPAC</w:t>
      </w:r>
      <w:bookmarkEnd w:id="19"/>
      <w:bookmarkEnd w:id="20"/>
    </w:p>
    <w:p w14:paraId="5E3D17D5" w14:textId="1CCA4117" w:rsidR="00696609" w:rsidRDefault="000F67C1" w:rsidP="00696609">
      <w:r>
        <w:t xml:space="preserve">Преимущества </w:t>
      </w:r>
      <w:r w:rsidR="00E34A81">
        <w:t xml:space="preserve">классического </w:t>
      </w:r>
      <w:r w:rsidR="00E34A81">
        <w:rPr>
          <w:lang w:val="en-US"/>
        </w:rPr>
        <w:t>IPO</w:t>
      </w:r>
      <w:r>
        <w:t xml:space="preserve"> были подробно описаны в предыдущем пункте, основными из них является привлечение капитала и повы</w:t>
      </w:r>
      <w:r w:rsidR="002648ED">
        <w:t xml:space="preserve">шение публичности. </w:t>
      </w:r>
      <w:r w:rsidR="006A39D5">
        <w:t xml:space="preserve">Одним из основных минусов </w:t>
      </w:r>
      <w:r w:rsidR="006A39D5">
        <w:rPr>
          <w:lang w:val="en-US"/>
        </w:rPr>
        <w:t>IPO</w:t>
      </w:r>
      <w:r w:rsidR="006A39D5">
        <w:t xml:space="preserve"> является длительность процесса. </w:t>
      </w:r>
      <w:r w:rsidR="0084462B">
        <w:t xml:space="preserve">Подготовка к </w:t>
      </w:r>
      <w:r w:rsidR="0084462B">
        <w:rPr>
          <w:lang w:val="en-US"/>
        </w:rPr>
        <w:t>IPO</w:t>
      </w:r>
      <w:r w:rsidR="0084462B">
        <w:t xml:space="preserve"> и само первичное размещение включают многочисленное количество </w:t>
      </w:r>
      <w:r w:rsidR="00107E83">
        <w:t>мероприятий от комплексного аудита отчетности до встречи с инвесторами.</w:t>
      </w:r>
      <w:r w:rsidR="005D01EA">
        <w:t xml:space="preserve"> В </w:t>
      </w:r>
      <w:r w:rsidR="005371F1">
        <w:t xml:space="preserve">случае, если все мероприятия проходят успешно, процесс может занять </w:t>
      </w:r>
      <w:r w:rsidR="00A66FB2">
        <w:t xml:space="preserve">от </w:t>
      </w:r>
      <w:r w:rsidR="002507C0">
        <w:t>12</w:t>
      </w:r>
      <w:r w:rsidR="00A66FB2">
        <w:t xml:space="preserve"> до </w:t>
      </w:r>
      <w:r w:rsidR="002507C0">
        <w:t>18</w:t>
      </w:r>
      <w:r w:rsidR="00A66FB2">
        <w:t xml:space="preserve"> месяцев</w:t>
      </w:r>
      <w:r w:rsidR="005F5C93">
        <w:t>, однако до этой активной фазы предварительные решения организации могут занимать годы.</w:t>
      </w:r>
      <w:r w:rsidR="00A3613E">
        <w:t xml:space="preserve"> Также </w:t>
      </w:r>
      <w:r w:rsidR="002F6A25">
        <w:t xml:space="preserve">в ходе </w:t>
      </w:r>
      <w:r w:rsidR="002F6A25">
        <w:rPr>
          <w:lang w:val="en-US"/>
        </w:rPr>
        <w:t>IPO</w:t>
      </w:r>
      <w:r w:rsidR="002F6A25">
        <w:t xml:space="preserve"> обременительным фактором для многих компаний может стать подготовка документов</w:t>
      </w:r>
      <w:r w:rsidR="0049671F">
        <w:t>, поскольку она может потребовать изменения</w:t>
      </w:r>
      <w:r w:rsidR="00B61B61">
        <w:t xml:space="preserve"> внутрифирменных систем, в частности </w:t>
      </w:r>
      <w:r w:rsidR="00B61B61">
        <w:lastRenderedPageBreak/>
        <w:t>пересмотр финансовой функции организации.</w:t>
      </w:r>
      <w:r w:rsidR="00EE65A8">
        <w:t xml:space="preserve"> Наконец, отпуская </w:t>
      </w:r>
      <w:r w:rsidR="008348CC">
        <w:t>определенную долю акци</w:t>
      </w:r>
      <w:r w:rsidR="004C6F22">
        <w:t>й</w:t>
      </w:r>
      <w:r w:rsidR="008348CC">
        <w:t xml:space="preserve"> во </w:t>
      </w:r>
      <w:r w:rsidR="008348CC">
        <w:rPr>
          <w:lang w:val="en-US"/>
        </w:rPr>
        <w:t>free</w:t>
      </w:r>
      <w:r w:rsidR="008348CC" w:rsidRPr="008348CC">
        <w:t>-</w:t>
      </w:r>
      <w:r w:rsidR="008348CC">
        <w:rPr>
          <w:lang w:val="en-US"/>
        </w:rPr>
        <w:t>float</w:t>
      </w:r>
      <w:r w:rsidR="008348CC">
        <w:t>, текущие собственники теряют контроль над фирмой</w:t>
      </w:r>
      <w:r w:rsidR="00FD04C6">
        <w:t>.</w:t>
      </w:r>
    </w:p>
    <w:p w14:paraId="04ED897A" w14:textId="07702DEC" w:rsidR="00FD04C6" w:rsidRDefault="00D726CB" w:rsidP="00696609">
      <w:r>
        <w:t xml:space="preserve">Основываясь на описаниях </w:t>
      </w:r>
      <w:r>
        <w:rPr>
          <w:lang w:val="en-US"/>
        </w:rPr>
        <w:t>SPAC</w:t>
      </w:r>
      <w:r>
        <w:t xml:space="preserve"> и </w:t>
      </w:r>
      <w:r>
        <w:rPr>
          <w:lang w:val="en-US"/>
        </w:rPr>
        <w:t>IPO</w:t>
      </w:r>
      <w:r>
        <w:t xml:space="preserve">, можно выделить следующие преимущества </w:t>
      </w:r>
      <w:r w:rsidR="00BE0E74">
        <w:t xml:space="preserve">слияний с «компанией-пустышкой». </w:t>
      </w:r>
      <w:r w:rsidR="00806A0C">
        <w:t xml:space="preserve">В первую очередь, слияние со </w:t>
      </w:r>
      <w:r w:rsidR="00806A0C">
        <w:rPr>
          <w:lang w:val="en-US"/>
        </w:rPr>
        <w:t>SPAC</w:t>
      </w:r>
      <w:r w:rsidR="00806A0C">
        <w:t xml:space="preserve"> происходит гораздо быстрее, чем традиционное первичное размещение. Сделка по поглощению может </w:t>
      </w:r>
      <w:r w:rsidR="004509FB">
        <w:t>занимать от 3 до 6 месяцев.</w:t>
      </w:r>
      <w:r w:rsidR="006E775D">
        <w:t xml:space="preserve"> Другим плюсом выхода на биржу через </w:t>
      </w:r>
      <w:r w:rsidR="006E775D">
        <w:rPr>
          <w:lang w:val="en-US"/>
        </w:rPr>
        <w:t>SPAC</w:t>
      </w:r>
      <w:r w:rsidR="006E775D">
        <w:t xml:space="preserve"> можно считать </w:t>
      </w:r>
      <w:r w:rsidR="00875FB5">
        <w:t xml:space="preserve">благоприятные условия цены продажи акций компании-таргета, которые не подвержены изменению спроса и рыночных </w:t>
      </w:r>
      <w:r w:rsidR="007E7E6A">
        <w:t xml:space="preserve">условий, в отличие от </w:t>
      </w:r>
      <w:r w:rsidR="007E7E6A">
        <w:rPr>
          <w:lang w:val="en-US"/>
        </w:rPr>
        <w:t>IPO</w:t>
      </w:r>
      <w:r w:rsidR="007E7E6A">
        <w:t xml:space="preserve">. Данная цена обсуждается между </w:t>
      </w:r>
      <w:r w:rsidR="00346769">
        <w:t xml:space="preserve">основателями </w:t>
      </w:r>
      <w:r w:rsidR="00346769">
        <w:rPr>
          <w:lang w:val="en-US"/>
        </w:rPr>
        <w:t>SPAC</w:t>
      </w:r>
      <w:r w:rsidR="00346769">
        <w:t xml:space="preserve"> </w:t>
      </w:r>
      <w:r w:rsidR="00366CE1">
        <w:t>и менеджерами</w:t>
      </w:r>
      <w:r w:rsidR="00346769">
        <w:t xml:space="preserve"> таргета, после принятия решения цена не подлежит изменению.</w:t>
      </w:r>
      <w:r w:rsidR="002A2B68">
        <w:t xml:space="preserve"> </w:t>
      </w:r>
      <w:r w:rsidR="00830B6C">
        <w:t xml:space="preserve">Также немаловажным преимуществом </w:t>
      </w:r>
      <w:r w:rsidR="00830B6C">
        <w:rPr>
          <w:lang w:val="en-US"/>
        </w:rPr>
        <w:t>SPAC</w:t>
      </w:r>
      <w:r w:rsidR="00830B6C">
        <w:t xml:space="preserve"> является то, что поглощаемые компании не обязаны публиковать </w:t>
      </w:r>
      <w:r w:rsidR="001D18DA">
        <w:t xml:space="preserve">финансовую отчетность, при этом они должны опубликовать прогноз на </w:t>
      </w:r>
      <w:r w:rsidR="00060A16">
        <w:t>3 года, что запрещено для компаний, выбравших традиционн</w:t>
      </w:r>
      <w:r w:rsidR="00A90E18">
        <w:t>ое</w:t>
      </w:r>
      <w:r w:rsidR="00060A16">
        <w:t xml:space="preserve"> </w:t>
      </w:r>
      <w:r w:rsidR="00060A16">
        <w:rPr>
          <w:lang w:val="en-US"/>
        </w:rPr>
        <w:t>IPO</w:t>
      </w:r>
      <w:r w:rsidR="00060A16">
        <w:t xml:space="preserve">. </w:t>
      </w:r>
      <w:r w:rsidR="00693379">
        <w:t>Наконец, менеджеры компании-таргет</w:t>
      </w:r>
      <w:r w:rsidR="00A90E18">
        <w:t>а</w:t>
      </w:r>
      <w:r w:rsidR="00693379">
        <w:t xml:space="preserve"> имеют шанс получить экспертизу от высококвалифицированных спонсоров </w:t>
      </w:r>
      <w:r w:rsidR="00693379">
        <w:rPr>
          <w:lang w:val="en-US"/>
        </w:rPr>
        <w:t>SPAC</w:t>
      </w:r>
      <w:r w:rsidR="00693379">
        <w:t xml:space="preserve">, которые могут </w:t>
      </w:r>
      <w:r w:rsidR="00A644B2">
        <w:t xml:space="preserve">внести свой вклад в стратегический менеджмент поглощаемой фирмы. </w:t>
      </w:r>
      <w:r w:rsidR="00C91CAC">
        <w:t>Что касается недостатков выхода на биржу</w:t>
      </w:r>
      <w:r w:rsidR="003929A1">
        <w:t xml:space="preserve">, то часть из них исходят из преимуществ. </w:t>
      </w:r>
      <w:r w:rsidR="00066C1D">
        <w:t xml:space="preserve">Сжатые сроки </w:t>
      </w:r>
      <w:r w:rsidR="00686F0F">
        <w:t xml:space="preserve">могут навредить команде менеджеров </w:t>
      </w:r>
      <w:r w:rsidR="0081587A">
        <w:t>таргета в случае, если</w:t>
      </w:r>
      <w:r w:rsidR="00686F0F">
        <w:t xml:space="preserve"> им не удастся вовремя заполнить объемные документы, подаваемые в </w:t>
      </w:r>
      <w:r w:rsidR="00686F0F">
        <w:rPr>
          <w:lang w:val="en-US"/>
        </w:rPr>
        <w:t>SEC</w:t>
      </w:r>
      <w:r w:rsidR="00686F0F">
        <w:t>. Таким</w:t>
      </w:r>
      <w:r w:rsidR="0081587A">
        <w:t xml:space="preserve"> образом, сделка может и вовсе не состояться, инвесторы будут массово </w:t>
      </w:r>
      <w:r w:rsidR="00773199">
        <w:t>предъявлять</w:t>
      </w:r>
      <w:r w:rsidR="0081587A">
        <w:t xml:space="preserve"> акции</w:t>
      </w:r>
      <w:r w:rsidR="00773199">
        <w:t xml:space="preserve"> к выкупу</w:t>
      </w:r>
      <w:r w:rsidR="0081587A">
        <w:t xml:space="preserve">. </w:t>
      </w:r>
      <w:r w:rsidR="004B62CA">
        <w:t xml:space="preserve">Также сокращенные сроки </w:t>
      </w:r>
      <w:r w:rsidR="001644B1">
        <w:t>могут приводить к некачественной финансовой информации со стороны таргета.</w:t>
      </w:r>
      <w:r w:rsidR="00754A62">
        <w:t xml:space="preserve"> Наконец, </w:t>
      </w:r>
      <w:r w:rsidR="00EE5F40">
        <w:t xml:space="preserve">компания-таргет может потерять надежды на привлечения финансирования посредством сделки поглощения ввиду разногласий между акционерами </w:t>
      </w:r>
      <w:r w:rsidR="00EE5F40">
        <w:rPr>
          <w:lang w:val="en-US"/>
        </w:rPr>
        <w:t>SPAC</w:t>
      </w:r>
      <w:r w:rsidR="00EE5F40">
        <w:t xml:space="preserve"> по поводу приобретения данной фирмы. </w:t>
      </w:r>
    </w:p>
    <w:p w14:paraId="75575051" w14:textId="70418F34" w:rsidR="00211DE7" w:rsidRDefault="00211DE7" w:rsidP="00696609">
      <w:r>
        <w:t xml:space="preserve">Среди преимуществ и недостатков </w:t>
      </w:r>
      <w:r>
        <w:rPr>
          <w:lang w:val="en-US"/>
        </w:rPr>
        <w:t>IPO</w:t>
      </w:r>
      <w:r>
        <w:t xml:space="preserve"> специально не были затронуты затраты на</w:t>
      </w:r>
      <w:r w:rsidR="00801BF7">
        <w:t xml:space="preserve"> каждый способ выхода на биржу, поскольку данному аспекту стоит уделить отдельное внимание.</w:t>
      </w:r>
      <w:r w:rsidR="008D1E6F">
        <w:t xml:space="preserve"> </w:t>
      </w:r>
      <w:r w:rsidR="00FB2467">
        <w:t>Как указывалось ранее, при кл</w:t>
      </w:r>
      <w:r w:rsidR="005524CA">
        <w:t xml:space="preserve">ассическом </w:t>
      </w:r>
      <w:r w:rsidR="005524CA">
        <w:rPr>
          <w:lang w:val="en-US"/>
        </w:rPr>
        <w:t>IPO</w:t>
      </w:r>
      <w:r w:rsidR="005524CA">
        <w:t xml:space="preserve"> компания несет прямые издержки, большая часть из которых идет на комиссию андеррайтер</w:t>
      </w:r>
      <w:r w:rsidR="00257DDE">
        <w:t>ам</w:t>
      </w:r>
      <w:r w:rsidR="005524CA">
        <w:t xml:space="preserve">. </w:t>
      </w:r>
      <w:r w:rsidR="00D211FF">
        <w:t xml:space="preserve">В случае </w:t>
      </w:r>
      <w:r w:rsidR="00D211FF">
        <w:rPr>
          <w:lang w:val="en-US"/>
        </w:rPr>
        <w:t>SPAC</w:t>
      </w:r>
      <w:r w:rsidR="00D211FF">
        <w:t xml:space="preserve"> </w:t>
      </w:r>
      <w:r w:rsidR="00643CF8">
        <w:t xml:space="preserve">издержки компании-таргет ограничиваются </w:t>
      </w:r>
      <w:r w:rsidR="002569D9">
        <w:t>затратами на подготовку к поглощени</w:t>
      </w:r>
      <w:r w:rsidR="00A057C8">
        <w:t xml:space="preserve">ю (подготовка документов, финансовой информации и </w:t>
      </w:r>
      <w:proofErr w:type="gramStart"/>
      <w:r w:rsidR="00A057C8">
        <w:t>т.д.</w:t>
      </w:r>
      <w:proofErr w:type="gramEnd"/>
      <w:r w:rsidR="00A057C8">
        <w:t xml:space="preserve">). Все остальные издержки платят менеджеры </w:t>
      </w:r>
      <w:r w:rsidR="00A057C8">
        <w:rPr>
          <w:lang w:val="en-US"/>
        </w:rPr>
        <w:t>SPAC</w:t>
      </w:r>
      <w:r w:rsidR="00125104">
        <w:t xml:space="preserve"> (подробнее описано в разделе о сущности </w:t>
      </w:r>
      <w:r w:rsidR="00125104">
        <w:rPr>
          <w:lang w:val="en-US"/>
        </w:rPr>
        <w:t>SPAC</w:t>
      </w:r>
      <w:r w:rsidR="00125104">
        <w:t xml:space="preserve">). </w:t>
      </w:r>
      <w:r w:rsidR="0029153D">
        <w:t xml:space="preserve">Означает ли это, что выход на биржу посредством </w:t>
      </w:r>
      <w:r w:rsidR="00F66DA3">
        <w:rPr>
          <w:lang w:val="en-US"/>
        </w:rPr>
        <w:t>SPAC</w:t>
      </w:r>
      <w:r w:rsidR="00F66DA3">
        <w:t xml:space="preserve"> является гораздо более дешевым, чем классический процесс </w:t>
      </w:r>
      <w:r w:rsidR="00F66DA3">
        <w:rPr>
          <w:lang w:val="en-US"/>
        </w:rPr>
        <w:t>IPO</w:t>
      </w:r>
      <w:r w:rsidR="00F66DA3">
        <w:t>?</w:t>
      </w:r>
      <w:r w:rsidR="00EE5E51">
        <w:t xml:space="preserve"> Не совсем, так как </w:t>
      </w:r>
      <w:r w:rsidR="004978D9">
        <w:t xml:space="preserve">при расчете не </w:t>
      </w:r>
      <w:r w:rsidR="00991834">
        <w:t>учитываются неявные издержки компаний.</w:t>
      </w:r>
    </w:p>
    <w:p w14:paraId="3F8AD5F8" w14:textId="1F32EABA" w:rsidR="00991834" w:rsidRDefault="008679DC" w:rsidP="00696609">
      <w:r>
        <w:t>Неявные издержки нес</w:t>
      </w:r>
      <w:r w:rsidR="0073160F">
        <w:t xml:space="preserve">ут и компании, выходящие на биржу через традиционное </w:t>
      </w:r>
      <w:r w:rsidR="0073160F">
        <w:rPr>
          <w:lang w:val="en-US"/>
        </w:rPr>
        <w:t>IPO</w:t>
      </w:r>
      <w:r w:rsidR="0073160F">
        <w:t xml:space="preserve">. </w:t>
      </w:r>
      <w:r w:rsidR="00841B4F">
        <w:t xml:space="preserve">Такими косвенными издержками является </w:t>
      </w:r>
      <w:r w:rsidR="00555ACD">
        <w:t>недооценка первого дня</w:t>
      </w:r>
      <w:r w:rsidR="00841B4F">
        <w:t xml:space="preserve"> </w:t>
      </w:r>
      <w:r w:rsidR="003B1AAA">
        <w:t>–</w:t>
      </w:r>
      <w:r w:rsidR="00841B4F">
        <w:t xml:space="preserve"> </w:t>
      </w:r>
      <w:r w:rsidR="003B1AAA">
        <w:t xml:space="preserve">процентная разница между ценой, по которой акции </w:t>
      </w:r>
      <w:r w:rsidR="003B1AAA">
        <w:rPr>
          <w:lang w:val="en-US"/>
        </w:rPr>
        <w:t>IPO</w:t>
      </w:r>
      <w:r w:rsidR="003B1AAA">
        <w:t xml:space="preserve"> были проданы инвесторам</w:t>
      </w:r>
      <w:r w:rsidR="00B3531E">
        <w:t xml:space="preserve"> в ходе размещения, и ценой, по которой акции впоследствии торгуются на рынке </w:t>
      </w:r>
      <w:r w:rsidR="00CD55A4" w:rsidRPr="00CD55A4">
        <w:t>[</w:t>
      </w:r>
      <w:proofErr w:type="spellStart"/>
      <w:r w:rsidR="00B97876" w:rsidRPr="00B97876">
        <w:t>Ljungqvist</w:t>
      </w:r>
      <w:proofErr w:type="spellEnd"/>
      <w:r w:rsidR="002C740A">
        <w:t>, 2004</w:t>
      </w:r>
      <w:r w:rsidR="00CD55A4" w:rsidRPr="00CD55A4">
        <w:t>]</w:t>
      </w:r>
      <w:r w:rsidR="002C740A">
        <w:t xml:space="preserve">. </w:t>
      </w:r>
      <w:r w:rsidR="00B86A95">
        <w:t xml:space="preserve">Резкий рост акций </w:t>
      </w:r>
      <w:r w:rsidR="00B86A95">
        <w:lastRenderedPageBreak/>
        <w:t xml:space="preserve">компаний, выходящих на </w:t>
      </w:r>
      <w:r w:rsidR="00B86A95">
        <w:rPr>
          <w:lang w:val="en-US"/>
        </w:rPr>
        <w:t>IPO</w:t>
      </w:r>
      <w:r w:rsidR="00B86A95">
        <w:t>, в первый день называют</w:t>
      </w:r>
      <w:r w:rsidR="00E10AF0">
        <w:t xml:space="preserve"> </w:t>
      </w:r>
      <w:r w:rsidR="00E10AF0">
        <w:rPr>
          <w:lang w:val="en-US"/>
        </w:rPr>
        <w:t>IPO</w:t>
      </w:r>
      <w:r w:rsidR="00E10AF0" w:rsidRPr="00E10AF0">
        <w:t xml:space="preserve"> </w:t>
      </w:r>
      <w:r w:rsidR="00E10AF0">
        <w:rPr>
          <w:lang w:val="en-US"/>
        </w:rPr>
        <w:t>pop</w:t>
      </w:r>
      <w:r w:rsidR="00D94030">
        <w:rPr>
          <w:rStyle w:val="af5"/>
          <w:lang w:val="en-US"/>
        </w:rPr>
        <w:footnoteReference w:id="29"/>
      </w:r>
      <w:r w:rsidR="00D94030" w:rsidRPr="00D94030">
        <w:t xml:space="preserve">. </w:t>
      </w:r>
      <w:r w:rsidR="00D94030">
        <w:t>Такой рост обусловлен занижением цены размещения</w:t>
      </w:r>
      <w:r w:rsidR="001C2599">
        <w:t xml:space="preserve"> со стороны инвестиционных банков</w:t>
      </w:r>
      <w:r w:rsidR="006B2328">
        <w:t>.</w:t>
      </w:r>
      <w:r w:rsidR="000B3CE4">
        <w:t xml:space="preserve"> </w:t>
      </w:r>
      <w:r w:rsidR="00667FC2">
        <w:t xml:space="preserve">Одними из основных причин </w:t>
      </w:r>
      <w:r w:rsidR="00555ACD">
        <w:t>недооценки</w:t>
      </w:r>
      <w:r w:rsidR="00667FC2">
        <w:t xml:space="preserve"> является </w:t>
      </w:r>
      <w:r w:rsidR="00665D71">
        <w:t>асимметрия</w:t>
      </w:r>
      <w:r w:rsidR="00667FC2">
        <w:t xml:space="preserve"> информации</w:t>
      </w:r>
      <w:r w:rsidR="00665D71">
        <w:t xml:space="preserve"> между инвесторами и компанией, </w:t>
      </w:r>
      <w:r w:rsidR="00D30E75">
        <w:t xml:space="preserve">защита инвестиционными банками от судебных исков в случае </w:t>
      </w:r>
      <w:r w:rsidR="00AA5342">
        <w:t>обнаружения неблагоприятной информации</w:t>
      </w:r>
      <w:r w:rsidR="005D1FAD">
        <w:t xml:space="preserve"> и пр.</w:t>
      </w:r>
      <w:r w:rsidR="005D1FAD">
        <w:rPr>
          <w:rStyle w:val="af5"/>
        </w:rPr>
        <w:footnoteReference w:id="30"/>
      </w:r>
      <w:r w:rsidR="005D1FAD">
        <w:t xml:space="preserve"> </w:t>
      </w:r>
      <w:r w:rsidR="00555ACD">
        <w:t>Недоо</w:t>
      </w:r>
      <w:r w:rsidR="000A557F">
        <w:t>ценку</w:t>
      </w:r>
      <w:r w:rsidR="00AD4485">
        <w:t xml:space="preserve"> можно </w:t>
      </w:r>
      <w:r w:rsidR="000A557F">
        <w:t>отнести к</w:t>
      </w:r>
      <w:r w:rsidR="00AD4485">
        <w:t xml:space="preserve"> косвен</w:t>
      </w:r>
      <w:r w:rsidR="001D08AB">
        <w:t>ным издержкам фирмы ввиду того, что при большей цене компания могла бы выручить больше денег с первичного размещения.</w:t>
      </w:r>
    </w:p>
    <w:p w14:paraId="441CA682" w14:textId="66AA181F" w:rsidR="00A56A64" w:rsidRDefault="00A56A64" w:rsidP="00696609">
      <w:r>
        <w:t xml:space="preserve">Что же касается </w:t>
      </w:r>
      <w:r w:rsidR="00923848">
        <w:rPr>
          <w:lang w:val="en-US"/>
        </w:rPr>
        <w:t>SPAC</w:t>
      </w:r>
      <w:r w:rsidR="00923848">
        <w:t xml:space="preserve">, проблема </w:t>
      </w:r>
      <w:r w:rsidR="000A557F">
        <w:t>недооценки</w:t>
      </w:r>
      <w:r w:rsidR="00923848">
        <w:t xml:space="preserve"> может встречаться и в слияниях с «пустышками», поскольку </w:t>
      </w:r>
      <w:r w:rsidR="0030639F">
        <w:t xml:space="preserve">цена размещения, на которую договорились </w:t>
      </w:r>
      <w:r w:rsidR="009F49C1">
        <w:t>спонсоры</w:t>
      </w:r>
      <w:r w:rsidR="006D1DE4">
        <w:t xml:space="preserve"> и менеджеры таргета, может быть сильно занижена. </w:t>
      </w:r>
      <w:r w:rsidR="00FD6092">
        <w:t xml:space="preserve">Однако, </w:t>
      </w:r>
      <w:r w:rsidR="00067F7C">
        <w:t xml:space="preserve">наиболее весомыми косвенными издержками являются вознаграждения спонсорам. </w:t>
      </w:r>
      <w:r w:rsidR="0068280E">
        <w:t xml:space="preserve">Предположим, </w:t>
      </w:r>
      <w:r w:rsidR="00C13885">
        <w:rPr>
          <w:lang w:val="en-US"/>
        </w:rPr>
        <w:t>SPAC</w:t>
      </w:r>
      <w:r w:rsidR="00C13885">
        <w:t xml:space="preserve"> на </w:t>
      </w:r>
      <w:r w:rsidR="00C13885">
        <w:rPr>
          <w:lang w:val="en-US"/>
        </w:rPr>
        <w:t>IPO</w:t>
      </w:r>
      <w:r w:rsidR="00C13885">
        <w:t xml:space="preserve"> </w:t>
      </w:r>
      <w:r w:rsidR="00444337">
        <w:t xml:space="preserve">размещает 100 акций за </w:t>
      </w:r>
      <w:r w:rsidR="00444337" w:rsidRPr="00444337">
        <w:t>$</w:t>
      </w:r>
      <w:r w:rsidR="00444337">
        <w:t xml:space="preserve">10, 20 из которых идут в качестве вознаграждения основателем, 80 покупаются инвесторами, таким образом </w:t>
      </w:r>
      <w:r w:rsidR="008D022E">
        <w:rPr>
          <w:lang w:val="en-US"/>
        </w:rPr>
        <w:t>SPAC</w:t>
      </w:r>
      <w:r w:rsidR="008D022E">
        <w:t xml:space="preserve"> привлекает </w:t>
      </w:r>
      <w:r w:rsidR="008D022E" w:rsidRPr="008D022E">
        <w:t>$</w:t>
      </w:r>
      <w:r w:rsidR="008D022E">
        <w:t xml:space="preserve">800. </w:t>
      </w:r>
      <w:r w:rsidR="005A6F5A">
        <w:t xml:space="preserve">Спонсоры же получают </w:t>
      </w:r>
      <w:r w:rsidR="005A6F5A" w:rsidRPr="008F3BB7">
        <w:t>$</w:t>
      </w:r>
      <w:r w:rsidR="005A6F5A">
        <w:t>200 долларов в акциях основателе</w:t>
      </w:r>
      <w:r w:rsidR="008F3BB7">
        <w:t xml:space="preserve">й, то есть 25% от </w:t>
      </w:r>
      <w:r w:rsidR="008F3BB7" w:rsidRPr="008F3BB7">
        <w:t>$800</w:t>
      </w:r>
      <w:r w:rsidR="00F510E4">
        <w:t xml:space="preserve">. Менеджмент таргета, в свою очередь, могу бы получить на 25% больше </w:t>
      </w:r>
      <w:r w:rsidR="0077282C">
        <w:t>денежных средств при поглощении</w:t>
      </w:r>
      <w:r w:rsidR="00C01678">
        <w:t xml:space="preserve"> (</w:t>
      </w:r>
      <w:r w:rsidR="00076335">
        <w:t>800*1,25=1000)</w:t>
      </w:r>
      <w:r w:rsidR="0077282C">
        <w:t>.</w:t>
      </w:r>
      <w:r w:rsidR="00403DC2">
        <w:t xml:space="preserve"> </w:t>
      </w:r>
      <w:r w:rsidR="007D33B6">
        <w:t xml:space="preserve">Если учесть </w:t>
      </w:r>
      <w:r w:rsidR="00B15736">
        <w:t>предъявления акций к выкупу</w:t>
      </w:r>
      <w:r w:rsidR="007D33B6">
        <w:t xml:space="preserve"> и привлечение </w:t>
      </w:r>
      <w:r w:rsidR="007D33B6">
        <w:rPr>
          <w:lang w:val="en-US"/>
        </w:rPr>
        <w:t>PIPE</w:t>
      </w:r>
      <w:r w:rsidR="007D33B6">
        <w:t xml:space="preserve">-финансирования, упущенная выгода становится еще больше. </w:t>
      </w:r>
      <w:r w:rsidR="00C75E18">
        <w:t xml:space="preserve">Так, </w:t>
      </w:r>
      <w:r w:rsidR="00E2702A" w:rsidRPr="00E2702A">
        <w:t>[</w:t>
      </w:r>
      <w:r w:rsidR="00C75E18">
        <w:rPr>
          <w:lang w:val="en-US"/>
        </w:rPr>
        <w:t>Klausner</w:t>
      </w:r>
      <w:r w:rsidR="00E2702A" w:rsidRPr="00E2702A">
        <w:t xml:space="preserve">, </w:t>
      </w:r>
      <w:proofErr w:type="spellStart"/>
      <w:r w:rsidR="00C75E18">
        <w:rPr>
          <w:lang w:val="en-US"/>
        </w:rPr>
        <w:t>Ohlrogge</w:t>
      </w:r>
      <w:proofErr w:type="spellEnd"/>
      <w:r w:rsidR="00E2702A" w:rsidRPr="00E2702A">
        <w:t xml:space="preserve">, </w:t>
      </w:r>
      <w:r w:rsidR="00C75E18">
        <w:t>2020</w:t>
      </w:r>
      <w:r w:rsidR="00E2702A" w:rsidRPr="00E2702A">
        <w:t>]</w:t>
      </w:r>
      <w:r w:rsidR="00C75E18">
        <w:t xml:space="preserve"> в своем исследовании выяснили, что косвенные издержки выхода через </w:t>
      </w:r>
      <w:r w:rsidR="00C75E18">
        <w:rPr>
          <w:lang w:val="en-US"/>
        </w:rPr>
        <w:t>SPAC</w:t>
      </w:r>
      <w:r w:rsidR="00C75E18">
        <w:t xml:space="preserve"> гораздо </w:t>
      </w:r>
      <w:r w:rsidR="00B1300F">
        <w:t>выше,</w:t>
      </w:r>
      <w:r w:rsidR="00C75E18">
        <w:t xml:space="preserve"> чем при классическом </w:t>
      </w:r>
      <w:r w:rsidR="00C75E18">
        <w:rPr>
          <w:lang w:val="en-US"/>
        </w:rPr>
        <w:t>IPO</w:t>
      </w:r>
      <w:r w:rsidR="00C75E18">
        <w:t xml:space="preserve">. </w:t>
      </w:r>
      <w:r w:rsidR="00983C6F">
        <w:t xml:space="preserve">Исследователи в качестве неявных издержек взяли </w:t>
      </w:r>
      <w:r w:rsidR="00022177">
        <w:t>отношение затрат</w:t>
      </w:r>
      <w:r w:rsidR="0076478C">
        <w:t xml:space="preserve"> таргета по сделке</w:t>
      </w:r>
      <w:r w:rsidR="00022177">
        <w:t xml:space="preserve"> </w:t>
      </w:r>
      <w:r w:rsidR="00783A81">
        <w:t xml:space="preserve">к </w:t>
      </w:r>
      <w:r w:rsidR="00E04CC5">
        <w:t>получаемым им денежным средствам</w:t>
      </w:r>
      <w:r w:rsidR="00783A81">
        <w:t xml:space="preserve">, и сравнили </w:t>
      </w:r>
      <w:r w:rsidR="00D67973">
        <w:t>с затратами</w:t>
      </w:r>
      <w:r w:rsidR="00783A81">
        <w:t xml:space="preserve"> </w:t>
      </w:r>
      <w:r w:rsidR="00783A81">
        <w:rPr>
          <w:lang w:val="en-US"/>
        </w:rPr>
        <w:t>IPO</w:t>
      </w:r>
      <w:r w:rsidR="00783A81">
        <w:t xml:space="preserve">, включающих </w:t>
      </w:r>
      <w:r w:rsidR="000A557F">
        <w:t>недооценку</w:t>
      </w:r>
      <w:r w:rsidR="00783A81">
        <w:t xml:space="preserve">. </w:t>
      </w:r>
      <w:r w:rsidR="00EB2734">
        <w:t xml:space="preserve">Медианные затраты </w:t>
      </w:r>
      <w:r w:rsidR="00EB2734">
        <w:rPr>
          <w:lang w:val="en-US"/>
        </w:rPr>
        <w:t>SPAC</w:t>
      </w:r>
      <w:r w:rsidR="00EB2734" w:rsidRPr="002C38AC">
        <w:t xml:space="preserve"> </w:t>
      </w:r>
      <w:r w:rsidR="00EB2734">
        <w:t xml:space="preserve">составили 62%, </w:t>
      </w:r>
      <w:r w:rsidR="00EB2734">
        <w:rPr>
          <w:lang w:val="en-US"/>
        </w:rPr>
        <w:t>IPO</w:t>
      </w:r>
      <w:r w:rsidR="00EB2734" w:rsidRPr="002C38AC">
        <w:t xml:space="preserve"> – </w:t>
      </w:r>
      <w:r w:rsidR="00EB2734">
        <w:t xml:space="preserve">28%. </w:t>
      </w:r>
      <w:r w:rsidR="002C38AC">
        <w:t xml:space="preserve">Также </w:t>
      </w:r>
      <w:r w:rsidR="005757EC">
        <w:t>исследователи</w:t>
      </w:r>
      <w:r w:rsidR="002C38AC">
        <w:t xml:space="preserve"> отмечают, </w:t>
      </w:r>
      <w:r w:rsidR="00D67973">
        <w:t>что,</w:t>
      </w:r>
      <w:r w:rsidR="002C38AC">
        <w:t xml:space="preserve"> если бы </w:t>
      </w:r>
      <w:r w:rsidR="002C38AC">
        <w:rPr>
          <w:lang w:val="en-US"/>
        </w:rPr>
        <w:t>SPAC</w:t>
      </w:r>
      <w:r w:rsidR="002C38AC">
        <w:t xml:space="preserve"> </w:t>
      </w:r>
      <w:r w:rsidR="00C41199">
        <w:t>отменили варранты</w:t>
      </w:r>
      <w:r w:rsidR="00BF0F17">
        <w:t>, сократили вознаграждение спонсоров до 20% вместо 25% от привлеченного капитала,</w:t>
      </w:r>
      <w:r w:rsidR="003A344D">
        <w:t xml:space="preserve"> а также уменьшили бы пла</w:t>
      </w:r>
      <w:r w:rsidR="009D4188">
        <w:t>т</w:t>
      </w:r>
      <w:r w:rsidR="003A344D">
        <w:t xml:space="preserve">у за андеррайтинг и прочие услуги наполовину – затраты на </w:t>
      </w:r>
      <w:r w:rsidR="003A344D">
        <w:rPr>
          <w:lang w:val="en-US"/>
        </w:rPr>
        <w:t>SPAC</w:t>
      </w:r>
      <w:r w:rsidR="003A344D" w:rsidRPr="003A344D">
        <w:t xml:space="preserve"> </w:t>
      </w:r>
      <w:r w:rsidR="00903719">
        <w:t>опустились бы до значения 28</w:t>
      </w:r>
      <w:r w:rsidR="00903719" w:rsidRPr="00903719">
        <w:t>%.</w:t>
      </w:r>
    </w:p>
    <w:p w14:paraId="6E7CD6BF" w14:textId="23C00CD8" w:rsidR="009D4188" w:rsidRDefault="009D4188" w:rsidP="009D4188">
      <w:pPr>
        <w:pStyle w:val="a"/>
      </w:pPr>
      <w:r>
        <w:t>Сравнение</w:t>
      </w:r>
      <w:r w:rsidR="00F80AA2">
        <w:t xml:space="preserve"> </w:t>
      </w:r>
      <w:r w:rsidR="00837960">
        <w:t>выход</w:t>
      </w:r>
      <w:r w:rsidR="003A616E">
        <w:t>ов</w:t>
      </w:r>
      <w:r w:rsidR="00837960">
        <w:t xml:space="preserve"> на биржу через </w:t>
      </w:r>
      <w:r w:rsidR="00837960">
        <w:rPr>
          <w:lang w:val="en-US"/>
        </w:rPr>
        <w:t>IPO</w:t>
      </w:r>
      <w:r w:rsidR="00837960">
        <w:t xml:space="preserve"> и </w:t>
      </w:r>
      <w:r w:rsidR="003A616E">
        <w:t xml:space="preserve">через слияние с </w:t>
      </w:r>
      <w:r w:rsidR="00837960">
        <w:rPr>
          <w:lang w:val="en-US"/>
        </w:rPr>
        <w:t>SPAC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3611"/>
        <w:gridCol w:w="3612"/>
      </w:tblGrid>
      <w:tr w:rsidR="00837960" w14:paraId="18C84CD4" w14:textId="77777777" w:rsidTr="00837960">
        <w:tc>
          <w:tcPr>
            <w:tcW w:w="2122" w:type="dxa"/>
          </w:tcPr>
          <w:p w14:paraId="7014D084" w14:textId="45498F53" w:rsidR="00837960" w:rsidRDefault="00194B05" w:rsidP="00194B05">
            <w:pPr>
              <w:pStyle w:val="ac"/>
            </w:pPr>
            <w:r>
              <w:t>Фактор</w:t>
            </w:r>
          </w:p>
        </w:tc>
        <w:tc>
          <w:tcPr>
            <w:tcW w:w="3611" w:type="dxa"/>
          </w:tcPr>
          <w:p w14:paraId="69903C48" w14:textId="1246615E" w:rsidR="00837960" w:rsidRPr="00194B05" w:rsidRDefault="00194B05" w:rsidP="00194B05">
            <w:pPr>
              <w:pStyle w:val="ac"/>
            </w:pPr>
            <w:r>
              <w:rPr>
                <w:lang w:val="en-US"/>
              </w:rPr>
              <w:t>IPO</w:t>
            </w:r>
          </w:p>
        </w:tc>
        <w:tc>
          <w:tcPr>
            <w:tcW w:w="3612" w:type="dxa"/>
          </w:tcPr>
          <w:p w14:paraId="5D657863" w14:textId="224458BA" w:rsidR="00837960" w:rsidRPr="00194B05" w:rsidRDefault="00194B05" w:rsidP="00194B05">
            <w:pPr>
              <w:pStyle w:val="ac"/>
            </w:pPr>
            <w:r>
              <w:rPr>
                <w:lang w:val="en-US"/>
              </w:rPr>
              <w:t>SPAC</w:t>
            </w:r>
          </w:p>
        </w:tc>
      </w:tr>
      <w:tr w:rsidR="00837960" w14:paraId="5D932D99" w14:textId="77777777" w:rsidTr="00837960">
        <w:tc>
          <w:tcPr>
            <w:tcW w:w="2122" w:type="dxa"/>
          </w:tcPr>
          <w:p w14:paraId="573812D8" w14:textId="6481A75F" w:rsidR="00837960" w:rsidRDefault="00D00FAC" w:rsidP="00837960">
            <w:pPr>
              <w:pStyle w:val="ad"/>
            </w:pPr>
            <w:r>
              <w:t>Длите</w:t>
            </w:r>
            <w:r w:rsidR="002507C0">
              <w:t>льность</w:t>
            </w:r>
          </w:p>
        </w:tc>
        <w:tc>
          <w:tcPr>
            <w:tcW w:w="3611" w:type="dxa"/>
          </w:tcPr>
          <w:p w14:paraId="1D37BA4B" w14:textId="21678BF8" w:rsidR="00837960" w:rsidRDefault="002507C0" w:rsidP="00837960">
            <w:pPr>
              <w:pStyle w:val="ad"/>
            </w:pPr>
            <w:proofErr w:type="gramStart"/>
            <w:r>
              <w:t>12-18</w:t>
            </w:r>
            <w:proofErr w:type="gramEnd"/>
            <w:r>
              <w:t xml:space="preserve"> месяцев</w:t>
            </w:r>
          </w:p>
        </w:tc>
        <w:tc>
          <w:tcPr>
            <w:tcW w:w="3612" w:type="dxa"/>
          </w:tcPr>
          <w:p w14:paraId="7DF29035" w14:textId="4437DC88" w:rsidR="00837960" w:rsidRDefault="002507C0" w:rsidP="00837960">
            <w:pPr>
              <w:pStyle w:val="ad"/>
            </w:pPr>
            <w:proofErr w:type="gramStart"/>
            <w:r>
              <w:t>3-6</w:t>
            </w:r>
            <w:proofErr w:type="gramEnd"/>
            <w:r>
              <w:t xml:space="preserve"> месяцев</w:t>
            </w:r>
          </w:p>
        </w:tc>
      </w:tr>
    </w:tbl>
    <w:p w14:paraId="4FE028E3" w14:textId="77777777" w:rsidR="00EA42D5" w:rsidRDefault="00EA42D5" w:rsidP="00EA42D5">
      <w:pPr>
        <w:jc w:val="right"/>
      </w:pPr>
    </w:p>
    <w:p w14:paraId="4220A9DB" w14:textId="22589A92" w:rsidR="00E9775A" w:rsidRPr="00995144" w:rsidRDefault="00E9775A" w:rsidP="00EA42D5">
      <w:pPr>
        <w:jc w:val="right"/>
      </w:pPr>
      <w:r>
        <w:rPr>
          <w:b/>
          <w:bCs/>
        </w:rPr>
        <w:lastRenderedPageBreak/>
        <w:t xml:space="preserve">Таблица 1. </w:t>
      </w:r>
      <w:r w:rsidR="00995144">
        <w:t xml:space="preserve">Сравнение выходов на биржу через </w:t>
      </w:r>
      <w:r w:rsidR="00995144">
        <w:rPr>
          <w:lang w:val="en-US"/>
        </w:rPr>
        <w:t>IPO</w:t>
      </w:r>
      <w:r w:rsidR="00995144">
        <w:t xml:space="preserve"> и через слияние с </w:t>
      </w:r>
      <w:r w:rsidR="00995144">
        <w:rPr>
          <w:lang w:val="en-US"/>
        </w:rPr>
        <w:t>SPAC</w:t>
      </w:r>
      <w:r w:rsidR="00995144">
        <w:t xml:space="preserve"> (продолжение)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3611"/>
        <w:gridCol w:w="3612"/>
      </w:tblGrid>
      <w:tr w:rsidR="00995144" w14:paraId="5FA4C1CD" w14:textId="77777777" w:rsidTr="00837960">
        <w:tc>
          <w:tcPr>
            <w:tcW w:w="2122" w:type="dxa"/>
          </w:tcPr>
          <w:p w14:paraId="2CCD11EE" w14:textId="6093A40A" w:rsidR="00995144" w:rsidRPr="00995144" w:rsidRDefault="00995144" w:rsidP="00995144">
            <w:pPr>
              <w:pStyle w:val="ad"/>
              <w:jc w:val="center"/>
              <w:rPr>
                <w:b/>
                <w:bCs/>
              </w:rPr>
            </w:pPr>
            <w:r w:rsidRPr="00995144">
              <w:rPr>
                <w:b/>
                <w:bCs/>
              </w:rPr>
              <w:t>Фактор</w:t>
            </w:r>
          </w:p>
        </w:tc>
        <w:tc>
          <w:tcPr>
            <w:tcW w:w="3611" w:type="dxa"/>
          </w:tcPr>
          <w:p w14:paraId="52359B0C" w14:textId="1B08F604" w:rsidR="00995144" w:rsidRPr="00995144" w:rsidRDefault="00995144" w:rsidP="00995144">
            <w:pPr>
              <w:pStyle w:val="ad"/>
              <w:jc w:val="center"/>
              <w:rPr>
                <w:b/>
                <w:bCs/>
              </w:rPr>
            </w:pPr>
            <w:r w:rsidRPr="00995144">
              <w:rPr>
                <w:b/>
                <w:bCs/>
                <w:lang w:val="en-US"/>
              </w:rPr>
              <w:t>IPO</w:t>
            </w:r>
          </w:p>
        </w:tc>
        <w:tc>
          <w:tcPr>
            <w:tcW w:w="3612" w:type="dxa"/>
          </w:tcPr>
          <w:p w14:paraId="6D89EF0D" w14:textId="41D2BDE3" w:rsidR="00995144" w:rsidRPr="00995144" w:rsidRDefault="00995144" w:rsidP="00995144">
            <w:pPr>
              <w:pStyle w:val="ad"/>
              <w:jc w:val="center"/>
              <w:rPr>
                <w:b/>
                <w:bCs/>
              </w:rPr>
            </w:pPr>
            <w:r w:rsidRPr="00995144">
              <w:rPr>
                <w:b/>
                <w:bCs/>
                <w:lang w:val="en-US"/>
              </w:rPr>
              <w:t>SPAC</w:t>
            </w:r>
          </w:p>
        </w:tc>
      </w:tr>
      <w:tr w:rsidR="00712DF7" w14:paraId="4A2DACFE" w14:textId="77777777" w:rsidTr="00837960">
        <w:tc>
          <w:tcPr>
            <w:tcW w:w="2122" w:type="dxa"/>
          </w:tcPr>
          <w:p w14:paraId="078822C9" w14:textId="30120D96" w:rsidR="00712DF7" w:rsidRDefault="00712DF7" w:rsidP="00712DF7">
            <w:pPr>
              <w:pStyle w:val="ad"/>
            </w:pPr>
            <w:r>
              <w:t>Документы и финансовая отчетность</w:t>
            </w:r>
          </w:p>
        </w:tc>
        <w:tc>
          <w:tcPr>
            <w:tcW w:w="3611" w:type="dxa"/>
          </w:tcPr>
          <w:p w14:paraId="0CAB260E" w14:textId="3F9FFFFF" w:rsidR="00712DF7" w:rsidRDefault="00712DF7" w:rsidP="00712DF7">
            <w:pPr>
              <w:pStyle w:val="ad"/>
            </w:pPr>
            <w:r>
              <w:t xml:space="preserve">Проспект эмиссии, </w:t>
            </w:r>
            <w:r>
              <w:rPr>
                <w:lang w:val="en-US"/>
              </w:rPr>
              <w:t>due</w:t>
            </w:r>
            <w:r w:rsidRPr="00F80F96">
              <w:t xml:space="preserve"> </w:t>
            </w:r>
            <w:r>
              <w:rPr>
                <w:lang w:val="en-US"/>
              </w:rPr>
              <w:t>diligence</w:t>
            </w:r>
            <w:r w:rsidRPr="00F80F96">
              <w:t xml:space="preserve">, </w:t>
            </w:r>
            <w:r>
              <w:t>аудированная отчетность за последние несколько лет, презентации для инвесторов и пр. (большая юридическая нагрузка)</w:t>
            </w:r>
          </w:p>
        </w:tc>
        <w:tc>
          <w:tcPr>
            <w:tcW w:w="3612" w:type="dxa"/>
          </w:tcPr>
          <w:p w14:paraId="1CDFA0EF" w14:textId="782C9E91" w:rsidR="00712DF7" w:rsidRDefault="00712DF7" w:rsidP="00712DF7">
            <w:pPr>
              <w:pStyle w:val="ad"/>
            </w:pPr>
            <w:r>
              <w:t xml:space="preserve">Формы </w:t>
            </w:r>
            <w:r>
              <w:rPr>
                <w:lang w:val="en-US"/>
              </w:rPr>
              <w:t>S</w:t>
            </w:r>
            <w:r w:rsidRPr="00BF3C1E">
              <w:t>-4</w:t>
            </w:r>
            <w:r>
              <w:t>, 8-</w:t>
            </w:r>
            <w:r>
              <w:rPr>
                <w:lang w:val="en-US"/>
              </w:rPr>
              <w:t>K</w:t>
            </w:r>
            <w:r>
              <w:t>, 10-</w:t>
            </w:r>
            <w:r>
              <w:rPr>
                <w:lang w:val="en-US"/>
              </w:rPr>
              <w:t>Q</w:t>
            </w:r>
            <w:r>
              <w:t>, прогнозные показатели на 3 года (средняя юридическая нагрузка)</w:t>
            </w:r>
          </w:p>
        </w:tc>
      </w:tr>
      <w:tr w:rsidR="00837960" w14:paraId="68F17D9C" w14:textId="77777777" w:rsidTr="00837960">
        <w:tc>
          <w:tcPr>
            <w:tcW w:w="2122" w:type="dxa"/>
          </w:tcPr>
          <w:p w14:paraId="4D3D9A81" w14:textId="1D858900" w:rsidR="00837960" w:rsidRDefault="004F5A3A" w:rsidP="00837960">
            <w:pPr>
              <w:pStyle w:val="ad"/>
            </w:pPr>
            <w:r>
              <w:t>Цена раз</w:t>
            </w:r>
            <w:r w:rsidR="00623C09">
              <w:t>мещения</w:t>
            </w:r>
          </w:p>
        </w:tc>
        <w:tc>
          <w:tcPr>
            <w:tcW w:w="3611" w:type="dxa"/>
          </w:tcPr>
          <w:p w14:paraId="4F5D23D9" w14:textId="4567EF3A" w:rsidR="00837960" w:rsidRDefault="00623C09" w:rsidP="00837960">
            <w:pPr>
              <w:pStyle w:val="ad"/>
            </w:pPr>
            <w:r>
              <w:t xml:space="preserve">Калькулируется командой аналитиков, </w:t>
            </w:r>
            <w:r w:rsidR="0017469D">
              <w:t>зависит от ситуации на рынке и положении компании</w:t>
            </w:r>
          </w:p>
        </w:tc>
        <w:tc>
          <w:tcPr>
            <w:tcW w:w="3612" w:type="dxa"/>
          </w:tcPr>
          <w:p w14:paraId="433525A2" w14:textId="0F5CACE3" w:rsidR="00837960" w:rsidRPr="0017469D" w:rsidRDefault="0017469D" w:rsidP="00837960">
            <w:pPr>
              <w:pStyle w:val="ad"/>
            </w:pPr>
            <w:r>
              <w:t xml:space="preserve">Юниты размещаются по </w:t>
            </w:r>
            <w:r w:rsidRPr="00362D1E">
              <w:t>$10</w:t>
            </w:r>
            <w:r>
              <w:t xml:space="preserve">, </w:t>
            </w:r>
            <w:r w:rsidR="00362D1E">
              <w:t>цена же покупки таргета переговорная</w:t>
            </w:r>
          </w:p>
        </w:tc>
      </w:tr>
      <w:tr w:rsidR="00837960" w14:paraId="35690050" w14:textId="77777777" w:rsidTr="00837960">
        <w:tc>
          <w:tcPr>
            <w:tcW w:w="2122" w:type="dxa"/>
          </w:tcPr>
          <w:p w14:paraId="136CA7A3" w14:textId="77B5FD1E" w:rsidR="00837960" w:rsidRDefault="00272491" w:rsidP="00837960">
            <w:pPr>
              <w:pStyle w:val="ad"/>
            </w:pPr>
            <w:r>
              <w:t>Участники</w:t>
            </w:r>
          </w:p>
        </w:tc>
        <w:tc>
          <w:tcPr>
            <w:tcW w:w="3611" w:type="dxa"/>
          </w:tcPr>
          <w:p w14:paraId="4A67C326" w14:textId="1C79C7FA" w:rsidR="00837960" w:rsidRDefault="009E1B51" w:rsidP="00837960">
            <w:pPr>
              <w:pStyle w:val="ad"/>
            </w:pPr>
            <w:r>
              <w:t>Компания, инвестиционные банки</w:t>
            </w:r>
            <w:r w:rsidR="00024C53">
              <w:t xml:space="preserve">, аудиторы, </w:t>
            </w:r>
            <w:r w:rsidR="00FA7D66">
              <w:rPr>
                <w:lang w:val="en-US"/>
              </w:rPr>
              <w:t>SEC</w:t>
            </w:r>
            <w:r w:rsidR="00FA7D66" w:rsidRPr="00FA7D66">
              <w:t xml:space="preserve">, </w:t>
            </w:r>
            <w:r w:rsidR="00024C53">
              <w:t xml:space="preserve">юридические </w:t>
            </w:r>
            <w:r w:rsidR="00FA7D66">
              <w:t xml:space="preserve">и прочие </w:t>
            </w:r>
            <w:r w:rsidR="00024C53">
              <w:t>консультанты</w:t>
            </w:r>
          </w:p>
        </w:tc>
        <w:tc>
          <w:tcPr>
            <w:tcW w:w="3612" w:type="dxa"/>
          </w:tcPr>
          <w:p w14:paraId="09B665B8" w14:textId="337DA19D" w:rsidR="00837960" w:rsidRPr="00FA7D66" w:rsidRDefault="00FA7D66" w:rsidP="00837960">
            <w:pPr>
              <w:pStyle w:val="ad"/>
            </w:pPr>
            <w:r>
              <w:t xml:space="preserve">Таргет, </w:t>
            </w:r>
            <w:r w:rsidR="00A544EF">
              <w:t xml:space="preserve">инвестиционные банки, </w:t>
            </w:r>
            <w:r>
              <w:rPr>
                <w:lang w:val="en-US"/>
              </w:rPr>
              <w:t>SPAC</w:t>
            </w:r>
            <w:r>
              <w:t xml:space="preserve">, </w:t>
            </w:r>
            <w:r>
              <w:rPr>
                <w:lang w:val="en-US"/>
              </w:rPr>
              <w:t>SEC</w:t>
            </w:r>
          </w:p>
        </w:tc>
      </w:tr>
      <w:tr w:rsidR="00837960" w14:paraId="552D2AEC" w14:textId="77777777" w:rsidTr="00837960">
        <w:tc>
          <w:tcPr>
            <w:tcW w:w="2122" w:type="dxa"/>
          </w:tcPr>
          <w:p w14:paraId="183DC6F2" w14:textId="1A654BFF" w:rsidR="00837960" w:rsidRPr="004668D4" w:rsidRDefault="004668D4" w:rsidP="00837960">
            <w:pPr>
              <w:pStyle w:val="ad"/>
            </w:pPr>
            <w:r>
              <w:t>Риск неисполнения сделки</w:t>
            </w:r>
          </w:p>
        </w:tc>
        <w:tc>
          <w:tcPr>
            <w:tcW w:w="3611" w:type="dxa"/>
          </w:tcPr>
          <w:p w14:paraId="1505E924" w14:textId="6D51CEFC" w:rsidR="00837960" w:rsidRDefault="004668D4" w:rsidP="00837960">
            <w:pPr>
              <w:pStyle w:val="ad"/>
            </w:pPr>
            <w:r>
              <w:t xml:space="preserve">Зависит от рыночных условий и </w:t>
            </w:r>
            <w:r w:rsidR="00C97C90">
              <w:t>усилий</w:t>
            </w:r>
            <w:r w:rsidR="002A006E">
              <w:t xml:space="preserve"> самой компании</w:t>
            </w:r>
          </w:p>
        </w:tc>
        <w:tc>
          <w:tcPr>
            <w:tcW w:w="3612" w:type="dxa"/>
          </w:tcPr>
          <w:p w14:paraId="1ECDB889" w14:textId="5BF21F5A" w:rsidR="00837960" w:rsidRPr="0061780D" w:rsidRDefault="0061780D" w:rsidP="00837960">
            <w:pPr>
              <w:pStyle w:val="ad"/>
            </w:pPr>
            <w:r>
              <w:t xml:space="preserve">Зависит от одобрения сделки акционерами </w:t>
            </w:r>
            <w:r>
              <w:rPr>
                <w:lang w:val="en-US"/>
              </w:rPr>
              <w:t>SPAC</w:t>
            </w:r>
          </w:p>
        </w:tc>
      </w:tr>
      <w:tr w:rsidR="00A67774" w14:paraId="2F1A85C4" w14:textId="77777777" w:rsidTr="00837960">
        <w:tc>
          <w:tcPr>
            <w:tcW w:w="2122" w:type="dxa"/>
          </w:tcPr>
          <w:p w14:paraId="2D96DF58" w14:textId="2143F29B" w:rsidR="00A67774" w:rsidRDefault="00A67774" w:rsidP="00837960">
            <w:pPr>
              <w:pStyle w:val="ad"/>
            </w:pPr>
            <w:r>
              <w:t>Затраты</w:t>
            </w:r>
          </w:p>
        </w:tc>
        <w:tc>
          <w:tcPr>
            <w:tcW w:w="3611" w:type="dxa"/>
          </w:tcPr>
          <w:p w14:paraId="6525AB0D" w14:textId="77777777" w:rsidR="00A67774" w:rsidRDefault="002D7D12" w:rsidP="00837960">
            <w:pPr>
              <w:pStyle w:val="ad"/>
            </w:pPr>
            <w:r>
              <w:t>Прямые издержки</w:t>
            </w:r>
            <w:r w:rsidR="00BE0130">
              <w:t>: комиссия андеррайтерам (большая часть)</w:t>
            </w:r>
            <w:r w:rsidR="004F2015">
              <w:t xml:space="preserve">, юридические услуги, бухгалтерский учет, печать, регистрация в </w:t>
            </w:r>
            <w:r w:rsidR="004F2015">
              <w:rPr>
                <w:lang w:val="en-US"/>
              </w:rPr>
              <w:t>SEC</w:t>
            </w:r>
            <w:r w:rsidR="004F2015">
              <w:t xml:space="preserve"> и пр.</w:t>
            </w:r>
          </w:p>
          <w:p w14:paraId="1002F1D6" w14:textId="248DD65A" w:rsidR="004F2015" w:rsidRPr="004F2015" w:rsidRDefault="004F2015" w:rsidP="00837960">
            <w:pPr>
              <w:pStyle w:val="ad"/>
            </w:pPr>
            <w:r>
              <w:t xml:space="preserve">Косвенные издержки: </w:t>
            </w:r>
            <w:r w:rsidR="000A557F">
              <w:t>недооценка первого дня</w:t>
            </w:r>
          </w:p>
        </w:tc>
        <w:tc>
          <w:tcPr>
            <w:tcW w:w="3612" w:type="dxa"/>
          </w:tcPr>
          <w:p w14:paraId="206AEB22" w14:textId="77777777" w:rsidR="00A67774" w:rsidRDefault="00E84DCE" w:rsidP="00837960">
            <w:pPr>
              <w:pStyle w:val="ad"/>
            </w:pPr>
            <w:r>
              <w:t xml:space="preserve">Прямые издержки: </w:t>
            </w:r>
            <w:r w:rsidR="001E3E54">
              <w:t xml:space="preserve">затраты на подготовку документов со стороны таргета (остальные издержки на спонсорах </w:t>
            </w:r>
            <w:r w:rsidR="001E3E54">
              <w:rPr>
                <w:lang w:val="en-US"/>
              </w:rPr>
              <w:t>SPAC</w:t>
            </w:r>
            <w:r w:rsidR="001E3E54">
              <w:t xml:space="preserve">, в </w:t>
            </w:r>
            <w:proofErr w:type="gramStart"/>
            <w:r w:rsidR="001E3E54">
              <w:t>т</w:t>
            </w:r>
            <w:r w:rsidR="00422638">
              <w:t>.ч.</w:t>
            </w:r>
            <w:proofErr w:type="gramEnd"/>
            <w:r w:rsidR="00422638">
              <w:t xml:space="preserve"> андеррайтинг)</w:t>
            </w:r>
          </w:p>
          <w:p w14:paraId="5C04616D" w14:textId="0DB18956" w:rsidR="00422638" w:rsidRPr="001B5F1D" w:rsidRDefault="00422638" w:rsidP="00837960">
            <w:pPr>
              <w:pStyle w:val="ad"/>
            </w:pPr>
            <w:r>
              <w:t>Косвенные издержки: недополучен</w:t>
            </w:r>
            <w:r w:rsidR="001B5F1D">
              <w:t xml:space="preserve">ные денежные средства, которые получают основатели </w:t>
            </w:r>
            <w:r w:rsidR="001B5F1D">
              <w:rPr>
                <w:lang w:val="en-US"/>
              </w:rPr>
              <w:t>SPAC</w:t>
            </w:r>
          </w:p>
        </w:tc>
      </w:tr>
    </w:tbl>
    <w:p w14:paraId="183692F1" w14:textId="34C4BF6D" w:rsidR="00712DF7" w:rsidRPr="00712DF7" w:rsidRDefault="00712DF7" w:rsidP="00712DF7">
      <w:pPr>
        <w:ind w:firstLine="0"/>
        <w:rPr>
          <w:i/>
          <w:iCs/>
        </w:rPr>
      </w:pPr>
      <w:bookmarkStart w:id="21" w:name="_Toc102050300"/>
      <w:bookmarkStart w:id="22" w:name="_Toc102050672"/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3998FB32" w14:textId="632B8913" w:rsidR="00765C90" w:rsidRDefault="00F0225E" w:rsidP="00122D78">
      <w:pPr>
        <w:pStyle w:val="2"/>
        <w:numPr>
          <w:ilvl w:val="1"/>
          <w:numId w:val="10"/>
        </w:numPr>
      </w:pPr>
      <w:r>
        <w:t xml:space="preserve">Исследования результативности инвестиций в </w:t>
      </w:r>
      <w:r>
        <w:rPr>
          <w:lang w:val="en-US"/>
        </w:rPr>
        <w:t>SPAC</w:t>
      </w:r>
      <w:r w:rsidRPr="00F0225E">
        <w:t xml:space="preserve"> </w:t>
      </w:r>
      <w:r>
        <w:t xml:space="preserve">и </w:t>
      </w:r>
      <w:r>
        <w:rPr>
          <w:lang w:val="en-US"/>
        </w:rPr>
        <w:t>IPO</w:t>
      </w:r>
      <w:bookmarkEnd w:id="21"/>
      <w:bookmarkEnd w:id="22"/>
    </w:p>
    <w:p w14:paraId="1A2F0BA9" w14:textId="7B0FBDE8" w:rsidR="00D0470B" w:rsidRDefault="00597334" w:rsidP="00537898">
      <w:r>
        <w:t xml:space="preserve">Доходность </w:t>
      </w:r>
      <w:r w:rsidR="00C97C90">
        <w:t xml:space="preserve">вложений в </w:t>
      </w:r>
      <w:r>
        <w:rPr>
          <w:lang w:val="en-US"/>
        </w:rPr>
        <w:t>SPAC</w:t>
      </w:r>
      <w:r>
        <w:t xml:space="preserve"> н</w:t>
      </w:r>
      <w:r w:rsidR="00243898">
        <w:t xml:space="preserve">е так часто является объектом исследований финансистов, </w:t>
      </w:r>
      <w:r w:rsidR="009E00BA">
        <w:t>бо</w:t>
      </w:r>
      <w:r w:rsidR="006A553A">
        <w:t>́</w:t>
      </w:r>
      <w:r w:rsidR="009E00BA">
        <w:t>льший</w:t>
      </w:r>
      <w:r w:rsidR="006A553A">
        <w:t xml:space="preserve"> акцент делался на изучении издержек </w:t>
      </w:r>
      <w:r w:rsidR="006A553A">
        <w:rPr>
          <w:lang w:val="en-US"/>
        </w:rPr>
        <w:t>SPAC</w:t>
      </w:r>
      <w:r w:rsidR="005C6BDB">
        <w:t>. Однако</w:t>
      </w:r>
      <w:r w:rsidR="007A617B">
        <w:t>,</w:t>
      </w:r>
      <w:r w:rsidR="005C6BDB">
        <w:t xml:space="preserve"> существует ряд значимых работ, освещаю</w:t>
      </w:r>
      <w:r w:rsidR="007A617B">
        <w:t>щих данную проблематик</w:t>
      </w:r>
      <w:r w:rsidR="00EF6A94">
        <w:t xml:space="preserve">у. В этом разделе будет проведен обзор </w:t>
      </w:r>
      <w:r w:rsidR="003C59E3">
        <w:t>научной</w:t>
      </w:r>
      <w:r w:rsidR="00EF6A94">
        <w:t xml:space="preserve"> литературы, </w:t>
      </w:r>
      <w:r w:rsidR="00C165AB">
        <w:t xml:space="preserve">охватывающей </w:t>
      </w:r>
      <w:r w:rsidR="00F43F6D">
        <w:t xml:space="preserve">анализ доходности </w:t>
      </w:r>
      <w:r w:rsidR="00F43F6D">
        <w:rPr>
          <w:lang w:val="en-US"/>
        </w:rPr>
        <w:t>SPAC</w:t>
      </w:r>
      <w:r w:rsidR="00F43F6D">
        <w:t xml:space="preserve"> и факторов</w:t>
      </w:r>
      <w:r w:rsidR="00911B8B">
        <w:t xml:space="preserve">, </w:t>
      </w:r>
      <w:r w:rsidR="007F3DD8">
        <w:lastRenderedPageBreak/>
        <w:t>воздействующих</w:t>
      </w:r>
      <w:r w:rsidR="00911B8B">
        <w:t xml:space="preserve"> на результативность инвестиций в такие компании. Помимо этого, будет проведен обзор статей, </w:t>
      </w:r>
      <w:proofErr w:type="spellStart"/>
      <w:proofErr w:type="gramStart"/>
      <w:r w:rsidR="00D0470B">
        <w:t>посвященны</w:t>
      </w:r>
      <w:proofErr w:type="spellEnd"/>
      <w:r w:rsidR="00565E5C">
        <w:t xml:space="preserve"> </w:t>
      </w:r>
      <w:r w:rsidR="005036DD">
        <w:t xml:space="preserve"> </w:t>
      </w:r>
      <w:r w:rsidR="00D0470B">
        <w:t>х</w:t>
      </w:r>
      <w:proofErr w:type="gramEnd"/>
      <w:r w:rsidR="00D0470B">
        <w:t xml:space="preserve"> инвестициям в классическое </w:t>
      </w:r>
      <w:r w:rsidR="00D0470B">
        <w:rPr>
          <w:lang w:val="en-US"/>
        </w:rPr>
        <w:t>IPO</w:t>
      </w:r>
      <w:r w:rsidR="00444D76">
        <w:t xml:space="preserve">, с целью </w:t>
      </w:r>
      <w:r w:rsidR="00A9341C">
        <w:t xml:space="preserve">дальнейшего </w:t>
      </w:r>
      <w:r w:rsidR="007E54B6">
        <w:t>сравнения двух типов вложений в размещение на бирже.</w:t>
      </w:r>
    </w:p>
    <w:p w14:paraId="4FD24C9E" w14:textId="02F43F06" w:rsidR="007E54B6" w:rsidRDefault="006B0A72" w:rsidP="00BD58BE">
      <w:pPr>
        <w:pStyle w:val="3"/>
        <w:numPr>
          <w:ilvl w:val="2"/>
          <w:numId w:val="10"/>
        </w:numPr>
      </w:pPr>
      <w:bookmarkStart w:id="23" w:name="_Toc102050301"/>
      <w:bookmarkStart w:id="24" w:name="_Toc102050673"/>
      <w:r>
        <w:t xml:space="preserve">Исследования доходности </w:t>
      </w:r>
      <w:r w:rsidR="00BD58BE">
        <w:t xml:space="preserve">ценных бумаг </w:t>
      </w:r>
      <w:r>
        <w:rPr>
          <w:lang w:val="en-US"/>
        </w:rPr>
        <w:t>SPAC</w:t>
      </w:r>
      <w:bookmarkEnd w:id="23"/>
      <w:bookmarkEnd w:id="24"/>
    </w:p>
    <w:p w14:paraId="1A66D7BE" w14:textId="1A4F0284" w:rsidR="00537898" w:rsidRDefault="00B95A96" w:rsidP="00515099">
      <w:r>
        <w:t xml:space="preserve">Основательное исследование доходности </w:t>
      </w:r>
      <w:r>
        <w:rPr>
          <w:lang w:val="en-US"/>
        </w:rPr>
        <w:t>SPAC</w:t>
      </w:r>
      <w:r>
        <w:t xml:space="preserve"> </w:t>
      </w:r>
      <w:r w:rsidR="00C81949">
        <w:t>было проведено</w:t>
      </w:r>
      <w:r w:rsidR="00DF4AC4">
        <w:t xml:space="preserve"> </w:t>
      </w:r>
      <w:r w:rsidR="00AD4ECC">
        <w:t xml:space="preserve">американскими финансистами </w:t>
      </w:r>
      <w:r w:rsidR="00E2702A" w:rsidRPr="00E2702A">
        <w:t>[</w:t>
      </w:r>
      <w:proofErr w:type="spellStart"/>
      <w:r w:rsidR="00AD4ECC">
        <w:rPr>
          <w:lang w:val="en-US"/>
        </w:rPr>
        <w:t>Gahng</w:t>
      </w:r>
      <w:proofErr w:type="spellEnd"/>
      <w:r w:rsidR="00AD4ECC" w:rsidRPr="00AD4ECC">
        <w:t xml:space="preserve">, </w:t>
      </w:r>
      <w:r w:rsidR="00AD4ECC">
        <w:rPr>
          <w:lang w:val="en-US"/>
        </w:rPr>
        <w:t>Ritter</w:t>
      </w:r>
      <w:r w:rsidR="00E2702A" w:rsidRPr="00E2702A">
        <w:t>,</w:t>
      </w:r>
      <w:r w:rsidR="00AD4ECC">
        <w:t xml:space="preserve"> </w:t>
      </w:r>
      <w:r w:rsidR="00AD4ECC">
        <w:rPr>
          <w:lang w:val="en-US"/>
        </w:rPr>
        <w:t>Zhang</w:t>
      </w:r>
      <w:r w:rsidR="00EF0E71">
        <w:t xml:space="preserve"> 2021</w:t>
      </w:r>
      <w:r w:rsidR="00182358" w:rsidRPr="001F3F87">
        <w:t>]</w:t>
      </w:r>
      <w:r w:rsidR="00AD4ECC" w:rsidRPr="00AD4ECC">
        <w:t xml:space="preserve">. </w:t>
      </w:r>
      <w:r w:rsidR="00F5546E">
        <w:t xml:space="preserve">В своей работе они сделали акцент на расчет доходности </w:t>
      </w:r>
      <w:r w:rsidR="00F5546E">
        <w:rPr>
          <w:lang w:val="en-US"/>
        </w:rPr>
        <w:t>SPAC</w:t>
      </w:r>
      <w:r w:rsidR="00F5546E">
        <w:t xml:space="preserve"> в годовом выражении</w:t>
      </w:r>
      <w:r w:rsidR="005036DD">
        <w:t xml:space="preserve"> (</w:t>
      </w:r>
      <w:r w:rsidR="005036DD">
        <w:rPr>
          <w:lang w:val="en-US"/>
        </w:rPr>
        <w:t>annualized</w:t>
      </w:r>
      <w:r w:rsidR="005036DD" w:rsidRPr="005036DD">
        <w:t xml:space="preserve"> </w:t>
      </w:r>
      <w:r w:rsidR="005036DD">
        <w:rPr>
          <w:lang w:val="en-US"/>
        </w:rPr>
        <w:t>return</w:t>
      </w:r>
      <w:r w:rsidR="005036DD" w:rsidRPr="005A4B20">
        <w:t>)</w:t>
      </w:r>
      <w:r w:rsidR="00F5546E">
        <w:t xml:space="preserve">, </w:t>
      </w:r>
      <w:r w:rsidR="004F469C">
        <w:t xml:space="preserve">выявили причины выхода на биржу через слияние с </w:t>
      </w:r>
      <w:r w:rsidR="004F469C">
        <w:rPr>
          <w:lang w:val="en-US"/>
        </w:rPr>
        <w:t>SPAC</w:t>
      </w:r>
      <w:r w:rsidR="004F469C">
        <w:t xml:space="preserve">, </w:t>
      </w:r>
      <w:r w:rsidR="00703F28">
        <w:t xml:space="preserve">а также проанализировали экономические роли </w:t>
      </w:r>
      <w:r w:rsidR="00663B7D">
        <w:t>спонсоров</w:t>
      </w:r>
      <w:r w:rsidR="00515099">
        <w:t xml:space="preserve">, </w:t>
      </w:r>
      <w:proofErr w:type="spellStart"/>
      <w:r w:rsidR="00515099">
        <w:t>таргетов</w:t>
      </w:r>
      <w:proofErr w:type="spellEnd"/>
      <w:r w:rsidR="00663B7D">
        <w:t xml:space="preserve"> и инвесторов.</w:t>
      </w:r>
    </w:p>
    <w:p w14:paraId="3F726342" w14:textId="62B6AE54" w:rsidR="00515099" w:rsidRDefault="00743B94" w:rsidP="00515099">
      <w:r>
        <w:t xml:space="preserve">Исследователи </w:t>
      </w:r>
      <w:r w:rsidR="00334DA9">
        <w:t>при подсчете доходност</w:t>
      </w:r>
      <w:r w:rsidR="006167DD">
        <w:t xml:space="preserve">и разделили </w:t>
      </w:r>
      <w:r w:rsidR="000C6564">
        <w:t xml:space="preserve">жизненный цикл </w:t>
      </w:r>
      <w:r w:rsidR="000C6564">
        <w:rPr>
          <w:lang w:val="en-US"/>
        </w:rPr>
        <w:t>SPAC</w:t>
      </w:r>
      <w:r w:rsidR="000C6564">
        <w:t xml:space="preserve"> на два периода: </w:t>
      </w:r>
      <w:r w:rsidR="000C6564">
        <w:rPr>
          <w:lang w:val="en-US"/>
        </w:rPr>
        <w:t>SPAC</w:t>
      </w:r>
      <w:r w:rsidR="006B5CC4">
        <w:t xml:space="preserve"> (</w:t>
      </w:r>
      <w:r w:rsidR="000227DE">
        <w:t xml:space="preserve">начиная с даты </w:t>
      </w:r>
      <w:r w:rsidR="00633B41">
        <w:t>размещения</w:t>
      </w:r>
      <w:r w:rsidR="000227DE">
        <w:t xml:space="preserve"> </w:t>
      </w:r>
      <w:r w:rsidR="000227DE">
        <w:rPr>
          <w:lang w:val="en-US"/>
        </w:rPr>
        <w:t>SPAC</w:t>
      </w:r>
      <w:r w:rsidR="000227DE">
        <w:t xml:space="preserve"> и заканчивая</w:t>
      </w:r>
      <w:r w:rsidR="009A747C">
        <w:t xml:space="preserve"> 5 днями </w:t>
      </w:r>
      <w:r w:rsidR="00D761ED">
        <w:t>до ликвидации или совершения сделки поглощени</w:t>
      </w:r>
      <w:r w:rsidR="00633B41">
        <w:t>я</w:t>
      </w:r>
      <w:r w:rsidR="00D761ED">
        <w:t>)</w:t>
      </w:r>
      <w:r w:rsidR="000C6564" w:rsidRPr="000C6564">
        <w:t xml:space="preserve"> </w:t>
      </w:r>
      <w:r w:rsidR="000C6564">
        <w:t xml:space="preserve">и </w:t>
      </w:r>
      <w:r w:rsidR="000C6564">
        <w:rPr>
          <w:lang w:val="en-US"/>
        </w:rPr>
        <w:t>deSPAC</w:t>
      </w:r>
      <w:r w:rsidR="00E4718B">
        <w:t xml:space="preserve"> (</w:t>
      </w:r>
      <w:r w:rsidR="00E7669D">
        <w:t>начиная с даты завершения сделки</w:t>
      </w:r>
      <w:r w:rsidR="00050BE4">
        <w:t xml:space="preserve"> поглощения</w:t>
      </w:r>
      <w:r w:rsidR="00E7669D">
        <w:t xml:space="preserve">). </w:t>
      </w:r>
      <w:r w:rsidR="00AE78D1">
        <w:t xml:space="preserve">Период в 5 дней был выбран как время, которое потребуется инвесторам для проведения процедуры </w:t>
      </w:r>
      <w:r w:rsidR="004819B2">
        <w:t>предъявления акций к</w:t>
      </w:r>
      <w:r w:rsidR="00AE78D1">
        <w:t xml:space="preserve"> выкуп</w:t>
      </w:r>
      <w:r w:rsidR="004819B2">
        <w:t>у</w:t>
      </w:r>
      <w:r w:rsidR="00AE78D1">
        <w:t>.</w:t>
      </w:r>
      <w:r w:rsidR="00013CFE">
        <w:t xml:space="preserve"> Итого</w:t>
      </w:r>
      <w:r w:rsidR="00D0400E">
        <w:t xml:space="preserve">, стратегия </w:t>
      </w:r>
      <w:r w:rsidR="00D0400E">
        <w:rPr>
          <w:lang w:val="en-US"/>
        </w:rPr>
        <w:t>buy</w:t>
      </w:r>
      <w:r w:rsidR="00D0400E" w:rsidRPr="00A965C2">
        <w:t>-</w:t>
      </w:r>
      <w:r w:rsidR="00D0400E">
        <w:rPr>
          <w:lang w:val="en-US"/>
        </w:rPr>
        <w:t>and</w:t>
      </w:r>
      <w:r w:rsidR="00D0400E" w:rsidRPr="00A965C2">
        <w:t>-</w:t>
      </w:r>
      <w:r w:rsidR="00D0400E">
        <w:rPr>
          <w:lang w:val="en-US"/>
        </w:rPr>
        <w:t>hold</w:t>
      </w:r>
      <w:r w:rsidR="00D0400E" w:rsidRPr="00A965C2">
        <w:t xml:space="preserve"> </w:t>
      </w:r>
      <w:r w:rsidR="00D0400E">
        <w:t xml:space="preserve">в период поиска </w:t>
      </w:r>
      <w:r w:rsidR="00D0400E">
        <w:rPr>
          <w:lang w:val="en-US"/>
        </w:rPr>
        <w:t>SPAC</w:t>
      </w:r>
      <w:r w:rsidR="00D0400E">
        <w:t xml:space="preserve"> </w:t>
      </w:r>
      <w:r w:rsidR="00A965C2">
        <w:t xml:space="preserve">имеет следующий вид: </w:t>
      </w:r>
      <w:r w:rsidR="00A85774">
        <w:t xml:space="preserve">1) </w:t>
      </w:r>
      <w:r w:rsidR="00A965C2">
        <w:t xml:space="preserve">инвестор покупает юнит </w:t>
      </w:r>
      <w:r w:rsidR="00A965C2">
        <w:rPr>
          <w:lang w:val="en-US"/>
        </w:rPr>
        <w:t>SPAC</w:t>
      </w:r>
      <w:r w:rsidR="00A965C2">
        <w:t xml:space="preserve"> </w:t>
      </w:r>
      <w:r w:rsidR="00F35067">
        <w:t>в ходе</w:t>
      </w:r>
      <w:r w:rsidR="00A85774">
        <w:t>;</w:t>
      </w:r>
      <w:r w:rsidR="00F35067">
        <w:t xml:space="preserve"> </w:t>
      </w:r>
      <w:r w:rsidR="00A85774">
        <w:t xml:space="preserve">2) через определенный промежуток времени (как правило 52 дня) инвестор разделяет юнит на акцию и варрант; 3) </w:t>
      </w:r>
      <w:r w:rsidR="00D1462E" w:rsidRPr="007F7693">
        <w:rPr>
          <w:b/>
          <w:bCs/>
        </w:rPr>
        <w:t>за 5 дней</w:t>
      </w:r>
      <w:r w:rsidR="00D1462E">
        <w:t xml:space="preserve"> до ликвидации или </w:t>
      </w:r>
      <w:r w:rsidR="00CA3BD2">
        <w:t xml:space="preserve">совершения сделки инвестор продает </w:t>
      </w:r>
      <w:r w:rsidR="00DF4220">
        <w:t>каждый компонент</w:t>
      </w:r>
      <w:r w:rsidR="00BE4F5B">
        <w:t xml:space="preserve"> юнита</w:t>
      </w:r>
      <w:r w:rsidR="00CA3BD2">
        <w:t xml:space="preserve">, если их </w:t>
      </w:r>
      <w:r w:rsidR="00BE4F5B">
        <w:t>суммарная стоимость</w:t>
      </w:r>
      <w:r w:rsidR="00CA3BD2">
        <w:t xml:space="preserve"> превышае</w:t>
      </w:r>
      <w:r w:rsidR="00BE4F5B">
        <w:t>т цену размещения юнита</w:t>
      </w:r>
      <w:r w:rsidR="00681FF2">
        <w:t xml:space="preserve">, либо инвестор </w:t>
      </w:r>
      <w:r w:rsidR="00AC4AE6">
        <w:t>предъявляет акции к выкупу</w:t>
      </w:r>
      <w:r w:rsidR="00681FF2">
        <w:t xml:space="preserve">, если </w:t>
      </w:r>
      <w:r w:rsidR="0045468C">
        <w:t>рыночная стоимость акции</w:t>
      </w:r>
      <w:r w:rsidR="00C82964">
        <w:t xml:space="preserve"> ниже цены</w:t>
      </w:r>
      <w:r w:rsidR="0045468C">
        <w:t>, по которой она предъявляется к выкупу</w:t>
      </w:r>
      <w:r w:rsidR="00694F9A">
        <w:t xml:space="preserve"> </w:t>
      </w:r>
      <w:r w:rsidR="00C82964">
        <w:t>(как правило</w:t>
      </w:r>
      <w:r w:rsidR="00694F9A">
        <w:t xml:space="preserve"> такая цена</w:t>
      </w:r>
      <w:r w:rsidR="00C82964">
        <w:t xml:space="preserve"> равна цене размещения</w:t>
      </w:r>
      <w:r w:rsidR="00694F9A">
        <w:t xml:space="preserve">, то есть в большинстве случаев </w:t>
      </w:r>
      <w:r w:rsidR="00694F9A" w:rsidRPr="00694F9A">
        <w:t>$10</w:t>
      </w:r>
      <w:r w:rsidR="00C82964">
        <w:t>).</w:t>
      </w:r>
    </w:p>
    <w:p w14:paraId="3BD36AF9" w14:textId="4CBD4FA9" w:rsidR="00F47480" w:rsidRDefault="00F47480" w:rsidP="00515099">
      <w:r>
        <w:t>Математ</w:t>
      </w:r>
      <w:r w:rsidR="00170FB9">
        <w:t>ически исследователи выражают доходность в годовом выражении следующим образом:</w:t>
      </w:r>
    </w:p>
    <w:p w14:paraId="7194D7FF" w14:textId="10B28DEF" w:rsidR="0071339D" w:rsidRPr="000554E7" w:rsidRDefault="00F316B4" w:rsidP="00F316B4">
      <w:pPr>
        <w:pStyle w:val="af8"/>
        <w:rPr>
          <w:vanish/>
          <w:specVanish/>
        </w:rPr>
      </w:pPr>
      <w:r w:rsidRPr="00ED05D5">
        <w:rPr>
          <w:lang w:val="ru-RU"/>
        </w:rPr>
        <w:tab/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SPAC</m:t>
                    </m:r>
                  </m:sub>
                </m:sSub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Months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e>
            </m:d>
          </m:sup>
        </m:sSup>
      </m:oMath>
      <w:r>
        <w:tab/>
      </w:r>
    </w:p>
    <w:p w14:paraId="048CE049" w14:textId="7CE655C4" w:rsidR="000554E7" w:rsidRDefault="000554E7" w:rsidP="00760A3E">
      <w:pPr>
        <w:pStyle w:val="af9"/>
        <w:rPr>
          <w:lang w:val="en-US"/>
        </w:rPr>
      </w:pPr>
      <w:r>
        <w:t xml:space="preserve"> </w:t>
      </w:r>
      <w:r w:rsidR="00760A3E">
        <w:rPr>
          <w:lang w:val="en-US"/>
        </w:rPr>
        <w:t>(</w:t>
      </w:r>
      <w:fldSimple w:instr=" SEQ Equation \* ARABIC ">
        <w:r w:rsidR="00945273">
          <w:rPr>
            <w:noProof/>
          </w:rPr>
          <w:t>1</w:t>
        </w:r>
      </w:fldSimple>
      <w:r w:rsidR="00760A3E">
        <w:rPr>
          <w:lang w:val="en-US"/>
        </w:rPr>
        <w:t>)</w:t>
      </w:r>
    </w:p>
    <w:p w14:paraId="6E04D0DF" w14:textId="56B6653A" w:rsidR="00F731FF" w:rsidRDefault="00F731FF" w:rsidP="00F731FF">
      <w:pPr>
        <w:ind w:firstLine="0"/>
      </w:pPr>
      <w:r>
        <w:t>Где</w:t>
      </w:r>
    </w:p>
    <w:p w14:paraId="3E1701E0" w14:textId="7F296019" w:rsidR="00F731FF" w:rsidRPr="00502D4A" w:rsidRDefault="005438C5" w:rsidP="00F731FF">
      <w:pPr>
        <w:pStyle w:val="af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Commo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t-5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Commo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t-5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+Price Structure of Warrant×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Warran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t-5</m:t>
              </m:r>
            </m:sub>
          </m:sSub>
          <m:r>
            <w:rPr>
              <w:rFonts w:ascii="Cambria Math" w:hAnsi="Cambria Math"/>
            </w:rPr>
            <m:t>+Price Structure of Right×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Righ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t-5</m:t>
              </m:r>
            </m:sub>
          </m:sSub>
        </m:oMath>
      </m:oMathPara>
    </w:p>
    <w:p w14:paraId="2514366E" w14:textId="68F61249" w:rsidR="00502D4A" w:rsidRDefault="005438C5" w:rsidP="00F731FF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02D4A" w:rsidRPr="004A6318">
        <w:rPr>
          <w:rFonts w:eastAsiaTheme="minorEastAsia"/>
          <w:lang w:val="ru-RU"/>
        </w:rPr>
        <w:t xml:space="preserve"> </w:t>
      </w:r>
      <w:r w:rsidR="004A6318" w:rsidRPr="004A6318">
        <w:rPr>
          <w:rFonts w:eastAsiaTheme="minorEastAsia"/>
          <w:lang w:val="ru-RU"/>
        </w:rPr>
        <w:t>–</w:t>
      </w:r>
      <w:r w:rsidR="00502D4A" w:rsidRPr="004A6318">
        <w:rPr>
          <w:rFonts w:eastAsiaTheme="minorEastAsia"/>
          <w:lang w:val="ru-RU"/>
        </w:rPr>
        <w:t xml:space="preserve"> </w:t>
      </w:r>
      <w:r w:rsidR="004A6318">
        <w:rPr>
          <w:rFonts w:eastAsiaTheme="minorEastAsia"/>
          <w:lang w:val="ru-RU"/>
        </w:rPr>
        <w:t xml:space="preserve">цена юнита при </w:t>
      </w:r>
      <w:r w:rsidR="004A6318">
        <w:rPr>
          <w:rFonts w:eastAsiaTheme="minorEastAsia"/>
        </w:rPr>
        <w:t>IPO</w:t>
      </w:r>
    </w:p>
    <w:p w14:paraId="7F80942A" w14:textId="770453F3" w:rsidR="004A6318" w:rsidRDefault="005438C5" w:rsidP="00F731FF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SPAC</m:t>
            </m:r>
          </m:sub>
        </m:sSub>
      </m:oMath>
      <w:r w:rsidR="004A6318">
        <w:rPr>
          <w:rFonts w:eastAsiaTheme="minorEastAsia"/>
          <w:lang w:val="ru-RU"/>
        </w:rPr>
        <w:t xml:space="preserve"> – доходность </w:t>
      </w:r>
      <w:r w:rsidR="004A6318">
        <w:rPr>
          <w:rFonts w:eastAsiaTheme="minorEastAsia"/>
        </w:rPr>
        <w:t>SPAC</w:t>
      </w:r>
      <w:r w:rsidR="004A6318">
        <w:rPr>
          <w:rFonts w:eastAsiaTheme="minorEastAsia"/>
          <w:lang w:val="ru-RU"/>
        </w:rPr>
        <w:t xml:space="preserve"> в годовом выражении</w:t>
      </w:r>
    </w:p>
    <w:p w14:paraId="6FA1A88D" w14:textId="7447CD03" w:rsidR="00764C5B" w:rsidRDefault="00764C5B" w:rsidP="00F731FF">
      <w:pPr>
        <w:pStyle w:val="af8"/>
        <w:rPr>
          <w:rFonts w:eastAsiaTheme="minorEastAsia"/>
          <w:lang w:val="ru-RU"/>
        </w:rPr>
      </w:pPr>
      <w:r>
        <w:rPr>
          <w:rFonts w:eastAsiaTheme="minorEastAsia"/>
        </w:rPr>
        <w:t>Months</w:t>
      </w:r>
      <w:r w:rsidRPr="00764C5B">
        <w:rPr>
          <w:rFonts w:eastAsiaTheme="minorEastAsia"/>
          <w:lang w:val="ru-RU"/>
        </w:rPr>
        <w:t xml:space="preserve"> – </w:t>
      </w:r>
      <w:r>
        <w:rPr>
          <w:rFonts w:eastAsiaTheme="minorEastAsia"/>
          <w:lang w:val="ru-RU"/>
        </w:rPr>
        <w:t xml:space="preserve">количество месяцев между </w:t>
      </w:r>
      <w:r>
        <w:rPr>
          <w:rFonts w:eastAsiaTheme="minorEastAsia"/>
        </w:rPr>
        <w:t>IPO</w:t>
      </w:r>
      <w:r w:rsidRPr="00764C5B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SPAC</w:t>
      </w:r>
      <w:r>
        <w:rPr>
          <w:rFonts w:eastAsiaTheme="minorEastAsia"/>
          <w:lang w:val="ru-RU"/>
        </w:rPr>
        <w:t xml:space="preserve"> и </w:t>
      </w:r>
      <w:r w:rsidR="00127E65">
        <w:rPr>
          <w:rFonts w:eastAsiaTheme="minorEastAsia"/>
          <w:lang w:val="ru-RU"/>
        </w:rPr>
        <w:t>слиянием</w:t>
      </w:r>
      <w:r w:rsidR="00127E65" w:rsidRPr="00127E65">
        <w:rPr>
          <w:rFonts w:eastAsiaTheme="minorEastAsia"/>
          <w:lang w:val="ru-RU"/>
        </w:rPr>
        <w:t>/</w:t>
      </w:r>
      <w:r w:rsidR="00127E65">
        <w:rPr>
          <w:rFonts w:eastAsiaTheme="minorEastAsia"/>
          <w:lang w:val="ru-RU"/>
        </w:rPr>
        <w:t>ликвидацией</w:t>
      </w:r>
    </w:p>
    <w:p w14:paraId="2D72C5B1" w14:textId="5822AD8D" w:rsidR="00127E65" w:rsidRDefault="005438C5" w:rsidP="00F731FF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Commo</m:t>
            </m:r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-5</m:t>
            </m:r>
          </m:sub>
        </m:sSub>
      </m:oMath>
      <w:r w:rsidR="00804EDA">
        <w:rPr>
          <w:rFonts w:eastAsiaTheme="minorEastAsia"/>
          <w:lang w:val="ru-RU"/>
        </w:rPr>
        <w:t xml:space="preserve"> </w:t>
      </w:r>
      <w:r w:rsidR="007F7693">
        <w:rPr>
          <w:rFonts w:eastAsiaTheme="minorEastAsia"/>
          <w:lang w:val="ru-RU"/>
        </w:rPr>
        <w:t>–</w:t>
      </w:r>
      <w:r w:rsidR="00804EDA">
        <w:rPr>
          <w:rFonts w:eastAsiaTheme="minorEastAsia"/>
          <w:lang w:val="ru-RU"/>
        </w:rPr>
        <w:t xml:space="preserve"> </w:t>
      </w:r>
      <w:r w:rsidR="007F7693">
        <w:rPr>
          <w:rFonts w:eastAsiaTheme="minorEastAsia"/>
          <w:lang w:val="ru-RU"/>
        </w:rPr>
        <w:t>цена обыкновенной акции</w:t>
      </w:r>
    </w:p>
    <w:p w14:paraId="1184C2FB" w14:textId="3B54C803" w:rsidR="00EA6C2A" w:rsidRDefault="005438C5" w:rsidP="00F731FF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Commo</m:t>
            </m:r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-5</m:t>
            </m:r>
          </m:sub>
        </m:sSub>
      </m:oMath>
      <w:r w:rsidR="00EA6C2A">
        <w:rPr>
          <w:rFonts w:eastAsiaTheme="minorEastAsia"/>
          <w:lang w:val="ru-RU"/>
        </w:rPr>
        <w:t xml:space="preserve"> – цена</w:t>
      </w:r>
      <w:r w:rsidR="00A46A06">
        <w:rPr>
          <w:rFonts w:eastAsiaTheme="minorEastAsia"/>
          <w:lang w:val="ru-RU"/>
        </w:rPr>
        <w:t>, по которой акция предъявляется к выкупу</w:t>
      </w:r>
      <w:r w:rsidR="00EA6C2A">
        <w:rPr>
          <w:rFonts w:eastAsiaTheme="minorEastAsia"/>
          <w:lang w:val="ru-RU"/>
        </w:rPr>
        <w:t xml:space="preserve"> (в большинстве случаев </w:t>
      </w:r>
      <w:r w:rsidR="00EA6C2A" w:rsidRPr="00EA6C2A">
        <w:rPr>
          <w:rFonts w:eastAsiaTheme="minorEastAsia"/>
          <w:lang w:val="ru-RU"/>
        </w:rPr>
        <w:t>$</w:t>
      </w:r>
      <w:r w:rsidR="00431333" w:rsidRPr="00431333">
        <w:rPr>
          <w:rFonts w:eastAsiaTheme="minorEastAsia"/>
          <w:lang w:val="ru-RU"/>
        </w:rPr>
        <w:t>10)</w:t>
      </w:r>
    </w:p>
    <w:p w14:paraId="0F756491" w14:textId="497DC449" w:rsidR="00431333" w:rsidRPr="003F60C0" w:rsidRDefault="000109DC" w:rsidP="00F731FF">
      <w:pPr>
        <w:pStyle w:val="af8"/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Price</m:t>
        </m:r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Structure</m:t>
        </m:r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of</m:t>
        </m:r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Warrant</m:t>
        </m:r>
        <m:r>
          <w:rPr>
            <w:rFonts w:ascii="Cambria Math" w:hAnsi="Cambria Math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</w:rPr>
              <m:t>Rig</m:t>
            </m:r>
            <m:r>
              <w:rPr>
                <w:rFonts w:ascii="Cambria Math" w:hAnsi="Cambria Math"/>
                <w:lang w:val="ru-RU"/>
              </w:rPr>
              <m:t>h</m:t>
            </m:r>
            <m:r>
              <w:rPr>
                <w:rFonts w:ascii="Cambria Math" w:hAnsi="Cambria Math"/>
              </w:rPr>
              <m:t>t</m:t>
            </m:r>
          </m:e>
        </m:d>
      </m:oMath>
      <w:r w:rsidR="00431333">
        <w:rPr>
          <w:rFonts w:eastAsiaTheme="minorEastAsia"/>
          <w:lang w:val="ru-RU"/>
        </w:rPr>
        <w:t xml:space="preserve"> – доля варранта</w:t>
      </w:r>
      <w:r w:rsidR="00CE3894" w:rsidRPr="00CE3894">
        <w:rPr>
          <w:rFonts w:eastAsiaTheme="minorEastAsia"/>
          <w:lang w:val="ru-RU"/>
        </w:rPr>
        <w:t xml:space="preserve"> </w:t>
      </w:r>
      <w:r w:rsidR="00CE3894" w:rsidRPr="00AF12D2">
        <w:rPr>
          <w:rFonts w:eastAsiaTheme="minorEastAsia"/>
          <w:lang w:val="ru-RU"/>
        </w:rPr>
        <w:t>(</w:t>
      </w:r>
      <w:r w:rsidR="00AF12D2">
        <w:rPr>
          <w:rFonts w:eastAsiaTheme="minorEastAsia"/>
          <w:lang w:val="ru-RU"/>
        </w:rPr>
        <w:t>права</w:t>
      </w:r>
      <w:r w:rsidR="00AF12D2">
        <w:rPr>
          <w:rStyle w:val="af5"/>
          <w:rFonts w:eastAsiaTheme="minorEastAsia"/>
          <w:lang w:val="ru-RU"/>
        </w:rPr>
        <w:footnoteReference w:id="31"/>
      </w:r>
      <w:r w:rsidR="00AF12D2">
        <w:rPr>
          <w:rFonts w:eastAsiaTheme="minorEastAsia"/>
          <w:lang w:val="ru-RU"/>
        </w:rPr>
        <w:t>)</w:t>
      </w:r>
      <w:r w:rsidR="00431333">
        <w:rPr>
          <w:rFonts w:eastAsiaTheme="minorEastAsia"/>
          <w:lang w:val="ru-RU"/>
        </w:rPr>
        <w:t xml:space="preserve"> в одном </w:t>
      </w:r>
      <w:r w:rsidR="00736794">
        <w:rPr>
          <w:rFonts w:eastAsiaTheme="minorEastAsia"/>
          <w:lang w:val="ru-RU"/>
        </w:rPr>
        <w:t>юните</w:t>
      </w:r>
      <w:r w:rsidR="003F60C0">
        <w:rPr>
          <w:rFonts w:eastAsiaTheme="minorEastAsia"/>
          <w:lang w:val="ru-RU"/>
        </w:rPr>
        <w:t>. Например, в одном юните содержится ¼</w:t>
      </w:r>
      <w:r w:rsidR="003F60C0" w:rsidRPr="003F60C0">
        <w:rPr>
          <w:rFonts w:eastAsiaTheme="minorEastAsia"/>
          <w:lang w:val="ru-RU"/>
        </w:rPr>
        <w:t xml:space="preserve"> </w:t>
      </w:r>
      <w:r w:rsidR="003F60C0">
        <w:rPr>
          <w:rFonts w:eastAsiaTheme="minorEastAsia"/>
          <w:lang w:val="ru-RU"/>
        </w:rPr>
        <w:t>варранта, тогда эта пропорция умножается на цену варранта</w:t>
      </w:r>
    </w:p>
    <w:p w14:paraId="7E003291" w14:textId="20FFCAF9" w:rsidR="00736794" w:rsidRDefault="005438C5" w:rsidP="00F731FF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Warran</m:t>
            </m:r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-5</m:t>
            </m:r>
          </m:sub>
        </m:sSub>
      </m:oMath>
      <w:r w:rsidR="00736794">
        <w:rPr>
          <w:rFonts w:eastAsiaTheme="minorEastAsia"/>
          <w:lang w:val="ru-RU"/>
        </w:rPr>
        <w:t xml:space="preserve"> – цена варранта</w:t>
      </w:r>
      <w:r w:rsidR="00AF12D2">
        <w:rPr>
          <w:rFonts w:eastAsiaTheme="minorEastAsia"/>
          <w:lang w:val="ru-RU"/>
        </w:rPr>
        <w:t xml:space="preserve"> (права)</w:t>
      </w:r>
    </w:p>
    <w:p w14:paraId="0D181207" w14:textId="74E2555F" w:rsidR="00ED6523" w:rsidRDefault="002853BD" w:rsidP="00ED6523">
      <w:r>
        <w:t>Выборка состояла</w:t>
      </w:r>
      <w:r w:rsidR="00ED05D5">
        <w:t xml:space="preserve"> из </w:t>
      </w:r>
      <w:r w:rsidR="00B93A40">
        <w:t xml:space="preserve">210 </w:t>
      </w:r>
      <w:r w:rsidR="00ED05D5">
        <w:rPr>
          <w:lang w:val="en-US"/>
        </w:rPr>
        <w:t>SPAC</w:t>
      </w:r>
      <w:r w:rsidR="00ED05D5">
        <w:t xml:space="preserve">, выходивших на биржу в период с января 2010 по декабрь </w:t>
      </w:r>
      <w:r w:rsidR="00322C1C">
        <w:t>2019</w:t>
      </w:r>
      <w:r w:rsidR="00DA46AB">
        <w:t xml:space="preserve">. </w:t>
      </w:r>
      <w:r w:rsidR="001274D8">
        <w:t>Среднегодовая доходность за рассматриваемый период составляла 15,9%</w:t>
      </w:r>
      <w:r w:rsidR="002C78F0">
        <w:t xml:space="preserve">, только в 2019 году показатель составлял 15,9%. </w:t>
      </w:r>
      <w:r w:rsidR="006207EF">
        <w:t>Минимальная доходность в годовом выражении составляла 0,51%</w:t>
      </w:r>
      <w:r w:rsidR="00BF3B24">
        <w:t xml:space="preserve">. </w:t>
      </w:r>
      <w:r w:rsidR="002B7A01">
        <w:t xml:space="preserve">Также исследователи предоставили аналитику </w:t>
      </w:r>
      <w:r w:rsidR="00D37F68">
        <w:t xml:space="preserve">доходности по статусу </w:t>
      </w:r>
      <w:r w:rsidR="00D37F68">
        <w:rPr>
          <w:lang w:val="en-US"/>
        </w:rPr>
        <w:t>SPAC</w:t>
      </w:r>
      <w:r w:rsidR="00D37F68">
        <w:t xml:space="preserve">: </w:t>
      </w:r>
      <w:r w:rsidR="002C43E7">
        <w:t>успешные сделки</w:t>
      </w:r>
      <w:r w:rsidR="00694F9A">
        <w:t xml:space="preserve">, </w:t>
      </w:r>
      <w:proofErr w:type="gramStart"/>
      <w:r w:rsidR="00694F9A">
        <w:t>т.е.</w:t>
      </w:r>
      <w:proofErr w:type="gramEnd"/>
      <w:r w:rsidR="00694F9A">
        <w:t xml:space="preserve"> нашедшие таргет,</w:t>
      </w:r>
      <w:r w:rsidR="002C43E7">
        <w:t xml:space="preserve"> показали доходность в годовом выражении в 17,7%, ликвидированные </w:t>
      </w:r>
      <w:r w:rsidR="002C43E7">
        <w:rPr>
          <w:lang w:val="en-US"/>
        </w:rPr>
        <w:t>SPAC</w:t>
      </w:r>
      <w:r w:rsidR="002C43E7">
        <w:t xml:space="preserve"> – в 2,0%, </w:t>
      </w:r>
      <w:r w:rsidR="00F6348E">
        <w:t xml:space="preserve">в процессе поиска таргета – в 4,8%. </w:t>
      </w:r>
      <w:r w:rsidR="006A68EF">
        <w:t xml:space="preserve">Очевидным образом доходность по успешным </w:t>
      </w:r>
      <w:r w:rsidR="006A68EF">
        <w:rPr>
          <w:lang w:val="en-US"/>
        </w:rPr>
        <w:t>SPAC</w:t>
      </w:r>
      <w:r w:rsidR="006A68EF">
        <w:t xml:space="preserve"> выше, чем по ликвидированным. </w:t>
      </w:r>
      <w:r w:rsidR="00282744">
        <w:t xml:space="preserve">Также с премией </w:t>
      </w:r>
      <w:r w:rsidR="00A034D3">
        <w:t xml:space="preserve">по отношению к ликвидированным компаниям </w:t>
      </w:r>
      <w:r w:rsidR="00282744">
        <w:t xml:space="preserve">торгуются и те </w:t>
      </w:r>
      <w:r w:rsidR="00282744">
        <w:rPr>
          <w:lang w:val="en-US"/>
        </w:rPr>
        <w:t>SPAC</w:t>
      </w:r>
      <w:r w:rsidR="00282744">
        <w:t xml:space="preserve">, которые </w:t>
      </w:r>
      <w:r w:rsidR="00A034D3">
        <w:t xml:space="preserve">еще не нашли таргет, поскольку </w:t>
      </w:r>
      <w:r w:rsidR="005B6B79">
        <w:t xml:space="preserve">у инвесторов еще есть </w:t>
      </w:r>
      <w:r w:rsidR="009D241E">
        <w:t>надежда на то, что кандидат на поглощение найдется.</w:t>
      </w:r>
      <w:r w:rsidR="00D55DE4">
        <w:t xml:space="preserve"> Также </w:t>
      </w:r>
      <w:r w:rsidR="00090F59">
        <w:t xml:space="preserve">исследователи </w:t>
      </w:r>
      <w:r w:rsidR="00DE46C6">
        <w:t>использовали</w:t>
      </w:r>
      <w:r w:rsidR="00090F59">
        <w:t xml:space="preserve"> разные методы оценки доходности: 15,9% – результат среднего арифметического от объектов выборки</w:t>
      </w:r>
      <w:r w:rsidR="00935620">
        <w:t xml:space="preserve">. Помимо этого, была найдена средняя оценка, взвешенная по поступлениям </w:t>
      </w:r>
      <w:r w:rsidR="005A4B20">
        <w:t xml:space="preserve">с </w:t>
      </w:r>
      <w:r w:rsidR="00942753">
        <w:rPr>
          <w:lang w:val="en-US"/>
        </w:rPr>
        <w:t>IPO</w:t>
      </w:r>
      <w:r w:rsidR="00942753" w:rsidRPr="00942753">
        <w:t xml:space="preserve"> (</w:t>
      </w:r>
      <w:r w:rsidR="00942753">
        <w:t xml:space="preserve">чем больше поступлений, тем выше вес объекта выборки). Средневзвешенная оценка доходности в годовом выражении составила </w:t>
      </w:r>
      <w:r w:rsidR="00A26316">
        <w:t xml:space="preserve">19,0%, что не сильно </w:t>
      </w:r>
      <w:r w:rsidR="006432A3">
        <w:t>превосходит среднюю арифметическую оценку. Медианная доходность в годовом выражении составила 6,4%.</w:t>
      </w:r>
      <w:r w:rsidR="00BC36D0">
        <w:t xml:space="preserve"> Таким образом, авторы сделали вывод, что </w:t>
      </w:r>
      <w:r w:rsidR="00622C94">
        <w:t xml:space="preserve">инвестиции в юниты </w:t>
      </w:r>
      <w:r w:rsidR="00622C94">
        <w:rPr>
          <w:lang w:val="en-US"/>
        </w:rPr>
        <w:t>SPAC</w:t>
      </w:r>
      <w:r w:rsidR="00622C94">
        <w:t xml:space="preserve"> можно считать эквивалентом инвестиций в кон</w:t>
      </w:r>
      <w:r w:rsidR="00DF5014">
        <w:t>вертируемые облигации</w:t>
      </w:r>
      <w:r w:rsidR="00ED6523">
        <w:t xml:space="preserve">, поэтому многие хедж-фонды находят привлекательными инвестиции в </w:t>
      </w:r>
      <w:r w:rsidR="00ED6523">
        <w:rPr>
          <w:lang w:val="en-US"/>
        </w:rPr>
        <w:t>SPAC</w:t>
      </w:r>
      <w:r w:rsidR="00ED6523">
        <w:t xml:space="preserve"> период.</w:t>
      </w:r>
    </w:p>
    <w:p w14:paraId="03CFD9EE" w14:textId="03B6847E" w:rsidR="00EC6820" w:rsidRDefault="00EC6820" w:rsidP="00ED6523">
      <w:r>
        <w:t>Далее</w:t>
      </w:r>
      <w:r w:rsidRPr="00FE6DC8">
        <w:t xml:space="preserve"> </w:t>
      </w:r>
      <w:r w:rsidR="001F3F87" w:rsidRPr="00E2702A">
        <w:t>[</w:t>
      </w:r>
      <w:proofErr w:type="spellStart"/>
      <w:r w:rsidR="001F3F87">
        <w:rPr>
          <w:lang w:val="en-US"/>
        </w:rPr>
        <w:t>Gahng</w:t>
      </w:r>
      <w:proofErr w:type="spellEnd"/>
      <w:r w:rsidR="001F3F87" w:rsidRPr="00AD4ECC">
        <w:t xml:space="preserve">, </w:t>
      </w:r>
      <w:r w:rsidR="001F3F87">
        <w:rPr>
          <w:lang w:val="en-US"/>
        </w:rPr>
        <w:t>Ritter</w:t>
      </w:r>
      <w:r w:rsidR="001F3F87" w:rsidRPr="00E2702A">
        <w:t>,</w:t>
      </w:r>
      <w:r w:rsidR="001F3F87">
        <w:t xml:space="preserve"> </w:t>
      </w:r>
      <w:r w:rsidR="001F3F87">
        <w:rPr>
          <w:lang w:val="en-US"/>
        </w:rPr>
        <w:t>Zhang</w:t>
      </w:r>
      <w:r w:rsidR="001F3F87">
        <w:t xml:space="preserve"> 2021</w:t>
      </w:r>
      <w:r w:rsidR="001F3F87" w:rsidRPr="001F3F87">
        <w:t>]</w:t>
      </w:r>
      <w:r w:rsidR="00FE6DC8" w:rsidRPr="00FE6DC8">
        <w:t xml:space="preserve"> </w:t>
      </w:r>
      <w:r w:rsidR="00FE6DC8">
        <w:t xml:space="preserve">исследовали доходность </w:t>
      </w:r>
      <w:r w:rsidR="00FE6DC8">
        <w:rPr>
          <w:lang w:val="en-US"/>
        </w:rPr>
        <w:t>deSPAC</w:t>
      </w:r>
      <w:r w:rsidR="00193A9E">
        <w:t xml:space="preserve"> периода. </w:t>
      </w:r>
      <w:r w:rsidR="000C170C">
        <w:t xml:space="preserve">В моделировании инвестор придерживается стратегии </w:t>
      </w:r>
      <w:r w:rsidR="000C170C">
        <w:rPr>
          <w:lang w:val="en-US"/>
        </w:rPr>
        <w:t>buy</w:t>
      </w:r>
      <w:r w:rsidR="000C170C" w:rsidRPr="00B82F04">
        <w:t>-</w:t>
      </w:r>
      <w:r w:rsidR="000C170C">
        <w:rPr>
          <w:lang w:val="en-US"/>
        </w:rPr>
        <w:t>and</w:t>
      </w:r>
      <w:r w:rsidR="000C170C" w:rsidRPr="00B82F04">
        <w:t>-</w:t>
      </w:r>
      <w:r w:rsidR="000C170C">
        <w:rPr>
          <w:lang w:val="en-US"/>
        </w:rPr>
        <w:t>hold</w:t>
      </w:r>
      <w:r w:rsidR="000C170C">
        <w:t>, покупая акци</w:t>
      </w:r>
      <w:r w:rsidR="00FC5016">
        <w:t xml:space="preserve">и </w:t>
      </w:r>
      <w:r w:rsidR="00B82F04">
        <w:t xml:space="preserve">объединенной компании в начале дня </w:t>
      </w:r>
      <w:r w:rsidR="00191C12">
        <w:t xml:space="preserve">завершения сделки, </w:t>
      </w:r>
      <w:r w:rsidR="00F912D4">
        <w:t>то есть,</w:t>
      </w:r>
      <w:r w:rsidR="00191C12">
        <w:t xml:space="preserve"> когда </w:t>
      </w:r>
      <w:r w:rsidR="00191C12">
        <w:rPr>
          <w:lang w:val="en-US"/>
        </w:rPr>
        <w:t>SPAC</w:t>
      </w:r>
      <w:r w:rsidR="00191C12">
        <w:t xml:space="preserve"> начинает торговаться под новым тикером как новая компания.</w:t>
      </w:r>
      <w:r w:rsidR="001C6421">
        <w:t xml:space="preserve"> </w:t>
      </w:r>
      <w:r w:rsidR="001C6421">
        <w:rPr>
          <w:lang w:val="en-US"/>
        </w:rPr>
        <w:t>Buy</w:t>
      </w:r>
      <w:r w:rsidR="001C6421" w:rsidRPr="001C6421">
        <w:t>-</w:t>
      </w:r>
      <w:r w:rsidR="001C6421">
        <w:rPr>
          <w:lang w:val="en-US"/>
        </w:rPr>
        <w:t>and</w:t>
      </w:r>
      <w:r w:rsidR="001C6421" w:rsidRPr="001C6421">
        <w:t>-</w:t>
      </w:r>
      <w:r w:rsidR="001C6421">
        <w:rPr>
          <w:lang w:val="en-US"/>
        </w:rPr>
        <w:t>hold</w:t>
      </w:r>
      <w:r w:rsidR="001C6421" w:rsidRPr="001C6421">
        <w:t xml:space="preserve"> </w:t>
      </w:r>
      <w:r w:rsidR="001C6421">
        <w:t>доходности рассчитывались на периоде 1 года и 3 лет</w:t>
      </w:r>
      <w:r w:rsidR="009C0617">
        <w:t>. Если компания после поглощения торгуется меньше</w:t>
      </w:r>
      <w:r w:rsidR="009F3C25">
        <w:t xml:space="preserve"> 1 или 3 лет</w:t>
      </w:r>
      <w:r w:rsidR="009C0617">
        <w:t xml:space="preserve"> на момент сентября 2021</w:t>
      </w:r>
      <w:r w:rsidR="009F3C25">
        <w:t xml:space="preserve">, </w:t>
      </w:r>
      <w:r w:rsidR="00380F45">
        <w:t>то накопленная доходность считается за годовую и трехгодовую.</w:t>
      </w:r>
    </w:p>
    <w:p w14:paraId="1F684E7B" w14:textId="3F648B6E" w:rsidR="00665C63" w:rsidRDefault="00DC3E18" w:rsidP="00ED6523">
      <w:r>
        <w:t xml:space="preserve">Формула для определения </w:t>
      </w:r>
      <w:r>
        <w:rPr>
          <w:lang w:val="en-US"/>
        </w:rPr>
        <w:t>buy</w:t>
      </w:r>
      <w:r w:rsidRPr="00DC3E18">
        <w:t>-</w:t>
      </w:r>
      <w:r>
        <w:rPr>
          <w:lang w:val="en-US"/>
        </w:rPr>
        <w:t>and</w:t>
      </w:r>
      <w:r w:rsidRPr="00DC3E18">
        <w:t>-</w:t>
      </w:r>
      <w:r>
        <w:rPr>
          <w:lang w:val="en-US"/>
        </w:rPr>
        <w:t>hold</w:t>
      </w:r>
      <w:r w:rsidRPr="00DC3E18">
        <w:t xml:space="preserve"> </w:t>
      </w:r>
      <w:r>
        <w:t>доходности имеет следующий вид:</w:t>
      </w:r>
    </w:p>
    <w:p w14:paraId="029A69D3" w14:textId="47467BB5" w:rsidR="00DC3E18" w:rsidRPr="009E68BE" w:rsidRDefault="00DC3E18" w:rsidP="00DC3E18">
      <w:pPr>
        <w:pStyle w:val="af8"/>
        <w:rPr>
          <w:vanish/>
          <w:specVanish/>
        </w:rPr>
      </w:pPr>
      <w:r w:rsidRPr="00F42192">
        <w:rPr>
          <w:lang w:val="ru-RU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BHRC</m:t>
            </m:r>
          </m:e>
          <m:sub>
            <m:r>
              <w:rPr>
                <w:rFonts w:ascii="Cambria Math" w:hAnsi="Cambria Math"/>
              </w:rPr>
              <m:t>i,t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T,   delist</m:t>
                    </m:r>
                  </m:e>
                </m:d>
              </m:e>
            </m:func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-1</m:t>
            </m:r>
          </m:e>
        </m:nary>
      </m:oMath>
      <w:r>
        <w:tab/>
      </w:r>
    </w:p>
    <w:p w14:paraId="2B3CAF79" w14:textId="0B900067" w:rsidR="009E68BE" w:rsidRPr="00F42192" w:rsidRDefault="009E68BE" w:rsidP="00A17C59">
      <w:pPr>
        <w:pStyle w:val="af9"/>
      </w:pPr>
      <w:r>
        <w:t xml:space="preserve"> </w:t>
      </w:r>
      <w:r w:rsidR="00BA2ADD" w:rsidRPr="00F42192">
        <w:t>(</w:t>
      </w:r>
      <w:fldSimple w:instr=" SEQ Equation \* ARABIC ">
        <w:r w:rsidR="00945273">
          <w:rPr>
            <w:noProof/>
          </w:rPr>
          <w:t>2</w:t>
        </w:r>
      </w:fldSimple>
      <w:r w:rsidR="00BA2ADD" w:rsidRPr="00F42192">
        <w:t>)</w:t>
      </w:r>
    </w:p>
    <w:p w14:paraId="18B6301A" w14:textId="6AF40F4D" w:rsidR="00BA2ADD" w:rsidRDefault="0030070F" w:rsidP="0030070F">
      <w:pPr>
        <w:ind w:firstLine="0"/>
      </w:pPr>
      <w:r>
        <w:t>Где</w:t>
      </w:r>
    </w:p>
    <w:p w14:paraId="71015AF5" w14:textId="6381A806" w:rsidR="0030070F" w:rsidRDefault="005438C5" w:rsidP="0030070F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i,t</m:t>
            </m:r>
          </m:sub>
        </m:sSub>
      </m:oMath>
      <w:r w:rsidR="0030070F">
        <w:rPr>
          <w:rFonts w:eastAsiaTheme="minorEastAsia"/>
        </w:rPr>
        <w:t xml:space="preserve"> </w:t>
      </w:r>
      <w:r w:rsidR="00A947F7">
        <w:rPr>
          <w:rFonts w:eastAsiaTheme="minorEastAsia"/>
        </w:rPr>
        <w:t>–</w:t>
      </w:r>
      <w:r w:rsidR="0030070F">
        <w:rPr>
          <w:rFonts w:eastAsiaTheme="minorEastAsia"/>
        </w:rPr>
        <w:t xml:space="preserve"> до</w:t>
      </w:r>
      <w:r w:rsidR="00AA53EF">
        <w:rPr>
          <w:rFonts w:eastAsiaTheme="minorEastAsia"/>
        </w:rPr>
        <w:t>ходность</w:t>
      </w:r>
      <w:r w:rsidR="00A947F7">
        <w:rPr>
          <w:rFonts w:eastAsiaTheme="minorEastAsia"/>
        </w:rPr>
        <w:t xml:space="preserve"> за период </w:t>
      </w:r>
      <w:r w:rsidR="00A947F7">
        <w:rPr>
          <w:rFonts w:eastAsiaTheme="minorEastAsia"/>
          <w:lang w:val="en-US"/>
        </w:rPr>
        <w:t>t</w:t>
      </w:r>
      <w:r w:rsidR="00AA0F63">
        <w:rPr>
          <w:rFonts w:eastAsiaTheme="minorEastAsia"/>
        </w:rPr>
        <w:t>, начисляемая ежедневно</w:t>
      </w:r>
    </w:p>
    <w:p w14:paraId="173B16B1" w14:textId="54CE6580" w:rsidR="00CF29D9" w:rsidRPr="007A1D7C" w:rsidRDefault="005438C5" w:rsidP="00B35D9B">
      <w:pPr>
        <w:pStyle w:val="af8"/>
        <w:spacing w:before="0"/>
        <w:rPr>
          <w:lang w:val="ru-RU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ru-RU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delist</m:t>
                </m:r>
              </m:e>
            </m:d>
          </m:e>
        </m:func>
      </m:oMath>
      <w:r w:rsidR="007A1D7C" w:rsidRPr="007A1D7C">
        <w:rPr>
          <w:lang w:val="ru-RU"/>
        </w:rPr>
        <w:t xml:space="preserve"> – </w:t>
      </w:r>
      <w:r w:rsidR="00A97E0E" w:rsidRPr="00562BCB">
        <w:rPr>
          <w:lang w:val="ru-RU"/>
        </w:rPr>
        <w:t xml:space="preserve">первая из дат: год </w:t>
      </w:r>
      <w:r w:rsidR="00E216A9" w:rsidRPr="00E216A9">
        <w:rPr>
          <w:lang w:val="ru-RU"/>
        </w:rPr>
        <w:t xml:space="preserve">(3 </w:t>
      </w:r>
      <w:r w:rsidR="00E216A9">
        <w:rPr>
          <w:lang w:val="ru-RU"/>
        </w:rPr>
        <w:t>года)</w:t>
      </w:r>
      <w:r w:rsidR="00E216A9" w:rsidRPr="00E216A9">
        <w:rPr>
          <w:lang w:val="ru-RU"/>
        </w:rPr>
        <w:t xml:space="preserve"> после осуществления сделки поглощения таргета со стороны SPAC</w:t>
      </w:r>
      <w:r w:rsidR="00A97E0E" w:rsidRPr="00562BCB">
        <w:rPr>
          <w:lang w:val="ru-RU"/>
        </w:rPr>
        <w:t xml:space="preserve"> или делистинг</w:t>
      </w:r>
    </w:p>
    <w:p w14:paraId="2D7DA422" w14:textId="0C058774" w:rsidR="00F3563A" w:rsidRDefault="00EC22C0" w:rsidP="00F3563A">
      <w:r>
        <w:t>Для расчет</w:t>
      </w:r>
      <w:r w:rsidR="00576B10">
        <w:t>а</w:t>
      </w:r>
      <w:r>
        <w:t xml:space="preserve"> доходности</w:t>
      </w:r>
      <w:r w:rsidR="002F546F" w:rsidRPr="002F546F">
        <w:t xml:space="preserve"> </w:t>
      </w:r>
      <w:r w:rsidR="002F546F">
        <w:t xml:space="preserve">акций </w:t>
      </w:r>
      <w:r w:rsidR="002F546F">
        <w:rPr>
          <w:lang w:val="en-US"/>
        </w:rPr>
        <w:t>deSPAC</w:t>
      </w:r>
      <w:r>
        <w:t xml:space="preserve"> исследователи сформировали выборку из 114 сделок поглощений </w:t>
      </w:r>
      <w:r>
        <w:rPr>
          <w:lang w:val="en-US"/>
        </w:rPr>
        <w:t>SPAC</w:t>
      </w:r>
      <w:r>
        <w:t xml:space="preserve">, проходивших в период с января 2010 по сентябрь 2020. </w:t>
      </w:r>
      <w:r w:rsidR="00427E1F">
        <w:t>Средняя доходн</w:t>
      </w:r>
      <w:r w:rsidR="00576B10">
        <w:t>ость</w:t>
      </w:r>
      <w:r w:rsidR="00C07934">
        <w:t xml:space="preserve"> обыкновенных акций</w:t>
      </w:r>
      <w:r w:rsidR="00576B10">
        <w:t xml:space="preserve"> за год в рассматриваемый временной интервал составила -8,1%</w:t>
      </w:r>
      <w:r w:rsidR="00B01DEA">
        <w:t>, одна</w:t>
      </w:r>
      <w:r w:rsidR="00605F08">
        <w:t>ко в 2020 доходность объединенных компаний составила 24%</w:t>
      </w:r>
      <w:r w:rsidR="009F3498">
        <w:t xml:space="preserve"> против -53,2% в 2012. Средняя доходность за три года составила </w:t>
      </w:r>
      <w:r w:rsidR="00E90AB4">
        <w:t>0,7%</w:t>
      </w:r>
      <w:r w:rsidR="00125B21">
        <w:t xml:space="preserve">, но только в 2020 показатель достиг 10,5% против -98,1% </w:t>
      </w:r>
      <w:r w:rsidR="00C07934">
        <w:t>в 2012.</w:t>
      </w:r>
      <w:r w:rsidR="002E1B07">
        <w:t xml:space="preserve"> </w:t>
      </w:r>
      <w:r w:rsidR="003B55C0">
        <w:t>В качестве бенчмарка</w:t>
      </w:r>
      <w:r w:rsidR="00E13CE1">
        <w:t xml:space="preserve"> исследователи использовали средневзвешенный индекс рынка </w:t>
      </w:r>
      <w:r w:rsidR="00073F07">
        <w:rPr>
          <w:lang w:val="en-US"/>
        </w:rPr>
        <w:t>CRSP</w:t>
      </w:r>
      <w:r w:rsidR="00AA7949">
        <w:rPr>
          <w:rStyle w:val="af5"/>
          <w:lang w:val="en-US"/>
        </w:rPr>
        <w:footnoteReference w:id="32"/>
      </w:r>
      <w:r w:rsidR="007D200D">
        <w:t xml:space="preserve">, его годовая доходность составила 16,5% (на 24,7 </w:t>
      </w:r>
      <w:proofErr w:type="spellStart"/>
      <w:r w:rsidR="007D200D">
        <w:t>п.п</w:t>
      </w:r>
      <w:proofErr w:type="spellEnd"/>
      <w:r w:rsidR="007D200D">
        <w:t xml:space="preserve">. выше аналогичного показателя </w:t>
      </w:r>
      <w:r w:rsidR="007D200D">
        <w:rPr>
          <w:lang w:val="en-US"/>
        </w:rPr>
        <w:t>SPAC</w:t>
      </w:r>
      <w:r w:rsidR="007D200D">
        <w:t xml:space="preserve">) трехгодовая доходность – </w:t>
      </w:r>
      <w:r w:rsidR="00F028E4">
        <w:t xml:space="preserve">41,1% (на 40,4 </w:t>
      </w:r>
      <w:proofErr w:type="spellStart"/>
      <w:r w:rsidR="00F028E4">
        <w:t>п.п</w:t>
      </w:r>
      <w:proofErr w:type="spellEnd"/>
      <w:r w:rsidR="00F028E4">
        <w:t xml:space="preserve">. выше аналогичного показателя </w:t>
      </w:r>
      <w:r w:rsidR="00F028E4">
        <w:rPr>
          <w:lang w:val="en-US"/>
        </w:rPr>
        <w:t>SPAC</w:t>
      </w:r>
      <w:r w:rsidR="00F028E4">
        <w:t xml:space="preserve">). Также были использованы различные взвешивающие методы </w:t>
      </w:r>
      <w:r w:rsidR="001F0557">
        <w:t xml:space="preserve">оценки доходности: </w:t>
      </w:r>
      <w:r w:rsidR="00DE7A68">
        <w:t xml:space="preserve">годовая оценка, взвешенная по рыночной капитализации фирмы после поглощения, составила </w:t>
      </w:r>
      <w:r w:rsidR="00901235">
        <w:t xml:space="preserve">6,7% (трехгодовая оценка – </w:t>
      </w:r>
      <w:r w:rsidR="005F3913">
        <w:t xml:space="preserve">-2,8%), когда же взвешенный показатель по поступлениям с </w:t>
      </w:r>
      <w:r w:rsidR="005F3913">
        <w:rPr>
          <w:lang w:val="en-US"/>
        </w:rPr>
        <w:t>IPO</w:t>
      </w:r>
      <w:r w:rsidR="005F3913">
        <w:t xml:space="preserve"> составил </w:t>
      </w:r>
      <w:r w:rsidR="000D1BDC">
        <w:t xml:space="preserve">-3,8% (трехгодовой аналог – 2,3%). Медианная оценка за год и вовсе </w:t>
      </w:r>
      <w:r w:rsidR="002B0CD6">
        <w:t xml:space="preserve">составила -21,2%, аналогичный показатель на промежутке 3 лет – -22%. </w:t>
      </w:r>
      <w:r w:rsidR="00810DFD">
        <w:t xml:space="preserve">Причиной такого разброса вероятно является высокая вариативность данных, вызванная </w:t>
      </w:r>
      <w:r w:rsidR="00193BD6">
        <w:t xml:space="preserve">предельно низкими доходностями на интервале </w:t>
      </w:r>
      <w:r w:rsidR="00F42192">
        <w:t>2012–2018</w:t>
      </w:r>
      <w:r w:rsidR="00193BD6">
        <w:t>.</w:t>
      </w:r>
    </w:p>
    <w:p w14:paraId="1454B2E2" w14:textId="3428C509" w:rsidR="00F42192" w:rsidRDefault="00DB7B7F" w:rsidP="00F3563A">
      <w:r>
        <w:t xml:space="preserve">Следующим объектом исследования финансистов стали </w:t>
      </w:r>
      <w:r w:rsidR="00D135CD">
        <w:t xml:space="preserve">варранты. Для определения доходности </w:t>
      </w:r>
      <w:r w:rsidR="0027533B">
        <w:t xml:space="preserve">также была определена стратегия </w:t>
      </w:r>
      <w:r w:rsidR="0027533B">
        <w:rPr>
          <w:lang w:val="en-US"/>
        </w:rPr>
        <w:t>buy</w:t>
      </w:r>
      <w:r w:rsidR="0027533B" w:rsidRPr="0027533B">
        <w:t>-</w:t>
      </w:r>
      <w:r w:rsidR="0027533B">
        <w:rPr>
          <w:lang w:val="en-US"/>
        </w:rPr>
        <w:t>and</w:t>
      </w:r>
      <w:r w:rsidR="0027533B" w:rsidRPr="0027533B">
        <w:t>-</w:t>
      </w:r>
      <w:r w:rsidR="0027533B">
        <w:rPr>
          <w:lang w:val="en-US"/>
        </w:rPr>
        <w:t>hold</w:t>
      </w:r>
      <w:r w:rsidR="0027533B">
        <w:t xml:space="preserve">: инвесторы </w:t>
      </w:r>
      <w:r w:rsidR="00B861B3">
        <w:t>покупают варранты в день завершения объединения бизнеса</w:t>
      </w:r>
      <w:r w:rsidR="005F6436">
        <w:t xml:space="preserve"> и продают через год </w:t>
      </w:r>
      <w:r w:rsidR="00D1648D">
        <w:t xml:space="preserve">или 3 года (ниже дано объяснение, </w:t>
      </w:r>
      <w:r w:rsidR="008D582D">
        <w:t>почему не учитывается стратегия исполнения варрантов)</w:t>
      </w:r>
      <w:r w:rsidR="004A37C7">
        <w:t xml:space="preserve">. Формула доходности </w:t>
      </w:r>
      <w:r w:rsidR="00A37C23">
        <w:t>выглядит следующим образом:</w:t>
      </w:r>
    </w:p>
    <w:p w14:paraId="10A735B9" w14:textId="63A64BE7" w:rsidR="00A37C23" w:rsidRPr="005B3BB4" w:rsidRDefault="00A37C23" w:rsidP="00A37C23">
      <w:pPr>
        <w:pStyle w:val="af8"/>
        <w:rPr>
          <w:vanish/>
          <w:specVanish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BHRW</m:t>
            </m:r>
          </m:e>
          <m:sub>
            <m:r>
              <w:rPr>
                <w:rFonts w:ascii="Cambria Math" w:hAnsi="Cambria Math"/>
              </w:rPr>
              <m:t>i,t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T,   delist</m:t>
                        </m:r>
                      </m:e>
                    </m:d>
                  </m:e>
                </m:func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deSPAC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date</m:t>
                    </m:r>
                  </m:sub>
                </m:sSub>
              </m:sub>
            </m:sSub>
          </m:den>
        </m:f>
      </m:oMath>
      <w:r>
        <w:tab/>
      </w:r>
    </w:p>
    <w:p w14:paraId="6754534C" w14:textId="7795FDD5" w:rsidR="005B3BB4" w:rsidRPr="00562BCB" w:rsidRDefault="005B3BB4" w:rsidP="005B3BB4">
      <w:pPr>
        <w:pStyle w:val="af9"/>
      </w:pPr>
      <w:r>
        <w:t xml:space="preserve"> </w:t>
      </w:r>
      <w:r w:rsidRPr="00562BCB">
        <w:t>(</w:t>
      </w:r>
      <w:fldSimple w:instr=" SEQ Equation \* ARABIC ">
        <w:r w:rsidR="00945273">
          <w:rPr>
            <w:noProof/>
          </w:rPr>
          <w:t>3</w:t>
        </w:r>
      </w:fldSimple>
      <w:r w:rsidRPr="00562BCB">
        <w:t>)</w:t>
      </w:r>
    </w:p>
    <w:p w14:paraId="0A69AAEA" w14:textId="6E262FE0" w:rsidR="005B3BB4" w:rsidRDefault="005B3BB4" w:rsidP="005B3BB4">
      <w:pPr>
        <w:ind w:firstLine="0"/>
      </w:pPr>
      <w:r>
        <w:t>Где</w:t>
      </w:r>
    </w:p>
    <w:p w14:paraId="1E1A035E" w14:textId="6D916D9A" w:rsidR="005B3BB4" w:rsidRDefault="005438C5" w:rsidP="005B3BB4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T,   delist</m:t>
                    </m:r>
                  </m:e>
                </m:d>
              </m:e>
            </m:func>
          </m:sub>
        </m:sSub>
      </m:oMath>
      <w:r w:rsidR="005B3BB4">
        <w:rPr>
          <w:rFonts w:eastAsiaTheme="minorEastAsia"/>
        </w:rPr>
        <w:t xml:space="preserve"> – </w:t>
      </w:r>
      <w:r w:rsidR="000F47BF">
        <w:rPr>
          <w:rFonts w:eastAsiaTheme="minorEastAsia"/>
        </w:rPr>
        <w:t xml:space="preserve">цена варранта компании </w:t>
      </w:r>
      <w:proofErr w:type="spellStart"/>
      <w:r w:rsidR="000F47BF">
        <w:rPr>
          <w:rFonts w:eastAsiaTheme="minorEastAsia"/>
          <w:lang w:val="en-US"/>
        </w:rPr>
        <w:t>i</w:t>
      </w:r>
      <w:proofErr w:type="spellEnd"/>
      <w:r w:rsidR="000F47BF">
        <w:rPr>
          <w:rFonts w:eastAsiaTheme="minorEastAsia"/>
        </w:rPr>
        <w:t xml:space="preserve"> </w:t>
      </w:r>
      <w:r w:rsidR="00AF0190">
        <w:rPr>
          <w:rFonts w:eastAsiaTheme="minorEastAsia"/>
        </w:rPr>
        <w:t>в период</w:t>
      </w:r>
      <w:r w:rsidR="000F47BF">
        <w:rPr>
          <w:rFonts w:eastAsiaTheme="minorEastAsia"/>
        </w:rPr>
        <w:t xml:space="preserve"> </w:t>
      </w:r>
      <w:r w:rsidR="000F47BF">
        <w:rPr>
          <w:rFonts w:eastAsiaTheme="minorEastAsia"/>
          <w:lang w:val="en-US"/>
        </w:rPr>
        <w:t>T</w:t>
      </w:r>
      <w:r w:rsidR="000F47BF">
        <w:rPr>
          <w:rFonts w:eastAsiaTheme="minorEastAsia"/>
        </w:rPr>
        <w:t xml:space="preserve"> (один или три года)</w:t>
      </w:r>
      <w:r w:rsidR="00540ED5">
        <w:rPr>
          <w:rFonts w:eastAsiaTheme="minorEastAsia"/>
        </w:rPr>
        <w:t xml:space="preserve"> или</w:t>
      </w:r>
      <w:r w:rsidR="00B3305E">
        <w:rPr>
          <w:rFonts w:eastAsiaTheme="minorEastAsia"/>
        </w:rPr>
        <w:t xml:space="preserve"> в</w:t>
      </w:r>
      <w:r w:rsidR="00593254">
        <w:rPr>
          <w:rFonts w:eastAsiaTheme="minorEastAsia"/>
        </w:rPr>
        <w:t>о время делистинга</w:t>
      </w:r>
    </w:p>
    <w:p w14:paraId="39936188" w14:textId="0EF5BDFD" w:rsidR="00593254" w:rsidRPr="00562BCB" w:rsidRDefault="005438C5" w:rsidP="00B35D9B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deSPAC</m:t>
                </m:r>
                <m:ctrlPr>
                  <w:rPr>
                    <w:rFonts w:ascii="Cambria Math" w:hAnsi="Cambria Math"/>
                    <w:i/>
                    <w:lang w:val="ru-RU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date</m:t>
                </m:r>
              </m:sub>
            </m:sSub>
          </m:sub>
        </m:sSub>
      </m:oMath>
      <w:r w:rsidR="00593254" w:rsidRPr="00562BCB">
        <w:rPr>
          <w:lang w:val="ru-RU"/>
        </w:rPr>
        <w:t xml:space="preserve"> – цена закрытия </w:t>
      </w:r>
      <w:r w:rsidR="00477471" w:rsidRPr="00562BCB">
        <w:rPr>
          <w:lang w:val="ru-RU"/>
        </w:rPr>
        <w:t>варранта в день завершения сделки поглощения</w:t>
      </w:r>
    </w:p>
    <w:p w14:paraId="450494B8" w14:textId="575D2B5F" w:rsidR="00477471" w:rsidRDefault="00BE5BA5" w:rsidP="00477471">
      <w:r>
        <w:t xml:space="preserve">Встает вопрос, почему </w:t>
      </w:r>
      <w:r w:rsidR="00DE0DD0">
        <w:t>доходность считается так</w:t>
      </w:r>
      <w:r w:rsidR="001031F0">
        <w:t>,</w:t>
      </w:r>
      <w:r w:rsidR="00DE0DD0">
        <w:t xml:space="preserve"> что</w:t>
      </w:r>
      <w:r w:rsidR="001031F0">
        <w:t xml:space="preserve"> не </w:t>
      </w:r>
      <w:r w:rsidR="00DE0DD0">
        <w:t>учитывается</w:t>
      </w:r>
      <w:r w:rsidR="00AE5C82">
        <w:t xml:space="preserve"> возможность исполнения варранта</w:t>
      </w:r>
      <w:r w:rsidR="00B41CC0">
        <w:t xml:space="preserve">, когда цена акции превышает цену исполнения. </w:t>
      </w:r>
      <w:r w:rsidR="00FC5F12">
        <w:t>Исследователи</w:t>
      </w:r>
      <w:r w:rsidR="000C0C7F">
        <w:t xml:space="preserve"> объясняют это тем, что при анализе </w:t>
      </w:r>
      <w:r w:rsidR="00931651">
        <w:t xml:space="preserve">данных не было обнаружено больших аномальных доходностей или </w:t>
      </w:r>
      <w:r w:rsidR="007301F7">
        <w:t xml:space="preserve">изменений цен на обыкновенных акций. </w:t>
      </w:r>
      <w:r w:rsidR="00DC6138">
        <w:t>Возможным прояснением данного об</w:t>
      </w:r>
      <w:r w:rsidR="0071105C">
        <w:t xml:space="preserve">ъяснения может стать </w:t>
      </w:r>
      <w:r w:rsidR="00030549">
        <w:t>факт того, что цена варранта обычно вс</w:t>
      </w:r>
      <w:r w:rsidR="001E5E6E">
        <w:t>егда близка к его внутренней стоимости.</w:t>
      </w:r>
      <w:r w:rsidR="0016727A" w:rsidRPr="0016727A">
        <w:t xml:space="preserve"> </w:t>
      </w:r>
      <w:r w:rsidR="0087096B">
        <w:t xml:space="preserve">В качестве примера возьмем </w:t>
      </w:r>
      <w:r w:rsidR="0080374D">
        <w:t xml:space="preserve">варрант с ценой исполнения </w:t>
      </w:r>
      <w:r w:rsidR="0080374D" w:rsidRPr="0024693A">
        <w:t>$</w:t>
      </w:r>
      <w:r w:rsidR="0080374D">
        <w:t>11,5</w:t>
      </w:r>
      <w:r w:rsidR="0080374D" w:rsidRPr="0024693A">
        <w:t>0</w:t>
      </w:r>
      <w:r w:rsidR="0080374D">
        <w:t xml:space="preserve">, </w:t>
      </w:r>
      <w:r w:rsidR="0024693A">
        <w:t xml:space="preserve">по которому инвестор может купить акции, чья текущая стоимость равна </w:t>
      </w:r>
      <w:r w:rsidR="0024693A" w:rsidRPr="0024693A">
        <w:t>$</w:t>
      </w:r>
      <w:r w:rsidR="0024693A">
        <w:t>21,5</w:t>
      </w:r>
      <w:r w:rsidR="0024693A" w:rsidRPr="0024693A">
        <w:t>0</w:t>
      </w:r>
      <w:r w:rsidR="0024693A">
        <w:t>. Внутренняя стоимость</w:t>
      </w:r>
      <w:r w:rsidR="005D11D9">
        <w:t xml:space="preserve"> варранта</w:t>
      </w:r>
      <w:r w:rsidR="0024693A">
        <w:t xml:space="preserve"> – разница </w:t>
      </w:r>
      <w:r w:rsidR="005D11D9">
        <w:t>между т</w:t>
      </w:r>
      <w:r w:rsidR="005B6367">
        <w:t>е</w:t>
      </w:r>
      <w:r w:rsidR="005D11D9">
        <w:t>кущей ценой акции и ценой исполнения варранта</w:t>
      </w:r>
      <w:r w:rsidR="005D11D9">
        <w:rPr>
          <w:rStyle w:val="af5"/>
        </w:rPr>
        <w:footnoteReference w:id="33"/>
      </w:r>
      <w:r w:rsidR="005D11D9">
        <w:t>. В данном примере внутренняя стои</w:t>
      </w:r>
      <w:r w:rsidR="00432584">
        <w:t xml:space="preserve">мость варранта составляется </w:t>
      </w:r>
      <w:r w:rsidR="00432584" w:rsidRPr="0024693A">
        <w:t>$</w:t>
      </w:r>
      <w:r w:rsidR="00432584">
        <w:t>21,5</w:t>
      </w:r>
      <w:r w:rsidR="00432584" w:rsidRPr="0024693A">
        <w:t>0</w:t>
      </w:r>
      <w:r w:rsidR="00432584">
        <w:t xml:space="preserve"> - </w:t>
      </w:r>
      <w:r w:rsidR="00432584" w:rsidRPr="0024693A">
        <w:t>$</w:t>
      </w:r>
      <w:r w:rsidR="00432584">
        <w:t>11,5</w:t>
      </w:r>
      <w:r w:rsidR="00432584" w:rsidRPr="0024693A">
        <w:t>0</w:t>
      </w:r>
      <w:r w:rsidR="00432584">
        <w:t xml:space="preserve"> = </w:t>
      </w:r>
      <w:r w:rsidR="00432584" w:rsidRPr="0024693A">
        <w:t>$</w:t>
      </w:r>
      <w:r w:rsidR="00432584">
        <w:t>10,0</w:t>
      </w:r>
      <w:r w:rsidR="00432584" w:rsidRPr="0024693A">
        <w:t>0</w:t>
      </w:r>
      <w:r w:rsidR="00432584">
        <w:t xml:space="preserve">. </w:t>
      </w:r>
      <w:r w:rsidR="00DA0967">
        <w:t xml:space="preserve">Рыночная цена варранта составляет </w:t>
      </w:r>
      <w:r w:rsidR="00DA0967" w:rsidRPr="00B143B6">
        <w:t>$</w:t>
      </w:r>
      <w:r w:rsidR="00DA0967">
        <w:t xml:space="preserve">12,00. </w:t>
      </w:r>
      <w:r w:rsidR="00FB4E98">
        <w:t xml:space="preserve">Больший доход </w:t>
      </w:r>
      <w:r w:rsidR="00B143B6">
        <w:t xml:space="preserve">инвестор получит в том случае, </w:t>
      </w:r>
      <w:r w:rsidR="00DC5FA0">
        <w:t xml:space="preserve">если продаст варрант, а не исполнит </w:t>
      </w:r>
      <w:r w:rsidR="007A6EAE">
        <w:t xml:space="preserve">опцион. </w:t>
      </w:r>
      <w:r w:rsidR="00F25B48">
        <w:t xml:space="preserve">Если рыночная цена </w:t>
      </w:r>
      <w:r w:rsidR="00C56E66">
        <w:t xml:space="preserve">будет равна </w:t>
      </w:r>
      <w:r w:rsidR="00C56E66" w:rsidRPr="00A40B19">
        <w:t>$10</w:t>
      </w:r>
      <w:r w:rsidR="00C56E66">
        <w:t xml:space="preserve">, то с точки зрения </w:t>
      </w:r>
      <w:r w:rsidR="00A40B19">
        <w:t xml:space="preserve">корпоративных финансов два решения об инвестировании будут эквивалентными. Если же рыночная цена падает ниже </w:t>
      </w:r>
      <w:r w:rsidR="00A40B19" w:rsidRPr="00A40B19">
        <w:t>$10</w:t>
      </w:r>
      <w:r w:rsidR="00A40B19">
        <w:t xml:space="preserve">, то в таком случае инвестору выгоднее исполнить варрант. </w:t>
      </w:r>
      <w:r w:rsidR="00F27BB9">
        <w:t xml:space="preserve">Однако, важным уточнением является тот факт, что процесс исполнения варрантов занимает несколько дней, </w:t>
      </w:r>
      <w:r w:rsidR="00B35D9B">
        <w:t>в течение</w:t>
      </w:r>
      <w:r w:rsidR="00F27BB9">
        <w:t xml:space="preserve"> которы</w:t>
      </w:r>
      <w:r w:rsidR="00B35D9B">
        <w:t>х</w:t>
      </w:r>
      <w:r w:rsidR="00F27BB9">
        <w:t xml:space="preserve"> рыночные цены могут поменяться в значительной степени.</w:t>
      </w:r>
      <w:r w:rsidR="00B35D9B">
        <w:t xml:space="preserve"> Встречается и такая ситуация, когда </w:t>
      </w:r>
      <w:r w:rsidR="00712F29">
        <w:t xml:space="preserve">акция </w:t>
      </w:r>
      <w:r w:rsidR="00712F29">
        <w:rPr>
          <w:lang w:val="en-US"/>
        </w:rPr>
        <w:t>SPAC</w:t>
      </w:r>
      <w:r w:rsidR="00712F29">
        <w:t xml:space="preserve"> стоит ниже страйк-цены варранта</w:t>
      </w:r>
      <w:r w:rsidR="0064607B">
        <w:t xml:space="preserve">, то есть внутренняя стоимость становится отрицательной. </w:t>
      </w:r>
      <w:r w:rsidR="000E1D7C">
        <w:t xml:space="preserve">При этом рыночная стоимость, конечно, выше 0, </w:t>
      </w:r>
      <w:r w:rsidR="008F3712">
        <w:t>поэтому</w:t>
      </w:r>
      <w:r w:rsidR="000E1D7C">
        <w:t xml:space="preserve"> практически всегда выгодно продать варрант.</w:t>
      </w:r>
    </w:p>
    <w:p w14:paraId="29DFD6CF" w14:textId="4B2A3106" w:rsidR="000E1D7C" w:rsidRPr="00D0331E" w:rsidRDefault="000238EC" w:rsidP="00477471">
      <w:r>
        <w:t xml:space="preserve">По результатам расчетов </w:t>
      </w:r>
      <w:proofErr w:type="spellStart"/>
      <w:r>
        <w:rPr>
          <w:lang w:val="en-US"/>
        </w:rPr>
        <w:t>Gahng</w:t>
      </w:r>
      <w:proofErr w:type="spellEnd"/>
      <w:r w:rsidRPr="00FE6DC8">
        <w:t xml:space="preserve">, </w:t>
      </w:r>
      <w:r>
        <w:rPr>
          <w:lang w:val="en-US"/>
        </w:rPr>
        <w:t>Ritter</w:t>
      </w:r>
      <w:r w:rsidRPr="00FE6DC8">
        <w:t xml:space="preserve"> </w:t>
      </w:r>
      <w:r>
        <w:t>и</w:t>
      </w:r>
      <w:r w:rsidRPr="00FE6DC8">
        <w:t xml:space="preserve"> </w:t>
      </w:r>
      <w:r>
        <w:rPr>
          <w:lang w:val="en-US"/>
        </w:rPr>
        <w:t>Zhang</w:t>
      </w:r>
      <w:r>
        <w:t>, доходность варрантов значительно превыша</w:t>
      </w:r>
      <w:r w:rsidR="00D0331E">
        <w:t xml:space="preserve">ла доходность акций в </w:t>
      </w:r>
      <w:r w:rsidR="00D0331E">
        <w:rPr>
          <w:lang w:val="en-US"/>
        </w:rPr>
        <w:t>deSPAC</w:t>
      </w:r>
      <w:r w:rsidR="00D0331E">
        <w:t xml:space="preserve"> период</w:t>
      </w:r>
      <w:r w:rsidR="00170960">
        <w:t xml:space="preserve">. </w:t>
      </w:r>
      <w:r w:rsidR="00F27E7F">
        <w:t>Исследователи проводили расчет по 105 комп</w:t>
      </w:r>
      <w:r w:rsidR="0014186C">
        <w:t>а</w:t>
      </w:r>
      <w:r w:rsidR="00F27E7F">
        <w:t>ниям</w:t>
      </w:r>
      <w:r w:rsidR="0014186C">
        <w:t xml:space="preserve">, в результате чего средняя доходность за 1 год по акциям составила -8,8% против 68,0% доходности по варрантам. За 3 года доходность акций составила -3,4% против 113,6% по варрантам. </w:t>
      </w:r>
      <w:r w:rsidR="00D14F08">
        <w:t>Стоит отметить, что огромный вклад в полученные значения внесли на</w:t>
      </w:r>
      <w:r w:rsidR="00D16C11">
        <w:t xml:space="preserve">блюдения за 2020 год (265,2% по варрантам – 1 год, за 3 года – 234,3%). По аналогии с </w:t>
      </w:r>
      <w:r w:rsidR="005B6367">
        <w:t xml:space="preserve">доходностями акций исследователи использовали методы весов. </w:t>
      </w:r>
      <w:r w:rsidR="009A690E">
        <w:t>Средневзвешенные оценки также показывали высокую доходность варрантов, однако медианная оценка все же оказ</w:t>
      </w:r>
      <w:r w:rsidR="001A3666">
        <w:t>алась ниже 0 и составила -8,7% за год и -21,8% за три года, что свидетельствует о сильно</w:t>
      </w:r>
      <w:r w:rsidR="003F1837">
        <w:t>м влиянии отдельных объектов выборки.</w:t>
      </w:r>
    </w:p>
    <w:p w14:paraId="0DC06DF8" w14:textId="2CA7A2C0" w:rsidR="000E1D7C" w:rsidRDefault="00562BCB" w:rsidP="00477471">
      <w:r>
        <w:lastRenderedPageBreak/>
        <w:t xml:space="preserve">Наконец, для проверки значимости результатов описательной статистики, посвященной доходности акций </w:t>
      </w:r>
      <w:r>
        <w:rPr>
          <w:lang w:val="en-US"/>
        </w:rPr>
        <w:t>deSPAC</w:t>
      </w:r>
      <w:r>
        <w:t xml:space="preserve"> компаний, исследователи воспользовались трёхфакторной модели Фама Френча </w:t>
      </w:r>
      <w:r w:rsidR="000170F7" w:rsidRPr="000170F7">
        <w:t>[</w:t>
      </w:r>
      <w:proofErr w:type="spellStart"/>
      <w:r>
        <w:rPr>
          <w:lang w:val="en-US"/>
        </w:rPr>
        <w:t>Fama</w:t>
      </w:r>
      <w:proofErr w:type="spellEnd"/>
      <w:r w:rsidRPr="00562BCB">
        <w:t xml:space="preserve">, </w:t>
      </w:r>
      <w:r>
        <w:rPr>
          <w:lang w:val="en-US"/>
        </w:rPr>
        <w:t>French</w:t>
      </w:r>
      <w:r w:rsidR="000170F7" w:rsidRPr="000170F7">
        <w:t>,</w:t>
      </w:r>
      <w:r w:rsidRPr="00562BCB">
        <w:t xml:space="preserve"> 1993</w:t>
      </w:r>
      <w:r w:rsidR="000170F7" w:rsidRPr="000170F7">
        <w:t>]</w:t>
      </w:r>
      <w:r w:rsidRPr="00562BCB">
        <w:t>:</w:t>
      </w:r>
    </w:p>
    <w:p w14:paraId="4E492310" w14:textId="0B9A9989" w:rsidR="00562BCB" w:rsidRPr="001463C3" w:rsidRDefault="003879CD" w:rsidP="00562BCB">
      <w:pPr>
        <w:pStyle w:val="af8"/>
        <w:rPr>
          <w:vanish/>
          <w:specVanish/>
        </w:rPr>
      </w:pPr>
      <w:r w:rsidRPr="00F02A60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p,t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f,t</m:t>
            </m:r>
          </m:sub>
        </m:sSub>
        <m:r>
          <w:rPr>
            <w:rFonts w:ascii="Cambria Math" w:hAnsi="Cambria Math"/>
          </w:rPr>
          <m:t>=a+b*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m,t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f,t</m:t>
                </m:r>
              </m:sub>
            </m:sSub>
          </m:e>
        </m:d>
        <m:r>
          <w:rPr>
            <w:rFonts w:ascii="Cambria Math" w:hAnsi="Cambria Math"/>
          </w:rPr>
          <m:t>+c*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SMB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+d*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HML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p,t</m:t>
            </m:r>
          </m:sub>
        </m:sSub>
      </m:oMath>
      <w:r>
        <w:tab/>
      </w:r>
    </w:p>
    <w:p w14:paraId="4500CE72" w14:textId="16E74CA0" w:rsidR="001463C3" w:rsidRPr="00633342" w:rsidRDefault="001463C3" w:rsidP="00A572DE">
      <w:pPr>
        <w:pStyle w:val="af9"/>
      </w:pPr>
      <w:r>
        <w:t xml:space="preserve"> </w:t>
      </w:r>
      <w:r w:rsidR="00A572DE" w:rsidRPr="00633342">
        <w:t>(</w:t>
      </w:r>
      <w:fldSimple w:instr=" SEQ Equation \* ARABIC ">
        <w:r w:rsidR="00945273">
          <w:rPr>
            <w:noProof/>
          </w:rPr>
          <w:t>4</w:t>
        </w:r>
      </w:fldSimple>
      <w:r w:rsidR="00A572DE" w:rsidRPr="00633342">
        <w:t>)</w:t>
      </w:r>
    </w:p>
    <w:p w14:paraId="12611441" w14:textId="4754714A" w:rsidR="00A572DE" w:rsidRDefault="00A572DE" w:rsidP="00A572DE">
      <w:pPr>
        <w:ind w:firstLine="0"/>
      </w:pPr>
      <w:r>
        <w:t>Где</w:t>
      </w:r>
    </w:p>
    <w:p w14:paraId="0D8B0BA9" w14:textId="361B64FC" w:rsidR="00A572DE" w:rsidRPr="00A572DE" w:rsidRDefault="005438C5" w:rsidP="00A572DE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p,t</m:t>
            </m:r>
          </m:sub>
        </m:sSub>
      </m:oMath>
      <w:r w:rsidR="00A572DE">
        <w:rPr>
          <w:rFonts w:eastAsiaTheme="minorEastAsia"/>
        </w:rPr>
        <w:t xml:space="preserve"> – средняя арифметическая доходность или средняя доходность, взвешенная по рыночной капитализации, портфеля обыкновенных акций </w:t>
      </w:r>
      <w:r w:rsidR="00A572DE">
        <w:rPr>
          <w:rFonts w:eastAsiaTheme="minorEastAsia"/>
          <w:lang w:val="en-US"/>
        </w:rPr>
        <w:t>deSPAC</w:t>
      </w:r>
      <w:r w:rsidR="00A572DE">
        <w:rPr>
          <w:rFonts w:eastAsiaTheme="minorEastAsia"/>
        </w:rPr>
        <w:t xml:space="preserve"> в календарный месяц </w:t>
      </w:r>
      <w:r w:rsidR="00A572DE">
        <w:rPr>
          <w:rFonts w:eastAsiaTheme="minorEastAsia"/>
          <w:lang w:val="en-US"/>
        </w:rPr>
        <w:t>t</w:t>
      </w:r>
      <w:r w:rsidR="00A572DE">
        <w:rPr>
          <w:rFonts w:eastAsiaTheme="minorEastAsia"/>
        </w:rPr>
        <w:t>;</w:t>
      </w:r>
    </w:p>
    <w:p w14:paraId="19027071" w14:textId="188860D1" w:rsidR="00A572DE" w:rsidRDefault="005438C5" w:rsidP="00A572DE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m,t</m:t>
            </m:r>
          </m:sub>
        </m:sSub>
      </m:oMath>
      <w:r w:rsidR="00A572DE" w:rsidRPr="00A572DE">
        <w:rPr>
          <w:rFonts w:eastAsiaTheme="minorEastAsia"/>
        </w:rPr>
        <w:t xml:space="preserve"> – </w:t>
      </w:r>
      <w:r w:rsidR="00A572DE">
        <w:rPr>
          <w:rFonts w:eastAsiaTheme="minorEastAsia"/>
        </w:rPr>
        <w:t xml:space="preserve">доходность средневзвешенного индекса </w:t>
      </w:r>
      <w:r w:rsidR="00A572DE">
        <w:rPr>
          <w:rFonts w:eastAsiaTheme="minorEastAsia"/>
          <w:lang w:val="en-US"/>
        </w:rPr>
        <w:t>CRSP</w:t>
      </w:r>
      <w:r w:rsidR="00A572DE">
        <w:rPr>
          <w:rFonts w:eastAsiaTheme="minorEastAsia"/>
        </w:rPr>
        <w:t xml:space="preserve"> в месяц </w:t>
      </w:r>
      <w:r w:rsidR="00A572DE">
        <w:rPr>
          <w:rFonts w:eastAsiaTheme="minorEastAsia"/>
          <w:lang w:val="en-US"/>
        </w:rPr>
        <w:t>t</w:t>
      </w:r>
      <w:r w:rsidR="00A572DE">
        <w:rPr>
          <w:rFonts w:eastAsiaTheme="minorEastAsia"/>
        </w:rPr>
        <w:t>;</w:t>
      </w:r>
    </w:p>
    <w:p w14:paraId="17016A66" w14:textId="77E4090B" w:rsidR="00A572DE" w:rsidRDefault="005438C5" w:rsidP="00A572DE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f,t</m:t>
            </m:r>
          </m:sub>
        </m:sSub>
      </m:oMath>
      <w:r w:rsidR="00A572DE">
        <w:rPr>
          <w:rFonts w:eastAsiaTheme="minorEastAsia"/>
        </w:rPr>
        <w:t xml:space="preserve"> – </w:t>
      </w:r>
      <w:r w:rsidR="00E8176B">
        <w:rPr>
          <w:rFonts w:eastAsiaTheme="minorEastAsia"/>
        </w:rPr>
        <w:t xml:space="preserve">месячная доходность американских казначейских векселей в месяц </w:t>
      </w:r>
      <w:r w:rsidR="00E8176B">
        <w:rPr>
          <w:rFonts w:eastAsiaTheme="minorEastAsia"/>
          <w:lang w:val="en-US"/>
        </w:rPr>
        <w:t>t</w:t>
      </w:r>
      <w:r w:rsidR="00E8176B">
        <w:rPr>
          <w:rFonts w:eastAsiaTheme="minorEastAsia"/>
        </w:rPr>
        <w:t>;</w:t>
      </w:r>
    </w:p>
    <w:p w14:paraId="023BD16E" w14:textId="5ECD1D7C" w:rsidR="00E8176B" w:rsidRDefault="005438C5" w:rsidP="00A572DE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SMB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E8176B">
        <w:rPr>
          <w:rFonts w:eastAsiaTheme="minorEastAsia"/>
        </w:rPr>
        <w:t xml:space="preserve"> – доходность небольших фирм за вычетом доходности крупных фирм по капитализации в месяц </w:t>
      </w:r>
      <w:r w:rsidR="00E8176B">
        <w:rPr>
          <w:rFonts w:eastAsiaTheme="minorEastAsia"/>
          <w:lang w:val="en-US"/>
        </w:rPr>
        <w:t>t</w:t>
      </w:r>
      <w:r w:rsidR="00E8176B">
        <w:rPr>
          <w:rFonts w:eastAsiaTheme="minorEastAsia"/>
        </w:rPr>
        <w:t>;</w:t>
      </w:r>
    </w:p>
    <w:p w14:paraId="7DF105AB" w14:textId="3DC55E90" w:rsidR="00E8176B" w:rsidRPr="00F02A60" w:rsidRDefault="005438C5" w:rsidP="00E8176B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HML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E8176B" w:rsidRPr="00F02A60">
        <w:rPr>
          <w:lang w:val="ru-RU"/>
        </w:rPr>
        <w:t xml:space="preserve"> – доходность компаний с высоким отношением бухгалтерской стоимости к рыночной за вычетом доходности компании с низким отношением бухгалтерской </w:t>
      </w:r>
      <w:proofErr w:type="spellStart"/>
      <w:r w:rsidR="00E8176B" w:rsidRPr="00F02A60">
        <w:rPr>
          <w:lang w:val="ru-RU"/>
        </w:rPr>
        <w:t>стоимсоти</w:t>
      </w:r>
      <w:proofErr w:type="spellEnd"/>
      <w:r w:rsidR="00E8176B" w:rsidRPr="00F02A60">
        <w:rPr>
          <w:lang w:val="ru-RU"/>
        </w:rPr>
        <w:t xml:space="preserve"> к рыночной.</w:t>
      </w:r>
    </w:p>
    <w:p w14:paraId="57C994F9" w14:textId="550F2375" w:rsidR="00E8176B" w:rsidRDefault="00984418" w:rsidP="00E8176B">
      <w:pPr>
        <w:rPr>
          <w:rFonts w:eastAsiaTheme="minorEastAsia"/>
        </w:rPr>
      </w:pPr>
      <w:r>
        <w:t>Помимо выявлен</w:t>
      </w:r>
      <w:r w:rsidR="00725C83">
        <w:t>ной</w:t>
      </w:r>
      <w:r w:rsidR="005D1265">
        <w:t xml:space="preserve"> поло</w:t>
      </w:r>
      <w:r w:rsidR="00EC2260">
        <w:t>жительной</w:t>
      </w:r>
      <w:r w:rsidR="00725C83">
        <w:t xml:space="preserve"> взаимосвязи между доходность</w:t>
      </w:r>
      <w:r w:rsidR="00F02A60">
        <w:t>ю</w:t>
      </w:r>
      <w:r w:rsidR="00725C83">
        <w:t xml:space="preserve"> </w:t>
      </w:r>
      <w:r w:rsidR="00725C83">
        <w:rPr>
          <w:lang w:val="en-US"/>
        </w:rPr>
        <w:t>deSPAC</w:t>
      </w:r>
      <w:r w:rsidR="00725C83">
        <w:t xml:space="preserve"> и переменными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m,t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f,t</m:t>
            </m:r>
          </m:sub>
        </m:sSub>
      </m:oMath>
      <w:r w:rsidR="00725C83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SMB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725C83">
        <w:rPr>
          <w:rFonts w:eastAsiaTheme="minorEastAsia"/>
        </w:rPr>
        <w:t xml:space="preserve">, </w:t>
      </w:r>
      <w:r w:rsidR="00497A9F">
        <w:rPr>
          <w:rFonts w:eastAsiaTheme="minorEastAsia"/>
        </w:rPr>
        <w:t xml:space="preserve">было обнаружено, что акции </w:t>
      </w:r>
      <w:r w:rsidR="00497A9F">
        <w:rPr>
          <w:rFonts w:eastAsiaTheme="minorEastAsia"/>
          <w:lang w:val="en-US"/>
        </w:rPr>
        <w:t>deSPAC</w:t>
      </w:r>
      <w:r w:rsidR="000F3457">
        <w:rPr>
          <w:rFonts w:eastAsiaTheme="minorEastAsia"/>
        </w:rPr>
        <w:t xml:space="preserve"> показывают отрицательную доходность от </w:t>
      </w:r>
      <w:r w:rsidR="00DF3268">
        <w:rPr>
          <w:rFonts w:eastAsiaTheme="minorEastAsia"/>
        </w:rPr>
        <w:t xml:space="preserve">-0,8% до -1,9% в месяц (оценочные </w:t>
      </w:r>
      <w:r w:rsidR="00B77373">
        <w:rPr>
          <w:rFonts w:eastAsiaTheme="minorEastAsia"/>
          <w:lang w:val="en-US"/>
        </w:rPr>
        <w:t>alpha</w:t>
      </w:r>
      <w:r w:rsidR="00DF3268">
        <w:rPr>
          <w:rFonts w:eastAsiaTheme="minorEastAsia"/>
        </w:rPr>
        <w:t xml:space="preserve"> в модели Фамы Френча</w:t>
      </w:r>
      <w:r w:rsidR="00D051A7">
        <w:rPr>
          <w:rFonts w:eastAsiaTheme="minorEastAsia"/>
        </w:rPr>
        <w:t>)</w:t>
      </w:r>
      <w:r w:rsidR="00161B9F">
        <w:rPr>
          <w:rFonts w:eastAsiaTheme="minorEastAsia"/>
        </w:rPr>
        <w:t xml:space="preserve">, однако </w:t>
      </w:r>
      <w:r w:rsidR="00C9798E">
        <w:rPr>
          <w:rFonts w:eastAsiaTheme="minorEastAsia"/>
        </w:rPr>
        <w:t xml:space="preserve">оценки </w:t>
      </w:r>
      <w:r w:rsidR="00B77373">
        <w:rPr>
          <w:rFonts w:eastAsiaTheme="minorEastAsia"/>
          <w:lang w:val="en-US"/>
        </w:rPr>
        <w:t>alpha</w:t>
      </w:r>
      <w:r w:rsidR="00C9798E">
        <w:rPr>
          <w:rFonts w:eastAsiaTheme="minorEastAsia"/>
        </w:rPr>
        <w:t xml:space="preserve"> в моделях, </w:t>
      </w:r>
      <w:r w:rsidR="0052799C">
        <w:rPr>
          <w:rFonts w:eastAsiaTheme="minorEastAsia"/>
        </w:rPr>
        <w:t>где доходность портфеля была рассчитана как среднее арифметическое, являлись незначимыми</w:t>
      </w:r>
      <w:r w:rsidR="00B13086">
        <w:rPr>
          <w:rFonts w:eastAsiaTheme="minorEastAsia"/>
        </w:rPr>
        <w:t>, в отличие от модели, построенной на базе средневзвешенной доходности.</w:t>
      </w:r>
    </w:p>
    <w:p w14:paraId="37BC8F9A" w14:textId="40D010CD" w:rsidR="00255D2B" w:rsidRDefault="00EE7A5B" w:rsidP="00E8176B">
      <w:pPr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="00001906">
        <w:rPr>
          <w:rFonts w:eastAsiaTheme="minorEastAsia"/>
        </w:rPr>
        <w:t>актуальн</w:t>
      </w:r>
      <w:r w:rsidR="00952B93">
        <w:rPr>
          <w:rFonts w:eastAsiaTheme="minorEastAsia"/>
        </w:rPr>
        <w:t>ы</w:t>
      </w:r>
      <w:r w:rsidR="00001906">
        <w:rPr>
          <w:rFonts w:eastAsiaTheme="minorEastAsia"/>
        </w:rPr>
        <w:t xml:space="preserve">е исследования доходности </w:t>
      </w:r>
      <w:r w:rsidR="00001906">
        <w:rPr>
          <w:rFonts w:eastAsiaTheme="minorEastAsia"/>
          <w:lang w:val="en-US"/>
        </w:rPr>
        <w:t>SPAC</w:t>
      </w:r>
      <w:r w:rsidR="00001906" w:rsidRPr="00001906">
        <w:rPr>
          <w:rFonts w:eastAsiaTheme="minorEastAsia"/>
        </w:rPr>
        <w:t xml:space="preserve"> </w:t>
      </w:r>
      <w:r w:rsidR="00BF2D17">
        <w:rPr>
          <w:rFonts w:eastAsiaTheme="minorEastAsia"/>
        </w:rPr>
        <w:t xml:space="preserve">свидетельствуют о том, что </w:t>
      </w:r>
      <w:r w:rsidR="009241C5">
        <w:rPr>
          <w:rFonts w:eastAsiaTheme="minorEastAsia"/>
        </w:rPr>
        <w:t xml:space="preserve">результативность инвестиций </w:t>
      </w:r>
      <w:r w:rsidR="00297FE2">
        <w:rPr>
          <w:rFonts w:eastAsiaTheme="minorEastAsia"/>
        </w:rPr>
        <w:t xml:space="preserve">в </w:t>
      </w:r>
      <w:r w:rsidR="00297FE2">
        <w:rPr>
          <w:rFonts w:eastAsiaTheme="minorEastAsia"/>
          <w:lang w:val="en-US"/>
        </w:rPr>
        <w:t>SPAC</w:t>
      </w:r>
      <w:r w:rsidR="00297FE2">
        <w:rPr>
          <w:rFonts w:eastAsiaTheme="minorEastAsia"/>
        </w:rPr>
        <w:t xml:space="preserve"> до поглощения гораздо выше, чем </w:t>
      </w:r>
      <w:r w:rsidR="00B21ED3">
        <w:rPr>
          <w:rFonts w:eastAsiaTheme="minorEastAsia"/>
        </w:rPr>
        <w:t xml:space="preserve">в период </w:t>
      </w:r>
      <w:r w:rsidR="00B21ED3">
        <w:rPr>
          <w:rFonts w:eastAsiaTheme="minorEastAsia"/>
          <w:lang w:val="en-US"/>
        </w:rPr>
        <w:t>deSPAC</w:t>
      </w:r>
      <w:r w:rsidR="00B21ED3">
        <w:rPr>
          <w:rFonts w:eastAsiaTheme="minorEastAsia"/>
        </w:rPr>
        <w:t xml:space="preserve">. </w:t>
      </w:r>
      <w:r w:rsidR="00AB74EF">
        <w:rPr>
          <w:rFonts w:eastAsiaTheme="minorEastAsia"/>
        </w:rPr>
        <w:t xml:space="preserve">Основной причиной успешности </w:t>
      </w:r>
      <w:r w:rsidR="007008AB">
        <w:rPr>
          <w:rFonts w:eastAsiaTheme="minorEastAsia"/>
        </w:rPr>
        <w:t xml:space="preserve">«компании-пустышек» до слияния заключается в том, что </w:t>
      </w:r>
      <w:r w:rsidR="00785436">
        <w:rPr>
          <w:rFonts w:eastAsiaTheme="minorEastAsia"/>
        </w:rPr>
        <w:t xml:space="preserve">инвесторы при покупке юнитов получают право </w:t>
      </w:r>
      <w:r w:rsidR="00A46A06">
        <w:rPr>
          <w:rFonts w:eastAsiaTheme="minorEastAsia"/>
        </w:rPr>
        <w:t>предъявления акций</w:t>
      </w:r>
      <w:r w:rsidR="003C760D">
        <w:rPr>
          <w:rFonts w:eastAsiaTheme="minorEastAsia"/>
        </w:rPr>
        <w:t xml:space="preserve"> к выкупу</w:t>
      </w:r>
      <w:r w:rsidR="00785436">
        <w:rPr>
          <w:rFonts w:eastAsiaTheme="minorEastAsia"/>
        </w:rPr>
        <w:t xml:space="preserve">. </w:t>
      </w:r>
      <w:r w:rsidR="00AA680C">
        <w:rPr>
          <w:rFonts w:eastAsiaTheme="minorEastAsia"/>
        </w:rPr>
        <w:t xml:space="preserve">Даже если после разделения юнита акция </w:t>
      </w:r>
      <w:r w:rsidR="00AA680C">
        <w:rPr>
          <w:rFonts w:eastAsiaTheme="minorEastAsia"/>
          <w:lang w:val="en-US"/>
        </w:rPr>
        <w:t>SPAC</w:t>
      </w:r>
      <w:r w:rsidR="00AA680C">
        <w:rPr>
          <w:rFonts w:eastAsiaTheme="minorEastAsia"/>
        </w:rPr>
        <w:t xml:space="preserve"> падает гораздо ниже </w:t>
      </w:r>
      <w:r w:rsidR="00AA680C" w:rsidRPr="00AA680C">
        <w:rPr>
          <w:rFonts w:eastAsiaTheme="minorEastAsia"/>
        </w:rPr>
        <w:t>$10</w:t>
      </w:r>
      <w:r w:rsidR="00E36F43">
        <w:rPr>
          <w:rFonts w:eastAsiaTheme="minorEastAsia"/>
        </w:rPr>
        <w:t xml:space="preserve">, </w:t>
      </w:r>
      <w:r w:rsidR="00DE0216">
        <w:rPr>
          <w:rFonts w:eastAsiaTheme="minorEastAsia"/>
        </w:rPr>
        <w:t xml:space="preserve">инвестор через год можешь потребовать выкупить акцию по цене </w:t>
      </w:r>
      <w:r w:rsidR="00DE0216" w:rsidRPr="00AA680C">
        <w:rPr>
          <w:rFonts w:eastAsiaTheme="minorEastAsia"/>
        </w:rPr>
        <w:t>$10</w:t>
      </w:r>
      <w:r w:rsidR="00630665">
        <w:rPr>
          <w:rFonts w:eastAsiaTheme="minorEastAsia"/>
        </w:rPr>
        <w:t>, а также продать варрант</w:t>
      </w:r>
      <w:r w:rsidR="002B39A8">
        <w:rPr>
          <w:rFonts w:eastAsiaTheme="minorEastAsia"/>
        </w:rPr>
        <w:t xml:space="preserve">. Доходность сохраняется положительной и в случае ликвидации </w:t>
      </w:r>
      <w:r w:rsidR="002B39A8">
        <w:rPr>
          <w:rFonts w:eastAsiaTheme="minorEastAsia"/>
          <w:lang w:val="en-US"/>
        </w:rPr>
        <w:t>SPAC</w:t>
      </w:r>
      <w:r w:rsidR="002B39A8">
        <w:rPr>
          <w:rFonts w:eastAsiaTheme="minorEastAsia"/>
        </w:rPr>
        <w:t>.</w:t>
      </w:r>
      <w:r w:rsidR="00700BE1">
        <w:rPr>
          <w:rFonts w:eastAsiaTheme="minorEastAsia"/>
        </w:rPr>
        <w:t xml:space="preserve"> Что касается негативной результативности </w:t>
      </w:r>
      <w:r w:rsidR="00FC0044">
        <w:rPr>
          <w:rFonts w:eastAsiaTheme="minorEastAsia"/>
        </w:rPr>
        <w:t xml:space="preserve">акций </w:t>
      </w:r>
      <w:r w:rsidR="00FC0044">
        <w:rPr>
          <w:rFonts w:eastAsiaTheme="minorEastAsia"/>
          <w:lang w:val="en-US"/>
        </w:rPr>
        <w:t>deSPAC</w:t>
      </w:r>
      <w:r w:rsidR="00700BE1">
        <w:rPr>
          <w:rFonts w:eastAsiaTheme="minorEastAsia"/>
        </w:rPr>
        <w:t xml:space="preserve">, возможные причины </w:t>
      </w:r>
      <w:r w:rsidR="00F74588">
        <w:rPr>
          <w:rFonts w:eastAsiaTheme="minorEastAsia"/>
        </w:rPr>
        <w:t>этого явления будут разобраны в следующем разделе.</w:t>
      </w:r>
    </w:p>
    <w:p w14:paraId="6824A74E" w14:textId="475E001F" w:rsidR="00F74588" w:rsidRDefault="009003C2" w:rsidP="00BD58BE">
      <w:pPr>
        <w:pStyle w:val="3"/>
        <w:numPr>
          <w:ilvl w:val="2"/>
          <w:numId w:val="10"/>
        </w:numPr>
      </w:pPr>
      <w:bookmarkStart w:id="25" w:name="_Toc102050302"/>
      <w:bookmarkStart w:id="26" w:name="_Toc102050674"/>
      <w:bookmarkStart w:id="27" w:name="_Hlk100089265"/>
      <w:r>
        <w:t>Исследования факторов результативност</w:t>
      </w:r>
      <w:r w:rsidR="00C50BEB">
        <w:t>и</w:t>
      </w:r>
      <w:r>
        <w:t xml:space="preserve"> </w:t>
      </w:r>
      <w:r w:rsidR="009D0A1F">
        <w:rPr>
          <w:lang w:val="en-US"/>
        </w:rPr>
        <w:t>SPAC</w:t>
      </w:r>
      <w:bookmarkEnd w:id="25"/>
      <w:bookmarkEnd w:id="26"/>
    </w:p>
    <w:bookmarkEnd w:id="27"/>
    <w:p w14:paraId="00B633F2" w14:textId="114A5DEB" w:rsidR="00B00283" w:rsidRDefault="00227123" w:rsidP="00B00283">
      <w:r>
        <w:t xml:space="preserve">На </w:t>
      </w:r>
      <w:r w:rsidR="00C4746F">
        <w:t>доходность</w:t>
      </w:r>
      <w:r>
        <w:t xml:space="preserve"> </w:t>
      </w:r>
      <w:r>
        <w:rPr>
          <w:lang w:val="en-US"/>
        </w:rPr>
        <w:t>SPAC</w:t>
      </w:r>
      <w:r>
        <w:t xml:space="preserve"> на разных </w:t>
      </w:r>
      <w:r w:rsidR="004D6B34">
        <w:t>этапах жизненного цикла могут влиять разные факторы</w:t>
      </w:r>
      <w:r w:rsidR="0003560F">
        <w:t xml:space="preserve">. </w:t>
      </w:r>
      <w:r w:rsidR="00C4746F">
        <w:t xml:space="preserve">Рассмотрим основные детерминанты результативности периода </w:t>
      </w:r>
      <w:r w:rsidR="00C4746F">
        <w:rPr>
          <w:lang w:val="en-US"/>
        </w:rPr>
        <w:t>SPAC</w:t>
      </w:r>
      <w:r w:rsidR="00C4746F">
        <w:t>, то есть времени</w:t>
      </w:r>
      <w:r w:rsidR="00DB7CE3">
        <w:t xml:space="preserve"> до поглощения.</w:t>
      </w:r>
    </w:p>
    <w:p w14:paraId="1B3C1ECB" w14:textId="77777777" w:rsidR="00881649" w:rsidRDefault="00881649" w:rsidP="00A67070">
      <w:pPr>
        <w:pStyle w:val="a"/>
        <w:sectPr w:rsidR="00881649" w:rsidSect="00FF225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0987135" w14:textId="236DC847" w:rsidR="00A67070" w:rsidRDefault="00443884" w:rsidP="00A67070">
      <w:pPr>
        <w:pStyle w:val="a"/>
      </w:pPr>
      <w:r>
        <w:lastRenderedPageBreak/>
        <w:t xml:space="preserve">Результаты эмпирических исследований факторов доходности периода </w:t>
      </w:r>
      <w:r>
        <w:rPr>
          <w:lang w:val="en-US"/>
        </w:rPr>
        <w:t>SPAC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3538"/>
      </w:tblGrid>
      <w:tr w:rsidR="00054EE9" w14:paraId="54373302" w14:textId="77777777" w:rsidTr="007500C2">
        <w:tc>
          <w:tcPr>
            <w:tcW w:w="2547" w:type="dxa"/>
          </w:tcPr>
          <w:p w14:paraId="337B78DC" w14:textId="013D4FC7" w:rsidR="00054EE9" w:rsidRDefault="00054EE9" w:rsidP="00054EE9">
            <w:pPr>
              <w:pStyle w:val="ac"/>
            </w:pPr>
            <w:r>
              <w:t>Автор и название</w:t>
            </w:r>
          </w:p>
        </w:tc>
        <w:tc>
          <w:tcPr>
            <w:tcW w:w="1701" w:type="dxa"/>
          </w:tcPr>
          <w:p w14:paraId="22D86F28" w14:textId="1DAC705A" w:rsidR="00054EE9" w:rsidRDefault="00E501C4" w:rsidP="00054EE9">
            <w:pPr>
              <w:pStyle w:val="ac"/>
            </w:pPr>
            <w:r>
              <w:t>Выборка</w:t>
            </w:r>
          </w:p>
        </w:tc>
        <w:tc>
          <w:tcPr>
            <w:tcW w:w="1559" w:type="dxa"/>
          </w:tcPr>
          <w:p w14:paraId="642D2633" w14:textId="755EEE52" w:rsidR="00054EE9" w:rsidRDefault="00E501C4" w:rsidP="00054EE9">
            <w:pPr>
              <w:pStyle w:val="ac"/>
            </w:pPr>
            <w:r>
              <w:t>Год публикации</w:t>
            </w:r>
          </w:p>
        </w:tc>
        <w:tc>
          <w:tcPr>
            <w:tcW w:w="3538" w:type="dxa"/>
          </w:tcPr>
          <w:p w14:paraId="331F561C" w14:textId="4D5CE520" w:rsidR="00054EE9" w:rsidRDefault="00E501C4" w:rsidP="00054EE9">
            <w:pPr>
              <w:pStyle w:val="ac"/>
            </w:pPr>
            <w:r>
              <w:t>Вывод</w:t>
            </w:r>
          </w:p>
        </w:tc>
      </w:tr>
      <w:tr w:rsidR="00054EE9" w14:paraId="2D4D7182" w14:textId="77777777" w:rsidTr="007500C2">
        <w:tc>
          <w:tcPr>
            <w:tcW w:w="2547" w:type="dxa"/>
          </w:tcPr>
          <w:p w14:paraId="6D715DC8" w14:textId="77777777" w:rsidR="00054EE9" w:rsidRDefault="00567569" w:rsidP="004C7F9C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Milan </w:t>
            </w:r>
            <w:proofErr w:type="spellStart"/>
            <w:r>
              <w:rPr>
                <w:lang w:val="en-US"/>
              </w:rPr>
              <w:t>Lakicevic</w:t>
            </w:r>
            <w:proofErr w:type="spellEnd"/>
            <w:r>
              <w:rPr>
                <w:lang w:val="en-US"/>
              </w:rPr>
              <w:t xml:space="preserve">, </w:t>
            </w:r>
            <w:r w:rsidR="00BB66DA">
              <w:rPr>
                <w:lang w:val="en-US"/>
              </w:rPr>
              <w:t xml:space="preserve">Milos </w:t>
            </w:r>
            <w:proofErr w:type="spellStart"/>
            <w:r w:rsidR="00BB66DA">
              <w:rPr>
                <w:lang w:val="en-US"/>
              </w:rPr>
              <w:t>Vulanovic</w:t>
            </w:r>
            <w:proofErr w:type="spellEnd"/>
          </w:p>
          <w:p w14:paraId="64ACAE76" w14:textId="3E402D6E" w:rsidR="00BB66DA" w:rsidRPr="00567569" w:rsidRDefault="00BB66DA" w:rsidP="004C7F9C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A Story on SPACs</w:t>
            </w:r>
          </w:p>
        </w:tc>
        <w:tc>
          <w:tcPr>
            <w:tcW w:w="1701" w:type="dxa"/>
          </w:tcPr>
          <w:p w14:paraId="4FADE3CC" w14:textId="42D3B59F" w:rsidR="00054EE9" w:rsidRPr="00BB66DA" w:rsidRDefault="00BB66DA" w:rsidP="004C7F9C">
            <w:pPr>
              <w:pStyle w:val="ad"/>
              <w:jc w:val="center"/>
            </w:pPr>
            <w:r>
              <w:t xml:space="preserve">88 американских </w:t>
            </w:r>
            <w:r>
              <w:rPr>
                <w:lang w:val="en-US"/>
              </w:rPr>
              <w:t>SPAC</w:t>
            </w:r>
          </w:p>
        </w:tc>
        <w:tc>
          <w:tcPr>
            <w:tcW w:w="1559" w:type="dxa"/>
          </w:tcPr>
          <w:p w14:paraId="5D08D768" w14:textId="55855A4C" w:rsidR="00054EE9" w:rsidRDefault="004C7F9C" w:rsidP="004C7F9C">
            <w:pPr>
              <w:pStyle w:val="ad"/>
              <w:jc w:val="center"/>
            </w:pPr>
            <w:r>
              <w:t>2011</w:t>
            </w:r>
          </w:p>
        </w:tc>
        <w:tc>
          <w:tcPr>
            <w:tcW w:w="3538" w:type="dxa"/>
          </w:tcPr>
          <w:p w14:paraId="373CA9DE" w14:textId="1B7591E1" w:rsidR="00054EE9" w:rsidRDefault="001274F8" w:rsidP="004C7F9C">
            <w:pPr>
              <w:pStyle w:val="ad"/>
              <w:jc w:val="center"/>
            </w:pPr>
            <w:r>
              <w:t xml:space="preserve">Позитивные </w:t>
            </w:r>
            <w:r w:rsidR="00EF33D5">
              <w:t>избыточные</w:t>
            </w:r>
            <w:r w:rsidR="00D54276">
              <w:t xml:space="preserve"> доходности акций, юнитов и варрантов после дня объявления о поглощении. Негативные сверхд</w:t>
            </w:r>
            <w:r w:rsidR="0015060F">
              <w:t>оходности в день завершения сделки о поглощении</w:t>
            </w:r>
          </w:p>
        </w:tc>
      </w:tr>
      <w:tr w:rsidR="00054EE9" w:rsidRPr="00021337" w14:paraId="76C5C241" w14:textId="77777777" w:rsidTr="007500C2">
        <w:tc>
          <w:tcPr>
            <w:tcW w:w="2547" w:type="dxa"/>
          </w:tcPr>
          <w:p w14:paraId="4191CB61" w14:textId="77777777" w:rsidR="00054EE9" w:rsidRDefault="00270A49" w:rsidP="004C7F9C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Lora Dimitrova</w:t>
            </w:r>
          </w:p>
          <w:p w14:paraId="0F084320" w14:textId="2E7CD97C" w:rsidR="00270A49" w:rsidRPr="00833122" w:rsidRDefault="007500C2" w:rsidP="004C7F9C">
            <w:pPr>
              <w:pStyle w:val="ad"/>
              <w:jc w:val="center"/>
              <w:rPr>
                <w:lang w:val="en-US"/>
              </w:rPr>
            </w:pPr>
            <w:r w:rsidRPr="007500C2">
              <w:rPr>
                <w:lang w:val="en-US"/>
              </w:rPr>
              <w:t>Perverse Incentives of Special Purpose Acquisition Companies, the 'Poor Man’s Private Equity Funds'</w:t>
            </w:r>
          </w:p>
        </w:tc>
        <w:tc>
          <w:tcPr>
            <w:tcW w:w="1701" w:type="dxa"/>
          </w:tcPr>
          <w:p w14:paraId="4B03CD42" w14:textId="28F28D5C" w:rsidR="00054EE9" w:rsidRPr="00833122" w:rsidRDefault="004B4DCA" w:rsidP="004C7F9C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>
              <w:t xml:space="preserve"> американских </w:t>
            </w:r>
            <w:r>
              <w:rPr>
                <w:lang w:val="en-US"/>
              </w:rPr>
              <w:t>SPAC</w:t>
            </w:r>
          </w:p>
        </w:tc>
        <w:tc>
          <w:tcPr>
            <w:tcW w:w="1559" w:type="dxa"/>
          </w:tcPr>
          <w:p w14:paraId="6BE64460" w14:textId="18C7120E" w:rsidR="00054EE9" w:rsidRPr="00833122" w:rsidRDefault="004B4DCA" w:rsidP="004C7F9C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3538" w:type="dxa"/>
          </w:tcPr>
          <w:p w14:paraId="7BDA0A30" w14:textId="10123980" w:rsidR="00054EE9" w:rsidRPr="005F6E14" w:rsidRDefault="000008E0" w:rsidP="004C7F9C">
            <w:pPr>
              <w:pStyle w:val="ad"/>
              <w:jc w:val="center"/>
            </w:pPr>
            <w:r>
              <w:t xml:space="preserve">Сверхдоходность акций </w:t>
            </w:r>
            <w:r>
              <w:rPr>
                <w:lang w:val="en-US"/>
              </w:rPr>
              <w:t>SPAC</w:t>
            </w:r>
            <w:r>
              <w:t xml:space="preserve"> </w:t>
            </w:r>
            <w:r w:rsidR="00021337">
              <w:t>уменьшается при увеличении времени до завершения сделки поглощения</w:t>
            </w:r>
            <w:r w:rsidR="00D054BA">
              <w:t xml:space="preserve">, а также при наличии </w:t>
            </w:r>
            <w:r w:rsidR="00071C3C">
              <w:t xml:space="preserve">отложенных платежей. Если в качестве </w:t>
            </w:r>
            <w:r w:rsidR="004056F9">
              <w:t xml:space="preserve">председателя </w:t>
            </w:r>
            <w:r w:rsidR="005F6E14">
              <w:t xml:space="preserve">объединенной компании выступает спонсор </w:t>
            </w:r>
            <w:r w:rsidR="005F6E14">
              <w:rPr>
                <w:lang w:val="en-US"/>
              </w:rPr>
              <w:t>SPAC</w:t>
            </w:r>
            <w:r w:rsidR="005F6E14">
              <w:t>, сверхдоходность выше</w:t>
            </w:r>
          </w:p>
        </w:tc>
      </w:tr>
    </w:tbl>
    <w:p w14:paraId="49594A4B" w14:textId="6983751A" w:rsidR="00443884" w:rsidRPr="000E4642" w:rsidRDefault="00E14E7E" w:rsidP="00F25697">
      <w:pPr>
        <w:pStyle w:val="ad"/>
        <w:rPr>
          <w:i/>
          <w:iCs/>
        </w:rPr>
      </w:pPr>
      <w:r>
        <w:rPr>
          <w:i/>
          <w:iCs/>
        </w:rPr>
        <w:t xml:space="preserve">Составлено по: </w:t>
      </w:r>
      <w:r w:rsidRPr="000E4642">
        <w:rPr>
          <w:i/>
          <w:iCs/>
        </w:rPr>
        <w:t>[</w:t>
      </w:r>
      <w:proofErr w:type="spellStart"/>
      <w:r>
        <w:rPr>
          <w:i/>
          <w:iCs/>
          <w:lang w:val="en-US"/>
        </w:rPr>
        <w:t>Lakicevic</w:t>
      </w:r>
      <w:proofErr w:type="spellEnd"/>
      <w:r w:rsidRPr="000E4642">
        <w:rPr>
          <w:i/>
          <w:iCs/>
        </w:rPr>
        <w:t xml:space="preserve">, </w:t>
      </w:r>
      <w:proofErr w:type="spellStart"/>
      <w:r>
        <w:rPr>
          <w:i/>
          <w:iCs/>
          <w:lang w:val="en-US"/>
        </w:rPr>
        <w:t>Vulanovic</w:t>
      </w:r>
      <w:proofErr w:type="spellEnd"/>
      <w:r w:rsidR="000E4642" w:rsidRPr="000E4642">
        <w:rPr>
          <w:i/>
          <w:iCs/>
        </w:rPr>
        <w:t>,</w:t>
      </w:r>
      <w:r w:rsidRPr="000E4642">
        <w:rPr>
          <w:i/>
          <w:iCs/>
        </w:rPr>
        <w:t xml:space="preserve"> 2011</w:t>
      </w:r>
      <w:r w:rsidR="000E4642" w:rsidRPr="000E4642">
        <w:rPr>
          <w:i/>
          <w:iCs/>
        </w:rPr>
        <w:t xml:space="preserve">; </w:t>
      </w:r>
      <w:r w:rsidR="000E4642">
        <w:rPr>
          <w:i/>
          <w:iCs/>
          <w:lang w:val="en-US"/>
        </w:rPr>
        <w:t>Dimitrova</w:t>
      </w:r>
      <w:r w:rsidR="000E4642" w:rsidRPr="000E4642">
        <w:rPr>
          <w:i/>
          <w:iCs/>
        </w:rPr>
        <w:t>, 2012]</w:t>
      </w:r>
    </w:p>
    <w:p w14:paraId="1B3F3318" w14:textId="0416F586" w:rsidR="00B00283" w:rsidRDefault="00B64272" w:rsidP="00B00283">
      <w:r>
        <w:t xml:space="preserve">Исследования показывают, что </w:t>
      </w:r>
      <w:r w:rsidR="009819F9">
        <w:t xml:space="preserve">основными «генераторами» позитивной доходности являются два события: </w:t>
      </w:r>
      <w:r w:rsidR="008072E1">
        <w:t xml:space="preserve">дата анонсирования сделки и дата </w:t>
      </w:r>
      <w:r w:rsidR="00707CD3">
        <w:t xml:space="preserve">завершения поглощения. </w:t>
      </w:r>
      <w:proofErr w:type="spellStart"/>
      <w:r w:rsidR="00FD1457">
        <w:rPr>
          <w:lang w:val="en-US"/>
        </w:rPr>
        <w:t>Lakicevic</w:t>
      </w:r>
      <w:proofErr w:type="spellEnd"/>
      <w:r w:rsidR="00FD1457" w:rsidRPr="00DB60E5">
        <w:t xml:space="preserve"> </w:t>
      </w:r>
      <w:r w:rsidR="00FD1457">
        <w:t xml:space="preserve">и </w:t>
      </w:r>
      <w:proofErr w:type="spellStart"/>
      <w:r w:rsidR="00FD1457">
        <w:rPr>
          <w:lang w:val="en-US"/>
        </w:rPr>
        <w:t>Vulanovic</w:t>
      </w:r>
      <w:proofErr w:type="spellEnd"/>
      <w:r w:rsidR="00FD1457" w:rsidRPr="00DB60E5">
        <w:t xml:space="preserve"> </w:t>
      </w:r>
      <w:r w:rsidR="00FD1457">
        <w:t xml:space="preserve">в своей работе </w:t>
      </w:r>
      <w:r w:rsidR="00DB60E5">
        <w:t>(</w:t>
      </w:r>
      <w:proofErr w:type="spellStart"/>
      <w:r w:rsidR="00DB60E5">
        <w:rPr>
          <w:lang w:val="en-US"/>
        </w:rPr>
        <w:t>Lakicevic</w:t>
      </w:r>
      <w:proofErr w:type="spellEnd"/>
      <w:r w:rsidR="00DB60E5">
        <w:t xml:space="preserve">, </w:t>
      </w:r>
      <w:proofErr w:type="spellStart"/>
      <w:r w:rsidR="00DB60E5">
        <w:rPr>
          <w:lang w:val="en-US"/>
        </w:rPr>
        <w:t>Vulanovic</w:t>
      </w:r>
      <w:proofErr w:type="spellEnd"/>
      <w:r w:rsidR="00DB60E5">
        <w:t xml:space="preserve">; 2011) использовали метод </w:t>
      </w:r>
      <w:r w:rsidR="003B3233">
        <w:rPr>
          <w:lang w:val="en-US"/>
        </w:rPr>
        <w:t>event</w:t>
      </w:r>
      <w:r w:rsidR="003B3233" w:rsidRPr="003B3233">
        <w:t>-</w:t>
      </w:r>
      <w:r w:rsidR="003B3233">
        <w:rPr>
          <w:lang w:val="en-US"/>
        </w:rPr>
        <w:t>study</w:t>
      </w:r>
      <w:r w:rsidR="003B3233" w:rsidRPr="003B3233">
        <w:t xml:space="preserve"> </w:t>
      </w:r>
      <w:r w:rsidR="00797574">
        <w:t xml:space="preserve">для иллюстрирования эффектов вышеупомянутых событий </w:t>
      </w:r>
      <w:r w:rsidR="00392897">
        <w:t xml:space="preserve">на краткосрочную доходность </w:t>
      </w:r>
      <w:r w:rsidR="00C04BF4">
        <w:t xml:space="preserve">не только акций </w:t>
      </w:r>
      <w:r w:rsidR="00392897">
        <w:rPr>
          <w:lang w:val="en-US"/>
        </w:rPr>
        <w:t>SPAC</w:t>
      </w:r>
      <w:r w:rsidR="00C04BF4">
        <w:t>, но и неразделенных юнитов и варрантов</w:t>
      </w:r>
      <w:r w:rsidR="00392897">
        <w:t xml:space="preserve">. </w:t>
      </w:r>
      <w:r w:rsidR="004D272D">
        <w:t xml:space="preserve">В частности, </w:t>
      </w:r>
      <w:r w:rsidR="00E7638F">
        <w:t>авторы использовали рыночную модель</w:t>
      </w:r>
      <w:r w:rsidR="00FB1546">
        <w:t xml:space="preserve"> </w:t>
      </w:r>
      <w:r w:rsidR="00ED69D5" w:rsidRPr="00ED69D5">
        <w:t>[</w:t>
      </w:r>
      <w:r w:rsidR="00FB1546">
        <w:rPr>
          <w:lang w:val="en-US"/>
        </w:rPr>
        <w:t>Brown</w:t>
      </w:r>
      <w:r w:rsidR="00FB1546" w:rsidRPr="00FB1546">
        <w:t xml:space="preserve">, </w:t>
      </w:r>
      <w:r w:rsidR="00FB1546">
        <w:rPr>
          <w:lang w:val="en-US"/>
        </w:rPr>
        <w:t>Warner</w:t>
      </w:r>
      <w:r w:rsidR="00ED69D5" w:rsidRPr="00ED69D5">
        <w:t xml:space="preserve">, </w:t>
      </w:r>
      <w:r w:rsidR="00FB1546" w:rsidRPr="00FB1546">
        <w:t>1985</w:t>
      </w:r>
      <w:r w:rsidR="00ED69D5" w:rsidRPr="00ED69D5">
        <w:t>]</w:t>
      </w:r>
      <w:r w:rsidR="00E7638F">
        <w:t xml:space="preserve"> для </w:t>
      </w:r>
      <w:r w:rsidR="007315DA">
        <w:t>определения сверхдоходности</w:t>
      </w:r>
      <w:r w:rsidR="00E6652A">
        <w:t>:</w:t>
      </w:r>
    </w:p>
    <w:p w14:paraId="718B07B3" w14:textId="4CBBD4FF" w:rsidR="00E6652A" w:rsidRPr="00280A48" w:rsidRDefault="004F2A93" w:rsidP="004F2A93">
      <w:pPr>
        <w:pStyle w:val="af8"/>
        <w:rPr>
          <w:vanish/>
          <w:specVanish/>
        </w:rPr>
      </w:pPr>
      <w:r w:rsidRPr="00633342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j,t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m,t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j,t</m:t>
            </m:r>
          </m:sub>
        </m:sSub>
      </m:oMath>
      <w:r>
        <w:tab/>
      </w:r>
    </w:p>
    <w:p w14:paraId="124D5E79" w14:textId="00063A02" w:rsidR="00280A48" w:rsidRPr="00633342" w:rsidRDefault="00280A48" w:rsidP="00280A48">
      <w:pPr>
        <w:pStyle w:val="af9"/>
      </w:pPr>
      <w:r>
        <w:t xml:space="preserve"> </w:t>
      </w:r>
      <w:r w:rsidRPr="00633342">
        <w:t>(</w:t>
      </w:r>
      <w:fldSimple w:instr=" SEQ Equation \* ARABIC ">
        <w:r w:rsidR="00945273">
          <w:rPr>
            <w:noProof/>
          </w:rPr>
          <w:t>5</w:t>
        </w:r>
      </w:fldSimple>
      <w:r w:rsidRPr="00633342">
        <w:t>)</w:t>
      </w:r>
    </w:p>
    <w:p w14:paraId="72EA3B01" w14:textId="061C6EF1" w:rsidR="00280A48" w:rsidRDefault="00280A48" w:rsidP="00280A48">
      <w:pPr>
        <w:ind w:firstLine="0"/>
      </w:pPr>
      <w:r>
        <w:t>Где</w:t>
      </w:r>
    </w:p>
    <w:p w14:paraId="18971AD9" w14:textId="743190DD" w:rsidR="00280A48" w:rsidRDefault="005438C5" w:rsidP="00280A48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j,t</m:t>
            </m:r>
          </m:sub>
        </m:sSub>
      </m:oMath>
      <w:r w:rsidR="00ED071C">
        <w:rPr>
          <w:rFonts w:eastAsiaTheme="minorEastAsia"/>
        </w:rPr>
        <w:t xml:space="preserve"> – доходность ценной бумаги (юнит, акция или варрант) </w:t>
      </w:r>
      <w:r w:rsidR="00ED071C">
        <w:rPr>
          <w:rFonts w:eastAsiaTheme="minorEastAsia"/>
          <w:lang w:val="en-US"/>
        </w:rPr>
        <w:t>SPAC</w:t>
      </w:r>
      <w:r w:rsidR="00C342DA">
        <w:rPr>
          <w:rFonts w:eastAsiaTheme="minorEastAsia"/>
        </w:rPr>
        <w:t xml:space="preserve"> в день </w:t>
      </w:r>
      <w:r w:rsidR="004A19B2">
        <w:rPr>
          <w:rFonts w:eastAsiaTheme="minorEastAsia"/>
        </w:rPr>
        <w:t xml:space="preserve">объявления о </w:t>
      </w:r>
      <w:r w:rsidR="00936ADC">
        <w:rPr>
          <w:rFonts w:eastAsiaTheme="minorEastAsia"/>
        </w:rPr>
        <w:t>планируемом поглощении или в день завершения сделки о слиянии</w:t>
      </w:r>
      <w:r w:rsidR="00E40D56">
        <w:rPr>
          <w:rFonts w:eastAsiaTheme="minorEastAsia"/>
        </w:rPr>
        <w:t xml:space="preserve"> (день </w:t>
      </w:r>
      <w:r w:rsidR="00E40D56">
        <w:rPr>
          <w:rFonts w:eastAsiaTheme="minorEastAsia"/>
          <w:lang w:val="en-US"/>
        </w:rPr>
        <w:t>t</w:t>
      </w:r>
      <w:r w:rsidR="00E40D56">
        <w:rPr>
          <w:rFonts w:eastAsiaTheme="minorEastAsia"/>
        </w:rPr>
        <w:t>)</w:t>
      </w:r>
      <w:r w:rsidR="00936ADC">
        <w:rPr>
          <w:rFonts w:eastAsiaTheme="minorEastAsia"/>
        </w:rPr>
        <w:t>;</w:t>
      </w:r>
    </w:p>
    <w:p w14:paraId="241CFABB" w14:textId="2EE3932B" w:rsidR="00936ADC" w:rsidRPr="00633342" w:rsidRDefault="005438C5" w:rsidP="002B404E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t</m:t>
            </m:r>
          </m:sub>
        </m:sSub>
      </m:oMath>
      <w:r w:rsidR="00936ADC" w:rsidRPr="00633342">
        <w:rPr>
          <w:lang w:val="ru-RU"/>
        </w:rPr>
        <w:t xml:space="preserve"> – </w:t>
      </w:r>
      <w:r w:rsidR="0084133E" w:rsidRPr="00633342">
        <w:rPr>
          <w:lang w:val="ru-RU"/>
        </w:rPr>
        <w:t xml:space="preserve">ставка доходности </w:t>
      </w:r>
      <w:r w:rsidR="00F760BE" w:rsidRPr="00633342">
        <w:rPr>
          <w:lang w:val="ru-RU"/>
        </w:rPr>
        <w:t>рыночного инде</w:t>
      </w:r>
      <w:r w:rsidR="003178DE" w:rsidRPr="00633342">
        <w:rPr>
          <w:lang w:val="ru-RU"/>
        </w:rPr>
        <w:t xml:space="preserve">кса </w:t>
      </w:r>
      <w:r w:rsidR="00450826">
        <w:t>CRSP</w:t>
      </w:r>
      <w:r w:rsidR="00450826" w:rsidRPr="00633342">
        <w:rPr>
          <w:lang w:val="ru-RU"/>
        </w:rPr>
        <w:t xml:space="preserve"> </w:t>
      </w:r>
      <w:r w:rsidR="002B404E" w:rsidRPr="00633342">
        <w:rPr>
          <w:lang w:val="ru-RU"/>
        </w:rPr>
        <w:t xml:space="preserve">в день </w:t>
      </w:r>
      <w:r w:rsidR="002B404E">
        <w:t>t</w:t>
      </w:r>
      <w:r w:rsidR="002B404E" w:rsidRPr="00633342">
        <w:rPr>
          <w:lang w:val="ru-RU"/>
        </w:rPr>
        <w:t>.</w:t>
      </w:r>
    </w:p>
    <w:p w14:paraId="4BD1F492" w14:textId="7FD5C40F" w:rsidR="002B404E" w:rsidRDefault="004C26FB" w:rsidP="002B404E">
      <w:r>
        <w:lastRenderedPageBreak/>
        <w:t>Сверх</w:t>
      </w:r>
      <w:r w:rsidR="00AD0A66">
        <w:t>доходность (</w:t>
      </w:r>
      <w:r w:rsidR="00AD0A66">
        <w:rPr>
          <w:lang w:val="en-US"/>
        </w:rPr>
        <w:t>abnormal</w:t>
      </w:r>
      <w:r w:rsidR="00AD0A66" w:rsidRPr="00F03C6D">
        <w:t xml:space="preserve"> </w:t>
      </w:r>
      <w:r w:rsidR="00AD0A66">
        <w:rPr>
          <w:lang w:val="en-US"/>
        </w:rPr>
        <w:t>return</w:t>
      </w:r>
      <w:r w:rsidR="00AD0A66" w:rsidRPr="00F03C6D">
        <w:t>)</w:t>
      </w:r>
      <w:r w:rsidR="00F03C6D">
        <w:t xml:space="preserve"> в день анонсирования поглощения или завершения сделки имеет следующий вид:</w:t>
      </w:r>
    </w:p>
    <w:p w14:paraId="2CE67F1F" w14:textId="0D646D4C" w:rsidR="00F03C6D" w:rsidRPr="00A34347" w:rsidRDefault="002D54A9" w:rsidP="002D54A9">
      <w:pPr>
        <w:pStyle w:val="af8"/>
        <w:rPr>
          <w:vanish/>
          <w:specVanish/>
        </w:rPr>
      </w:pPr>
      <w:r w:rsidRPr="00633342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AR</m:t>
            </m:r>
          </m:e>
          <m:sub>
            <m:r>
              <w:rPr>
                <w:rFonts w:ascii="Cambria Math" w:hAnsi="Cambria Math"/>
              </w:rPr>
              <m:t>j,t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j,t</m:t>
            </m:r>
          </m:sub>
        </m:sSub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0,j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0,j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m,t</m:t>
                </m:r>
              </m:sub>
            </m:sSub>
          </m:e>
        </m:d>
      </m:oMath>
      <w:r>
        <w:tab/>
      </w:r>
    </w:p>
    <w:p w14:paraId="3798911E" w14:textId="2B8092FE" w:rsidR="00A34347" w:rsidRPr="00633342" w:rsidRDefault="00A34347" w:rsidP="00A34347">
      <w:pPr>
        <w:pStyle w:val="af9"/>
      </w:pPr>
      <w:r>
        <w:t xml:space="preserve"> </w:t>
      </w:r>
      <w:r w:rsidRPr="00633342">
        <w:t>(</w:t>
      </w:r>
      <w:fldSimple w:instr=" SEQ Equation \* ARABIC ">
        <w:r w:rsidR="00945273">
          <w:rPr>
            <w:noProof/>
          </w:rPr>
          <w:t>6</w:t>
        </w:r>
      </w:fldSimple>
      <w:r w:rsidRPr="00633342">
        <w:t>)</w:t>
      </w:r>
    </w:p>
    <w:p w14:paraId="768D913A" w14:textId="0EEE4525" w:rsidR="00A34347" w:rsidRDefault="00A34347" w:rsidP="00A34347">
      <w:pPr>
        <w:ind w:firstLine="0"/>
      </w:pPr>
      <w:r>
        <w:t>Где</w:t>
      </w:r>
    </w:p>
    <w:p w14:paraId="428B41BC" w14:textId="4B32B043" w:rsidR="00A34347" w:rsidRDefault="005438C5" w:rsidP="00DF2214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="00A34347" w:rsidRPr="00DF2214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="00A34347" w:rsidRPr="00DF2214">
        <w:rPr>
          <w:lang w:val="ru-RU"/>
        </w:rPr>
        <w:t xml:space="preserve"> – </w:t>
      </w:r>
      <w:r w:rsidR="00565764" w:rsidRPr="00DF2214">
        <w:rPr>
          <w:lang w:val="ru-RU"/>
        </w:rPr>
        <w:t xml:space="preserve">оценки </w:t>
      </w:r>
      <m:oMath>
        <m:r>
          <w:rPr>
            <w:rFonts w:ascii="Cambria Math" w:hAnsi="Cambria Math"/>
          </w:rPr>
          <m:t>α</m:t>
        </m:r>
      </m:oMath>
      <w:r w:rsidR="00565764" w:rsidRPr="00DF2214">
        <w:rPr>
          <w:lang w:val="ru-RU"/>
        </w:rPr>
        <w:t xml:space="preserve"> и </w:t>
      </w:r>
      <m:oMath>
        <m:r>
          <w:rPr>
            <w:rFonts w:ascii="Cambria Math" w:hAnsi="Cambria Math"/>
          </w:rPr>
          <m:t>β</m:t>
        </m:r>
      </m:oMath>
      <w:r w:rsidR="00565764" w:rsidRPr="00DF2214">
        <w:rPr>
          <w:lang w:val="ru-RU"/>
        </w:rPr>
        <w:t xml:space="preserve"> методо</w:t>
      </w:r>
      <w:r w:rsidR="00DF2214" w:rsidRPr="00DF2214">
        <w:rPr>
          <w:lang w:val="ru-RU"/>
        </w:rPr>
        <w:t>м</w:t>
      </w:r>
      <w:r w:rsidR="00565764" w:rsidRPr="00DF2214">
        <w:rPr>
          <w:lang w:val="ru-RU"/>
        </w:rPr>
        <w:t xml:space="preserve"> наименьших квадратов</w:t>
      </w:r>
      <w:r w:rsidR="00DF2214">
        <w:rPr>
          <w:lang w:val="ru-RU"/>
        </w:rPr>
        <w:t>.</w:t>
      </w:r>
    </w:p>
    <w:p w14:paraId="3F8538FC" w14:textId="77356878" w:rsidR="00DF2214" w:rsidRDefault="00925FBC" w:rsidP="00DF2214">
      <w:r>
        <w:t>В качестве окна события было взято 11 дней</w:t>
      </w:r>
      <w:r w:rsidR="00920BCA">
        <w:t>, начиная с дня события</w:t>
      </w:r>
      <w:r w:rsidR="00A42A8D">
        <w:t>, окно оценки – 50 дней до дня события</w:t>
      </w:r>
      <w:r w:rsidR="006F631F">
        <w:t xml:space="preserve"> (</w:t>
      </w:r>
      <w:r w:rsidR="00646A7D">
        <w:t xml:space="preserve">такой период обоснован ограниченностью жизненного цикла </w:t>
      </w:r>
      <w:r w:rsidR="00B00E8B">
        <w:rPr>
          <w:lang w:val="en-US"/>
        </w:rPr>
        <w:t>SPAC</w:t>
      </w:r>
      <w:r w:rsidR="00B00E8B">
        <w:t xml:space="preserve">). Было проанализировано 88 компаний с 2003 по 2009 года. </w:t>
      </w:r>
      <w:r w:rsidR="00B513E5">
        <w:t xml:space="preserve">В </w:t>
      </w:r>
      <w:r w:rsidR="00101D3D">
        <w:t xml:space="preserve">первый </w:t>
      </w:r>
      <w:r w:rsidR="00B513E5">
        <w:t>день объявления о поглощении сверхдоходность акций составила 0,85%, сверхдоходность</w:t>
      </w:r>
      <w:r w:rsidR="00101D3D">
        <w:t xml:space="preserve">, в течение двух дней – </w:t>
      </w:r>
      <w:r w:rsidR="00114272">
        <w:t>1,2%</w:t>
      </w:r>
      <w:r w:rsidR="003517F9">
        <w:t xml:space="preserve">. Кумулятивные доходности </w:t>
      </w:r>
      <w:r w:rsidR="00011AE6">
        <w:t>монотонно</w:t>
      </w:r>
      <w:r w:rsidR="003517F9">
        <w:t xml:space="preserve"> </w:t>
      </w:r>
      <w:r w:rsidR="00011AE6">
        <w:t>снижались</w:t>
      </w:r>
      <w:r w:rsidR="003517F9">
        <w:t xml:space="preserve"> на 0,047% после 7 дней об объявлении сделки</w:t>
      </w:r>
      <w:r w:rsidR="001419A5">
        <w:t xml:space="preserve">. Сверхдоходность незначима </w:t>
      </w:r>
      <w:r w:rsidR="003A00B7">
        <w:t xml:space="preserve">через 7 дней после поглощения, так </w:t>
      </w:r>
      <w:r w:rsidR="00556E15">
        <w:t xml:space="preserve">как инвесторы начинают активно выкупать акции. </w:t>
      </w:r>
      <w:r w:rsidR="00A023D7">
        <w:t xml:space="preserve">Юниты </w:t>
      </w:r>
      <w:r w:rsidR="00011AE6">
        <w:t>показывали</w:t>
      </w:r>
      <w:r w:rsidR="00A023D7">
        <w:t xml:space="preserve"> </w:t>
      </w:r>
      <w:r w:rsidR="00EF33D5">
        <w:t>избыточную</w:t>
      </w:r>
      <w:r w:rsidR="00A023D7">
        <w:t xml:space="preserve"> доходность на уровне 2,42% в день поглощения</w:t>
      </w:r>
      <w:r w:rsidR="005C3BD2">
        <w:t>, на день позже – 3,43%.</w:t>
      </w:r>
      <w:r w:rsidR="00DB6ABA">
        <w:t xml:space="preserve"> Кумулятивная сверхдоходность составила </w:t>
      </w:r>
      <w:r w:rsidR="00011AE6">
        <w:t>7,88%. Драйвером высоких показателей юнитов скорее всего являлись варранты, поскольку ценные бумаги</w:t>
      </w:r>
      <w:r w:rsidR="000B1A06">
        <w:t xml:space="preserve"> показывали </w:t>
      </w:r>
      <w:r w:rsidR="00EF33D5">
        <w:t>избыточную</w:t>
      </w:r>
      <w:r w:rsidR="000B1A06">
        <w:t xml:space="preserve"> доходность 10,49% в день объявления о сделке. </w:t>
      </w:r>
      <w:r w:rsidR="005E3C81">
        <w:t xml:space="preserve">Что же касается </w:t>
      </w:r>
      <w:r w:rsidR="00F753B1">
        <w:t xml:space="preserve">дня завершения поглощения, то </w:t>
      </w:r>
      <w:r w:rsidR="00097DD2">
        <w:t>сверх</w:t>
      </w:r>
      <w:r w:rsidR="00F753B1">
        <w:t>доходность</w:t>
      </w:r>
      <w:r w:rsidR="00DF5264">
        <w:t xml:space="preserve"> </w:t>
      </w:r>
      <w:r w:rsidR="006C1F37">
        <w:t>всех финансовых инструментов составила -3,81%.</w:t>
      </w:r>
    </w:p>
    <w:p w14:paraId="77C5E740" w14:textId="2B94FF91" w:rsidR="00833122" w:rsidRDefault="009015C8" w:rsidP="00DF2214">
      <w:r>
        <w:t xml:space="preserve">Попытку </w:t>
      </w:r>
      <w:r w:rsidR="00A526B1">
        <w:t>найти факторы, взаимосвязанными со сверхдоходностью в день объявления о поглощении</w:t>
      </w:r>
      <w:r w:rsidR="001F3595">
        <w:t xml:space="preserve">, предприняла </w:t>
      </w:r>
      <w:r w:rsidR="00CC53DE">
        <w:t>Лора Д</w:t>
      </w:r>
      <w:r w:rsidR="005D26A7">
        <w:t>и</w:t>
      </w:r>
      <w:r w:rsidR="00CC53DE">
        <w:t xml:space="preserve">митрова в своей </w:t>
      </w:r>
      <w:r w:rsidR="00FA1318">
        <w:t>работе</w:t>
      </w:r>
      <w:r w:rsidR="005D26A7">
        <w:t xml:space="preserve"> </w:t>
      </w:r>
      <w:r w:rsidR="00ED69D5" w:rsidRPr="00ED69D5">
        <w:t>[</w:t>
      </w:r>
      <w:r w:rsidR="005D26A7">
        <w:rPr>
          <w:lang w:val="en-US"/>
        </w:rPr>
        <w:t>Dimitrova</w:t>
      </w:r>
      <w:r w:rsidR="005D26A7" w:rsidRPr="005D26A7">
        <w:t>, 2012</w:t>
      </w:r>
      <w:r w:rsidR="00ED69D5" w:rsidRPr="00ED69D5">
        <w:t>]</w:t>
      </w:r>
      <w:r w:rsidR="005D26A7" w:rsidRPr="005D26A7">
        <w:t xml:space="preserve">. </w:t>
      </w:r>
      <w:r w:rsidR="0079145E">
        <w:t xml:space="preserve">В отличие от предыдущих исследователей, </w:t>
      </w:r>
      <w:r w:rsidR="00A73B22">
        <w:t xml:space="preserve">автор сделала акцент на </w:t>
      </w:r>
      <w:r w:rsidR="005E75A3">
        <w:t xml:space="preserve">расчете </w:t>
      </w:r>
      <w:r w:rsidR="00A73B22">
        <w:t>кумулятивн</w:t>
      </w:r>
      <w:r w:rsidR="005E75A3">
        <w:t>ой</w:t>
      </w:r>
      <w:r w:rsidR="00A73B22">
        <w:t xml:space="preserve"> </w:t>
      </w:r>
      <w:r w:rsidR="00EF33D5">
        <w:t>избыточной</w:t>
      </w:r>
      <w:r w:rsidR="00A73B22">
        <w:t xml:space="preserve"> доходност</w:t>
      </w:r>
      <w:r w:rsidR="005E75A3">
        <w:t>и</w:t>
      </w:r>
      <w:r w:rsidR="003A198B">
        <w:t xml:space="preserve"> на </w:t>
      </w:r>
      <w:r w:rsidR="00CD286C">
        <w:t>3-дневном</w:t>
      </w:r>
      <w:r w:rsidR="003A198B">
        <w:t xml:space="preserve"> окне события</w:t>
      </w:r>
      <w:r w:rsidR="00833122">
        <w:t>:</w:t>
      </w:r>
    </w:p>
    <w:p w14:paraId="0F553A60" w14:textId="7D0C262E" w:rsidR="00833122" w:rsidRPr="0051169D" w:rsidRDefault="00833122" w:rsidP="00397C5F">
      <w:pPr>
        <w:pStyle w:val="af8"/>
        <w:rPr>
          <w:vanish/>
          <w:specVanish/>
        </w:rPr>
      </w:pPr>
      <w:r w:rsidRPr="00633342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CAR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AR</m:t>
                </m:r>
              </m:e>
              <m:sub>
                <m:r>
                  <w:rPr>
                    <w:rFonts w:ascii="Cambria Math" w:hAnsi="Cambria Math"/>
                  </w:rPr>
                  <m:t>i,t</m:t>
                </m:r>
              </m:sub>
            </m:sSub>
          </m:e>
        </m:nary>
      </m:oMath>
      <w:r w:rsidR="00F01790">
        <w:tab/>
      </w:r>
    </w:p>
    <w:p w14:paraId="340D2868" w14:textId="47B33DBB" w:rsidR="0051169D" w:rsidRPr="00633342" w:rsidRDefault="0051169D" w:rsidP="00397C5F">
      <w:pPr>
        <w:pStyle w:val="af9"/>
        <w:spacing w:after="240"/>
      </w:pPr>
      <w:r>
        <w:t xml:space="preserve"> </w:t>
      </w:r>
      <w:r w:rsidRPr="00633342">
        <w:t>(</w:t>
      </w:r>
      <w:fldSimple w:instr=" SEQ Equation \* ARABIC ">
        <w:r w:rsidR="00945273">
          <w:rPr>
            <w:noProof/>
          </w:rPr>
          <w:t>7</w:t>
        </w:r>
      </w:fldSimple>
      <w:r w:rsidRPr="00633342">
        <w:t>)</w:t>
      </w:r>
    </w:p>
    <w:p w14:paraId="3F9C0B63" w14:textId="081CCB5F" w:rsidR="008C2EF1" w:rsidRDefault="00CD286C" w:rsidP="00DF2214">
      <w:r>
        <w:t xml:space="preserve">Этот показатель </w:t>
      </w:r>
      <w:r w:rsidR="00C7144F">
        <w:t xml:space="preserve">был взят в </w:t>
      </w:r>
      <w:r w:rsidR="00707305">
        <w:t>качестве</w:t>
      </w:r>
      <w:r w:rsidR="00C7144F">
        <w:t xml:space="preserve"> зависимой переменной в регрессионном моделировании</w:t>
      </w:r>
      <w:r w:rsidR="005E75A3">
        <w:t xml:space="preserve">. </w:t>
      </w:r>
      <w:r w:rsidR="00380340">
        <w:t>Выборка состояла из 73 компаний</w:t>
      </w:r>
      <w:r w:rsidR="00BB645C">
        <w:t xml:space="preserve">, работающих в 31 отрасли, </w:t>
      </w:r>
      <w:r w:rsidR="00DD3AD3">
        <w:t xml:space="preserve">действующих </w:t>
      </w:r>
      <w:r w:rsidR="008811CE">
        <w:t>с 2004 по 2010 год.</w:t>
      </w:r>
      <w:r w:rsidR="006B3DD1" w:rsidRPr="006B3DD1">
        <w:t xml:space="preserve"> </w:t>
      </w:r>
      <w:r w:rsidR="006B3DD1">
        <w:t>В исследовании был проведен регрессионный анализ, в рамках которого было рассмотрено 7 моделей</w:t>
      </w:r>
      <w:r w:rsidR="00CC4EB0">
        <w:t>, в каждой из которы</w:t>
      </w:r>
      <w:r w:rsidR="000B4476">
        <w:t>х зависимой переменной являлась накопленная сверхдоходность. Шесть моделей был</w:t>
      </w:r>
      <w:r w:rsidR="006538DE">
        <w:t xml:space="preserve">и сделаны на основе выборки, состоящей только из </w:t>
      </w:r>
      <w:r w:rsidR="009F180B">
        <w:t>успешно объединенных компаний</w:t>
      </w:r>
      <w:r w:rsidR="002B1D3D">
        <w:t>. В каждую из 6 регрессии постепенно были добавлены новые объясняющие переменные.</w:t>
      </w:r>
      <w:r w:rsidR="008F6EA1">
        <w:t xml:space="preserve"> </w:t>
      </w:r>
      <w:r w:rsidR="00D93CA1">
        <w:t>Седьмая модель была построена на данных</w:t>
      </w:r>
      <w:r w:rsidR="00DF082F">
        <w:t xml:space="preserve"> целой выборки, то есть </w:t>
      </w:r>
      <w:r w:rsidR="00AC477F">
        <w:t xml:space="preserve">включая ликвидированные </w:t>
      </w:r>
      <w:r w:rsidR="00AC477F">
        <w:rPr>
          <w:lang w:val="en-US"/>
        </w:rPr>
        <w:t>SPAC</w:t>
      </w:r>
      <w:r w:rsidR="00AC477F">
        <w:t xml:space="preserve"> и компании, ожидающие поглощения. </w:t>
      </w:r>
      <w:r w:rsidR="00D83B0C">
        <w:t>Негативное воздействие на кумулятивную сверхдоходность во всех моделях ока</w:t>
      </w:r>
      <w:r w:rsidR="00B90C61">
        <w:t>зывало наличие отложен</w:t>
      </w:r>
      <w:r w:rsidR="00DA5BC9">
        <w:t>ной части платежа андеррайтерам (</w:t>
      </w:r>
      <w:r w:rsidR="00077FF6">
        <w:t>то есть,</w:t>
      </w:r>
      <w:r w:rsidR="00FC182F">
        <w:t xml:space="preserve"> когда </w:t>
      </w:r>
      <w:r w:rsidR="00FC182F">
        <w:lastRenderedPageBreak/>
        <w:t>часть комиссии оплачивается по завершению сделки о слиянии)</w:t>
      </w:r>
      <w:r w:rsidR="00A31BC9">
        <w:t>.</w:t>
      </w:r>
      <w:r w:rsidR="00CC4EB0">
        <w:t xml:space="preserve"> </w:t>
      </w:r>
      <w:r w:rsidR="00CE5ABD">
        <w:t xml:space="preserve">Время до поглощения также отрицательно взаимосвязано </w:t>
      </w:r>
      <w:r w:rsidR="00562396">
        <w:t>с зависимой переменной.</w:t>
      </w:r>
      <w:r w:rsidR="005C56B8" w:rsidRPr="005C56B8">
        <w:t xml:space="preserve"> </w:t>
      </w:r>
      <w:r w:rsidR="005C56B8">
        <w:t xml:space="preserve">Если сделка </w:t>
      </w:r>
      <w:r w:rsidR="00EC6691">
        <w:t xml:space="preserve">стоимость сделки находится в пределах 10% от требуемого порога в 80% чистых активов </w:t>
      </w:r>
      <w:r w:rsidR="00EC6691">
        <w:rPr>
          <w:lang w:val="en-US"/>
        </w:rPr>
        <w:t>SPAC</w:t>
      </w:r>
      <w:r w:rsidR="00EC6691">
        <w:t xml:space="preserve">, то </w:t>
      </w:r>
      <w:r w:rsidR="003629B2">
        <w:t xml:space="preserve">связь со </w:t>
      </w:r>
      <w:proofErr w:type="spellStart"/>
      <w:r w:rsidR="003629B2">
        <w:t>свер</w:t>
      </w:r>
      <w:proofErr w:type="spellEnd"/>
      <w:r w:rsidR="003629B2">
        <w:t>-доходность также негативная.</w:t>
      </w:r>
      <w:r w:rsidR="00145DCB">
        <w:t xml:space="preserve"> </w:t>
      </w:r>
      <w:r w:rsidR="00337158">
        <w:t xml:space="preserve">В модели с целой выборкой значимой переменной становится </w:t>
      </w:r>
      <w:r w:rsidR="00200015">
        <w:t xml:space="preserve">«председатель </w:t>
      </w:r>
      <w:r w:rsidR="00B0021E">
        <w:t xml:space="preserve">является спонсором, то есть если председатель объединенной компании является спонсором </w:t>
      </w:r>
      <w:r w:rsidR="00B0021E">
        <w:rPr>
          <w:lang w:val="en-US"/>
        </w:rPr>
        <w:t>SPAC</w:t>
      </w:r>
      <w:r w:rsidR="00652AC9">
        <w:t>, то кумулятивная сверхдоходность повышается.</w:t>
      </w:r>
    </w:p>
    <w:p w14:paraId="640860A2" w14:textId="28CDEE52" w:rsidR="00B51840" w:rsidRDefault="00B51840" w:rsidP="00B51840">
      <w:pPr>
        <w:pStyle w:val="a"/>
      </w:pPr>
      <w:r>
        <w:t>Результаты эмпирических исследований факторов успешности слияния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3538"/>
      </w:tblGrid>
      <w:tr w:rsidR="00AD7EEF" w14:paraId="447C2B06" w14:textId="77777777" w:rsidTr="00C01EF3">
        <w:tc>
          <w:tcPr>
            <w:tcW w:w="2547" w:type="dxa"/>
          </w:tcPr>
          <w:p w14:paraId="74257AA2" w14:textId="77777777" w:rsidR="00AD7EEF" w:rsidRDefault="00AD7EEF" w:rsidP="00C01EF3">
            <w:pPr>
              <w:pStyle w:val="ac"/>
            </w:pPr>
            <w:r>
              <w:t>Автор и название</w:t>
            </w:r>
          </w:p>
        </w:tc>
        <w:tc>
          <w:tcPr>
            <w:tcW w:w="1701" w:type="dxa"/>
          </w:tcPr>
          <w:p w14:paraId="5CDE8A5E" w14:textId="77777777" w:rsidR="00AD7EEF" w:rsidRDefault="00AD7EEF" w:rsidP="00C01EF3">
            <w:pPr>
              <w:pStyle w:val="ac"/>
            </w:pPr>
            <w:r>
              <w:t>Выборка</w:t>
            </w:r>
          </w:p>
        </w:tc>
        <w:tc>
          <w:tcPr>
            <w:tcW w:w="1559" w:type="dxa"/>
          </w:tcPr>
          <w:p w14:paraId="606F192E" w14:textId="77777777" w:rsidR="00AD7EEF" w:rsidRDefault="00AD7EEF" w:rsidP="00C01EF3">
            <w:pPr>
              <w:pStyle w:val="ac"/>
            </w:pPr>
            <w:r>
              <w:t>Год публикации</w:t>
            </w:r>
          </w:p>
        </w:tc>
        <w:tc>
          <w:tcPr>
            <w:tcW w:w="3538" w:type="dxa"/>
          </w:tcPr>
          <w:p w14:paraId="2125DC2B" w14:textId="77777777" w:rsidR="00AD7EEF" w:rsidRDefault="00AD7EEF" w:rsidP="00C01EF3">
            <w:pPr>
              <w:pStyle w:val="ac"/>
            </w:pPr>
            <w:r>
              <w:t>Вывод</w:t>
            </w:r>
          </w:p>
        </w:tc>
      </w:tr>
      <w:tr w:rsidR="00AD7EEF" w14:paraId="2E6A8D10" w14:textId="77777777" w:rsidTr="00C01EF3">
        <w:tc>
          <w:tcPr>
            <w:tcW w:w="2547" w:type="dxa"/>
          </w:tcPr>
          <w:p w14:paraId="6A8B5101" w14:textId="3CC81A39" w:rsidR="00AD7EEF" w:rsidRDefault="00AD7EEF" w:rsidP="00C01EF3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Milan </w:t>
            </w:r>
            <w:proofErr w:type="spellStart"/>
            <w:r>
              <w:rPr>
                <w:lang w:val="en-US"/>
              </w:rPr>
              <w:t>Lakicevic</w:t>
            </w:r>
            <w:proofErr w:type="spellEnd"/>
            <w:r>
              <w:rPr>
                <w:lang w:val="en-US"/>
              </w:rPr>
              <w:t>,</w:t>
            </w:r>
            <w:r w:rsidRPr="00AD7EEF">
              <w:rPr>
                <w:lang w:val="en-US"/>
              </w:rPr>
              <w:t xml:space="preserve"> </w:t>
            </w:r>
            <w:proofErr w:type="spellStart"/>
            <w:r w:rsidRPr="00AD7EEF">
              <w:rPr>
                <w:lang w:val="en-US"/>
              </w:rPr>
              <w:t>Yochanan</w:t>
            </w:r>
            <w:proofErr w:type="spellEnd"/>
            <w:r w:rsidRPr="00AD7EEF">
              <w:rPr>
                <w:lang w:val="en-US"/>
              </w:rPr>
              <w:t xml:space="preserve"> </w:t>
            </w:r>
            <w:proofErr w:type="spellStart"/>
            <w:r w:rsidRPr="00AD7EEF">
              <w:rPr>
                <w:lang w:val="en-US"/>
              </w:rPr>
              <w:t>Shachmurove</w:t>
            </w:r>
            <w:proofErr w:type="spellEnd"/>
            <w:r w:rsidRPr="00AD7EEF">
              <w:rPr>
                <w:lang w:val="en-US"/>
              </w:rPr>
              <w:t>,</w:t>
            </w:r>
            <w:r>
              <w:rPr>
                <w:lang w:val="en-US"/>
              </w:rPr>
              <w:t xml:space="preserve"> Milos </w:t>
            </w:r>
            <w:proofErr w:type="spellStart"/>
            <w:r>
              <w:rPr>
                <w:lang w:val="en-US"/>
              </w:rPr>
              <w:t>Vulanovic</w:t>
            </w:r>
            <w:proofErr w:type="spellEnd"/>
          </w:p>
          <w:p w14:paraId="7DAF8CAB" w14:textId="0E5B7C2B" w:rsidR="00AD7EEF" w:rsidRPr="00AD7EEF" w:rsidRDefault="00AD7EEF" w:rsidP="00C01EF3">
            <w:pPr>
              <w:pStyle w:val="ad"/>
              <w:jc w:val="center"/>
              <w:rPr>
                <w:lang w:val="en-US"/>
              </w:rPr>
            </w:pPr>
            <w:r w:rsidRPr="00AD7EEF">
              <w:rPr>
                <w:lang w:val="en-US"/>
              </w:rPr>
              <w:t>On Mergers, Acquisitions and Liquidation Using Specified Purpose Acquisition Companies (SPACs)</w:t>
            </w:r>
          </w:p>
        </w:tc>
        <w:tc>
          <w:tcPr>
            <w:tcW w:w="1701" w:type="dxa"/>
          </w:tcPr>
          <w:p w14:paraId="52B47F3F" w14:textId="47E41BED" w:rsidR="00AD7EEF" w:rsidRPr="00BB66DA" w:rsidRDefault="00AD7EEF" w:rsidP="00C01EF3">
            <w:pPr>
              <w:pStyle w:val="ad"/>
              <w:jc w:val="center"/>
            </w:pPr>
            <w:r>
              <w:t xml:space="preserve">163 американских </w:t>
            </w:r>
            <w:r>
              <w:rPr>
                <w:lang w:val="en-US"/>
              </w:rPr>
              <w:t>SPAC</w:t>
            </w:r>
          </w:p>
        </w:tc>
        <w:tc>
          <w:tcPr>
            <w:tcW w:w="1559" w:type="dxa"/>
          </w:tcPr>
          <w:p w14:paraId="718268ED" w14:textId="2A986DD7" w:rsidR="00AD7EEF" w:rsidRDefault="00AD7EEF" w:rsidP="00C01EF3">
            <w:pPr>
              <w:pStyle w:val="ad"/>
              <w:jc w:val="center"/>
            </w:pPr>
            <w:r>
              <w:t>2013</w:t>
            </w:r>
          </w:p>
        </w:tc>
        <w:tc>
          <w:tcPr>
            <w:tcW w:w="3538" w:type="dxa"/>
          </w:tcPr>
          <w:p w14:paraId="33005285" w14:textId="1D1766E9" w:rsidR="00AD7EEF" w:rsidRPr="00AD7EEF" w:rsidRDefault="00AD7EEF" w:rsidP="00C01EF3">
            <w:pPr>
              <w:pStyle w:val="ad"/>
              <w:jc w:val="center"/>
            </w:pPr>
            <w:r>
              <w:t xml:space="preserve">Наличие взаимосвязи между вероятностью поглощения и количеством основателей (+), индексом волатильности (+), индексом рынка (-), сфокусированной направленностью </w:t>
            </w:r>
            <w:r>
              <w:rPr>
                <w:lang w:val="en-US"/>
              </w:rPr>
              <w:t>SPAC</w:t>
            </w:r>
            <w:r>
              <w:t xml:space="preserve"> (+), наличием квалифицированного андеррайтера (+), количеством дней между </w:t>
            </w:r>
            <w:r>
              <w:rPr>
                <w:lang w:val="en-US"/>
              </w:rPr>
              <w:t>IPO</w:t>
            </w:r>
            <w:r w:rsidRPr="00AD7EEF">
              <w:t xml:space="preserve"> </w:t>
            </w:r>
            <w:r>
              <w:rPr>
                <w:lang w:val="en-US"/>
              </w:rPr>
              <w:t>SPAC</w:t>
            </w:r>
            <w:r w:rsidRPr="00AD7EEF">
              <w:t xml:space="preserve"> </w:t>
            </w:r>
            <w:r>
              <w:t>и датой анонсирования сделки (-)</w:t>
            </w:r>
          </w:p>
        </w:tc>
      </w:tr>
      <w:tr w:rsidR="00AD7EEF" w:rsidRPr="00021337" w14:paraId="6843A384" w14:textId="77777777" w:rsidTr="00C01EF3">
        <w:tc>
          <w:tcPr>
            <w:tcW w:w="2547" w:type="dxa"/>
          </w:tcPr>
          <w:p w14:paraId="48B262FF" w14:textId="25CD9F12" w:rsidR="00AD7EEF" w:rsidRPr="00F345B5" w:rsidRDefault="00F345B5" w:rsidP="00C01EF3">
            <w:pPr>
              <w:pStyle w:val="ad"/>
              <w:jc w:val="center"/>
              <w:rPr>
                <w:lang w:val="en-US"/>
              </w:rPr>
            </w:pPr>
            <w:r w:rsidRPr="00F345B5">
              <w:rPr>
                <w:lang w:val="en-US"/>
              </w:rPr>
              <w:t xml:space="preserve">Douglas Cumming, Lars Helge </w:t>
            </w:r>
            <w:proofErr w:type="spellStart"/>
            <w:r w:rsidRPr="00F345B5">
              <w:rPr>
                <w:lang w:val="en-US"/>
              </w:rPr>
              <w:t>Haß</w:t>
            </w:r>
            <w:proofErr w:type="spellEnd"/>
            <w:r w:rsidRPr="00F345B5">
              <w:rPr>
                <w:lang w:val="en-US"/>
              </w:rPr>
              <w:t>, Denis Schweizer</w:t>
            </w:r>
          </w:p>
          <w:p w14:paraId="7E8CB5B6" w14:textId="22FA5084" w:rsidR="00AD7EEF" w:rsidRPr="00F345B5" w:rsidRDefault="00F345B5" w:rsidP="00C01EF3">
            <w:pPr>
              <w:pStyle w:val="ad"/>
              <w:jc w:val="center"/>
              <w:rPr>
                <w:lang w:val="en-US"/>
              </w:rPr>
            </w:pPr>
            <w:r w:rsidRPr="00F345B5">
              <w:rPr>
                <w:lang w:val="en-US"/>
              </w:rPr>
              <w:t>The Fast Track IPO – Success Factors for Taking Firms Public with SPACs</w:t>
            </w:r>
          </w:p>
        </w:tc>
        <w:tc>
          <w:tcPr>
            <w:tcW w:w="1701" w:type="dxa"/>
          </w:tcPr>
          <w:p w14:paraId="77240897" w14:textId="74EA256D" w:rsidR="00AD7EEF" w:rsidRPr="00833122" w:rsidRDefault="00F345B5" w:rsidP="00C01EF3">
            <w:pPr>
              <w:pStyle w:val="ad"/>
              <w:jc w:val="center"/>
              <w:rPr>
                <w:lang w:val="en-US"/>
              </w:rPr>
            </w:pPr>
            <w:r>
              <w:t>139</w:t>
            </w:r>
            <w:r w:rsidR="00AD7EEF">
              <w:t xml:space="preserve"> американских </w:t>
            </w:r>
            <w:r w:rsidR="00AD7EEF">
              <w:rPr>
                <w:lang w:val="en-US"/>
              </w:rPr>
              <w:t>SPAC</w:t>
            </w:r>
          </w:p>
        </w:tc>
        <w:tc>
          <w:tcPr>
            <w:tcW w:w="1559" w:type="dxa"/>
          </w:tcPr>
          <w:p w14:paraId="3C6A8443" w14:textId="1251C6F7" w:rsidR="00AD7EEF" w:rsidRPr="00F345B5" w:rsidRDefault="00AD7EEF" w:rsidP="00C01EF3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 w:rsidR="00F345B5">
              <w:t>4</w:t>
            </w:r>
          </w:p>
        </w:tc>
        <w:tc>
          <w:tcPr>
            <w:tcW w:w="3538" w:type="dxa"/>
          </w:tcPr>
          <w:p w14:paraId="5D60DE79" w14:textId="06B34027" w:rsidR="00AD7EEF" w:rsidRPr="005F6E14" w:rsidRDefault="00F345B5" w:rsidP="00C01EF3">
            <w:pPr>
              <w:pStyle w:val="ad"/>
              <w:jc w:val="center"/>
            </w:pPr>
            <w:r>
              <w:t>Наличие взаимосвязи между вероятностью одобрения сделки и количеством спонсоров (-), средним возрастом менеджеров таргета (-), средней репутации андеррайтера (+), количеством дней между датой анонсирования и датой голосования (-), рыночной доходностью (+)</w:t>
            </w:r>
          </w:p>
        </w:tc>
      </w:tr>
    </w:tbl>
    <w:p w14:paraId="7694216D" w14:textId="6F8E4C62" w:rsidR="00B51840" w:rsidRPr="00C075F5" w:rsidRDefault="000E4642" w:rsidP="000E4642">
      <w:pPr>
        <w:ind w:firstLine="0"/>
        <w:rPr>
          <w:i/>
          <w:iCs/>
          <w:lang w:val="en-US"/>
        </w:rPr>
      </w:pPr>
      <w:r>
        <w:rPr>
          <w:i/>
          <w:iCs/>
        </w:rPr>
        <w:t>Составлено</w:t>
      </w:r>
      <w:r w:rsidRPr="00C075F5">
        <w:rPr>
          <w:i/>
          <w:iCs/>
          <w:lang w:val="en-US"/>
        </w:rPr>
        <w:t xml:space="preserve"> </w:t>
      </w:r>
      <w:r>
        <w:rPr>
          <w:i/>
          <w:iCs/>
        </w:rPr>
        <w:t>по</w:t>
      </w:r>
      <w:r w:rsidRPr="00C075F5">
        <w:rPr>
          <w:i/>
          <w:iCs/>
          <w:lang w:val="en-US"/>
        </w:rPr>
        <w:t>: [</w:t>
      </w:r>
      <w:proofErr w:type="spellStart"/>
      <w:r>
        <w:rPr>
          <w:i/>
          <w:iCs/>
          <w:lang w:val="en-US"/>
        </w:rPr>
        <w:t>Lakic</w:t>
      </w:r>
      <w:r w:rsidR="00B16DE5">
        <w:rPr>
          <w:i/>
          <w:iCs/>
          <w:lang w:val="en-US"/>
        </w:rPr>
        <w:t>evic</w:t>
      </w:r>
      <w:proofErr w:type="spellEnd"/>
      <w:r w:rsidR="00B16DE5" w:rsidRPr="00C075F5">
        <w:rPr>
          <w:i/>
          <w:iCs/>
          <w:lang w:val="en-US"/>
        </w:rPr>
        <w:t xml:space="preserve">, </w:t>
      </w:r>
      <w:proofErr w:type="spellStart"/>
      <w:r w:rsidR="00B16DE5">
        <w:rPr>
          <w:i/>
          <w:iCs/>
          <w:lang w:val="en-US"/>
        </w:rPr>
        <w:t>Shachmurove</w:t>
      </w:r>
      <w:proofErr w:type="spellEnd"/>
      <w:r w:rsidR="00B16DE5" w:rsidRPr="00C075F5">
        <w:rPr>
          <w:i/>
          <w:iCs/>
          <w:lang w:val="en-US"/>
        </w:rPr>
        <w:t xml:space="preserve">, </w:t>
      </w:r>
      <w:proofErr w:type="spellStart"/>
      <w:r w:rsidR="00B16DE5">
        <w:rPr>
          <w:i/>
          <w:iCs/>
          <w:lang w:val="en-US"/>
        </w:rPr>
        <w:t>Vulanovic</w:t>
      </w:r>
      <w:proofErr w:type="spellEnd"/>
      <w:r w:rsidR="00B16DE5" w:rsidRPr="00C075F5">
        <w:rPr>
          <w:i/>
          <w:iCs/>
          <w:lang w:val="en-US"/>
        </w:rPr>
        <w:t xml:space="preserve">, 2013; </w:t>
      </w:r>
      <w:r w:rsidR="00C075F5">
        <w:rPr>
          <w:i/>
          <w:iCs/>
          <w:lang w:val="en-US"/>
        </w:rPr>
        <w:t>Cumming</w:t>
      </w:r>
      <w:r w:rsidR="00C075F5" w:rsidRPr="00C075F5">
        <w:rPr>
          <w:i/>
          <w:iCs/>
          <w:lang w:val="en-US"/>
        </w:rPr>
        <w:t xml:space="preserve">, </w:t>
      </w:r>
      <w:proofErr w:type="spellStart"/>
      <w:r w:rsidR="00C075F5" w:rsidRPr="00C075F5">
        <w:rPr>
          <w:i/>
          <w:iCs/>
          <w:lang w:val="en-US"/>
        </w:rPr>
        <w:t>Haß</w:t>
      </w:r>
      <w:proofErr w:type="spellEnd"/>
      <w:r w:rsidR="00C075F5">
        <w:rPr>
          <w:lang w:val="en-US"/>
        </w:rPr>
        <w:t xml:space="preserve">, </w:t>
      </w:r>
      <w:r w:rsidR="00C075F5" w:rsidRPr="00C075F5">
        <w:rPr>
          <w:i/>
          <w:iCs/>
          <w:lang w:val="en-US"/>
        </w:rPr>
        <w:t>Schweizer</w:t>
      </w:r>
      <w:r w:rsidR="00C075F5">
        <w:rPr>
          <w:i/>
          <w:iCs/>
          <w:lang w:val="en-US"/>
        </w:rPr>
        <w:t>, 2014]</w:t>
      </w:r>
    </w:p>
    <w:p w14:paraId="38DCC38A" w14:textId="125737D1" w:rsidR="008B646D" w:rsidRDefault="005C1AE5" w:rsidP="00DF2214">
      <w:r>
        <w:t xml:space="preserve">Отдельное внимание стоит уделить поглощению </w:t>
      </w:r>
      <w:r>
        <w:rPr>
          <w:lang w:val="en-US"/>
        </w:rPr>
        <w:t>SPAC</w:t>
      </w:r>
      <w:r>
        <w:t>.</w:t>
      </w:r>
      <w:r w:rsidR="00E46152">
        <w:t xml:space="preserve"> </w:t>
      </w:r>
      <w:r w:rsidR="00770BAC">
        <w:t xml:space="preserve">В исследовании </w:t>
      </w:r>
      <w:r w:rsidR="000F650D" w:rsidRPr="00E2702A">
        <w:t>[</w:t>
      </w:r>
      <w:proofErr w:type="spellStart"/>
      <w:r w:rsidR="000F650D">
        <w:rPr>
          <w:lang w:val="en-US"/>
        </w:rPr>
        <w:t>Gahng</w:t>
      </w:r>
      <w:proofErr w:type="spellEnd"/>
      <w:r w:rsidR="000F650D" w:rsidRPr="00AD4ECC">
        <w:t xml:space="preserve">, </w:t>
      </w:r>
      <w:r w:rsidR="000F650D">
        <w:rPr>
          <w:lang w:val="en-US"/>
        </w:rPr>
        <w:t>Ritter</w:t>
      </w:r>
      <w:r w:rsidR="000F650D" w:rsidRPr="00E2702A">
        <w:t>,</w:t>
      </w:r>
      <w:r w:rsidR="000F650D">
        <w:t xml:space="preserve"> </w:t>
      </w:r>
      <w:r w:rsidR="000F650D">
        <w:rPr>
          <w:lang w:val="en-US"/>
        </w:rPr>
        <w:t>Zhang</w:t>
      </w:r>
      <w:r w:rsidR="000F650D">
        <w:t xml:space="preserve"> 2021</w:t>
      </w:r>
      <w:r w:rsidR="000F650D" w:rsidRPr="001F3F87">
        <w:t>]</w:t>
      </w:r>
      <w:r w:rsidR="00AA0008">
        <w:t xml:space="preserve"> было выявлено, что доходность </w:t>
      </w:r>
      <w:r w:rsidR="00AA0008">
        <w:rPr>
          <w:lang w:val="en-US"/>
        </w:rPr>
        <w:t>SPAC</w:t>
      </w:r>
      <w:r w:rsidR="00AA0008">
        <w:t xml:space="preserve"> периода выше, если сделка</w:t>
      </w:r>
      <w:r w:rsidR="00487E73">
        <w:t xml:space="preserve"> </w:t>
      </w:r>
      <w:r w:rsidR="00AA0008">
        <w:lastRenderedPageBreak/>
        <w:t>поглощени</w:t>
      </w:r>
      <w:r w:rsidR="00487E73">
        <w:t>я</w:t>
      </w:r>
      <w:r w:rsidR="00AA0008">
        <w:t xml:space="preserve"> </w:t>
      </w:r>
      <w:r w:rsidR="00667787">
        <w:t xml:space="preserve">в итоге совершится успешно. </w:t>
      </w:r>
      <w:r w:rsidR="00163D25">
        <w:t xml:space="preserve">Соответственно, важно понимать, какие </w:t>
      </w:r>
      <w:r w:rsidR="00163D25">
        <w:rPr>
          <w:lang w:val="en-US"/>
        </w:rPr>
        <w:t>SPAC</w:t>
      </w:r>
      <w:r w:rsidR="00163D25">
        <w:t xml:space="preserve"> </w:t>
      </w:r>
      <w:r w:rsidR="00E32C68">
        <w:t>успешно находят таргет для поглощения и завершают сделку</w:t>
      </w:r>
      <w:r w:rsidR="00ED2C38">
        <w:t>.</w:t>
      </w:r>
    </w:p>
    <w:p w14:paraId="3030FE06" w14:textId="3027568A" w:rsidR="00ED2C38" w:rsidRDefault="00EA78D3" w:rsidP="00DF2214">
      <w:r>
        <w:t xml:space="preserve">В исследовании 2013 года </w:t>
      </w:r>
      <w:r w:rsidR="001A7709">
        <w:t>была предложена модель</w:t>
      </w:r>
      <w:r w:rsidR="00B00CD8">
        <w:t xml:space="preserve"> для </w:t>
      </w:r>
      <w:r w:rsidR="00CB394C">
        <w:t xml:space="preserve">определения характеристик </w:t>
      </w:r>
      <w:r w:rsidR="00CB394C">
        <w:rPr>
          <w:lang w:val="en-US"/>
        </w:rPr>
        <w:t>SPAC</w:t>
      </w:r>
      <w:r w:rsidR="00CB394C">
        <w:t xml:space="preserve">, увеличивающих вероятность </w:t>
      </w:r>
      <w:r w:rsidR="003F5D2B">
        <w:t xml:space="preserve">совершения сделки </w:t>
      </w:r>
      <w:r w:rsidR="000F650D" w:rsidRPr="000F650D">
        <w:t>[</w:t>
      </w:r>
      <w:proofErr w:type="spellStart"/>
      <w:r w:rsidR="003F5D2B">
        <w:rPr>
          <w:lang w:val="en-US"/>
        </w:rPr>
        <w:t>Lakicevic</w:t>
      </w:r>
      <w:proofErr w:type="spellEnd"/>
      <w:r w:rsidR="003F5D2B" w:rsidRPr="003F5D2B">
        <w:t xml:space="preserve">, </w:t>
      </w:r>
      <w:proofErr w:type="spellStart"/>
      <w:r w:rsidR="003F5D2B">
        <w:rPr>
          <w:lang w:val="en-US"/>
        </w:rPr>
        <w:t>Shachmurove</w:t>
      </w:r>
      <w:proofErr w:type="spellEnd"/>
      <w:r w:rsidR="000157F9" w:rsidRPr="000157F9">
        <w:t xml:space="preserve">, </w:t>
      </w:r>
      <w:proofErr w:type="spellStart"/>
      <w:r w:rsidR="00094FA7">
        <w:rPr>
          <w:lang w:val="en-US"/>
        </w:rPr>
        <w:t>Vulanovic</w:t>
      </w:r>
      <w:proofErr w:type="spellEnd"/>
      <w:r w:rsidR="00094FA7" w:rsidRPr="00094FA7">
        <w:t>;</w:t>
      </w:r>
      <w:r w:rsidR="00094FA7">
        <w:t xml:space="preserve"> 2013</w:t>
      </w:r>
      <w:r w:rsidR="000F650D" w:rsidRPr="000F650D">
        <w:t>]</w:t>
      </w:r>
      <w:r w:rsidR="00094FA7">
        <w:t xml:space="preserve">. </w:t>
      </w:r>
      <w:r w:rsidR="00841474">
        <w:t xml:space="preserve">Исследователи использовали логистическую регрессию, где в качестве </w:t>
      </w:r>
      <w:r w:rsidR="00643A36">
        <w:t>зависимой переменной выступает фиктивная переменная, принимающая значение 1</w:t>
      </w:r>
      <w:r w:rsidR="004815F5">
        <w:t xml:space="preserve">, если </w:t>
      </w:r>
      <w:r w:rsidR="004815F5">
        <w:rPr>
          <w:lang w:val="en-US"/>
        </w:rPr>
        <w:t>SPAC</w:t>
      </w:r>
      <w:r w:rsidR="004815F5">
        <w:t xml:space="preserve"> совершает поглощение, 0 – если </w:t>
      </w:r>
      <w:r w:rsidR="004815F5">
        <w:rPr>
          <w:lang w:val="en-US"/>
        </w:rPr>
        <w:t>SPAC</w:t>
      </w:r>
      <w:r w:rsidR="004815F5">
        <w:t xml:space="preserve"> ликвидируется. </w:t>
      </w:r>
      <w:r w:rsidR="00DE10AE">
        <w:t>В выборку были включены 163 компании</w:t>
      </w:r>
      <w:r w:rsidR="0090273E">
        <w:t>, совершавшие сделки ликвидировавшиеся в период с августа 2003 по июнь 2012.</w:t>
      </w:r>
      <w:r w:rsidR="0013592E">
        <w:t xml:space="preserve"> Были получены следующие результаты: количество основателей имеет прямую связь с зависимой переменной</w:t>
      </w:r>
      <w:r w:rsidR="003762AF">
        <w:t xml:space="preserve"> (</w:t>
      </w:r>
      <w:r w:rsidR="00316EDE">
        <w:t xml:space="preserve">больше коллективного знания </w:t>
      </w:r>
      <w:r w:rsidR="00316EDE" w:rsidRPr="00316EDE">
        <w:t xml:space="preserve">=&gt; </w:t>
      </w:r>
      <w:r w:rsidR="00316EDE">
        <w:t>успешнее таргет)</w:t>
      </w:r>
      <w:r w:rsidR="00A133EC">
        <w:t>;</w:t>
      </w:r>
      <w:r w:rsidR="00316EDE">
        <w:t xml:space="preserve"> </w:t>
      </w:r>
      <w:r w:rsidR="00A133EC">
        <w:t xml:space="preserve">индекс волатильности рынков </w:t>
      </w:r>
      <w:r w:rsidR="00A133EC">
        <w:rPr>
          <w:lang w:val="en-US"/>
        </w:rPr>
        <w:t>VIX</w:t>
      </w:r>
      <w:r w:rsidR="00A133EC">
        <w:t xml:space="preserve"> положительно связан с </w:t>
      </w:r>
      <w:r w:rsidR="006C34F7">
        <w:t xml:space="preserve">бинарной переменной (на волатильный рынках инвесторы воспринимали </w:t>
      </w:r>
      <w:r w:rsidR="006C34F7">
        <w:rPr>
          <w:lang w:val="en-US"/>
        </w:rPr>
        <w:t>SPAC</w:t>
      </w:r>
      <w:r w:rsidR="006C34F7">
        <w:t xml:space="preserve"> как альтернативу </w:t>
      </w:r>
      <w:r w:rsidR="00F75D00">
        <w:t>активам, показывающих низкую результативность)</w:t>
      </w:r>
      <w:r w:rsidR="00D61FE7">
        <w:t xml:space="preserve">; </w:t>
      </w:r>
      <w:r w:rsidR="00E82E3E">
        <w:t xml:space="preserve">если </w:t>
      </w:r>
      <w:r w:rsidR="00E82E3E">
        <w:rPr>
          <w:lang w:val="en-US"/>
        </w:rPr>
        <w:t>SPAC</w:t>
      </w:r>
      <w:r w:rsidR="00E82E3E">
        <w:t xml:space="preserve"> фокусируется на конкретной отрасли, это увеличивает вероятность </w:t>
      </w:r>
      <w:r w:rsidR="00774ACB">
        <w:t>приобретения таргета; наличие определенного инвестиционного банка также увеличивало вероятность сделки</w:t>
      </w:r>
      <w:r w:rsidR="003531E0">
        <w:t xml:space="preserve">; наконец, </w:t>
      </w:r>
      <w:r w:rsidR="0008735D">
        <w:t xml:space="preserve">при увеличении времени между </w:t>
      </w:r>
      <w:r w:rsidR="00F5456F">
        <w:rPr>
          <w:lang w:val="en-US"/>
        </w:rPr>
        <w:t>IPO</w:t>
      </w:r>
      <w:r w:rsidR="00F5456F" w:rsidRPr="00F5456F">
        <w:t xml:space="preserve"> </w:t>
      </w:r>
      <w:r w:rsidR="00F5456F">
        <w:rPr>
          <w:lang w:val="en-US"/>
        </w:rPr>
        <w:t>SPAC</w:t>
      </w:r>
      <w:r w:rsidR="005472E6" w:rsidRPr="005472E6">
        <w:t xml:space="preserve"> </w:t>
      </w:r>
      <w:r w:rsidR="005472E6">
        <w:t>и датой объявления о поглощении уменьшается вероятность совершения слияния.</w:t>
      </w:r>
    </w:p>
    <w:p w14:paraId="6FD33D87" w14:textId="57A828D7" w:rsidR="00204CBE" w:rsidRDefault="002D3FE5" w:rsidP="00DF2214">
      <w:r>
        <w:t xml:space="preserve">В другом исследовании </w:t>
      </w:r>
      <w:r w:rsidR="00B8320B">
        <w:t xml:space="preserve">2014 года </w:t>
      </w:r>
      <w:r w:rsidR="000F650D" w:rsidRPr="000F650D">
        <w:t>[</w:t>
      </w:r>
      <w:r w:rsidR="000A2C91">
        <w:rPr>
          <w:lang w:val="en-US"/>
        </w:rPr>
        <w:t>Cumming</w:t>
      </w:r>
      <w:r w:rsidR="000A2C91" w:rsidRPr="000A2C91">
        <w:t xml:space="preserve">, </w:t>
      </w:r>
      <w:proofErr w:type="spellStart"/>
      <w:r w:rsidR="000A2C91">
        <w:t>Haß</w:t>
      </w:r>
      <w:proofErr w:type="spellEnd"/>
      <w:r w:rsidR="000A2C91" w:rsidRPr="000A2C91">
        <w:t xml:space="preserve">, </w:t>
      </w:r>
      <w:r w:rsidR="000A2C91">
        <w:t>Schweizer</w:t>
      </w:r>
      <w:r w:rsidR="000F650D" w:rsidRPr="000F650D">
        <w:t>,</w:t>
      </w:r>
      <w:r w:rsidR="000A2C91" w:rsidRPr="000A2C91">
        <w:t xml:space="preserve"> 2014</w:t>
      </w:r>
      <w:r w:rsidR="000F650D" w:rsidRPr="000F650D">
        <w:t>]</w:t>
      </w:r>
      <w:r w:rsidR="00B8320B">
        <w:t xml:space="preserve"> была предложена другая </w:t>
      </w:r>
      <w:proofErr w:type="spellStart"/>
      <w:r w:rsidR="00B8320B">
        <w:t>логит</w:t>
      </w:r>
      <w:proofErr w:type="spellEnd"/>
      <w:r w:rsidR="00B8320B">
        <w:t xml:space="preserve">-модель для оценки возможности слияния </w:t>
      </w:r>
      <w:r w:rsidR="00B8320B">
        <w:rPr>
          <w:lang w:val="en-US"/>
        </w:rPr>
        <w:t>SPAC</w:t>
      </w:r>
      <w:r w:rsidR="000A2C91" w:rsidRPr="000A2C91">
        <w:t>.</w:t>
      </w:r>
      <w:r w:rsidR="00F80019">
        <w:t xml:space="preserve"> </w:t>
      </w:r>
      <w:r w:rsidR="00482955">
        <w:t xml:space="preserve">В финальную выборку вошли 139 </w:t>
      </w:r>
      <w:r w:rsidR="00482955">
        <w:rPr>
          <w:lang w:val="en-US"/>
        </w:rPr>
        <w:t>SPAC</w:t>
      </w:r>
      <w:r w:rsidR="00482955" w:rsidRPr="00482955">
        <w:t xml:space="preserve"> </w:t>
      </w:r>
      <w:r w:rsidR="00482955">
        <w:t xml:space="preserve">на промежутке с 2003 по 2010 год. </w:t>
      </w:r>
      <w:r w:rsidR="00F80019">
        <w:t xml:space="preserve"> В качестве зависимой переменной также выступала </w:t>
      </w:r>
      <w:r w:rsidR="008A00E3">
        <w:t>фиктивная переменная, однако значение 1 она принимала в случае, если сделка одобрена.</w:t>
      </w:r>
      <w:r w:rsidR="000A2C91" w:rsidRPr="000A2C91">
        <w:t xml:space="preserve"> </w:t>
      </w:r>
      <w:r w:rsidR="00712EAD">
        <w:t xml:space="preserve">Финансисты предложили </w:t>
      </w:r>
      <w:r w:rsidR="00124A11">
        <w:t xml:space="preserve">4 группы независимых переменных: структура </w:t>
      </w:r>
      <w:r w:rsidR="00124A11">
        <w:rPr>
          <w:lang w:val="en-US"/>
        </w:rPr>
        <w:t>SPAC</w:t>
      </w:r>
      <w:r w:rsidR="00124A11">
        <w:t xml:space="preserve">, процесс </w:t>
      </w:r>
      <w:r w:rsidR="00124A11">
        <w:rPr>
          <w:lang w:val="en-US"/>
        </w:rPr>
        <w:t>IPO</w:t>
      </w:r>
      <w:r w:rsidR="00124A11">
        <w:t xml:space="preserve">, структура </w:t>
      </w:r>
      <w:r w:rsidR="002B0F28">
        <w:t xml:space="preserve">владения, операции и результативность. </w:t>
      </w:r>
      <w:r w:rsidR="00747301">
        <w:t xml:space="preserve">В первой группе значимыми переменными стали количество спонсоров и </w:t>
      </w:r>
      <w:r w:rsidR="003B04F8">
        <w:t>средний возраст команды менеджмента таргета</w:t>
      </w:r>
      <w:r w:rsidR="00B1789D">
        <w:t xml:space="preserve">, </w:t>
      </w:r>
      <w:r w:rsidR="00CB28C2">
        <w:t xml:space="preserve">при увеличении которых </w:t>
      </w:r>
      <w:r w:rsidR="00F80019">
        <w:t>снижается вероятность одобрения сделки.</w:t>
      </w:r>
      <w:r w:rsidR="006D6014">
        <w:t xml:space="preserve"> В процессе </w:t>
      </w:r>
      <w:r w:rsidR="006D6014">
        <w:rPr>
          <w:lang w:val="en-US"/>
        </w:rPr>
        <w:t>IPO</w:t>
      </w:r>
      <w:r w:rsidR="006D6014">
        <w:t xml:space="preserve"> сильно значимой переменной является репутация андеррайтеров, с ростом которой растет и вероятность одобрения сделки. </w:t>
      </w:r>
      <w:r w:rsidR="00AB608E">
        <w:t xml:space="preserve">Переменные в рамках </w:t>
      </w:r>
      <w:r w:rsidR="00632B9F">
        <w:t xml:space="preserve">структуры владения </w:t>
      </w:r>
      <w:r w:rsidR="00C6397D">
        <w:t xml:space="preserve">не являлись значимыми. Наконец, </w:t>
      </w:r>
      <w:r w:rsidR="001F30C2">
        <w:t xml:space="preserve">чем больше рыночные доходности </w:t>
      </w:r>
      <w:r w:rsidR="000C3E96">
        <w:t xml:space="preserve">за 3 месяца до </w:t>
      </w:r>
      <w:r w:rsidR="00FC1A31">
        <w:t xml:space="preserve">голосования акционеров, тем выше вероятность одобрения сделки. </w:t>
      </w:r>
      <w:r w:rsidR="00FF1EC0">
        <w:t xml:space="preserve">В отличие от прошлой модели, в качестве объясняющей переменной было взято не количество дней между </w:t>
      </w:r>
      <w:r w:rsidR="00FF1EC0">
        <w:rPr>
          <w:lang w:val="en-US"/>
        </w:rPr>
        <w:t>IPO</w:t>
      </w:r>
      <w:r w:rsidR="00FF1EC0">
        <w:t xml:space="preserve"> </w:t>
      </w:r>
      <w:r w:rsidR="00FF1EC0">
        <w:rPr>
          <w:lang w:val="en-US"/>
        </w:rPr>
        <w:t>SPAC</w:t>
      </w:r>
      <w:r w:rsidR="00FF1EC0">
        <w:t xml:space="preserve"> и датой объявления, а количество дней между датой анонсирования сделки и датой голосования акционеров</w:t>
      </w:r>
      <w:r w:rsidR="00845841">
        <w:t>. При росте данного показателя снижается вероятность одобрения сделки.</w:t>
      </w:r>
    </w:p>
    <w:p w14:paraId="5D1C27FE" w14:textId="77777777" w:rsidR="0032528D" w:rsidRDefault="0032528D" w:rsidP="00DF2214"/>
    <w:p w14:paraId="0A065621" w14:textId="77777777" w:rsidR="0032528D" w:rsidRDefault="0032528D" w:rsidP="00DF2214"/>
    <w:p w14:paraId="089C2ABF" w14:textId="09216563" w:rsidR="00BF55DC" w:rsidRDefault="00BF55DC" w:rsidP="00BF55DC">
      <w:pPr>
        <w:pStyle w:val="a"/>
      </w:pPr>
      <w:r>
        <w:lastRenderedPageBreak/>
        <w:t xml:space="preserve">Результаты эмпирических исследований факторов доходности </w:t>
      </w:r>
      <w:r>
        <w:rPr>
          <w:lang w:val="en-US"/>
        </w:rPr>
        <w:t>deSPAC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8"/>
        <w:gridCol w:w="1653"/>
        <w:gridCol w:w="1541"/>
        <w:gridCol w:w="3783"/>
      </w:tblGrid>
      <w:tr w:rsidR="00BF55DC" w14:paraId="76C75478" w14:textId="77777777" w:rsidTr="006B0C50">
        <w:tc>
          <w:tcPr>
            <w:tcW w:w="2368" w:type="dxa"/>
          </w:tcPr>
          <w:p w14:paraId="42B58AAA" w14:textId="77777777" w:rsidR="00BF55DC" w:rsidRDefault="00BF55DC" w:rsidP="00176B13">
            <w:pPr>
              <w:pStyle w:val="ac"/>
            </w:pPr>
            <w:r>
              <w:t>Автор и название</w:t>
            </w:r>
          </w:p>
        </w:tc>
        <w:tc>
          <w:tcPr>
            <w:tcW w:w="1653" w:type="dxa"/>
          </w:tcPr>
          <w:p w14:paraId="49957D50" w14:textId="77777777" w:rsidR="00BF55DC" w:rsidRDefault="00BF55DC" w:rsidP="00176B13">
            <w:pPr>
              <w:pStyle w:val="ac"/>
            </w:pPr>
            <w:r>
              <w:t>Выборка</w:t>
            </w:r>
          </w:p>
        </w:tc>
        <w:tc>
          <w:tcPr>
            <w:tcW w:w="1541" w:type="dxa"/>
          </w:tcPr>
          <w:p w14:paraId="06F552F0" w14:textId="77777777" w:rsidR="00BF55DC" w:rsidRDefault="00BF55DC" w:rsidP="00176B13">
            <w:pPr>
              <w:pStyle w:val="ac"/>
            </w:pPr>
            <w:r>
              <w:t>Год публикации</w:t>
            </w:r>
          </w:p>
        </w:tc>
        <w:tc>
          <w:tcPr>
            <w:tcW w:w="3783" w:type="dxa"/>
          </w:tcPr>
          <w:p w14:paraId="0C7B71BF" w14:textId="77777777" w:rsidR="00BF55DC" w:rsidRDefault="00BF55DC" w:rsidP="00176B13">
            <w:pPr>
              <w:pStyle w:val="ac"/>
            </w:pPr>
            <w:r>
              <w:t>Вывод</w:t>
            </w:r>
          </w:p>
        </w:tc>
      </w:tr>
      <w:tr w:rsidR="00BF55DC" w:rsidRPr="00193137" w14:paraId="25EF8C17" w14:textId="77777777" w:rsidTr="006B0C50">
        <w:tc>
          <w:tcPr>
            <w:tcW w:w="2368" w:type="dxa"/>
          </w:tcPr>
          <w:p w14:paraId="0687D399" w14:textId="77777777" w:rsidR="00BF55DC" w:rsidRDefault="00BF55DC" w:rsidP="00BF55DC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Lora Dimitrova</w:t>
            </w:r>
          </w:p>
          <w:p w14:paraId="27391B2A" w14:textId="23CD58FE" w:rsidR="00BF55DC" w:rsidRPr="00AD7EEF" w:rsidRDefault="00BF55DC" w:rsidP="00BF55DC">
            <w:pPr>
              <w:pStyle w:val="ad"/>
              <w:jc w:val="center"/>
              <w:rPr>
                <w:lang w:val="en-US"/>
              </w:rPr>
            </w:pPr>
            <w:r w:rsidRPr="007500C2">
              <w:rPr>
                <w:lang w:val="en-US"/>
              </w:rPr>
              <w:t>Perverse Incentives of Special Purpose Acquisition Companies, the 'Poor Man’s Private Equity Funds'</w:t>
            </w:r>
          </w:p>
        </w:tc>
        <w:tc>
          <w:tcPr>
            <w:tcW w:w="1653" w:type="dxa"/>
          </w:tcPr>
          <w:p w14:paraId="54D3E3D6" w14:textId="688FAEF0" w:rsidR="00BF55DC" w:rsidRPr="00BB66DA" w:rsidRDefault="00BF55DC" w:rsidP="00BF55DC">
            <w:pPr>
              <w:pStyle w:val="ad"/>
              <w:jc w:val="center"/>
            </w:pPr>
            <w:r>
              <w:rPr>
                <w:lang w:val="en-US"/>
              </w:rPr>
              <w:t>73</w:t>
            </w:r>
            <w:r>
              <w:t xml:space="preserve"> американских </w:t>
            </w:r>
            <w:r>
              <w:rPr>
                <w:lang w:val="en-US"/>
              </w:rPr>
              <w:t>SPAC</w:t>
            </w:r>
          </w:p>
        </w:tc>
        <w:tc>
          <w:tcPr>
            <w:tcW w:w="1541" w:type="dxa"/>
          </w:tcPr>
          <w:p w14:paraId="5FD870D1" w14:textId="3E484D56" w:rsidR="00BF55DC" w:rsidRDefault="00BF55DC" w:rsidP="00BF55DC">
            <w:pPr>
              <w:pStyle w:val="ad"/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3783" w:type="dxa"/>
          </w:tcPr>
          <w:p w14:paraId="0D6CE73B" w14:textId="41B1D558" w:rsidR="00BF55DC" w:rsidRPr="00F4353E" w:rsidRDefault="00193137" w:rsidP="00BF55DC">
            <w:pPr>
              <w:pStyle w:val="ad"/>
              <w:jc w:val="center"/>
            </w:pPr>
            <w:r>
              <w:t xml:space="preserve">Наличие взаимосвязи между </w:t>
            </w:r>
            <w:r w:rsidR="00EF33D5">
              <w:t>избыточными</w:t>
            </w:r>
            <w:r w:rsidR="006773F9">
              <w:t xml:space="preserve"> доходностями </w:t>
            </w:r>
            <w:r w:rsidR="006773F9">
              <w:rPr>
                <w:lang w:val="en-US"/>
              </w:rPr>
              <w:t>buy</w:t>
            </w:r>
            <w:r w:rsidR="006773F9" w:rsidRPr="006773F9">
              <w:t>-</w:t>
            </w:r>
            <w:r w:rsidR="006773F9">
              <w:rPr>
                <w:lang w:val="en-US"/>
              </w:rPr>
              <w:t>and</w:t>
            </w:r>
            <w:r w:rsidR="006773F9" w:rsidRPr="006773F9">
              <w:t>-</w:t>
            </w:r>
            <w:r w:rsidR="006773F9">
              <w:rPr>
                <w:lang w:val="en-US"/>
              </w:rPr>
              <w:t>hold</w:t>
            </w:r>
            <w:r w:rsidR="006773F9" w:rsidRPr="006773F9">
              <w:t xml:space="preserve"> </w:t>
            </w:r>
            <w:r w:rsidR="009F56A7">
              <w:t xml:space="preserve">и промежутком времени между анонсированием сделки и поглощением (нелинейная связь), </w:t>
            </w:r>
            <w:r w:rsidR="00281543">
              <w:t>наличием отложенных платежей (-), наличием андеррайтера в качестве советника (-)</w:t>
            </w:r>
            <w:r w:rsidR="005C63DD">
              <w:t xml:space="preserve">, наличием </w:t>
            </w:r>
            <w:r w:rsidR="00F4353E">
              <w:t xml:space="preserve">председателя объединенной компании = спонсора </w:t>
            </w:r>
            <w:r w:rsidR="00F4353E">
              <w:rPr>
                <w:lang w:val="en-US"/>
              </w:rPr>
              <w:t>SPAC</w:t>
            </w:r>
            <w:r w:rsidR="00F4353E">
              <w:t xml:space="preserve"> (+)</w:t>
            </w:r>
          </w:p>
        </w:tc>
      </w:tr>
      <w:tr w:rsidR="00BF55DC" w:rsidRPr="00021337" w14:paraId="1FA0C3D1" w14:textId="77777777" w:rsidTr="006B0C50">
        <w:tc>
          <w:tcPr>
            <w:tcW w:w="2368" w:type="dxa"/>
          </w:tcPr>
          <w:p w14:paraId="2FA1F872" w14:textId="77777777" w:rsidR="00683770" w:rsidRDefault="00683770" w:rsidP="00683770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Milos </w:t>
            </w:r>
            <w:proofErr w:type="spellStart"/>
            <w:r>
              <w:rPr>
                <w:lang w:val="en-US"/>
              </w:rPr>
              <w:t>Vulanovic</w:t>
            </w:r>
            <w:proofErr w:type="spellEnd"/>
          </w:p>
          <w:p w14:paraId="70269573" w14:textId="1F1B40FD" w:rsidR="00683770" w:rsidRPr="00F345B5" w:rsidRDefault="00683770" w:rsidP="00683770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SPACs: Post-merger survival</w:t>
            </w:r>
          </w:p>
        </w:tc>
        <w:tc>
          <w:tcPr>
            <w:tcW w:w="1653" w:type="dxa"/>
          </w:tcPr>
          <w:p w14:paraId="13404D3F" w14:textId="3EA10787" w:rsidR="00BF55DC" w:rsidRPr="00833122" w:rsidRDefault="00683770" w:rsidP="00176B13">
            <w:pPr>
              <w:pStyle w:val="ad"/>
              <w:jc w:val="center"/>
              <w:rPr>
                <w:lang w:val="en-US"/>
              </w:rPr>
            </w:pPr>
            <w:r>
              <w:t>204</w:t>
            </w:r>
            <w:r w:rsidR="00BF55DC">
              <w:t xml:space="preserve"> американских </w:t>
            </w:r>
            <w:r w:rsidR="00BF55DC">
              <w:rPr>
                <w:lang w:val="en-US"/>
              </w:rPr>
              <w:t>SPAC</w:t>
            </w:r>
          </w:p>
        </w:tc>
        <w:tc>
          <w:tcPr>
            <w:tcW w:w="1541" w:type="dxa"/>
          </w:tcPr>
          <w:p w14:paraId="24E03617" w14:textId="28DB1AB8" w:rsidR="00BF55DC" w:rsidRPr="00F345B5" w:rsidRDefault="00BF55DC" w:rsidP="00176B13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 w:rsidR="00683770">
              <w:rPr>
                <w:lang w:val="en-US"/>
              </w:rPr>
              <w:t>6</w:t>
            </w:r>
          </w:p>
        </w:tc>
        <w:tc>
          <w:tcPr>
            <w:tcW w:w="3783" w:type="dxa"/>
          </w:tcPr>
          <w:p w14:paraId="4887DFC7" w14:textId="3DB11780" w:rsidR="00BF55DC" w:rsidRPr="00C402D6" w:rsidRDefault="00BF55DC" w:rsidP="00176B13">
            <w:pPr>
              <w:pStyle w:val="ad"/>
              <w:jc w:val="center"/>
            </w:pPr>
            <w:r>
              <w:t xml:space="preserve">Наличие взаимосвязи между вероятностью </w:t>
            </w:r>
            <w:r w:rsidR="00461B19">
              <w:t xml:space="preserve">выживания </w:t>
            </w:r>
            <w:r w:rsidR="00461B19">
              <w:rPr>
                <w:lang w:val="en-US"/>
              </w:rPr>
              <w:t>SPAC</w:t>
            </w:r>
            <w:r w:rsidR="00461B19">
              <w:t xml:space="preserve"> после сделки о поглощении </w:t>
            </w:r>
            <w:r w:rsidR="00C402D6">
              <w:t xml:space="preserve">и некоторыми характеристиками структуры </w:t>
            </w:r>
            <w:r w:rsidR="00C402D6">
              <w:rPr>
                <w:lang w:val="en-US"/>
              </w:rPr>
              <w:t>SPAC</w:t>
            </w:r>
            <w:r w:rsidR="00C402D6">
              <w:t xml:space="preserve">, характеристиками вовлеченности стейкхолдеров, характеристиками самого слияния (факторы и направление связи подробно описаны в тексте) </w:t>
            </w:r>
          </w:p>
        </w:tc>
      </w:tr>
      <w:tr w:rsidR="00F4353E" w:rsidRPr="00C95155" w14:paraId="0790AE8A" w14:textId="77777777" w:rsidTr="006B0C50">
        <w:tc>
          <w:tcPr>
            <w:tcW w:w="2368" w:type="dxa"/>
          </w:tcPr>
          <w:p w14:paraId="1017C114" w14:textId="77777777" w:rsidR="00F4353E" w:rsidRDefault="00C95155" w:rsidP="00176B13">
            <w:pPr>
              <w:pStyle w:val="ad"/>
              <w:jc w:val="center"/>
              <w:rPr>
                <w:lang w:val="en-US"/>
              </w:rPr>
            </w:pPr>
            <w:proofErr w:type="spellStart"/>
            <w:r w:rsidRPr="00C95155">
              <w:rPr>
                <w:lang w:val="en-US"/>
              </w:rPr>
              <w:t>Minmo</w:t>
            </w:r>
            <w:proofErr w:type="spellEnd"/>
            <w:r w:rsidRPr="00C95155">
              <w:rPr>
                <w:lang w:val="en-US"/>
              </w:rPr>
              <w:t xml:space="preserve"> </w:t>
            </w:r>
            <w:proofErr w:type="spellStart"/>
            <w:r w:rsidRPr="00C95155">
              <w:rPr>
                <w:lang w:val="en-US"/>
              </w:rPr>
              <w:t>Gahng</w:t>
            </w:r>
            <w:proofErr w:type="spellEnd"/>
            <w:r w:rsidRPr="00C95155">
              <w:rPr>
                <w:lang w:val="en-US"/>
              </w:rPr>
              <w:t>, Jay R. Ritter</w:t>
            </w:r>
            <w:r>
              <w:rPr>
                <w:lang w:val="en-US"/>
              </w:rPr>
              <w:t xml:space="preserve">, </w:t>
            </w:r>
            <w:proofErr w:type="spellStart"/>
            <w:r w:rsidRPr="00C95155">
              <w:rPr>
                <w:lang w:val="en-US"/>
              </w:rPr>
              <w:t>Donghang</w:t>
            </w:r>
            <w:proofErr w:type="spellEnd"/>
            <w:r w:rsidRPr="00C95155">
              <w:rPr>
                <w:lang w:val="en-US"/>
              </w:rPr>
              <w:t xml:space="preserve"> Zhang</w:t>
            </w:r>
          </w:p>
          <w:p w14:paraId="637AA930" w14:textId="330F15F4" w:rsidR="00C95155" w:rsidRPr="00C95155" w:rsidRDefault="00C95155" w:rsidP="00176B13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SPACs</w:t>
            </w:r>
          </w:p>
        </w:tc>
        <w:tc>
          <w:tcPr>
            <w:tcW w:w="1653" w:type="dxa"/>
          </w:tcPr>
          <w:p w14:paraId="73B98B8C" w14:textId="0AA38D12" w:rsidR="00F4353E" w:rsidRPr="00C95155" w:rsidRDefault="00C95155" w:rsidP="00176B13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  <w:r>
              <w:t xml:space="preserve"> американских </w:t>
            </w:r>
            <w:r>
              <w:rPr>
                <w:lang w:val="en-US"/>
              </w:rPr>
              <w:t>SPAC</w:t>
            </w:r>
          </w:p>
        </w:tc>
        <w:tc>
          <w:tcPr>
            <w:tcW w:w="1541" w:type="dxa"/>
          </w:tcPr>
          <w:p w14:paraId="302B7664" w14:textId="1EE6446E" w:rsidR="00F4353E" w:rsidRPr="00C95155" w:rsidRDefault="00C95155" w:rsidP="00176B13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3783" w:type="dxa"/>
          </w:tcPr>
          <w:p w14:paraId="0E69AFF9" w14:textId="26A62D59" w:rsidR="00F4353E" w:rsidRPr="006B0C50" w:rsidRDefault="00C95155" w:rsidP="00176B13">
            <w:pPr>
              <w:pStyle w:val="ad"/>
              <w:jc w:val="center"/>
            </w:pPr>
            <w:r>
              <w:t xml:space="preserve">Наличие взаимосвязи между доходностями спустя </w:t>
            </w:r>
            <w:r w:rsidR="006B0C50">
              <w:t>1 и 3 года после поглощения и коэффициентом выкупа акций инвесторами (-), числом месяцев между I</w:t>
            </w:r>
            <w:r w:rsidR="006B0C50">
              <w:rPr>
                <w:lang w:val="en-US"/>
              </w:rPr>
              <w:t>PO</w:t>
            </w:r>
            <w:r w:rsidR="006B0C50" w:rsidRPr="006B0C50">
              <w:t xml:space="preserve"> </w:t>
            </w:r>
            <w:r w:rsidR="006B0C50">
              <w:rPr>
                <w:lang w:val="en-US"/>
              </w:rPr>
              <w:t>SPAC</w:t>
            </w:r>
            <w:r w:rsidR="006B0C50" w:rsidRPr="006B0C50">
              <w:t xml:space="preserve"> </w:t>
            </w:r>
            <w:r w:rsidR="006B0C50">
              <w:t>и датой завершения сделки (-)</w:t>
            </w:r>
          </w:p>
        </w:tc>
      </w:tr>
    </w:tbl>
    <w:p w14:paraId="4EEDCB91" w14:textId="0EA13EAB" w:rsidR="00BF55DC" w:rsidRPr="00897315" w:rsidRDefault="00897315" w:rsidP="00897315">
      <w:pPr>
        <w:ind w:firstLine="0"/>
        <w:rPr>
          <w:i/>
          <w:iCs/>
          <w:lang w:val="en-US"/>
        </w:rPr>
      </w:pPr>
      <w:r>
        <w:rPr>
          <w:i/>
          <w:iCs/>
        </w:rPr>
        <w:t>Составлено</w:t>
      </w:r>
      <w:r w:rsidRPr="00897315">
        <w:rPr>
          <w:i/>
          <w:iCs/>
          <w:lang w:val="en-US"/>
        </w:rPr>
        <w:t xml:space="preserve"> </w:t>
      </w:r>
      <w:r>
        <w:rPr>
          <w:i/>
          <w:iCs/>
        </w:rPr>
        <w:t>по</w:t>
      </w:r>
      <w:r w:rsidRPr="00897315">
        <w:rPr>
          <w:i/>
          <w:iCs/>
          <w:lang w:val="en-US"/>
        </w:rPr>
        <w:t xml:space="preserve">: [Dimitrova, 2012; </w:t>
      </w:r>
      <w:proofErr w:type="spellStart"/>
      <w:r w:rsidRPr="00897315">
        <w:rPr>
          <w:i/>
          <w:iCs/>
          <w:lang w:val="en-US"/>
        </w:rPr>
        <w:t>Vulanovic</w:t>
      </w:r>
      <w:proofErr w:type="spellEnd"/>
      <w:r w:rsidRPr="00897315">
        <w:rPr>
          <w:i/>
          <w:iCs/>
          <w:lang w:val="en-US"/>
        </w:rPr>
        <w:t xml:space="preserve">, 2016; </w:t>
      </w:r>
      <w:proofErr w:type="spellStart"/>
      <w:r w:rsidRPr="00897315">
        <w:rPr>
          <w:i/>
          <w:iCs/>
          <w:lang w:val="en-US"/>
        </w:rPr>
        <w:t>Gahng</w:t>
      </w:r>
      <w:proofErr w:type="spellEnd"/>
      <w:r w:rsidRPr="00897315">
        <w:rPr>
          <w:i/>
          <w:iCs/>
          <w:lang w:val="en-US"/>
        </w:rPr>
        <w:t>, Ritter</w:t>
      </w:r>
      <w:r>
        <w:rPr>
          <w:i/>
          <w:iCs/>
          <w:lang w:val="en-US"/>
        </w:rPr>
        <w:t xml:space="preserve">, </w:t>
      </w:r>
      <w:r w:rsidRPr="00897315">
        <w:rPr>
          <w:i/>
          <w:iCs/>
          <w:lang w:val="en-US"/>
        </w:rPr>
        <w:t>Zhang</w:t>
      </w:r>
      <w:r>
        <w:rPr>
          <w:i/>
          <w:iCs/>
          <w:lang w:val="en-US"/>
        </w:rPr>
        <w:t>, 2021]</w:t>
      </w:r>
    </w:p>
    <w:p w14:paraId="209C0B44" w14:textId="16DAEBAB" w:rsidR="00204CBE" w:rsidRDefault="001A1FD6" w:rsidP="00DF2214">
      <w:r>
        <w:t xml:space="preserve">Перейдем к факторам доходности компаний </w:t>
      </w:r>
      <w:r>
        <w:rPr>
          <w:lang w:val="en-US"/>
        </w:rPr>
        <w:t>deSPAC</w:t>
      </w:r>
      <w:r>
        <w:t xml:space="preserve"> периода. </w:t>
      </w:r>
      <w:r w:rsidR="00344893">
        <w:t xml:space="preserve">Ранее была разобрана работа, в которой была предложена регрессионная модель, объясняющая изменение накопленной сверхдоходности </w:t>
      </w:r>
      <w:r w:rsidR="00DC22FB">
        <w:t>в дату анонсирования сделки. В исследовании</w:t>
      </w:r>
      <w:r w:rsidR="005C5021">
        <w:t xml:space="preserve"> </w:t>
      </w:r>
      <w:r w:rsidR="00765F12" w:rsidRPr="00765F12">
        <w:t>[</w:t>
      </w:r>
      <w:r w:rsidR="005C5021">
        <w:rPr>
          <w:lang w:val="en-US"/>
        </w:rPr>
        <w:t>Dimitrova</w:t>
      </w:r>
      <w:r w:rsidR="005C5021" w:rsidRPr="005C5021">
        <w:t xml:space="preserve">, </w:t>
      </w:r>
      <w:r w:rsidR="005C5021" w:rsidRPr="005C5021">
        <w:lastRenderedPageBreak/>
        <w:t>2012</w:t>
      </w:r>
      <w:r w:rsidR="00765F12" w:rsidRPr="00765F12">
        <w:t>]</w:t>
      </w:r>
      <w:r w:rsidR="00DC22FB">
        <w:t xml:space="preserve"> также приведен еще один регрессионный анализ по той же выборке, где в качестве зависимой переменной выступает </w:t>
      </w:r>
      <w:r w:rsidR="00EF33D5">
        <w:t>избыточная</w:t>
      </w:r>
      <w:r w:rsidR="00DC22FB">
        <w:t xml:space="preserve"> доходность</w:t>
      </w:r>
      <w:r w:rsidR="005C5021" w:rsidRPr="005C5021">
        <w:t xml:space="preserve"> </w:t>
      </w:r>
      <w:r w:rsidR="005C5021">
        <w:rPr>
          <w:lang w:val="en-US"/>
        </w:rPr>
        <w:t>buy</w:t>
      </w:r>
      <w:r w:rsidR="005C5021" w:rsidRPr="00DC22FB">
        <w:t>-</w:t>
      </w:r>
      <w:r w:rsidR="005C5021">
        <w:rPr>
          <w:lang w:val="en-US"/>
        </w:rPr>
        <w:t>and</w:t>
      </w:r>
      <w:r w:rsidR="005C5021" w:rsidRPr="00DC22FB">
        <w:t>-</w:t>
      </w:r>
      <w:r w:rsidR="005C5021">
        <w:rPr>
          <w:lang w:val="en-US"/>
        </w:rPr>
        <w:t>hold</w:t>
      </w:r>
      <w:r w:rsidR="005C5021">
        <w:t xml:space="preserve">, скорректированная с учетом доходности всех других компаний, вышедших на биржу в том же году, что и </w:t>
      </w:r>
      <w:r w:rsidR="005C5021">
        <w:rPr>
          <w:lang w:val="en-US"/>
        </w:rPr>
        <w:t>SPAC</w:t>
      </w:r>
      <w:r w:rsidR="005C5021" w:rsidRPr="005C5021">
        <w:t xml:space="preserve">. </w:t>
      </w:r>
      <w:r w:rsidR="00963DF9">
        <w:t xml:space="preserve">Любопытным результатом стало то, исследователь выявила нелинейную связь между зависимой переменной и временем между </w:t>
      </w:r>
      <w:r w:rsidR="00963DF9">
        <w:rPr>
          <w:lang w:val="en-US"/>
        </w:rPr>
        <w:t>SPAC</w:t>
      </w:r>
      <w:r w:rsidR="00963DF9">
        <w:t xml:space="preserve"> </w:t>
      </w:r>
      <w:r w:rsidR="00963DF9">
        <w:rPr>
          <w:lang w:val="en-US"/>
        </w:rPr>
        <w:t>IPO</w:t>
      </w:r>
      <w:r w:rsidR="00963DF9" w:rsidRPr="00963DF9">
        <w:t xml:space="preserve"> </w:t>
      </w:r>
      <w:r w:rsidR="00963DF9">
        <w:t>и поглощением, а именно была доказана параболическая взаимосвязь: чем дольше время до поглощения, тем выше доходность таких компаний, поскольку спонсоры тщательным образом выбирают таргет и готовят документы; при этом, если это время слишком короткое или слишком длинное (</w:t>
      </w:r>
      <w:r w:rsidR="00963DF9">
        <w:rPr>
          <w:lang w:val="en-US"/>
        </w:rPr>
        <w:t>SPAC</w:t>
      </w:r>
      <w:r w:rsidR="00963DF9">
        <w:t xml:space="preserve"> близок к ликвидации), </w:t>
      </w:r>
      <w:r w:rsidR="000E259D">
        <w:t>ценность таких компаний для инвесторов падает, соответственно доходности уменьшаются. Отложенные платежи, как и андеррайтер в качестве советника, негативно взаимосвязаны с зависимой переменной</w:t>
      </w:r>
      <w:r w:rsidR="003C410E">
        <w:t xml:space="preserve">. </w:t>
      </w:r>
      <w:r w:rsidR="00FF5570">
        <w:t>Однако, при введении перекрестной переменной путём перемножения этих двух переменных получаем, что коэффициент при отложенных платежах может варьироваться в зависимости от того, является ли андеррайтер советником или нет.</w:t>
      </w:r>
      <w:r w:rsidR="00FF5570" w:rsidRPr="00FF5570">
        <w:t xml:space="preserve"> </w:t>
      </w:r>
      <w:r w:rsidR="00DE0828">
        <w:t xml:space="preserve">Если председатель объединенной компании является спонсорам </w:t>
      </w:r>
      <w:r w:rsidR="00DE0828">
        <w:rPr>
          <w:lang w:val="en-US"/>
        </w:rPr>
        <w:t>SPAC</w:t>
      </w:r>
      <w:r w:rsidR="00DE0828">
        <w:t>, то доходность увеличивается.</w:t>
      </w:r>
    </w:p>
    <w:p w14:paraId="6A97BE20" w14:textId="796E953A" w:rsidR="00BE5237" w:rsidRDefault="0095248B" w:rsidP="00DF2214">
      <w:r>
        <w:t xml:space="preserve">В другом исследовании 2017 года </w:t>
      </w:r>
      <w:r w:rsidR="00765F12" w:rsidRPr="00765F12">
        <w:t>[</w:t>
      </w:r>
      <w:proofErr w:type="spellStart"/>
      <w:r w:rsidR="00F8655E">
        <w:rPr>
          <w:lang w:val="en-US"/>
        </w:rPr>
        <w:t>Vulanovic</w:t>
      </w:r>
      <w:proofErr w:type="spellEnd"/>
      <w:r w:rsidR="00F8655E" w:rsidRPr="00F8655E">
        <w:t>, 2017</w:t>
      </w:r>
      <w:r w:rsidR="00765F12" w:rsidRPr="00765F12">
        <w:t>]</w:t>
      </w:r>
      <w:r w:rsidR="00F8655E" w:rsidRPr="00F8655E">
        <w:t xml:space="preserve"> </w:t>
      </w:r>
      <w:r w:rsidR="00F8655E">
        <w:t xml:space="preserve">используется </w:t>
      </w:r>
      <w:r w:rsidR="00601881">
        <w:t xml:space="preserve">немного другая модель для оценки результативности </w:t>
      </w:r>
      <w:r w:rsidR="00601881">
        <w:rPr>
          <w:lang w:val="en-US"/>
        </w:rPr>
        <w:t>deSPAC</w:t>
      </w:r>
      <w:r w:rsidR="00601881">
        <w:t xml:space="preserve">. В частности, работа в большей степени фокусируется на «выживании» компаний в период </w:t>
      </w:r>
      <w:r w:rsidR="00601881">
        <w:rPr>
          <w:lang w:val="en-US"/>
        </w:rPr>
        <w:t>deSPAC</w:t>
      </w:r>
      <w:r w:rsidR="00601881">
        <w:t xml:space="preserve">. Автор использует логистическую и </w:t>
      </w:r>
      <w:proofErr w:type="spellStart"/>
      <w:r w:rsidR="00235A1B">
        <w:t>мульти</w:t>
      </w:r>
      <w:r w:rsidR="007847C1">
        <w:t>номиальную</w:t>
      </w:r>
      <w:proofErr w:type="spellEnd"/>
      <w:r w:rsidR="007847C1">
        <w:t xml:space="preserve"> </w:t>
      </w:r>
      <w:r w:rsidR="00235A1B">
        <w:t>логистическую регрессию, в которой в качес</w:t>
      </w:r>
      <w:r w:rsidR="008E40C0">
        <w:t xml:space="preserve">тве зависимой переменной выступает фиктивная переменная, </w:t>
      </w:r>
      <w:r w:rsidR="00723108">
        <w:t xml:space="preserve">принимающая </w:t>
      </w:r>
      <w:r w:rsidR="00690791">
        <w:t>значение 1, если после поглощения компания про</w:t>
      </w:r>
      <w:r w:rsidR="00E84E8F">
        <w:t>должает существование.</w:t>
      </w:r>
      <w:r w:rsidR="00743AE3">
        <w:t xml:space="preserve"> Выборка включала 204 </w:t>
      </w:r>
      <w:r w:rsidR="00743AE3">
        <w:rPr>
          <w:lang w:val="en-US"/>
        </w:rPr>
        <w:t>SPAC</w:t>
      </w:r>
      <w:r w:rsidR="004B38BA">
        <w:t xml:space="preserve"> с 2003 по 2013 год.</w:t>
      </w:r>
      <w:r w:rsidR="006B181E">
        <w:t xml:space="preserve"> Результаты </w:t>
      </w:r>
      <w:proofErr w:type="spellStart"/>
      <w:r w:rsidR="006B181E">
        <w:t>логит</w:t>
      </w:r>
      <w:proofErr w:type="spellEnd"/>
      <w:r w:rsidR="006B181E">
        <w:t xml:space="preserve">-модели показали, что </w:t>
      </w:r>
      <w:r w:rsidR="009B009C">
        <w:t>вероятность выживания фирмы увеличивается с увеличением</w:t>
      </w:r>
      <w:r w:rsidR="0012136B">
        <w:t xml:space="preserve"> количества варрантов, купленных основателем – так </w:t>
      </w:r>
      <w:r w:rsidR="00AB4285">
        <w:t>снижается асимметрия информации, возникающая между менеджментом и акционерами</w:t>
      </w:r>
      <w:r w:rsidR="0023620A">
        <w:t xml:space="preserve">, поскольку основатели верят в перспективы таргета. Также вероятность выживания увеличивается </w:t>
      </w:r>
      <w:r w:rsidR="002D1D21">
        <w:t>при бо</w:t>
      </w:r>
      <w:r w:rsidR="002D1233">
        <w:t>́</w:t>
      </w:r>
      <w:r w:rsidR="002D1D21">
        <w:t>льшем кол</w:t>
      </w:r>
      <w:r w:rsidR="00A54EE6">
        <w:t>ичестве андеррайтеров</w:t>
      </w:r>
      <w:r w:rsidR="00AF68FE">
        <w:t xml:space="preserve">. </w:t>
      </w:r>
      <w:r w:rsidR="0056204A">
        <w:t xml:space="preserve">Напротив, вероятность успешности </w:t>
      </w:r>
      <w:r w:rsidR="0056204A">
        <w:rPr>
          <w:lang w:val="en-US"/>
        </w:rPr>
        <w:t>SPAC</w:t>
      </w:r>
      <w:r w:rsidR="0056204A">
        <w:t xml:space="preserve"> после поглощения снижается, если сделка финансировалась за счет </w:t>
      </w:r>
      <w:r w:rsidR="00355AF6">
        <w:t>банка. Вероятно</w:t>
      </w:r>
      <w:r w:rsidR="00185F09">
        <w:t>,</w:t>
      </w:r>
      <w:r w:rsidR="00355AF6">
        <w:t xml:space="preserve"> это связано с тем, что банк – это последний способ получить финансирование после </w:t>
      </w:r>
      <w:r w:rsidR="00355AF6">
        <w:rPr>
          <w:lang w:val="en-US"/>
        </w:rPr>
        <w:t>PIPE</w:t>
      </w:r>
      <w:r w:rsidR="002571D7">
        <w:t xml:space="preserve">, чтобы </w:t>
      </w:r>
      <w:r w:rsidR="002571D7">
        <w:rPr>
          <w:lang w:val="en-US"/>
        </w:rPr>
        <w:t>SPAC</w:t>
      </w:r>
      <w:r w:rsidR="002571D7">
        <w:t xml:space="preserve"> не ликвидировался. </w:t>
      </w:r>
      <w:r w:rsidR="00185F09">
        <w:t xml:space="preserve">Более интересные результаты были обнаружены </w:t>
      </w:r>
      <w:r w:rsidR="00C50253">
        <w:t xml:space="preserve">при применении мультиномиальной логистической регрессии – </w:t>
      </w:r>
      <w:r w:rsidR="008D0BE5">
        <w:t xml:space="preserve">расширение логистической регрессии, которое позволяет использовать более двух категорий </w:t>
      </w:r>
      <w:r w:rsidR="00E1212C">
        <w:t xml:space="preserve">зависимой </w:t>
      </w:r>
      <w:r w:rsidR="006143D7">
        <w:t>переменной.</w:t>
      </w:r>
      <w:r w:rsidR="006143D7">
        <w:rPr>
          <w:rStyle w:val="af5"/>
        </w:rPr>
        <w:footnoteReference w:id="34"/>
      </w:r>
      <w:r w:rsidR="006143D7">
        <w:t xml:space="preserve"> </w:t>
      </w:r>
      <w:r w:rsidR="00463EA6">
        <w:t xml:space="preserve">Для этого автор разделил провалившиеся </w:t>
      </w:r>
      <w:r w:rsidR="00463EA6">
        <w:rPr>
          <w:lang w:val="en-US"/>
        </w:rPr>
        <w:t>SPAC</w:t>
      </w:r>
      <w:r w:rsidR="00463EA6">
        <w:t xml:space="preserve"> на две группы: </w:t>
      </w:r>
      <w:r w:rsidR="00286044">
        <w:t>компании, провалившиеся из-за операционных и</w:t>
      </w:r>
      <w:r w:rsidR="00286044" w:rsidRPr="00286044">
        <w:t>/</w:t>
      </w:r>
      <w:r w:rsidR="00286044">
        <w:t>или финансовых трудностей</w:t>
      </w:r>
      <w:r w:rsidR="00532559">
        <w:t xml:space="preserve">, и фирмы, которые были приобретены </w:t>
      </w:r>
      <w:r w:rsidR="00532559">
        <w:lastRenderedPageBreak/>
        <w:t xml:space="preserve">на рынке уже после поглощения. Такое разделение релевантно, поскольку </w:t>
      </w:r>
      <w:r w:rsidR="001D132A">
        <w:t xml:space="preserve">приобретенные компании после поглощения имеют больше схожих характеристик с «выжившими» </w:t>
      </w:r>
      <w:r w:rsidR="001D132A">
        <w:rPr>
          <w:lang w:val="en-US"/>
        </w:rPr>
        <w:t>SPAC</w:t>
      </w:r>
      <w:r w:rsidR="001D132A">
        <w:t xml:space="preserve">. </w:t>
      </w:r>
      <w:r w:rsidR="00A671E7">
        <w:t>Было выявлено, что вероятность провала увеличивается</w:t>
      </w:r>
      <w:r w:rsidR="004A0125">
        <w:t xml:space="preserve">, если </w:t>
      </w:r>
      <w:r w:rsidR="004A0125">
        <w:rPr>
          <w:lang w:val="en-US"/>
        </w:rPr>
        <w:t>SPAC</w:t>
      </w:r>
      <w:r w:rsidR="004A0125">
        <w:t xml:space="preserve"> слился с иностранной компанией (причина</w:t>
      </w:r>
      <w:r w:rsidR="005806ED">
        <w:t xml:space="preserve"> кроется</w:t>
      </w:r>
      <w:r w:rsidR="004A0125">
        <w:t xml:space="preserve"> </w:t>
      </w:r>
      <w:r w:rsidR="005806ED">
        <w:t>в китайских компаниях</w:t>
      </w:r>
      <w:r w:rsidR="002463CB">
        <w:t xml:space="preserve">, которые подверглись массовому делистингу в 2011). </w:t>
      </w:r>
      <w:r w:rsidR="001E3101">
        <w:t xml:space="preserve">Много значимых переменных было обнаружено среди </w:t>
      </w:r>
      <w:r w:rsidR="001A22C9">
        <w:t xml:space="preserve">того или иного участия различных стейкхолдеров. Так, вероятность провала увеличивается при </w:t>
      </w:r>
      <w:r w:rsidR="009A2590">
        <w:t>увеличении комиссии андеррайтеров, при наличии отсрочки уплаты комиссии</w:t>
      </w:r>
      <w:r w:rsidR="00F6308E">
        <w:t xml:space="preserve"> и при увеличении числа варрантов, купленных андеррайтером</w:t>
      </w:r>
      <w:r w:rsidR="00120656">
        <w:t xml:space="preserve">. Интересной находкой является тот факт, что </w:t>
      </w:r>
      <w:r w:rsidR="00721149">
        <w:t xml:space="preserve">в данной работе высокое качество андеррайтера не </w:t>
      </w:r>
      <w:r w:rsidR="00283A95">
        <w:t xml:space="preserve">увеличивает вероятность выживания. Дело в том, что </w:t>
      </w:r>
      <w:r w:rsidR="00DB5455">
        <w:t xml:space="preserve">«качественность» андеррайтеров измерялась успешностью определенного набора инвестиционных банков на рынке </w:t>
      </w:r>
      <w:r w:rsidR="00DB5455">
        <w:rPr>
          <w:lang w:val="en-US"/>
        </w:rPr>
        <w:t>SPAC</w:t>
      </w:r>
      <w:r w:rsidR="00DB5455">
        <w:t xml:space="preserve">, </w:t>
      </w:r>
      <w:r w:rsidR="006F15A3">
        <w:t xml:space="preserve">среди которых необязательно </w:t>
      </w:r>
      <w:r w:rsidR="003A75FF">
        <w:t>присутствовали</w:t>
      </w:r>
      <w:r w:rsidR="006F15A3">
        <w:t xml:space="preserve"> </w:t>
      </w:r>
      <w:r w:rsidR="006F15A3">
        <w:rPr>
          <w:lang w:val="en-US"/>
        </w:rPr>
        <w:t>Goldman</w:t>
      </w:r>
      <w:r w:rsidR="006F15A3" w:rsidRPr="006F15A3">
        <w:t xml:space="preserve"> </w:t>
      </w:r>
      <w:r w:rsidR="006F15A3">
        <w:rPr>
          <w:lang w:val="en-US"/>
        </w:rPr>
        <w:t>Sachs</w:t>
      </w:r>
      <w:r w:rsidR="006F15A3">
        <w:t xml:space="preserve"> или </w:t>
      </w:r>
      <w:r w:rsidR="006F15A3">
        <w:rPr>
          <w:lang w:val="en-US"/>
        </w:rPr>
        <w:t>Morgan</w:t>
      </w:r>
      <w:r w:rsidR="006F15A3" w:rsidRPr="006F15A3">
        <w:t xml:space="preserve"> </w:t>
      </w:r>
      <w:r w:rsidR="006F15A3">
        <w:rPr>
          <w:lang w:val="en-US"/>
        </w:rPr>
        <w:t>Stanley</w:t>
      </w:r>
      <w:r w:rsidR="006F15A3" w:rsidRPr="006F15A3">
        <w:t xml:space="preserve">, </w:t>
      </w:r>
      <w:r w:rsidR="006F15A3">
        <w:t xml:space="preserve">поэтому и результат получился неоднозначным. </w:t>
      </w:r>
      <w:r w:rsidR="009814C4">
        <w:t>Вероятность выживания увеличивается при бо</w:t>
      </w:r>
      <w:r w:rsidR="007363B6">
        <w:t>́</w:t>
      </w:r>
      <w:r w:rsidR="009814C4">
        <w:t xml:space="preserve">льшем количестве основателей </w:t>
      </w:r>
      <w:r w:rsidR="009814C4">
        <w:rPr>
          <w:lang w:val="en-US"/>
        </w:rPr>
        <w:t>SPAC</w:t>
      </w:r>
      <w:r w:rsidR="00F6308E">
        <w:t>, при бо</w:t>
      </w:r>
      <w:r w:rsidR="007363B6">
        <w:t>́</w:t>
      </w:r>
      <w:r w:rsidR="00F6308E">
        <w:t>льшем</w:t>
      </w:r>
      <w:r w:rsidR="007363B6">
        <w:t xml:space="preserve"> количестве варрантов основателей и пр</w:t>
      </w:r>
      <w:r w:rsidR="00A12332">
        <w:t xml:space="preserve">и бо́льшем числе андеррайтеров в синдикате. </w:t>
      </w:r>
      <w:r w:rsidR="00C13B9B">
        <w:t>Другим факторам</w:t>
      </w:r>
      <w:r w:rsidR="001169D2">
        <w:t xml:space="preserve">, увеличивающим вероятность </w:t>
      </w:r>
      <w:r w:rsidR="00412EF7">
        <w:t>выживания, явля</w:t>
      </w:r>
      <w:r w:rsidR="00F353DA">
        <w:t>е</w:t>
      </w:r>
      <w:r w:rsidR="00412EF7">
        <w:t xml:space="preserve">тся число дней </w:t>
      </w:r>
      <w:r w:rsidR="00F353DA">
        <w:t xml:space="preserve">между анонсированием поглощения и самой сделкой. </w:t>
      </w:r>
      <w:r w:rsidR="00611F4A">
        <w:t>Вероятность же провала увеличивается при ф</w:t>
      </w:r>
      <w:r w:rsidR="00C60929">
        <w:t xml:space="preserve">инансировании сделки банком и наличии </w:t>
      </w:r>
      <w:r w:rsidR="00C60929">
        <w:rPr>
          <w:lang w:val="en-US"/>
        </w:rPr>
        <w:t>finder</w:t>
      </w:r>
      <w:r w:rsidR="00C60929" w:rsidRPr="00C60929">
        <w:t xml:space="preserve"> </w:t>
      </w:r>
      <w:r w:rsidR="00C60929">
        <w:rPr>
          <w:lang w:val="en-US"/>
        </w:rPr>
        <w:t>fee</w:t>
      </w:r>
      <w:r w:rsidR="00C60929" w:rsidRPr="00C60929">
        <w:t>.</w:t>
      </w:r>
    </w:p>
    <w:p w14:paraId="53EF2369" w14:textId="33EA6695" w:rsidR="008F61C9" w:rsidRDefault="00B57832" w:rsidP="00DF2214">
      <w:r>
        <w:t xml:space="preserve">Последним </w:t>
      </w:r>
      <w:r w:rsidR="001F64E7">
        <w:t>обозреваемым исследованием</w:t>
      </w:r>
      <w:r w:rsidR="001F64E7" w:rsidRPr="001F64E7">
        <w:t xml:space="preserve"> </w:t>
      </w:r>
      <w:r w:rsidR="001F64E7">
        <w:t xml:space="preserve">факторов, влияющих на доходность </w:t>
      </w:r>
      <w:r w:rsidR="001F64E7">
        <w:rPr>
          <w:lang w:val="en-US"/>
        </w:rPr>
        <w:t>deSPAC</w:t>
      </w:r>
      <w:r w:rsidR="00537E80">
        <w:t xml:space="preserve">, </w:t>
      </w:r>
      <w:r w:rsidR="00775CD3">
        <w:t>стала</w:t>
      </w:r>
      <w:r w:rsidR="00537E80">
        <w:t xml:space="preserve"> работа 2021 года </w:t>
      </w:r>
      <w:r w:rsidR="00765F12" w:rsidRPr="00765F12">
        <w:t>[</w:t>
      </w:r>
      <w:proofErr w:type="spellStart"/>
      <w:r w:rsidR="00537E80">
        <w:rPr>
          <w:lang w:val="en-US"/>
        </w:rPr>
        <w:t>Gahng</w:t>
      </w:r>
      <w:proofErr w:type="spellEnd"/>
      <w:r w:rsidR="00537E80" w:rsidRPr="00FE6DC8">
        <w:t xml:space="preserve">, </w:t>
      </w:r>
      <w:r w:rsidR="00537E80">
        <w:rPr>
          <w:lang w:val="en-US"/>
        </w:rPr>
        <w:t>Ritter</w:t>
      </w:r>
      <w:r w:rsidR="00537E80">
        <w:t>,</w:t>
      </w:r>
      <w:r w:rsidR="00537E80" w:rsidRPr="00FE6DC8">
        <w:t xml:space="preserve"> </w:t>
      </w:r>
      <w:r w:rsidR="00537E80">
        <w:rPr>
          <w:lang w:val="en-US"/>
        </w:rPr>
        <w:t>Zhang</w:t>
      </w:r>
      <w:r w:rsidR="00765F12" w:rsidRPr="00765F12">
        <w:t>,</w:t>
      </w:r>
      <w:r w:rsidR="00537E80">
        <w:t xml:space="preserve"> </w:t>
      </w:r>
      <w:r w:rsidR="00537E80" w:rsidRPr="00F912D4">
        <w:t>2021</w:t>
      </w:r>
      <w:r w:rsidR="00765F12" w:rsidRPr="00765F12">
        <w:t>]</w:t>
      </w:r>
      <w:r w:rsidR="00537E80">
        <w:t xml:space="preserve">, которая является центровой при изучении доходности </w:t>
      </w:r>
      <w:r w:rsidR="00537E80">
        <w:rPr>
          <w:lang w:val="en-US"/>
        </w:rPr>
        <w:t>SPAC</w:t>
      </w:r>
      <w:r w:rsidR="00537E80">
        <w:t xml:space="preserve"> (была рассмотрена ранее). </w:t>
      </w:r>
      <w:r w:rsidR="0086628B">
        <w:t>Выборка состоя</w:t>
      </w:r>
      <w:r w:rsidR="00A24438">
        <w:t xml:space="preserve">ла из 114 компаний, функционировавших с января 2010 по сентябрь 2020. </w:t>
      </w:r>
      <w:r w:rsidR="00C05ED8">
        <w:t xml:space="preserve">Авторы построили простые однофакторные и двухфакторные регрессионные модели, где в качестве зависимых переменных выступали </w:t>
      </w:r>
      <w:r w:rsidR="00A943BA">
        <w:t xml:space="preserve">доходности акций </w:t>
      </w:r>
      <w:r w:rsidR="00C13B05">
        <w:rPr>
          <w:lang w:val="en-US"/>
        </w:rPr>
        <w:t>deSPAC</w:t>
      </w:r>
      <w:r w:rsidR="00C13B05">
        <w:t xml:space="preserve"> спустя 1 или 3 года после поглощения. </w:t>
      </w:r>
      <w:r w:rsidR="0086628B">
        <w:t>В качестве</w:t>
      </w:r>
      <w:r w:rsidR="00BF4774">
        <w:t xml:space="preserve"> объясняющих факторов выступили коэффициент выкупа акции, то есть какой процент акций был </w:t>
      </w:r>
      <w:r w:rsidR="00B41516">
        <w:t>предъявлен</w:t>
      </w:r>
      <w:r w:rsidR="00BF4774">
        <w:t xml:space="preserve"> к выкупу инвесторами, а также логарифм от </w:t>
      </w:r>
      <w:r w:rsidR="00DC2B74">
        <w:t xml:space="preserve">числа месяцев между </w:t>
      </w:r>
      <w:r w:rsidR="00995B3B">
        <w:rPr>
          <w:lang w:val="en-US"/>
        </w:rPr>
        <w:t>IPO</w:t>
      </w:r>
      <w:r w:rsidR="00995B3B">
        <w:t xml:space="preserve"> </w:t>
      </w:r>
      <w:r w:rsidR="00DC2B74">
        <w:rPr>
          <w:lang w:val="en-US"/>
        </w:rPr>
        <w:t>SPAC</w:t>
      </w:r>
      <w:r w:rsidR="00995B3B">
        <w:t xml:space="preserve"> и </w:t>
      </w:r>
      <w:r w:rsidR="00054439">
        <w:t xml:space="preserve">датой завершения сделки. </w:t>
      </w:r>
      <w:r w:rsidR="00714406">
        <w:t xml:space="preserve">В однофакторных регрессиях оба фактора отрицательно взаимосвязаны с доходностями </w:t>
      </w:r>
      <w:r w:rsidR="00714406">
        <w:rPr>
          <w:lang w:val="en-US"/>
        </w:rPr>
        <w:t>deSPAC</w:t>
      </w:r>
      <w:r w:rsidR="00714406">
        <w:t>, однако в двухфакторной регрессии логарифм числа месяцев становится незначимым. Аналогичные результаты получились и в тех моделях, где в качестве зависимой переменной выступал</w:t>
      </w:r>
      <w:r w:rsidR="00271FF7">
        <w:t>и доходности через три года после поглощения, однако коэффициент детерминации становился ниже.</w:t>
      </w:r>
    </w:p>
    <w:p w14:paraId="2DE431D9" w14:textId="4CCAD76A" w:rsidR="001B175E" w:rsidRDefault="00F43EFC" w:rsidP="00DF2214">
      <w:r>
        <w:t xml:space="preserve">Таким образом, </w:t>
      </w:r>
      <w:r w:rsidR="00260859">
        <w:t>на протяжении всего жизненного цикла</w:t>
      </w:r>
      <w:r w:rsidR="00F54CA7" w:rsidRPr="00F54CA7">
        <w:t xml:space="preserve"> </w:t>
      </w:r>
      <w:r w:rsidR="00F54CA7">
        <w:t xml:space="preserve">доходность </w:t>
      </w:r>
      <w:r w:rsidR="00F54CA7">
        <w:rPr>
          <w:lang w:val="en-US"/>
        </w:rPr>
        <w:t>SPAC</w:t>
      </w:r>
      <w:r w:rsidR="00F54CA7">
        <w:t xml:space="preserve"> подвержена воздействию ряда факторов. </w:t>
      </w:r>
      <w:r w:rsidR="000F7667">
        <w:t xml:space="preserve">Если же в период поиска таргета основными драйверами роста цен акций являются </w:t>
      </w:r>
      <w:r w:rsidR="00365BD4">
        <w:t xml:space="preserve">события, то в дальнейшем определенные </w:t>
      </w:r>
      <w:r w:rsidR="00365BD4">
        <w:lastRenderedPageBreak/>
        <w:t xml:space="preserve">характеристики </w:t>
      </w:r>
      <w:r w:rsidR="00365BD4">
        <w:rPr>
          <w:lang w:val="en-US"/>
        </w:rPr>
        <w:t>SPAC</w:t>
      </w:r>
      <w:r w:rsidR="00365BD4" w:rsidRPr="00365BD4">
        <w:t xml:space="preserve"> </w:t>
      </w:r>
      <w:r w:rsidR="00365BD4">
        <w:t xml:space="preserve">могут </w:t>
      </w:r>
      <w:r w:rsidR="00FE153F">
        <w:t>быть детерминантами их высокой или низкой результативности</w:t>
      </w:r>
      <w:r w:rsidR="00C24004">
        <w:t>. Есть и такие факторы, которые влияю</w:t>
      </w:r>
      <w:r w:rsidR="00CD117B">
        <w:t xml:space="preserve">т на результативность на каждом этапе жизни </w:t>
      </w:r>
      <w:r w:rsidR="00CD117B">
        <w:rPr>
          <w:lang w:val="en-US"/>
        </w:rPr>
        <w:t>SPAC</w:t>
      </w:r>
      <w:r w:rsidR="00CD117B">
        <w:t xml:space="preserve">, например, </w:t>
      </w:r>
      <w:r w:rsidR="00035EFE">
        <w:t>длительность</w:t>
      </w:r>
      <w:r w:rsidR="008A07AB">
        <w:t xml:space="preserve"> поиска таргета, характеристик андеррайтера и его комиссия, характеристика других стейкхолдеров</w:t>
      </w:r>
      <w:r w:rsidR="00637C10">
        <w:t xml:space="preserve"> и пр. </w:t>
      </w:r>
    </w:p>
    <w:p w14:paraId="392FF2B7" w14:textId="010C3076" w:rsidR="008B2AB2" w:rsidRDefault="008B2AB2" w:rsidP="00BD58BE">
      <w:pPr>
        <w:pStyle w:val="3"/>
        <w:numPr>
          <w:ilvl w:val="2"/>
          <w:numId w:val="10"/>
        </w:numPr>
      </w:pPr>
      <w:bookmarkStart w:id="28" w:name="_Toc102050303"/>
      <w:bookmarkStart w:id="29" w:name="_Toc102050675"/>
      <w:r>
        <w:t>Исследования результативности тра</w:t>
      </w:r>
      <w:r w:rsidR="00F11027">
        <w:t xml:space="preserve">диционного </w:t>
      </w:r>
      <w:r w:rsidR="00F11027">
        <w:rPr>
          <w:lang w:val="en-US"/>
        </w:rPr>
        <w:t>IPO</w:t>
      </w:r>
      <w:bookmarkEnd w:id="28"/>
      <w:bookmarkEnd w:id="29"/>
    </w:p>
    <w:p w14:paraId="6F123000" w14:textId="04EABCDD" w:rsidR="00F11027" w:rsidRDefault="0078541F" w:rsidP="00F11027">
      <w:r>
        <w:t>Далее будут рассмотрены две статьи</w:t>
      </w:r>
      <w:r w:rsidR="00FF20A3">
        <w:t xml:space="preserve">, предлагающие два подхода к анализу долгосрочной результативности </w:t>
      </w:r>
      <w:r w:rsidR="00FF20A3">
        <w:rPr>
          <w:lang w:val="en-US"/>
        </w:rPr>
        <w:t>IPO</w:t>
      </w:r>
      <w:r w:rsidR="00FF20A3">
        <w:t xml:space="preserve">. Результаты работ помогут </w:t>
      </w:r>
      <w:r w:rsidR="00D448E2">
        <w:t xml:space="preserve">в дальнейшем выдвинуть гипотезы, касающиеся сравнения традиционного </w:t>
      </w:r>
      <w:r w:rsidR="00D448E2">
        <w:rPr>
          <w:lang w:val="en-US"/>
        </w:rPr>
        <w:t>IPO</w:t>
      </w:r>
      <w:r w:rsidR="00D448E2">
        <w:t xml:space="preserve"> и </w:t>
      </w:r>
      <w:r w:rsidR="00440DFF">
        <w:rPr>
          <w:lang w:val="en-US"/>
        </w:rPr>
        <w:t>SPAC</w:t>
      </w:r>
      <w:r w:rsidR="00080D27">
        <w:t>, а также представить релевантный инструментарий для оцен</w:t>
      </w:r>
      <w:r w:rsidR="00DE42C5">
        <w:t xml:space="preserve">ки результативности </w:t>
      </w:r>
      <w:r w:rsidR="00DE42C5">
        <w:rPr>
          <w:lang w:val="en-US"/>
        </w:rPr>
        <w:t>IPO</w:t>
      </w:r>
      <w:r w:rsidR="00DE42C5">
        <w:t xml:space="preserve">, который может быть в дальнейшем применен по отношению к </w:t>
      </w:r>
      <w:r w:rsidR="00DE42C5">
        <w:rPr>
          <w:lang w:val="en-US"/>
        </w:rPr>
        <w:t>SPAC</w:t>
      </w:r>
      <w:r w:rsidR="00DE42C5">
        <w:t>.</w:t>
      </w:r>
    </w:p>
    <w:p w14:paraId="53AE5EA9" w14:textId="1373479F" w:rsidR="00FF18E4" w:rsidRDefault="00FF18E4" w:rsidP="00FF18E4">
      <w:pPr>
        <w:pStyle w:val="a"/>
      </w:pPr>
      <w:r>
        <w:t xml:space="preserve">Результаты эмпирических исследований доходности классического </w:t>
      </w:r>
      <w:r>
        <w:rPr>
          <w:lang w:val="en-US"/>
        </w:rPr>
        <w:t>IPO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3538"/>
      </w:tblGrid>
      <w:tr w:rsidR="00FF18E4" w14:paraId="18C2E6FB" w14:textId="77777777" w:rsidTr="00AB1F56">
        <w:tc>
          <w:tcPr>
            <w:tcW w:w="2547" w:type="dxa"/>
          </w:tcPr>
          <w:p w14:paraId="180D765E" w14:textId="77777777" w:rsidR="00FF18E4" w:rsidRDefault="00FF18E4" w:rsidP="00AB1F56">
            <w:pPr>
              <w:pStyle w:val="ac"/>
            </w:pPr>
            <w:r>
              <w:t>Автор и название</w:t>
            </w:r>
          </w:p>
        </w:tc>
        <w:tc>
          <w:tcPr>
            <w:tcW w:w="1701" w:type="dxa"/>
          </w:tcPr>
          <w:p w14:paraId="5782A3A7" w14:textId="77777777" w:rsidR="00FF18E4" w:rsidRDefault="00FF18E4" w:rsidP="00AB1F56">
            <w:pPr>
              <w:pStyle w:val="ac"/>
            </w:pPr>
            <w:r>
              <w:t>Выборка</w:t>
            </w:r>
          </w:p>
        </w:tc>
        <w:tc>
          <w:tcPr>
            <w:tcW w:w="1559" w:type="dxa"/>
          </w:tcPr>
          <w:p w14:paraId="49CD1DA7" w14:textId="77777777" w:rsidR="00FF18E4" w:rsidRDefault="00FF18E4" w:rsidP="00AB1F56">
            <w:pPr>
              <w:pStyle w:val="ac"/>
            </w:pPr>
            <w:r>
              <w:t>Год публикации</w:t>
            </w:r>
          </w:p>
        </w:tc>
        <w:tc>
          <w:tcPr>
            <w:tcW w:w="3538" w:type="dxa"/>
          </w:tcPr>
          <w:p w14:paraId="5CF75D4B" w14:textId="77777777" w:rsidR="00FF18E4" w:rsidRDefault="00FF18E4" w:rsidP="00AB1F56">
            <w:pPr>
              <w:pStyle w:val="ac"/>
            </w:pPr>
            <w:r>
              <w:t>Вывод</w:t>
            </w:r>
          </w:p>
        </w:tc>
      </w:tr>
      <w:tr w:rsidR="00FF18E4" w14:paraId="1BD2B87A" w14:textId="77777777" w:rsidTr="00AB1F56">
        <w:tc>
          <w:tcPr>
            <w:tcW w:w="2547" w:type="dxa"/>
          </w:tcPr>
          <w:p w14:paraId="1054B071" w14:textId="77777777" w:rsidR="00FF18E4" w:rsidRDefault="00077C62" w:rsidP="00AB1F56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Jay </w:t>
            </w:r>
            <w:r w:rsidR="0011062D">
              <w:rPr>
                <w:lang w:val="en-US"/>
              </w:rPr>
              <w:t>R. Ritter, Ivo Welch</w:t>
            </w:r>
          </w:p>
          <w:p w14:paraId="65FECA16" w14:textId="3CF2377D" w:rsidR="0011062D" w:rsidRPr="00077C62" w:rsidRDefault="0011062D" w:rsidP="00AB1F56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A Review of IPO Activity, Pricing, and Allocations</w:t>
            </w:r>
          </w:p>
        </w:tc>
        <w:tc>
          <w:tcPr>
            <w:tcW w:w="1701" w:type="dxa"/>
          </w:tcPr>
          <w:p w14:paraId="7A9B9EAE" w14:textId="789BB40D" w:rsidR="00FF18E4" w:rsidRPr="0011062D" w:rsidRDefault="0011062D" w:rsidP="00AB1F56">
            <w:pPr>
              <w:pStyle w:val="ad"/>
              <w:jc w:val="center"/>
            </w:pPr>
            <w:r w:rsidRPr="0011062D">
              <w:t>6 249</w:t>
            </w:r>
            <w:r w:rsidR="00FF18E4">
              <w:t xml:space="preserve"> американских </w:t>
            </w:r>
            <w:r>
              <w:t xml:space="preserve">компаний, вышедших на </w:t>
            </w:r>
            <w:r>
              <w:rPr>
                <w:lang w:val="en-US"/>
              </w:rPr>
              <w:t>IPO</w:t>
            </w:r>
          </w:p>
        </w:tc>
        <w:tc>
          <w:tcPr>
            <w:tcW w:w="1559" w:type="dxa"/>
          </w:tcPr>
          <w:p w14:paraId="3F23809B" w14:textId="7C2C01B1" w:rsidR="00FF18E4" w:rsidRPr="00605863" w:rsidRDefault="00FF18E4" w:rsidP="00AB1F56">
            <w:pPr>
              <w:pStyle w:val="ad"/>
              <w:jc w:val="center"/>
              <w:rPr>
                <w:lang w:val="en-US"/>
              </w:rPr>
            </w:pPr>
            <w:r>
              <w:t>20</w:t>
            </w:r>
            <w:r w:rsidR="00605863">
              <w:rPr>
                <w:lang w:val="en-US"/>
              </w:rPr>
              <w:t>02</w:t>
            </w:r>
          </w:p>
        </w:tc>
        <w:tc>
          <w:tcPr>
            <w:tcW w:w="3538" w:type="dxa"/>
          </w:tcPr>
          <w:p w14:paraId="50099CD7" w14:textId="75E9FE0A" w:rsidR="00FF18E4" w:rsidRPr="004B790D" w:rsidRDefault="004B790D" w:rsidP="00AB1F56">
            <w:pPr>
              <w:pStyle w:val="ad"/>
              <w:jc w:val="center"/>
            </w:pPr>
            <w:r>
              <w:t xml:space="preserve">Низкая результативность инвестиций в </w:t>
            </w:r>
            <w:r>
              <w:rPr>
                <w:lang w:val="en-US"/>
              </w:rPr>
              <w:t>IPO</w:t>
            </w:r>
            <w:r w:rsidRPr="004B790D">
              <w:t xml:space="preserve"> </w:t>
            </w:r>
            <w:r>
              <w:t>на протяжении 3 лет: отставание от рынка на 23</w:t>
            </w:r>
            <w:r w:rsidR="00EE7F91">
              <w:t>,</w:t>
            </w:r>
            <w:r>
              <w:t>5</w:t>
            </w:r>
            <w:r w:rsidR="00EE7F91">
              <w:t>%</w:t>
            </w:r>
            <w:r>
              <w:t xml:space="preserve">, отставание от схожих публичных фирм на 5%. </w:t>
            </w:r>
            <w:r w:rsidR="006B1941">
              <w:t xml:space="preserve">Трехфакторная модель Фамы Френча поддерживает эти выводы, однако выдает странные результаты на промежутке </w:t>
            </w:r>
            <w:r w:rsidR="00547FF7">
              <w:t>2000–2001</w:t>
            </w:r>
          </w:p>
        </w:tc>
      </w:tr>
      <w:tr w:rsidR="00FF18E4" w:rsidRPr="00021337" w14:paraId="0B912959" w14:textId="77777777" w:rsidTr="00AB1F56">
        <w:tc>
          <w:tcPr>
            <w:tcW w:w="2547" w:type="dxa"/>
          </w:tcPr>
          <w:p w14:paraId="697E6E33" w14:textId="77777777" w:rsidR="00FF18E4" w:rsidRDefault="00152D8F" w:rsidP="00AB1F56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Susana </w:t>
            </w:r>
            <w:proofErr w:type="spellStart"/>
            <w:r>
              <w:rPr>
                <w:lang w:val="en-US"/>
              </w:rPr>
              <w:t>Álvarez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Víctor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González</w:t>
            </w:r>
            <w:proofErr w:type="spellEnd"/>
          </w:p>
          <w:p w14:paraId="440127DD" w14:textId="6DC5C84E" w:rsidR="00152D8F" w:rsidRPr="00B105EC" w:rsidRDefault="00B105EC" w:rsidP="00AB1F56">
            <w:pPr>
              <w:pStyle w:val="ad"/>
              <w:jc w:val="center"/>
              <w:rPr>
                <w:lang w:val="en-US"/>
              </w:rPr>
            </w:pPr>
            <w:proofErr w:type="spellStart"/>
            <w:r w:rsidRPr="00B105EC">
              <w:rPr>
                <w:lang w:val="en-US"/>
              </w:rPr>
              <w:t>Signalling</w:t>
            </w:r>
            <w:proofErr w:type="spellEnd"/>
            <w:r w:rsidRPr="00B105EC">
              <w:rPr>
                <w:lang w:val="en-US"/>
              </w:rPr>
              <w:t xml:space="preserve"> and the Long-run Performance of Spanish Initial Public Offerings (IPOs)</w:t>
            </w:r>
          </w:p>
        </w:tc>
        <w:tc>
          <w:tcPr>
            <w:tcW w:w="1701" w:type="dxa"/>
          </w:tcPr>
          <w:p w14:paraId="7B632285" w14:textId="6F9DB782" w:rsidR="00FF18E4" w:rsidRPr="00B105EC" w:rsidRDefault="00B105EC" w:rsidP="00AB1F56">
            <w:pPr>
              <w:pStyle w:val="ad"/>
              <w:jc w:val="center"/>
            </w:pPr>
            <w:r w:rsidRPr="00B105EC">
              <w:t xml:space="preserve">112 </w:t>
            </w:r>
            <w:r w:rsidR="00EB3468">
              <w:t>испанских</w:t>
            </w:r>
            <w:r>
              <w:t xml:space="preserve"> компаний, вышедших на </w:t>
            </w:r>
            <w:r>
              <w:rPr>
                <w:lang w:val="en-US"/>
              </w:rPr>
              <w:t>IPO</w:t>
            </w:r>
          </w:p>
        </w:tc>
        <w:tc>
          <w:tcPr>
            <w:tcW w:w="1559" w:type="dxa"/>
          </w:tcPr>
          <w:p w14:paraId="25305555" w14:textId="663102CE" w:rsidR="00FF18E4" w:rsidRPr="00B105EC" w:rsidRDefault="00FF18E4" w:rsidP="00AB1F56">
            <w:pPr>
              <w:pStyle w:val="ad"/>
              <w:jc w:val="center"/>
            </w:pPr>
            <w:r>
              <w:rPr>
                <w:lang w:val="en-US"/>
              </w:rPr>
              <w:t>20</w:t>
            </w:r>
            <w:r w:rsidR="00B105EC">
              <w:t>05</w:t>
            </w:r>
          </w:p>
        </w:tc>
        <w:tc>
          <w:tcPr>
            <w:tcW w:w="3538" w:type="dxa"/>
          </w:tcPr>
          <w:p w14:paraId="4A467206" w14:textId="3285BD3A" w:rsidR="00FF18E4" w:rsidRPr="00547FF7" w:rsidRDefault="00DC1BEC" w:rsidP="00AB1F56">
            <w:pPr>
              <w:pStyle w:val="ad"/>
              <w:jc w:val="center"/>
            </w:pPr>
            <w:r>
              <w:t xml:space="preserve">Отрицательная </w:t>
            </w:r>
            <w:r w:rsidR="00EF33D5">
              <w:t>избыточная</w:t>
            </w:r>
            <w:r>
              <w:t xml:space="preserve"> доходность </w:t>
            </w:r>
            <w:r w:rsidR="00547FF7">
              <w:rPr>
                <w:lang w:val="en-US"/>
              </w:rPr>
              <w:t>buy</w:t>
            </w:r>
            <w:r w:rsidR="00547FF7" w:rsidRPr="00547FF7">
              <w:t>-</w:t>
            </w:r>
            <w:r w:rsidR="00547FF7">
              <w:rPr>
                <w:lang w:val="en-US"/>
              </w:rPr>
              <w:t>and</w:t>
            </w:r>
            <w:r w:rsidR="00547FF7" w:rsidRPr="00547FF7">
              <w:t>-</w:t>
            </w:r>
            <w:r w:rsidR="00547FF7">
              <w:rPr>
                <w:lang w:val="en-US"/>
              </w:rPr>
              <w:t>hold</w:t>
            </w:r>
            <w:r w:rsidR="00547FF7">
              <w:t xml:space="preserve"> на промежутке 3–5 лет, но при этом высокая вариативность оценок</w:t>
            </w:r>
          </w:p>
        </w:tc>
      </w:tr>
    </w:tbl>
    <w:p w14:paraId="2E7B851C" w14:textId="0FF4A427" w:rsidR="00FF18E4" w:rsidRPr="004B0F6F" w:rsidRDefault="00004BB7" w:rsidP="00004BB7">
      <w:pPr>
        <w:ind w:firstLine="0"/>
        <w:rPr>
          <w:i/>
          <w:iCs/>
        </w:rPr>
      </w:pPr>
      <w:r>
        <w:rPr>
          <w:i/>
          <w:iCs/>
        </w:rPr>
        <w:t>Сост</w:t>
      </w:r>
      <w:r w:rsidR="00EB3468">
        <w:rPr>
          <w:i/>
          <w:iCs/>
        </w:rPr>
        <w:t xml:space="preserve">авлено по: </w:t>
      </w:r>
      <w:r w:rsidR="00EB3468" w:rsidRPr="00EB3468">
        <w:rPr>
          <w:i/>
          <w:iCs/>
        </w:rPr>
        <w:t>[</w:t>
      </w:r>
      <w:proofErr w:type="spellStart"/>
      <w:r w:rsidR="00EB3468" w:rsidRPr="00EB3468">
        <w:rPr>
          <w:i/>
          <w:iCs/>
        </w:rPr>
        <w:t>Ritter</w:t>
      </w:r>
      <w:proofErr w:type="spellEnd"/>
      <w:r w:rsidR="00EB3468" w:rsidRPr="004B0F6F">
        <w:rPr>
          <w:i/>
          <w:iCs/>
        </w:rPr>
        <w:t xml:space="preserve">, </w:t>
      </w:r>
      <w:r w:rsidR="00EB3468" w:rsidRPr="00EB3468">
        <w:rPr>
          <w:i/>
          <w:iCs/>
          <w:lang w:val="en-US"/>
        </w:rPr>
        <w:t>Welch</w:t>
      </w:r>
      <w:r w:rsidR="00EB3468" w:rsidRPr="004B0F6F">
        <w:rPr>
          <w:i/>
          <w:iCs/>
        </w:rPr>
        <w:t xml:space="preserve">, </w:t>
      </w:r>
      <w:r w:rsidR="004B0F6F">
        <w:rPr>
          <w:i/>
          <w:iCs/>
        </w:rPr>
        <w:t>2002</w:t>
      </w:r>
      <w:r w:rsidR="004B0F6F" w:rsidRPr="004B0F6F">
        <w:rPr>
          <w:i/>
          <w:iCs/>
        </w:rPr>
        <w:t xml:space="preserve">; </w:t>
      </w:r>
      <w:proofErr w:type="spellStart"/>
      <w:r w:rsidR="004B0F6F" w:rsidRPr="004B0F6F">
        <w:rPr>
          <w:i/>
          <w:iCs/>
        </w:rPr>
        <w:t>Álvarez</w:t>
      </w:r>
      <w:proofErr w:type="spellEnd"/>
      <w:r w:rsidR="004B0F6F" w:rsidRPr="004B0F6F">
        <w:rPr>
          <w:i/>
          <w:iCs/>
        </w:rPr>
        <w:t xml:space="preserve">, </w:t>
      </w:r>
      <w:proofErr w:type="spellStart"/>
      <w:r w:rsidR="004B0F6F" w:rsidRPr="004B0F6F">
        <w:rPr>
          <w:i/>
          <w:iCs/>
        </w:rPr>
        <w:t>González</w:t>
      </w:r>
      <w:proofErr w:type="spellEnd"/>
      <w:r w:rsidR="004B0F6F" w:rsidRPr="004B0F6F">
        <w:rPr>
          <w:i/>
          <w:iCs/>
        </w:rPr>
        <w:t>, 2005]</w:t>
      </w:r>
    </w:p>
    <w:p w14:paraId="34421B46" w14:textId="1A745C05" w:rsidR="00DE42C5" w:rsidRDefault="00AE2A10" w:rsidP="00F11027">
      <w:r>
        <w:t>Исследование 2</w:t>
      </w:r>
      <w:r w:rsidR="000550D2">
        <w:t>0</w:t>
      </w:r>
      <w:r w:rsidR="00603F3E">
        <w:t>02</w:t>
      </w:r>
      <w:r w:rsidR="000550D2">
        <w:t xml:space="preserve"> года </w:t>
      </w:r>
      <w:r w:rsidR="00765F12" w:rsidRPr="00765F12">
        <w:t>[</w:t>
      </w:r>
      <w:r w:rsidR="000550D2">
        <w:rPr>
          <w:lang w:val="en-US"/>
        </w:rPr>
        <w:t>Ritter</w:t>
      </w:r>
      <w:r w:rsidR="000550D2" w:rsidRPr="00EB4356">
        <w:t xml:space="preserve">, </w:t>
      </w:r>
      <w:r w:rsidR="000550D2">
        <w:rPr>
          <w:lang w:val="en-US"/>
        </w:rPr>
        <w:t>Welch</w:t>
      </w:r>
      <w:r w:rsidR="00765F12" w:rsidRPr="00765F12">
        <w:t>,</w:t>
      </w:r>
      <w:r w:rsidR="000550D2" w:rsidRPr="00EB4356">
        <w:t xml:space="preserve"> 2002</w:t>
      </w:r>
      <w:r w:rsidR="00765F12" w:rsidRPr="00765F12">
        <w:t>]</w:t>
      </w:r>
      <w:r w:rsidR="000550D2" w:rsidRPr="00EB4356">
        <w:t xml:space="preserve"> </w:t>
      </w:r>
      <w:r w:rsidR="000550D2">
        <w:t xml:space="preserve">посвящено </w:t>
      </w:r>
      <w:r w:rsidR="00EB4356">
        <w:t>проблем</w:t>
      </w:r>
      <w:r w:rsidR="000A1B0A">
        <w:t>а</w:t>
      </w:r>
      <w:r w:rsidR="00E369ED">
        <w:t>м</w:t>
      </w:r>
      <w:r w:rsidR="00EB4356">
        <w:t xml:space="preserve"> </w:t>
      </w:r>
      <w:r w:rsidR="00EF33D5">
        <w:t>недооценки первого дня</w:t>
      </w:r>
      <w:r w:rsidR="00EB4356">
        <w:t xml:space="preserve"> и долгосрочной результативности, </w:t>
      </w:r>
      <w:r w:rsidR="000A1B0A">
        <w:t>на второй из них</w:t>
      </w:r>
      <w:r w:rsidR="00603F3E">
        <w:t xml:space="preserve"> будет </w:t>
      </w:r>
      <w:r w:rsidR="009B4D94">
        <w:t>сделан</w:t>
      </w:r>
      <w:r w:rsidR="00603F3E">
        <w:t xml:space="preserve"> акцент в данной работе. </w:t>
      </w:r>
      <w:r w:rsidR="00200DDC">
        <w:t xml:space="preserve">Авторами была сформирована </w:t>
      </w:r>
      <w:r w:rsidR="00373FEC">
        <w:t>объемная выборка, состоящ</w:t>
      </w:r>
      <w:r w:rsidR="009B4D94">
        <w:t>ая</w:t>
      </w:r>
      <w:r w:rsidR="00373FEC">
        <w:t xml:space="preserve"> из </w:t>
      </w:r>
      <w:r w:rsidR="00373FEC">
        <w:lastRenderedPageBreak/>
        <w:t xml:space="preserve">американских компаний, выходивших с 1980 по 2001 гг. </w:t>
      </w:r>
      <w:r w:rsidR="00DD4DC3">
        <w:t xml:space="preserve">Число таких </w:t>
      </w:r>
      <w:r w:rsidR="00DD4DC3">
        <w:rPr>
          <w:lang w:val="en-US"/>
        </w:rPr>
        <w:t>IPO</w:t>
      </w:r>
      <w:r w:rsidR="00DD4DC3">
        <w:t xml:space="preserve"> составило 6 249. </w:t>
      </w:r>
      <w:r w:rsidR="00A721E3">
        <w:t xml:space="preserve">Инвестор придерживается </w:t>
      </w:r>
      <w:r w:rsidR="00D24C50">
        <w:t>стратегии «покупай и держи» (</w:t>
      </w:r>
      <w:r w:rsidR="00D24C50">
        <w:rPr>
          <w:lang w:val="en-US"/>
        </w:rPr>
        <w:t>buy</w:t>
      </w:r>
      <w:r w:rsidR="00D24C50" w:rsidRPr="00D24C50">
        <w:t>-</w:t>
      </w:r>
      <w:r w:rsidR="00D24C50">
        <w:rPr>
          <w:lang w:val="en-US"/>
        </w:rPr>
        <w:t>and</w:t>
      </w:r>
      <w:r w:rsidR="00D24C50" w:rsidRPr="00D24C50">
        <w:t>-</w:t>
      </w:r>
      <w:r w:rsidR="00D24C50">
        <w:rPr>
          <w:lang w:val="en-US"/>
        </w:rPr>
        <w:t>hold</w:t>
      </w:r>
      <w:r w:rsidR="00D24C50" w:rsidRPr="00D24C50">
        <w:t>)</w:t>
      </w:r>
      <w:r w:rsidR="00D24C50">
        <w:t>, при котором</w:t>
      </w:r>
      <w:r w:rsidR="006B7336">
        <w:t xml:space="preserve"> акции покупаются до размещения и держатся на протяжении 3 лет. </w:t>
      </w:r>
      <w:r w:rsidR="00BA12ED">
        <w:t>В результате были рассчитаны</w:t>
      </w:r>
      <w:r w:rsidR="007D16EB">
        <w:t xml:space="preserve"> </w:t>
      </w:r>
      <w:r w:rsidR="007D16EB">
        <w:rPr>
          <w:lang w:val="en-US"/>
        </w:rPr>
        <w:t>buy</w:t>
      </w:r>
      <w:r w:rsidR="007D16EB" w:rsidRPr="00440107">
        <w:t>-</w:t>
      </w:r>
      <w:r w:rsidR="007D16EB">
        <w:rPr>
          <w:lang w:val="en-US"/>
        </w:rPr>
        <w:t>and</w:t>
      </w:r>
      <w:r w:rsidR="007D16EB" w:rsidRPr="00440107">
        <w:t>-</w:t>
      </w:r>
      <w:r w:rsidR="007D16EB">
        <w:rPr>
          <w:lang w:val="en-US"/>
        </w:rPr>
        <w:t>hold</w:t>
      </w:r>
      <w:r w:rsidR="007D16EB">
        <w:t xml:space="preserve"> </w:t>
      </w:r>
      <w:r w:rsidR="00BA12ED">
        <w:t xml:space="preserve">доходности </w:t>
      </w:r>
      <w:r w:rsidR="007D16EB">
        <w:rPr>
          <w:lang w:val="en-US"/>
        </w:rPr>
        <w:t>IPO</w:t>
      </w:r>
      <w:r w:rsidR="007D16EB">
        <w:t xml:space="preserve">, средняя доходность </w:t>
      </w:r>
      <w:r w:rsidR="00440107">
        <w:t xml:space="preserve">за три года составила 22,6%. </w:t>
      </w:r>
      <w:r w:rsidR="00376615">
        <w:t xml:space="preserve">Чтобы вычленить смысловое значение данного показателя, авторы также привели расчет доходностей, скорректированных на </w:t>
      </w:r>
      <w:r w:rsidR="00E56D37">
        <w:t>доходность рынка и на доходность фирм, схожих по стилю</w:t>
      </w:r>
      <w:r w:rsidR="00F93A13">
        <w:t>.</w:t>
      </w:r>
      <w:r w:rsidR="00E56D37">
        <w:t xml:space="preserve"> Корректировка на рынок подразумевает </w:t>
      </w:r>
      <w:r w:rsidR="00BF0D53">
        <w:t xml:space="preserve">вычитание доходности средневзвешенного индекса американского из доходности </w:t>
      </w:r>
      <w:r w:rsidR="00BF0D53">
        <w:rPr>
          <w:lang w:val="en-US"/>
        </w:rPr>
        <w:t>IPO</w:t>
      </w:r>
      <w:r w:rsidR="00BF0D53">
        <w:t xml:space="preserve">. </w:t>
      </w:r>
      <w:r w:rsidR="00A72886">
        <w:t xml:space="preserve">Итого, результативность </w:t>
      </w:r>
      <w:r w:rsidR="00A72886">
        <w:rPr>
          <w:lang w:val="en-US"/>
        </w:rPr>
        <w:t>IPO</w:t>
      </w:r>
      <w:r w:rsidR="00A72886">
        <w:t xml:space="preserve"> в среднем отстает от рынка на 23,4%. </w:t>
      </w:r>
      <w:r w:rsidR="004B5162">
        <w:t xml:space="preserve">Однако и этот показатель может быть нерепрезентативным, так как </w:t>
      </w:r>
      <w:r w:rsidR="00273E3A">
        <w:t xml:space="preserve">средневзвешенный индекс сочетает в себе признаки множества фирм, которые могут быть не равны тем, что выходили на биржу в те или иные годы. </w:t>
      </w:r>
      <w:r w:rsidR="00F07B3F">
        <w:t>Поэтому авторы также привели расчет доходности фирм, похожи</w:t>
      </w:r>
      <w:r w:rsidR="00D56C1A">
        <w:t xml:space="preserve">х на компании на </w:t>
      </w:r>
      <w:r w:rsidR="00D56C1A">
        <w:rPr>
          <w:lang w:val="en-US"/>
        </w:rPr>
        <w:t>IPO</w:t>
      </w:r>
      <w:r w:rsidR="00D56C1A">
        <w:t xml:space="preserve"> (торгуются на бирже не менее 5 лет). При таком расчете </w:t>
      </w:r>
      <w:r w:rsidR="000A063E">
        <w:t xml:space="preserve">доходность </w:t>
      </w:r>
      <w:r w:rsidR="000A063E">
        <w:rPr>
          <w:lang w:val="en-US"/>
        </w:rPr>
        <w:t>IPO</w:t>
      </w:r>
      <w:r w:rsidR="000A063E">
        <w:t xml:space="preserve"> отстает всего на 5,1%.</w:t>
      </w:r>
    </w:p>
    <w:p w14:paraId="77547415" w14:textId="0B7041BF" w:rsidR="00EC095D" w:rsidRDefault="00EC095D" w:rsidP="00F11027">
      <w:r>
        <w:t xml:space="preserve">Помимо корректировки доходности авторы использовали альтернативный </w:t>
      </w:r>
      <w:r w:rsidR="00E55946">
        <w:t xml:space="preserve">подход к вычислению результативности </w:t>
      </w:r>
      <w:r w:rsidR="00E55946">
        <w:rPr>
          <w:lang w:val="en-US"/>
        </w:rPr>
        <w:t>IPO</w:t>
      </w:r>
      <w:r w:rsidR="00E11012">
        <w:t xml:space="preserve">, а именно </w:t>
      </w:r>
      <w:r w:rsidR="00781A45">
        <w:t>трёхфакторную</w:t>
      </w:r>
      <w:r w:rsidR="00E11012">
        <w:t xml:space="preserve"> модель Фамы Френча (1993)</w:t>
      </w:r>
      <w:r w:rsidR="00AB0B19">
        <w:t xml:space="preserve">. </w:t>
      </w:r>
      <w:r w:rsidR="00832A72">
        <w:t>Портфель был собран из 345 наблюдений</w:t>
      </w:r>
      <w:r w:rsidR="00781A45">
        <w:t>, период</w:t>
      </w:r>
      <w:r w:rsidR="00EE7F91">
        <w:t>:</w:t>
      </w:r>
      <w:r w:rsidR="00781A45">
        <w:t xml:space="preserve"> январь 1973 – сентябрь 2001. </w:t>
      </w:r>
      <w:r w:rsidR="00AB0B19">
        <w:t>О</w:t>
      </w:r>
      <w:r w:rsidR="00E11012">
        <w:t>днако</w:t>
      </w:r>
      <w:r w:rsidR="00AB0B19">
        <w:t>,</w:t>
      </w:r>
      <w:r w:rsidR="00E11012">
        <w:t xml:space="preserve"> </w:t>
      </w:r>
      <w:r w:rsidR="004D1E8C">
        <w:t>авторы слегка модернизировали уравнение, добавив в регрессию</w:t>
      </w:r>
      <w:r w:rsidR="00FE292C">
        <w:t xml:space="preserve"> лаговые переменные:</w:t>
      </w:r>
    </w:p>
    <w:p w14:paraId="75219CBE" w14:textId="6FE3C17B" w:rsidR="00FE292C" w:rsidRPr="00D22C4A" w:rsidRDefault="005438C5" w:rsidP="00952FF8">
      <w:pPr>
        <w:pStyle w:val="af8"/>
        <w:jc w:val="center"/>
        <w:rPr>
          <w:rFonts w:eastAsiaTheme="minorEastAsia"/>
          <w:vanish/>
          <w:lang w:val="ru-RU"/>
          <w:specVanish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pt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ft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mt</m:t>
                </m: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ft</m:t>
                </m:r>
              </m:sub>
            </m:sSub>
          </m:e>
        </m:d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mt</m:t>
                </m:r>
                <m:r>
                  <w:rPr>
                    <w:rFonts w:ascii="Cambria Math" w:hAnsi="Cambria Math"/>
                    <w:lang w:val="ru-RU"/>
                  </w:rPr>
                  <m:t>-1</m:t>
                </m: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ft</m:t>
                </m:r>
                <m:r>
                  <w:rPr>
                    <w:rFonts w:ascii="Cambria Math" w:hAnsi="Cambria Math"/>
                    <w:lang w:val="ru-RU"/>
                  </w:rPr>
                  <m:t>-1</m:t>
                </m:r>
              </m:sub>
            </m:sSub>
          </m:e>
        </m:d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SMB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SMB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-1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VMG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VMG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-1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pt</m:t>
            </m:r>
          </m:sub>
        </m:sSub>
      </m:oMath>
      <w:r w:rsidR="00D55947" w:rsidRPr="00D55947">
        <w:rPr>
          <w:rFonts w:eastAsiaTheme="minorEastAsia"/>
          <w:lang w:val="ru-RU"/>
        </w:rPr>
        <w:t xml:space="preserve"> </w:t>
      </w:r>
    </w:p>
    <w:p w14:paraId="4BA7EFCD" w14:textId="47BBBBE7" w:rsidR="00D22C4A" w:rsidRPr="00CB612F" w:rsidRDefault="00D22C4A" w:rsidP="00CB612F">
      <w:pPr>
        <w:pStyle w:val="af9"/>
      </w:pPr>
      <w:r>
        <w:t xml:space="preserve"> </w:t>
      </w:r>
      <w:r w:rsidR="00C1210B" w:rsidRPr="00CB612F">
        <w:t>(8)</w:t>
      </w:r>
    </w:p>
    <w:p w14:paraId="78C8E3A9" w14:textId="389680E2" w:rsidR="00C1210B" w:rsidRDefault="007E00B2" w:rsidP="007E00B2">
      <w:pPr>
        <w:ind w:firstLine="0"/>
      </w:pPr>
      <w:r>
        <w:t>Где</w:t>
      </w:r>
    </w:p>
    <w:p w14:paraId="769BD799" w14:textId="2E4A34A6" w:rsidR="007E00B2" w:rsidRDefault="005438C5" w:rsidP="007E00B2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ft</m:t>
            </m:r>
          </m:sub>
        </m:sSub>
      </m:oMath>
      <w:r w:rsidR="007E00B2">
        <w:rPr>
          <w:rFonts w:eastAsiaTheme="minorEastAsia"/>
        </w:rPr>
        <w:t xml:space="preserve"> – </w:t>
      </w:r>
      <w:r w:rsidR="005C7679">
        <w:rPr>
          <w:rFonts w:eastAsiaTheme="minorEastAsia"/>
        </w:rPr>
        <w:t xml:space="preserve">превышение доходности портфеля над безрисковой ставкой в период </w:t>
      </w:r>
      <w:r w:rsidR="005C7679">
        <w:rPr>
          <w:rFonts w:eastAsiaTheme="minorEastAsia"/>
          <w:lang w:val="en-US"/>
        </w:rPr>
        <w:t>t</w:t>
      </w:r>
      <w:r w:rsidR="00781A45">
        <w:rPr>
          <w:rFonts w:eastAsiaTheme="minorEastAsia"/>
        </w:rPr>
        <w:t>;</w:t>
      </w:r>
    </w:p>
    <w:p w14:paraId="7DB666DC" w14:textId="7AFF8082" w:rsidR="00781A45" w:rsidRDefault="005438C5" w:rsidP="007E00B2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ft</m:t>
            </m:r>
          </m:sub>
        </m:sSub>
      </m:oMath>
      <w:r w:rsidR="00FE6391">
        <w:rPr>
          <w:rFonts w:eastAsiaTheme="minorEastAsia"/>
        </w:rPr>
        <w:t xml:space="preserve"> – рыночная премия риска</w:t>
      </w:r>
      <w:r w:rsidR="00236D14">
        <w:rPr>
          <w:rFonts w:eastAsiaTheme="minorEastAsia"/>
        </w:rPr>
        <w:t>;</w:t>
      </w:r>
    </w:p>
    <w:p w14:paraId="71A3C316" w14:textId="38C73AA2" w:rsidR="00236D14" w:rsidRDefault="005438C5" w:rsidP="007E00B2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SMB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236D14">
        <w:rPr>
          <w:rFonts w:eastAsiaTheme="minorEastAsia"/>
        </w:rPr>
        <w:t xml:space="preserve"> – </w:t>
      </w:r>
      <w:r w:rsidR="00927144">
        <w:rPr>
          <w:rFonts w:eastAsiaTheme="minorEastAsia"/>
        </w:rPr>
        <w:t xml:space="preserve">доходность </w:t>
      </w:r>
      <w:r w:rsidR="00313206">
        <w:rPr>
          <w:rFonts w:eastAsiaTheme="minorEastAsia"/>
        </w:rPr>
        <w:t>портфеля акций с маленькой капитализацией минус доходность портфеля с большой капитализаций</w:t>
      </w:r>
      <w:r w:rsidR="002E60AB">
        <w:rPr>
          <w:rFonts w:eastAsiaTheme="minorEastAsia"/>
        </w:rPr>
        <w:t>;</w:t>
      </w:r>
    </w:p>
    <w:p w14:paraId="39F407FD" w14:textId="1B8BBF13" w:rsidR="00313206" w:rsidRPr="00FF18E4" w:rsidRDefault="005438C5" w:rsidP="002E60AB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VMG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313206" w:rsidRPr="00FF18E4">
        <w:rPr>
          <w:lang w:val="ru-RU"/>
        </w:rPr>
        <w:t xml:space="preserve"> – </w:t>
      </w:r>
      <w:r w:rsidR="002E60AB" w:rsidRPr="00FF18E4">
        <w:rPr>
          <w:lang w:val="ru-RU"/>
        </w:rPr>
        <w:t>доходность портфеля акций стоимости минус доходность портфеля акций роста.</w:t>
      </w:r>
    </w:p>
    <w:p w14:paraId="1C441420" w14:textId="7F09FBEA" w:rsidR="002E60AB" w:rsidRDefault="00637646" w:rsidP="007E00B2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Авторы построили модель на разных временных промежутках, а точнее в каждой модели временной интервал сокращался. </w:t>
      </w:r>
      <w:r w:rsidR="00AA57E2">
        <w:rPr>
          <w:rFonts w:eastAsiaTheme="minorEastAsia"/>
        </w:rPr>
        <w:t xml:space="preserve">Помимо этого, </w:t>
      </w:r>
      <w:r w:rsidR="00E82B7B">
        <w:rPr>
          <w:rFonts w:eastAsiaTheme="minorEastAsia"/>
        </w:rPr>
        <w:t xml:space="preserve">отдельно проводился анализ того, как будут меняться коэффициенты при добавлении новых переменных в модель. </w:t>
      </w:r>
      <w:r w:rsidR="003C2246">
        <w:rPr>
          <w:rFonts w:eastAsiaTheme="minorEastAsia"/>
        </w:rPr>
        <w:t xml:space="preserve">Почти во всех моделях параметр </w:t>
      </w:r>
      <m:oMath>
        <m:r>
          <w:rPr>
            <w:rFonts w:ascii="Cambria Math" w:hAnsi="Cambria Math"/>
          </w:rPr>
          <m:t>a</m:t>
        </m:r>
      </m:oMath>
      <w:r w:rsidR="003C2246">
        <w:rPr>
          <w:rFonts w:eastAsiaTheme="minorEastAsia"/>
        </w:rPr>
        <w:t xml:space="preserve"> являлся отрицательным, то есть </w:t>
      </w:r>
      <w:r w:rsidR="003C2246">
        <w:rPr>
          <w:rFonts w:eastAsiaTheme="minorEastAsia"/>
          <w:lang w:val="en-US"/>
        </w:rPr>
        <w:t>IPO</w:t>
      </w:r>
      <w:r w:rsidR="003C2246">
        <w:rPr>
          <w:rFonts w:eastAsiaTheme="minorEastAsia"/>
        </w:rPr>
        <w:t xml:space="preserve"> показывали отрицательную </w:t>
      </w:r>
      <w:r w:rsidR="00CF2C2F">
        <w:rPr>
          <w:rFonts w:eastAsiaTheme="minorEastAsia"/>
        </w:rPr>
        <w:t xml:space="preserve">ежемесячную </w:t>
      </w:r>
      <w:r w:rsidR="003C2246">
        <w:rPr>
          <w:rFonts w:eastAsiaTheme="minorEastAsia"/>
        </w:rPr>
        <w:t>доходность</w:t>
      </w:r>
      <w:r w:rsidR="00CF2C2F">
        <w:rPr>
          <w:rFonts w:eastAsiaTheme="minorEastAsia"/>
        </w:rPr>
        <w:t xml:space="preserve">. </w:t>
      </w:r>
      <w:r w:rsidR="001A1AE3">
        <w:rPr>
          <w:rFonts w:eastAsiaTheme="minorEastAsia"/>
        </w:rPr>
        <w:t xml:space="preserve">Важность лаговой переменной объясняется тем, что ее </w:t>
      </w:r>
      <w:r w:rsidR="004D75D3">
        <w:rPr>
          <w:rFonts w:eastAsiaTheme="minorEastAsia"/>
        </w:rPr>
        <w:t>отсутствие</w:t>
      </w:r>
      <w:r w:rsidR="001A1AE3">
        <w:rPr>
          <w:rFonts w:eastAsiaTheme="minorEastAsia"/>
        </w:rPr>
        <w:t xml:space="preserve"> ведет к недооценке </w:t>
      </w:r>
      <m:oMath>
        <m:r>
          <w:rPr>
            <w:rFonts w:ascii="Cambria Math" w:hAnsi="Cambria Math"/>
          </w:rPr>
          <m:t>a</m:t>
        </m:r>
      </m:oMath>
      <w:r w:rsidR="001A1AE3">
        <w:rPr>
          <w:rFonts w:eastAsiaTheme="minorEastAsia"/>
        </w:rPr>
        <w:t xml:space="preserve">: </w:t>
      </w:r>
      <w:r w:rsidR="00D02154">
        <w:rPr>
          <w:rFonts w:eastAsiaTheme="minorEastAsia"/>
        </w:rPr>
        <w:t xml:space="preserve">в простой модели, где независимой переменной являлась лишь премия за риск, параметр равнялся -0,32%, когда в аналогичной регрессии при добавлении лаговой переменной параметр </w:t>
      </w:r>
      <w:r w:rsidR="00A33463">
        <w:rPr>
          <w:rFonts w:eastAsiaTheme="minorEastAsia"/>
        </w:rPr>
        <w:t xml:space="preserve">принимал значение в -0,47%. </w:t>
      </w:r>
      <w:r w:rsidR="00D72D7F">
        <w:rPr>
          <w:rFonts w:eastAsiaTheme="minorEastAsia"/>
        </w:rPr>
        <w:t xml:space="preserve">Главным </w:t>
      </w:r>
      <w:r w:rsidR="00D72D7F">
        <w:rPr>
          <w:rFonts w:eastAsiaTheme="minorEastAsia"/>
        </w:rPr>
        <w:lastRenderedPageBreak/>
        <w:t>противоречивым результатом стал</w:t>
      </w:r>
      <w:r w:rsidR="00E847A3">
        <w:rPr>
          <w:rFonts w:eastAsiaTheme="minorEastAsia"/>
        </w:rPr>
        <w:t xml:space="preserve">а модель, построенная на выборке компаний с января 2000 по сентябрь 2001: параметр </w:t>
      </w:r>
      <m:oMath>
        <m:r>
          <w:rPr>
            <w:rFonts w:ascii="Cambria Math" w:hAnsi="Cambria Math"/>
          </w:rPr>
          <m:t>a</m:t>
        </m:r>
      </m:oMath>
      <w:r w:rsidR="00E847A3">
        <w:rPr>
          <w:rFonts w:eastAsiaTheme="minorEastAsia"/>
        </w:rPr>
        <w:t xml:space="preserve"> принял значение 0,62%, </w:t>
      </w:r>
      <w:r w:rsidR="00E86297">
        <w:rPr>
          <w:rFonts w:eastAsiaTheme="minorEastAsia"/>
        </w:rPr>
        <w:t>когда же по опис</w:t>
      </w:r>
      <w:r w:rsidR="006B7E8B">
        <w:rPr>
          <w:rFonts w:eastAsiaTheme="minorEastAsia"/>
        </w:rPr>
        <w:t xml:space="preserve">ательной статистике было видно, что результативность </w:t>
      </w:r>
      <w:r w:rsidR="006B7E8B">
        <w:rPr>
          <w:rFonts w:eastAsiaTheme="minorEastAsia"/>
          <w:lang w:val="en-US"/>
        </w:rPr>
        <w:t>IPO</w:t>
      </w:r>
      <w:r w:rsidR="006B7E8B">
        <w:rPr>
          <w:rFonts w:eastAsiaTheme="minorEastAsia"/>
        </w:rPr>
        <w:t xml:space="preserve"> в </w:t>
      </w:r>
      <w:r w:rsidR="007C3973">
        <w:rPr>
          <w:rFonts w:eastAsiaTheme="minorEastAsia"/>
        </w:rPr>
        <w:t>1999–2000 была</w:t>
      </w:r>
      <w:r w:rsidR="006B7E8B">
        <w:rPr>
          <w:rFonts w:eastAsiaTheme="minorEastAsia"/>
        </w:rPr>
        <w:t xml:space="preserve"> значительно ниже ввиду </w:t>
      </w:r>
      <w:r w:rsidR="00281B99">
        <w:rPr>
          <w:rFonts w:eastAsiaTheme="minorEastAsia"/>
        </w:rPr>
        <w:t xml:space="preserve">краха пузыря </w:t>
      </w:r>
      <w:proofErr w:type="spellStart"/>
      <w:r w:rsidR="00281B99">
        <w:rPr>
          <w:rFonts w:eastAsiaTheme="minorEastAsia"/>
        </w:rPr>
        <w:t>доткомов</w:t>
      </w:r>
      <w:proofErr w:type="spellEnd"/>
      <w:r w:rsidR="00281B99">
        <w:rPr>
          <w:rFonts w:eastAsiaTheme="minorEastAsia"/>
        </w:rPr>
        <w:t xml:space="preserve">. </w:t>
      </w:r>
      <w:r w:rsidR="00A53D51">
        <w:rPr>
          <w:rFonts w:eastAsiaTheme="minorEastAsia"/>
        </w:rPr>
        <w:t xml:space="preserve">Согласно объяснению исследователей, причина заключается в том, что крах </w:t>
      </w:r>
      <w:proofErr w:type="spellStart"/>
      <w:r w:rsidR="00A53D51">
        <w:rPr>
          <w:rFonts w:eastAsiaTheme="minorEastAsia"/>
        </w:rPr>
        <w:t>доткомов</w:t>
      </w:r>
      <w:proofErr w:type="spellEnd"/>
      <w:r w:rsidR="00A53D51">
        <w:rPr>
          <w:rFonts w:eastAsiaTheme="minorEastAsia"/>
        </w:rPr>
        <w:t xml:space="preserve"> был заложен в переменной </w:t>
      </w:r>
      <w:r w:rsidR="00A53D51">
        <w:rPr>
          <w:rFonts w:eastAsiaTheme="minorEastAsia"/>
          <w:lang w:val="en-US"/>
        </w:rPr>
        <w:t>VMG</w:t>
      </w:r>
      <w:r w:rsidR="00A53D51" w:rsidRPr="00A53D51">
        <w:rPr>
          <w:rFonts w:eastAsiaTheme="minorEastAsia"/>
        </w:rPr>
        <w:t>.</w:t>
      </w:r>
    </w:p>
    <w:p w14:paraId="7F8EB73F" w14:textId="0D9F7D60" w:rsidR="00612E94" w:rsidRDefault="00846E77" w:rsidP="00982DD4">
      <w:r>
        <w:t>Друг</w:t>
      </w:r>
      <w:r w:rsidR="00C67515">
        <w:t xml:space="preserve">ая работа </w:t>
      </w:r>
      <w:r>
        <w:t>2005 года</w:t>
      </w:r>
      <w:r w:rsidR="00D439DE">
        <w:t xml:space="preserve"> </w:t>
      </w:r>
      <w:r w:rsidR="000E1A48" w:rsidRPr="000E1A48">
        <w:t>[</w:t>
      </w:r>
      <w:r w:rsidR="00D439DE">
        <w:rPr>
          <w:lang w:val="en-US"/>
        </w:rPr>
        <w:t>A</w:t>
      </w:r>
      <w:r w:rsidR="00D439DE" w:rsidRPr="00D439DE">
        <w:t>́</w:t>
      </w:r>
      <w:r w:rsidR="00D439DE">
        <w:rPr>
          <w:lang w:val="en-US"/>
        </w:rPr>
        <w:t>lvarez</w:t>
      </w:r>
      <w:r w:rsidR="00D439DE" w:rsidRPr="00D439DE">
        <w:t xml:space="preserve">, </w:t>
      </w:r>
      <w:r w:rsidR="00D439DE">
        <w:rPr>
          <w:lang w:val="en-US"/>
        </w:rPr>
        <w:t>Gonza</w:t>
      </w:r>
      <w:r w:rsidR="00982DD4" w:rsidRPr="00982DD4">
        <w:t>́</w:t>
      </w:r>
      <w:proofErr w:type="spellStart"/>
      <w:r w:rsidR="00982DD4">
        <w:rPr>
          <w:lang w:val="en-US"/>
        </w:rPr>
        <w:t>lez</w:t>
      </w:r>
      <w:proofErr w:type="spellEnd"/>
      <w:r w:rsidR="000E1A48" w:rsidRPr="000E1A48">
        <w:t>,</w:t>
      </w:r>
      <w:r w:rsidR="00982DD4" w:rsidRPr="00982DD4">
        <w:t xml:space="preserve"> 2005</w:t>
      </w:r>
      <w:r w:rsidR="000E1A48" w:rsidRPr="000E1A48">
        <w:t>]</w:t>
      </w:r>
      <w:r>
        <w:t xml:space="preserve"> посвящено тому, как </w:t>
      </w:r>
      <w:r w:rsidR="00B9539F">
        <w:t>не</w:t>
      </w:r>
      <w:r w:rsidR="00124286">
        <w:t>дооценка первого дня</w:t>
      </w:r>
      <w:r>
        <w:t xml:space="preserve"> влияет на </w:t>
      </w:r>
      <w:r w:rsidR="00F250C8">
        <w:t xml:space="preserve">долгосрочную результативность </w:t>
      </w:r>
      <w:r w:rsidR="00F250C8">
        <w:rPr>
          <w:lang w:val="en-US"/>
        </w:rPr>
        <w:t>IPO</w:t>
      </w:r>
      <w:r w:rsidR="00F250C8">
        <w:t>.</w:t>
      </w:r>
      <w:r w:rsidR="00982DD4" w:rsidRPr="00982DD4">
        <w:t xml:space="preserve"> </w:t>
      </w:r>
      <w:r w:rsidR="00576B2E">
        <w:t>Исследование проводилось на</w:t>
      </w:r>
      <w:r w:rsidR="00916A3B">
        <w:t xml:space="preserve"> 112</w:t>
      </w:r>
      <w:r w:rsidR="00576B2E">
        <w:t xml:space="preserve"> </w:t>
      </w:r>
      <w:r w:rsidR="009868CA">
        <w:t xml:space="preserve">испанских компаниях, выходивших на </w:t>
      </w:r>
      <w:r w:rsidR="009868CA">
        <w:rPr>
          <w:lang w:val="en-US"/>
        </w:rPr>
        <w:t>IPO</w:t>
      </w:r>
      <w:r w:rsidR="009868CA">
        <w:t xml:space="preserve"> в пери</w:t>
      </w:r>
      <w:r w:rsidR="00916A3B">
        <w:t xml:space="preserve">од с 1987 по 1997. </w:t>
      </w:r>
      <w:r w:rsidR="002259CB">
        <w:t xml:space="preserve">Авторы воспользовались методом </w:t>
      </w:r>
      <w:r w:rsidR="002259CB">
        <w:rPr>
          <w:lang w:val="en-US"/>
        </w:rPr>
        <w:t>event</w:t>
      </w:r>
      <w:r w:rsidR="002259CB" w:rsidRPr="002259CB">
        <w:t>-</w:t>
      </w:r>
      <w:r w:rsidR="002259CB">
        <w:rPr>
          <w:lang w:val="en-US"/>
        </w:rPr>
        <w:t>study</w:t>
      </w:r>
      <w:r w:rsidR="002259CB" w:rsidRPr="002259CB">
        <w:t xml:space="preserve"> </w:t>
      </w:r>
      <w:r w:rsidR="002259CB">
        <w:t xml:space="preserve">для определения долгосрочных </w:t>
      </w:r>
      <w:proofErr w:type="spellStart"/>
      <w:r w:rsidR="002259CB">
        <w:t>сверхдоходностей</w:t>
      </w:r>
      <w:proofErr w:type="spellEnd"/>
      <w:r w:rsidR="00ED58DD">
        <w:t xml:space="preserve"> (</w:t>
      </w:r>
      <w:r w:rsidR="00ED58DD">
        <w:rPr>
          <w:lang w:val="en-US"/>
        </w:rPr>
        <w:t>BHAR</w:t>
      </w:r>
      <w:r w:rsidR="00ED58DD" w:rsidRPr="00ED58DD">
        <w:t>)</w:t>
      </w:r>
      <w:r w:rsidR="002259CB">
        <w:t xml:space="preserve"> на разных окнах событий: </w:t>
      </w:r>
      <w:r w:rsidR="00ED58DD">
        <w:t xml:space="preserve">1 год, 3 года и 5 лет. </w:t>
      </w:r>
      <w:r w:rsidR="002D6406">
        <w:t xml:space="preserve">Долгосрочные </w:t>
      </w:r>
      <w:r w:rsidR="00EF33D5">
        <w:t>избыточные</w:t>
      </w:r>
      <w:r w:rsidR="002D6406">
        <w:t xml:space="preserve"> доходности рассчитывались по следующей формуле:</w:t>
      </w:r>
    </w:p>
    <w:p w14:paraId="5047AF87" w14:textId="6FBC720F" w:rsidR="002D6406" w:rsidRPr="00B25907" w:rsidRDefault="00BA0AEE" w:rsidP="00BA0AEE">
      <w:pPr>
        <w:pStyle w:val="af8"/>
        <w:rPr>
          <w:vanish/>
          <w:specVanish/>
        </w:rPr>
      </w:pPr>
      <w:r w:rsidRPr="00AC0C3B">
        <w:rPr>
          <w:lang w:val="ru-RU"/>
        </w:rPr>
        <w:tab/>
      </w:r>
      <m:oMath>
        <m:r>
          <w:rPr>
            <w:rFonts w:ascii="Cambria Math" w:hAnsi="Cambria Math"/>
          </w:rPr>
          <m:t>BHAR=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-1</m:t>
                    </m:r>
                  </m:e>
                </m:nary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E(R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-1</m:t>
                    </m:r>
                  </m:e>
                </m:nary>
              </m:e>
            </m:d>
          </m:e>
        </m:nary>
      </m:oMath>
      <w:r>
        <w:tab/>
      </w:r>
    </w:p>
    <w:p w14:paraId="4AFA61B8" w14:textId="230263B6" w:rsidR="00B25907" w:rsidRPr="00FF18E4" w:rsidRDefault="00B25907" w:rsidP="00B25907">
      <w:pPr>
        <w:pStyle w:val="af9"/>
      </w:pPr>
      <w:r>
        <w:t xml:space="preserve"> </w:t>
      </w:r>
      <w:r w:rsidRPr="00FF18E4">
        <w:t>(9)</w:t>
      </w:r>
    </w:p>
    <w:p w14:paraId="09F6B673" w14:textId="7AB010C2" w:rsidR="00B25907" w:rsidRDefault="00361043" w:rsidP="00361043">
      <w:pPr>
        <w:ind w:firstLine="0"/>
      </w:pPr>
      <w:r>
        <w:t>Где</w:t>
      </w:r>
    </w:p>
    <w:p w14:paraId="78B7B87D" w14:textId="4D55B900" w:rsidR="00361043" w:rsidRDefault="005438C5" w:rsidP="00361043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407367">
        <w:rPr>
          <w:rFonts w:eastAsiaTheme="minorEastAsia"/>
        </w:rPr>
        <w:t xml:space="preserve"> – доходность ценной бумаги </w:t>
      </w:r>
      <w:proofErr w:type="spellStart"/>
      <w:r w:rsidR="00407367">
        <w:rPr>
          <w:rFonts w:eastAsiaTheme="minorEastAsia"/>
          <w:lang w:val="en-US"/>
        </w:rPr>
        <w:t>i</w:t>
      </w:r>
      <w:proofErr w:type="spellEnd"/>
      <w:r w:rsidR="00407367">
        <w:rPr>
          <w:rFonts w:eastAsiaTheme="minorEastAsia"/>
        </w:rPr>
        <w:t xml:space="preserve"> в месяц </w:t>
      </w:r>
      <w:r w:rsidR="00407367">
        <w:rPr>
          <w:rFonts w:eastAsiaTheme="minorEastAsia"/>
          <w:lang w:val="en-US"/>
        </w:rPr>
        <w:t>t</w:t>
      </w:r>
      <w:r w:rsidR="002A50BD">
        <w:rPr>
          <w:rFonts w:eastAsiaTheme="minorEastAsia"/>
        </w:rPr>
        <w:t>, скорректированная на дивиденды</w:t>
      </w:r>
    </w:p>
    <w:p w14:paraId="7EE608A2" w14:textId="34EFFAEF" w:rsidR="002A50BD" w:rsidRPr="00FF18E4" w:rsidRDefault="005438C5" w:rsidP="00D71EB8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  <w:lang w:val="ru-RU"/>
              </w:rPr>
              <m:t>(</m:t>
            </m:r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  <w:lang w:val="ru-RU"/>
          </w:rPr>
          <m:t>)</m:t>
        </m:r>
      </m:oMath>
      <w:r w:rsidR="002A5E71" w:rsidRPr="00FF18E4">
        <w:rPr>
          <w:lang w:val="ru-RU"/>
        </w:rPr>
        <w:t xml:space="preserve"> – </w:t>
      </w:r>
      <w:r w:rsidR="00D770D1" w:rsidRPr="00FF18E4">
        <w:rPr>
          <w:lang w:val="ru-RU"/>
        </w:rPr>
        <w:t>ожидаемая доходность</w:t>
      </w:r>
      <w:r w:rsidR="00D71EB8" w:rsidRPr="00D71EB8">
        <w:rPr>
          <w:lang w:val="ru-RU"/>
        </w:rPr>
        <w:t xml:space="preserve"> (</w:t>
      </w:r>
      <w:r w:rsidR="00D71EB8" w:rsidRPr="00FF18E4">
        <w:rPr>
          <w:lang w:val="ru-RU"/>
        </w:rPr>
        <w:t>калькулируется разными способами)</w:t>
      </w:r>
    </w:p>
    <w:p w14:paraId="74CE714B" w14:textId="33F0AD58" w:rsidR="00D71EB8" w:rsidRDefault="00F0147E" w:rsidP="00361043">
      <w:pPr>
        <w:ind w:firstLine="0"/>
        <w:rPr>
          <w:rFonts w:eastAsiaTheme="minorEastAsia"/>
        </w:rPr>
      </w:pPr>
      <w:r>
        <w:t xml:space="preserve">На промежутке 1 года оценки </w:t>
      </w:r>
      <w:r w:rsidR="00EF33D5">
        <w:t>избыточных</w:t>
      </w:r>
      <w:r>
        <w:t xml:space="preserve"> доходностей являлись статистически незначимыми, в отличие от</w:t>
      </w:r>
      <w:r w:rsidR="00166C33">
        <w:t xml:space="preserve"> результатов по 3 и 5 годам: </w:t>
      </w:r>
      <w:r w:rsidR="00074E98">
        <w:t xml:space="preserve">оценки варьируются от -18,59% до </w:t>
      </w:r>
      <w:r w:rsidR="00CC01F4">
        <w:t xml:space="preserve">-32,16% на промежутке 3 лет, от -1,98% до -37,05% </w:t>
      </w:r>
      <w:r w:rsidR="00CC01F4">
        <w:rPr>
          <w:rFonts w:eastAsiaTheme="minorEastAsia"/>
        </w:rPr>
        <w:t xml:space="preserve">– на промежутке 5 лет. </w:t>
      </w:r>
      <w:r w:rsidR="00232810">
        <w:rPr>
          <w:rFonts w:eastAsiaTheme="minorEastAsia"/>
        </w:rPr>
        <w:t xml:space="preserve">Таким образом, на более длительных временных интервалах компании, вышедшие </w:t>
      </w:r>
      <w:r w:rsidR="00103F29">
        <w:rPr>
          <w:rFonts w:eastAsiaTheme="minorEastAsia"/>
        </w:rPr>
        <w:t xml:space="preserve">сравнительно </w:t>
      </w:r>
      <w:r w:rsidR="00232810">
        <w:rPr>
          <w:rFonts w:eastAsiaTheme="minorEastAsia"/>
        </w:rPr>
        <w:t xml:space="preserve">недавно на </w:t>
      </w:r>
      <w:r w:rsidR="00232810">
        <w:rPr>
          <w:rFonts w:eastAsiaTheme="minorEastAsia"/>
          <w:lang w:val="en-US"/>
        </w:rPr>
        <w:t>IPO</w:t>
      </w:r>
      <w:r w:rsidR="00232810">
        <w:rPr>
          <w:rFonts w:eastAsiaTheme="minorEastAsia"/>
        </w:rPr>
        <w:t xml:space="preserve">, </w:t>
      </w:r>
      <w:r w:rsidR="00103F29">
        <w:rPr>
          <w:rFonts w:eastAsiaTheme="minorEastAsia"/>
        </w:rPr>
        <w:t xml:space="preserve">в среднем </w:t>
      </w:r>
      <w:r w:rsidR="00232810">
        <w:rPr>
          <w:rFonts w:eastAsiaTheme="minorEastAsia"/>
        </w:rPr>
        <w:t>показывают низкую результативность</w:t>
      </w:r>
      <w:r w:rsidR="0009076F">
        <w:rPr>
          <w:rFonts w:eastAsiaTheme="minorEastAsia"/>
        </w:rPr>
        <w:t xml:space="preserve"> по сравнению с рынком.</w:t>
      </w:r>
    </w:p>
    <w:p w14:paraId="0FE86020" w14:textId="38387DCA" w:rsidR="00343B81" w:rsidRDefault="00502506" w:rsidP="00343B81">
      <w:r>
        <w:t xml:space="preserve">Таким образом, </w:t>
      </w:r>
      <w:r w:rsidR="007270CC">
        <w:t xml:space="preserve">используя разные инструментарии, исследователи получают один и тот же результат: </w:t>
      </w:r>
      <w:r w:rsidR="00764B31">
        <w:t>инвестиции в акции компаний, вышедших на</w:t>
      </w:r>
      <w:r w:rsidR="00764B31" w:rsidRPr="00764B31">
        <w:t xml:space="preserve"> </w:t>
      </w:r>
      <w:r w:rsidR="00764B31">
        <w:rPr>
          <w:lang w:val="en-US"/>
        </w:rPr>
        <w:t>IPO</w:t>
      </w:r>
      <w:r w:rsidR="00764B31">
        <w:t>, показывают</w:t>
      </w:r>
      <w:r w:rsidR="008B59F6">
        <w:t xml:space="preserve"> сравнительно</w:t>
      </w:r>
      <w:r w:rsidR="00764B31">
        <w:t xml:space="preserve"> </w:t>
      </w:r>
      <w:r w:rsidR="007E12CC">
        <w:t xml:space="preserve">низкую результативность. </w:t>
      </w:r>
      <w:r w:rsidR="002F64F9">
        <w:t xml:space="preserve">Но все же есть нюансы: «новички» на бирже несильно отстают от схожих по характеристикам </w:t>
      </w:r>
      <w:r w:rsidR="0061640D">
        <w:t>компаний, которые давно являются публичными</w:t>
      </w:r>
      <w:r w:rsidR="00167294">
        <w:t xml:space="preserve">, а сами оценки </w:t>
      </w:r>
      <w:r w:rsidR="00EA1747">
        <w:t>доходности могут иметь сильную вариативность.</w:t>
      </w:r>
    </w:p>
    <w:p w14:paraId="25EE26B0" w14:textId="2A084C86" w:rsidR="00D22CA1" w:rsidRDefault="00D22CA1" w:rsidP="00D22CA1">
      <w:pPr>
        <w:pStyle w:val="2"/>
      </w:pPr>
      <w:bookmarkStart w:id="30" w:name="_Toc102050304"/>
      <w:bookmarkStart w:id="31" w:name="_Toc102050676"/>
      <w:r>
        <w:t>Выводы по первой главе</w:t>
      </w:r>
      <w:bookmarkEnd w:id="30"/>
      <w:bookmarkEnd w:id="31"/>
    </w:p>
    <w:p w14:paraId="108AA630" w14:textId="34874644" w:rsidR="00B70D76" w:rsidRDefault="00073487" w:rsidP="00B70D76">
      <w:r>
        <w:t xml:space="preserve">На основе </w:t>
      </w:r>
      <w:r w:rsidR="009E7FF2">
        <w:t xml:space="preserve">теоретического </w:t>
      </w:r>
      <w:r w:rsidR="00461F4F">
        <w:t>описания специализированных компаний по целевым слияниям и поглощениям</w:t>
      </w:r>
      <w:r w:rsidR="006556C9">
        <w:t xml:space="preserve"> и анал</w:t>
      </w:r>
      <w:r w:rsidR="0004046A">
        <w:t xml:space="preserve">иза </w:t>
      </w:r>
      <w:r w:rsidR="00FE53D5">
        <w:t>научной литературы</w:t>
      </w:r>
      <w:r w:rsidR="001011CC">
        <w:t xml:space="preserve"> был сформулирован ряд гипотез о результативности </w:t>
      </w:r>
      <w:r w:rsidR="001011CC">
        <w:rPr>
          <w:lang w:val="en-US"/>
        </w:rPr>
        <w:t>SPAC</w:t>
      </w:r>
      <w:r w:rsidR="001011CC">
        <w:t>.</w:t>
      </w:r>
    </w:p>
    <w:p w14:paraId="30D56CBA" w14:textId="28536F77" w:rsidR="001011CC" w:rsidRPr="00850E97" w:rsidRDefault="00840997" w:rsidP="00B70D76">
      <w:r>
        <w:t>Несмотря на то, что</w:t>
      </w:r>
      <w:r w:rsidR="007C72E1">
        <w:t xml:space="preserve"> на промежутке </w:t>
      </w:r>
      <w:r w:rsidR="003F3F46">
        <w:t>1–3</w:t>
      </w:r>
      <w:r w:rsidR="007C72E1">
        <w:t xml:space="preserve"> </w:t>
      </w:r>
      <w:r w:rsidR="002A5200">
        <w:t>лет</w:t>
      </w:r>
      <w:r>
        <w:t xml:space="preserve"> доходность</w:t>
      </w:r>
      <w:r w:rsidR="00F15CB5">
        <w:t xml:space="preserve"> </w:t>
      </w:r>
      <w:r w:rsidR="001303DD">
        <w:t xml:space="preserve">акций </w:t>
      </w:r>
      <w:r w:rsidR="00F15CB5">
        <w:t>компаний, вышедших на биржу через классическое</w:t>
      </w:r>
      <w:r w:rsidR="0079102C">
        <w:t xml:space="preserve"> </w:t>
      </w:r>
      <w:r w:rsidR="007C72E1">
        <w:rPr>
          <w:lang w:val="en-US"/>
        </w:rPr>
        <w:t>IPO</w:t>
      </w:r>
      <w:r w:rsidR="00F15CB5">
        <w:t>,</w:t>
      </w:r>
      <w:r w:rsidR="007C72E1">
        <w:t xml:space="preserve"> </w:t>
      </w:r>
      <w:r w:rsidR="0079102C">
        <w:t xml:space="preserve">при стратегии «покупай и держи» </w:t>
      </w:r>
      <w:r>
        <w:t>отстает от рынка, показатель остается положительным для многих компаний</w:t>
      </w:r>
      <w:r w:rsidR="0079102C">
        <w:t>.</w:t>
      </w:r>
      <w:r w:rsidR="007C72E1">
        <w:t xml:space="preserve"> </w:t>
      </w:r>
      <w:r w:rsidR="00700DEA">
        <w:t>Долгосрочная результативность</w:t>
      </w:r>
      <w:r w:rsidR="008A7339">
        <w:t xml:space="preserve"> акций</w:t>
      </w:r>
      <w:r w:rsidR="00700DEA">
        <w:t xml:space="preserve"> </w:t>
      </w:r>
      <w:r w:rsidR="00700DEA">
        <w:rPr>
          <w:lang w:val="en-US"/>
        </w:rPr>
        <w:t>deSPAC</w:t>
      </w:r>
      <w:r w:rsidR="00700DEA">
        <w:t xml:space="preserve"> </w:t>
      </w:r>
      <w:r w:rsidR="00BC44DE">
        <w:t>являлась отрицательной, о чем свидетел</w:t>
      </w:r>
      <w:r w:rsidR="00051225">
        <w:t xml:space="preserve">ьствую оценки </w:t>
      </w:r>
      <w:r w:rsidR="00051225">
        <w:lastRenderedPageBreak/>
        <w:t>средн</w:t>
      </w:r>
      <w:r w:rsidR="004F1EF0">
        <w:t>их</w:t>
      </w:r>
      <w:r w:rsidR="00051225">
        <w:t xml:space="preserve"> доходностей </w:t>
      </w:r>
      <w:r w:rsidR="00782C06">
        <w:rPr>
          <w:lang w:val="en-US"/>
        </w:rPr>
        <w:t>deSPAC</w:t>
      </w:r>
      <w:r w:rsidR="00D8343C">
        <w:t>, а также б</w:t>
      </w:r>
      <w:r w:rsidR="002749BB">
        <w:t xml:space="preserve">о́льшее отставание от рыночной доходности в сравнении с традиционными </w:t>
      </w:r>
      <w:r w:rsidR="002749BB">
        <w:rPr>
          <w:lang w:val="en-US"/>
        </w:rPr>
        <w:t>IPO</w:t>
      </w:r>
      <w:r w:rsidR="002749BB">
        <w:t xml:space="preserve">. </w:t>
      </w:r>
      <w:r w:rsidR="00D35903">
        <w:t xml:space="preserve">Если мы рассмотрим период </w:t>
      </w:r>
      <w:r w:rsidR="0015223A">
        <w:t xml:space="preserve">до поглощения, </w:t>
      </w:r>
      <w:r w:rsidR="00692668">
        <w:t xml:space="preserve">то есть </w:t>
      </w:r>
      <w:r w:rsidR="00692668">
        <w:rPr>
          <w:lang w:val="en-US"/>
        </w:rPr>
        <w:t>SPAC</w:t>
      </w:r>
      <w:r w:rsidR="00692668">
        <w:t xml:space="preserve">-период, </w:t>
      </w:r>
      <w:r w:rsidR="00844C90">
        <w:t xml:space="preserve">то становится сложно сформулировать однозначные выводы о результативности </w:t>
      </w:r>
      <w:r w:rsidR="00F7004A">
        <w:rPr>
          <w:lang w:val="en-US"/>
        </w:rPr>
        <w:t>SPAC</w:t>
      </w:r>
      <w:r w:rsidR="00F7004A">
        <w:t xml:space="preserve">, поскольку </w:t>
      </w:r>
      <w:r w:rsidR="00AF7AD7">
        <w:t xml:space="preserve">доходность </w:t>
      </w:r>
      <w:r w:rsidR="00024605">
        <w:t xml:space="preserve">акций </w:t>
      </w:r>
      <w:r w:rsidR="00AF7AD7">
        <w:t xml:space="preserve">компаний, ищущих таргет, </w:t>
      </w:r>
      <w:r w:rsidR="00F643A7">
        <w:t xml:space="preserve">ранее </w:t>
      </w:r>
      <w:r w:rsidR="00AF7AD7">
        <w:t xml:space="preserve">не сопоставлялась ни с рынком, ни с каким-либо бенчмарком. </w:t>
      </w:r>
      <w:r w:rsidR="003B1AB7">
        <w:t xml:space="preserve">Доходность </w:t>
      </w:r>
      <w:r w:rsidR="000E239D">
        <w:t xml:space="preserve">инвестиций в </w:t>
      </w:r>
      <w:r w:rsidR="003B1AB7">
        <w:rPr>
          <w:lang w:val="en-US"/>
        </w:rPr>
        <w:t>SPAC</w:t>
      </w:r>
      <w:r w:rsidR="003B1AB7">
        <w:t xml:space="preserve"> </w:t>
      </w:r>
      <w:r w:rsidR="00311F8F">
        <w:t>до сделки является положительной</w:t>
      </w:r>
      <w:r w:rsidR="00EF6CEE">
        <w:t xml:space="preserve"> </w:t>
      </w:r>
      <w:r w:rsidR="00EF6CEE" w:rsidRPr="00FD7061">
        <w:t>[</w:t>
      </w:r>
      <w:proofErr w:type="spellStart"/>
      <w:r w:rsidR="00EF6CEE" w:rsidRPr="00FD7061">
        <w:t>Gahng</w:t>
      </w:r>
      <w:proofErr w:type="spellEnd"/>
      <w:r w:rsidR="00EF6CEE" w:rsidRPr="00FD7061">
        <w:t xml:space="preserve">, </w:t>
      </w:r>
      <w:proofErr w:type="spellStart"/>
      <w:r w:rsidR="00EF6CEE" w:rsidRPr="00FD7061">
        <w:t>Ritter</w:t>
      </w:r>
      <w:proofErr w:type="spellEnd"/>
      <w:r w:rsidR="00EF6CEE" w:rsidRPr="00FD7061">
        <w:t xml:space="preserve">, </w:t>
      </w:r>
      <w:proofErr w:type="spellStart"/>
      <w:r w:rsidR="00EF6CEE" w:rsidRPr="00FD7061">
        <w:t>Zhang</w:t>
      </w:r>
      <w:proofErr w:type="spellEnd"/>
      <w:r w:rsidR="00EF6CEE" w:rsidRPr="00FD7061">
        <w:t xml:space="preserve"> 2021]</w:t>
      </w:r>
      <w:r w:rsidR="00311F8F">
        <w:t>, но нет оснований полагать</w:t>
      </w:r>
      <w:r w:rsidR="00A3385C">
        <w:t xml:space="preserve">, что она выше доходности </w:t>
      </w:r>
      <w:r w:rsidR="000E239D">
        <w:t xml:space="preserve">инвестиций в </w:t>
      </w:r>
      <w:r w:rsidR="00A3385C">
        <w:t>традиционн</w:t>
      </w:r>
      <w:r w:rsidR="000E239D">
        <w:t>ое</w:t>
      </w:r>
      <w:r w:rsidR="00A3385C">
        <w:t xml:space="preserve"> </w:t>
      </w:r>
      <w:r w:rsidR="00A3385C">
        <w:rPr>
          <w:lang w:val="en-US"/>
        </w:rPr>
        <w:t>IPO</w:t>
      </w:r>
      <w:r w:rsidR="00A3385C">
        <w:t xml:space="preserve">. </w:t>
      </w:r>
      <w:r w:rsidR="00DC33AA">
        <w:t xml:space="preserve">Такое сравнение необходимо, поскольку слияние со </w:t>
      </w:r>
      <w:r w:rsidR="00DC33AA">
        <w:rPr>
          <w:lang w:val="en-US"/>
        </w:rPr>
        <w:t>SPAC</w:t>
      </w:r>
      <w:r w:rsidR="00DC33AA">
        <w:t xml:space="preserve"> и традиционное </w:t>
      </w:r>
      <w:r w:rsidR="00DC33AA">
        <w:rPr>
          <w:lang w:val="en-US"/>
        </w:rPr>
        <w:t>IPO</w:t>
      </w:r>
      <w:r w:rsidR="00DC33AA">
        <w:t xml:space="preserve"> являются альтернативными способами выхода на биржу</w:t>
      </w:r>
      <w:r w:rsidR="009A7875">
        <w:t xml:space="preserve">, именно поэтому </w:t>
      </w:r>
      <w:r w:rsidR="009A7875">
        <w:rPr>
          <w:lang w:val="en-US"/>
        </w:rPr>
        <w:t>IPO</w:t>
      </w:r>
      <w:r w:rsidR="009A7875">
        <w:t xml:space="preserve"> является наилучшим бенчмарком для оценивания результативности </w:t>
      </w:r>
      <w:proofErr w:type="spellStart"/>
      <w:r w:rsidR="009A7875">
        <w:t>инвестиий</w:t>
      </w:r>
      <w:proofErr w:type="spellEnd"/>
      <w:r w:rsidR="009A7875">
        <w:t xml:space="preserve"> в </w:t>
      </w:r>
      <w:r w:rsidR="009A7875">
        <w:rPr>
          <w:lang w:val="en-US"/>
        </w:rPr>
        <w:t>SPAC</w:t>
      </w:r>
      <w:r w:rsidR="009A7875">
        <w:t xml:space="preserve">. </w:t>
      </w:r>
      <w:r w:rsidR="00E34ABC">
        <w:t xml:space="preserve">В рамках данной работы будет выдвинуты гипотеза, что доходность акций </w:t>
      </w:r>
      <w:r w:rsidR="00E34ABC">
        <w:rPr>
          <w:lang w:val="en-US"/>
        </w:rPr>
        <w:t>SPAC</w:t>
      </w:r>
      <w:r w:rsidR="00E34ABC">
        <w:t xml:space="preserve"> до поглощения выше доходности </w:t>
      </w:r>
      <w:r w:rsidR="001E3064">
        <w:t xml:space="preserve">инвестиций в </w:t>
      </w:r>
      <w:r w:rsidR="001E3064">
        <w:rPr>
          <w:lang w:val="en-US"/>
        </w:rPr>
        <w:t>IPO</w:t>
      </w:r>
      <w:r w:rsidR="0092413F">
        <w:t xml:space="preserve"> за счет наличия права </w:t>
      </w:r>
      <w:r w:rsidR="003B42C1">
        <w:t>инвестора предъявить акции к выкупу и продажи варрантов</w:t>
      </w:r>
      <w:r w:rsidR="000B47F5">
        <w:t>.</w:t>
      </w:r>
    </w:p>
    <w:p w14:paraId="3CDDF860" w14:textId="3DD9E859" w:rsidR="00804DB6" w:rsidRPr="005A3F5F" w:rsidRDefault="000D54D0" w:rsidP="005A3F5F">
      <w:pPr>
        <w:rPr>
          <w:b/>
          <w:bCs/>
        </w:rPr>
      </w:pPr>
      <w:r>
        <w:rPr>
          <w:b/>
          <w:bCs/>
          <w:lang w:val="en-US"/>
        </w:rPr>
        <w:t>H</w:t>
      </w:r>
      <w:r w:rsidRPr="0010451F">
        <w:rPr>
          <w:b/>
          <w:bCs/>
        </w:rPr>
        <w:t>1</w:t>
      </w:r>
      <w:r w:rsidR="005A3F5F">
        <w:rPr>
          <w:b/>
          <w:bCs/>
        </w:rPr>
        <w:t xml:space="preserve">: </w:t>
      </w:r>
      <w:r w:rsidR="00804DB6">
        <w:t xml:space="preserve">Доходность инвестиций в </w:t>
      </w:r>
      <w:r w:rsidR="00804DB6">
        <w:rPr>
          <w:lang w:val="en-US"/>
        </w:rPr>
        <w:t>SPAC</w:t>
      </w:r>
      <w:r w:rsidR="00804DB6">
        <w:t xml:space="preserve"> </w:t>
      </w:r>
      <w:r w:rsidR="00303F81">
        <w:t>до погл</w:t>
      </w:r>
      <w:r w:rsidR="00D52F7F">
        <w:t>ощения</w:t>
      </w:r>
      <w:r w:rsidR="005A3F5F">
        <w:t xml:space="preserve"> в годовом выражении</w:t>
      </w:r>
      <w:r w:rsidR="00D52F7F">
        <w:t xml:space="preserve"> выше, чем доходность инвестиций в классическое </w:t>
      </w:r>
      <w:r w:rsidR="00D52F7F">
        <w:rPr>
          <w:lang w:val="en-US"/>
        </w:rPr>
        <w:t>IPO</w:t>
      </w:r>
      <w:r w:rsidR="005A3F5F">
        <w:t xml:space="preserve"> в годовом выражении</w:t>
      </w:r>
      <w:r w:rsidR="00D52F7F">
        <w:t>.</w:t>
      </w:r>
    </w:p>
    <w:p w14:paraId="2D0CEDB4" w14:textId="3C6AB4EE" w:rsidR="00D52F7F" w:rsidRPr="00BC4F37" w:rsidRDefault="005A3F5F" w:rsidP="005A3F5F">
      <w:r>
        <w:rPr>
          <w:b/>
          <w:bCs/>
          <w:lang w:val="en-US"/>
        </w:rPr>
        <w:t>H</w:t>
      </w:r>
      <w:r w:rsidR="0088533E">
        <w:rPr>
          <w:b/>
          <w:bCs/>
        </w:rPr>
        <w:t>2</w:t>
      </w:r>
      <w:r>
        <w:rPr>
          <w:b/>
          <w:bCs/>
        </w:rPr>
        <w:t xml:space="preserve">: </w:t>
      </w:r>
      <w:r w:rsidR="00D52F7F">
        <w:t xml:space="preserve">Доходность акций </w:t>
      </w:r>
      <w:r w:rsidR="00D52F7F">
        <w:rPr>
          <w:lang w:val="en-US"/>
        </w:rPr>
        <w:t>deSPAC</w:t>
      </w:r>
      <w:r w:rsidR="00D52F7F">
        <w:t xml:space="preserve"> ниже доходности компаний, вышедших </w:t>
      </w:r>
      <w:r w:rsidR="00BC4F37">
        <w:t xml:space="preserve">на биржу через классическое </w:t>
      </w:r>
      <w:r w:rsidR="00BC4F37">
        <w:rPr>
          <w:lang w:val="en-US"/>
        </w:rPr>
        <w:t>IPO</w:t>
      </w:r>
      <w:r w:rsidR="00BC4F37">
        <w:t>, на промежутках 1 год, 3 года.</w:t>
      </w:r>
    </w:p>
    <w:p w14:paraId="2138E5BC" w14:textId="12CA1849" w:rsidR="003B25C5" w:rsidRPr="00D90A37" w:rsidRDefault="003D26A3" w:rsidP="003B25C5">
      <w:r>
        <w:t>Варранты</w:t>
      </w:r>
      <w:r w:rsidR="006A743B">
        <w:t xml:space="preserve"> являются </w:t>
      </w:r>
      <w:r w:rsidR="00FA5D27">
        <w:t>привлекательным факт</w:t>
      </w:r>
      <w:r w:rsidR="00617C4F">
        <w:t xml:space="preserve">ором вложений в </w:t>
      </w:r>
      <w:r w:rsidR="00617C4F">
        <w:rPr>
          <w:lang w:val="en-US"/>
        </w:rPr>
        <w:t>SPAC</w:t>
      </w:r>
      <w:r w:rsidR="00617C4F">
        <w:t>: первоначальные инвесторы</w:t>
      </w:r>
      <w:r w:rsidR="00865D80">
        <w:t xml:space="preserve"> </w:t>
      </w:r>
      <w:r w:rsidR="00865D80">
        <w:rPr>
          <w:lang w:val="en-US"/>
        </w:rPr>
        <w:t>SPAC</w:t>
      </w:r>
      <w:r w:rsidR="00617C4F">
        <w:t xml:space="preserve"> инвестируют </w:t>
      </w:r>
      <w:r w:rsidR="00CE6169">
        <w:t xml:space="preserve">в юниты, в котором содержится доля варранта на покупку акций </w:t>
      </w:r>
      <w:r w:rsidR="00CE6169">
        <w:rPr>
          <w:lang w:val="en-US"/>
        </w:rPr>
        <w:t>SPAC</w:t>
      </w:r>
      <w:r w:rsidR="00CE6169">
        <w:t xml:space="preserve">. </w:t>
      </w:r>
      <w:r w:rsidR="001C6766">
        <w:t xml:space="preserve">При разделении юнита </w:t>
      </w:r>
      <w:r w:rsidR="004D0D98">
        <w:t xml:space="preserve">инвестор получает обыкновенные акции и варрант, который впоследствии может продать или исполнить, что генерирует дополнительную ценность. </w:t>
      </w:r>
      <w:r w:rsidR="008511C4">
        <w:t xml:space="preserve">Распоряжение варрантами в период </w:t>
      </w:r>
      <w:r w:rsidR="008511C4">
        <w:rPr>
          <w:lang w:val="en-US"/>
        </w:rPr>
        <w:t>SPAC</w:t>
      </w:r>
      <w:r w:rsidR="008511C4">
        <w:t xml:space="preserve"> было затронуто в первой гипотезе,</w:t>
      </w:r>
      <w:r w:rsidR="006F0871">
        <w:t xml:space="preserve"> где </w:t>
      </w:r>
      <w:r w:rsidR="0094711A">
        <w:t xml:space="preserve">стоимость </w:t>
      </w:r>
      <w:r w:rsidR="004E7E9A">
        <w:t>варрант</w:t>
      </w:r>
      <w:r w:rsidR="0094711A">
        <w:t>а</w:t>
      </w:r>
      <w:r w:rsidR="004E7E9A">
        <w:t xml:space="preserve"> был</w:t>
      </w:r>
      <w:r w:rsidR="0094711A">
        <w:t>а</w:t>
      </w:r>
      <w:r w:rsidR="004E7E9A">
        <w:t xml:space="preserve"> </w:t>
      </w:r>
      <w:r w:rsidR="0094711A">
        <w:t>«</w:t>
      </w:r>
      <w:r w:rsidR="004E7E9A">
        <w:t>внедрен</w:t>
      </w:r>
      <w:r w:rsidR="00C03520">
        <w:t>а</w:t>
      </w:r>
      <w:r w:rsidR="0094711A">
        <w:t>»</w:t>
      </w:r>
      <w:r w:rsidR="004E7E9A">
        <w:t xml:space="preserve"> в ценность инвестиций</w:t>
      </w:r>
      <w:r w:rsidR="008511C4">
        <w:t xml:space="preserve"> </w:t>
      </w:r>
      <w:r w:rsidR="00C03520">
        <w:t xml:space="preserve">в </w:t>
      </w:r>
      <w:r w:rsidR="00C03520">
        <w:rPr>
          <w:lang w:val="en-US"/>
        </w:rPr>
        <w:t>SPAC</w:t>
      </w:r>
      <w:r w:rsidR="00C03520">
        <w:t>, так как инвестор в ходе размещения покупает юнит, содержащий долю варранта</w:t>
      </w:r>
      <w:r w:rsidR="00D720A3">
        <w:t xml:space="preserve">, а после разделения юнита на акции и варранты </w:t>
      </w:r>
      <w:r w:rsidR="004D3501">
        <w:t>инвестор может продать варранты.</w:t>
      </w:r>
      <w:r w:rsidR="00C03520">
        <w:t xml:space="preserve"> </w:t>
      </w:r>
      <w:r w:rsidR="00F048C7">
        <w:t xml:space="preserve">В следующей гипотезе </w:t>
      </w:r>
      <w:r w:rsidR="008511C4">
        <w:t xml:space="preserve">будет сделан акцент на периоде </w:t>
      </w:r>
      <w:r w:rsidR="008511C4">
        <w:rPr>
          <w:lang w:val="en-US"/>
        </w:rPr>
        <w:t>deSPAC</w:t>
      </w:r>
      <w:r w:rsidR="008511C4">
        <w:t>, когда инвестор</w:t>
      </w:r>
      <w:r w:rsidR="000F4874">
        <w:t xml:space="preserve"> покупает варрант </w:t>
      </w:r>
      <w:r w:rsidR="00F72704">
        <w:t xml:space="preserve">по цене закрытия </w:t>
      </w:r>
      <w:r w:rsidR="000F4874">
        <w:t xml:space="preserve">в день поглощения и продает </w:t>
      </w:r>
      <w:r w:rsidR="00293975">
        <w:t>через 1 год.</w:t>
      </w:r>
      <w:r w:rsidR="00E071BF">
        <w:t xml:space="preserve"> </w:t>
      </w:r>
      <w:r w:rsidR="00D267F6">
        <w:t>Исследования</w:t>
      </w:r>
      <w:r w:rsidR="005A16FE">
        <w:t xml:space="preserve"> </w:t>
      </w:r>
      <w:r w:rsidR="00FD7061" w:rsidRPr="00FD7061">
        <w:t>[</w:t>
      </w:r>
      <w:proofErr w:type="spellStart"/>
      <w:r w:rsidR="00FD7061" w:rsidRPr="00FD7061">
        <w:t>Gahng</w:t>
      </w:r>
      <w:proofErr w:type="spellEnd"/>
      <w:r w:rsidR="00FD7061" w:rsidRPr="00FD7061">
        <w:t xml:space="preserve">, </w:t>
      </w:r>
      <w:proofErr w:type="spellStart"/>
      <w:r w:rsidR="00FD7061" w:rsidRPr="00FD7061">
        <w:t>Ritter</w:t>
      </w:r>
      <w:proofErr w:type="spellEnd"/>
      <w:r w:rsidR="00FD7061" w:rsidRPr="00FD7061">
        <w:t xml:space="preserve">, </w:t>
      </w:r>
      <w:proofErr w:type="spellStart"/>
      <w:r w:rsidR="00FD7061" w:rsidRPr="00FD7061">
        <w:t>Zhang</w:t>
      </w:r>
      <w:proofErr w:type="spellEnd"/>
      <w:r w:rsidR="00FD7061" w:rsidRPr="00FD7061">
        <w:t xml:space="preserve"> 2021]</w:t>
      </w:r>
      <w:r w:rsidR="00D267F6">
        <w:t xml:space="preserve"> показывают</w:t>
      </w:r>
      <w:r w:rsidR="005A16FE">
        <w:t xml:space="preserve">, доходность </w:t>
      </w:r>
      <w:r w:rsidR="00772A41">
        <w:t xml:space="preserve">варрантов </w:t>
      </w:r>
      <w:r w:rsidR="001C105D">
        <w:rPr>
          <w:lang w:val="en-US"/>
        </w:rPr>
        <w:t>de</w:t>
      </w:r>
      <w:r w:rsidR="00772A41">
        <w:rPr>
          <w:lang w:val="en-US"/>
        </w:rPr>
        <w:t>SPAC</w:t>
      </w:r>
      <w:r w:rsidR="00772A41">
        <w:t xml:space="preserve"> выше доходности акций </w:t>
      </w:r>
      <w:r w:rsidR="001C105D">
        <w:rPr>
          <w:lang w:val="en-US"/>
        </w:rPr>
        <w:t>de</w:t>
      </w:r>
      <w:r w:rsidR="00772A41">
        <w:rPr>
          <w:lang w:val="en-US"/>
        </w:rPr>
        <w:t>SPAC</w:t>
      </w:r>
      <w:r w:rsidR="00772A41">
        <w:t xml:space="preserve">, но действительно ли </w:t>
      </w:r>
      <w:r w:rsidR="009A77D5">
        <w:t xml:space="preserve">варранты показывают более высокую результативность в сравнении с бенчмарком? </w:t>
      </w:r>
      <w:r w:rsidR="0019366F">
        <w:t xml:space="preserve">В рамках работы выдвинем гипотезу, что </w:t>
      </w:r>
      <w:r w:rsidR="00D90A37">
        <w:t xml:space="preserve">инвестиции в варранты </w:t>
      </w:r>
      <w:r w:rsidR="00D90A37">
        <w:rPr>
          <w:lang w:val="en-US"/>
        </w:rPr>
        <w:t>SPAC</w:t>
      </w:r>
      <w:r w:rsidR="00D90A37">
        <w:t xml:space="preserve"> после поглощения являются более результативными, чем инвестиции в традиционное </w:t>
      </w:r>
      <w:r w:rsidR="00D90A37">
        <w:rPr>
          <w:lang w:val="en-US"/>
        </w:rPr>
        <w:t>IPO</w:t>
      </w:r>
      <w:r w:rsidR="00D90A37">
        <w:t>.</w:t>
      </w:r>
    </w:p>
    <w:p w14:paraId="1C3E8B64" w14:textId="525C6F48" w:rsidR="0010451F" w:rsidRPr="00B75819" w:rsidRDefault="0010451F" w:rsidP="00D22CA1">
      <w:r>
        <w:rPr>
          <w:b/>
          <w:bCs/>
          <w:lang w:val="en-US"/>
        </w:rPr>
        <w:t>H</w:t>
      </w:r>
      <w:r w:rsidR="00F85B8E" w:rsidRPr="00F85B8E">
        <w:rPr>
          <w:b/>
          <w:bCs/>
        </w:rPr>
        <w:t>3</w:t>
      </w:r>
      <w:r w:rsidRPr="00585917">
        <w:rPr>
          <w:b/>
          <w:bCs/>
        </w:rPr>
        <w:t>:</w:t>
      </w:r>
      <w:r w:rsidR="00585917">
        <w:rPr>
          <w:b/>
          <w:bCs/>
        </w:rPr>
        <w:t xml:space="preserve"> </w:t>
      </w:r>
      <w:r w:rsidR="006A70EA">
        <w:t xml:space="preserve">инвестиции в </w:t>
      </w:r>
      <w:r w:rsidR="002B4708">
        <w:t xml:space="preserve">варранты </w:t>
      </w:r>
      <w:r w:rsidR="002B4708">
        <w:rPr>
          <w:lang w:val="en-US"/>
        </w:rPr>
        <w:t>SPAC</w:t>
      </w:r>
      <w:r w:rsidR="002B4708">
        <w:t xml:space="preserve"> показывают более высокую доходность, чем инвестиции в традиционное </w:t>
      </w:r>
      <w:r w:rsidR="002B4708">
        <w:rPr>
          <w:lang w:val="en-US"/>
        </w:rPr>
        <w:t>IPO</w:t>
      </w:r>
      <w:r w:rsidR="002B4708">
        <w:t>.</w:t>
      </w:r>
    </w:p>
    <w:p w14:paraId="20E1EC8F" w14:textId="275BF35C" w:rsidR="00D11BF1" w:rsidRPr="00C72F50" w:rsidRDefault="00BB5622" w:rsidP="00D22CA1">
      <w:r>
        <w:t xml:space="preserve">Исследования результативности </w:t>
      </w:r>
      <w:r w:rsidR="003E2EC2">
        <w:rPr>
          <w:lang w:val="en-US"/>
        </w:rPr>
        <w:t>de</w:t>
      </w:r>
      <w:r>
        <w:rPr>
          <w:lang w:val="en-US"/>
        </w:rPr>
        <w:t>SPAC</w:t>
      </w:r>
      <w:r>
        <w:t xml:space="preserve"> показали, что </w:t>
      </w:r>
      <w:r w:rsidR="004345AD">
        <w:t xml:space="preserve">долгосрочная доходность таких компаний является отрицательной. </w:t>
      </w:r>
      <w:r w:rsidR="001C50DC">
        <w:t xml:space="preserve">Необходимо </w:t>
      </w:r>
      <w:r w:rsidR="005440AA">
        <w:t xml:space="preserve">сравнить доходность акций </w:t>
      </w:r>
      <w:r w:rsidR="005440AA">
        <w:rPr>
          <w:lang w:val="en-US"/>
        </w:rPr>
        <w:t>deSPAC</w:t>
      </w:r>
      <w:r w:rsidR="005440AA">
        <w:t xml:space="preserve"> с доходностью рынка</w:t>
      </w:r>
      <w:r w:rsidR="00C72F50">
        <w:t>.</w:t>
      </w:r>
    </w:p>
    <w:p w14:paraId="45CF77BF" w14:textId="5F68F975" w:rsidR="00585917" w:rsidRDefault="00585917" w:rsidP="00D22CA1">
      <w:r>
        <w:rPr>
          <w:b/>
          <w:bCs/>
          <w:lang w:val="en-US"/>
        </w:rPr>
        <w:lastRenderedPageBreak/>
        <w:t>H</w:t>
      </w:r>
      <w:r w:rsidR="0094136D" w:rsidRPr="0094136D">
        <w:rPr>
          <w:b/>
          <w:bCs/>
        </w:rPr>
        <w:t>4</w:t>
      </w:r>
      <w:r w:rsidRPr="00AD21D4">
        <w:rPr>
          <w:b/>
          <w:bCs/>
        </w:rPr>
        <w:t xml:space="preserve">: </w:t>
      </w:r>
      <w:r w:rsidR="00430FA0">
        <w:rPr>
          <w:lang w:val="en-US"/>
        </w:rPr>
        <w:t>deSPAC</w:t>
      </w:r>
      <w:r w:rsidR="00F76AD8" w:rsidRPr="00231C6E">
        <w:t xml:space="preserve"> </w:t>
      </w:r>
      <w:r w:rsidR="00F76AD8">
        <w:t xml:space="preserve">сделки </w:t>
      </w:r>
      <w:r w:rsidR="00592B85">
        <w:t>в среднем генерируют отрицательную</w:t>
      </w:r>
      <w:r w:rsidR="00231C6E">
        <w:t xml:space="preserve"> сверхдоходность</w:t>
      </w:r>
      <w:r w:rsidR="00AD21D4" w:rsidRPr="00AD21D4">
        <w:t>.</w:t>
      </w:r>
    </w:p>
    <w:p w14:paraId="7EA95A1B" w14:textId="41976CFA" w:rsidR="00BE6F99" w:rsidRPr="00BA7068" w:rsidRDefault="00730E5E" w:rsidP="00BE6F99">
      <w:r>
        <w:t xml:space="preserve">Ряд исследователей </w:t>
      </w:r>
      <w:r>
        <w:rPr>
          <w:lang w:val="en-US"/>
        </w:rPr>
        <w:t>SPAC</w:t>
      </w:r>
      <w:r>
        <w:t xml:space="preserve"> обнаруживали наличие взаимосвязи результативности </w:t>
      </w:r>
      <w:r w:rsidR="00DE262A">
        <w:t xml:space="preserve">инвестиций в </w:t>
      </w:r>
      <w:r>
        <w:rPr>
          <w:lang w:val="en-US"/>
        </w:rPr>
        <w:t>SPAC</w:t>
      </w:r>
      <w:r>
        <w:t xml:space="preserve"> с рядом </w:t>
      </w:r>
      <w:r w:rsidR="00865862">
        <w:t xml:space="preserve">факторов. </w:t>
      </w:r>
      <w:r w:rsidR="00CE31B1">
        <w:t>Ко</w:t>
      </w:r>
      <w:r w:rsidR="006C5573">
        <w:t xml:space="preserve">личество </w:t>
      </w:r>
      <w:r w:rsidR="009A421C">
        <w:t>предъявленных</w:t>
      </w:r>
      <w:r w:rsidR="006C5573">
        <w:t xml:space="preserve"> акций</w:t>
      </w:r>
      <w:r w:rsidR="009A421C">
        <w:t xml:space="preserve"> к выкупу</w:t>
      </w:r>
      <w:r w:rsidR="006C5573">
        <w:t xml:space="preserve"> </w:t>
      </w:r>
      <w:r w:rsidR="00EE4B21">
        <w:t xml:space="preserve">свидетельствует о </w:t>
      </w:r>
      <w:r w:rsidR="00C52E0A">
        <w:t xml:space="preserve">том, как оценивают инвесторы предстоящую сделку о поглощении: чем больше инвесторов предъявили своих акций к выкупу, тем </w:t>
      </w:r>
      <w:r w:rsidR="008810DB">
        <w:t xml:space="preserve">больше «недоверие» к поглощаемой компании, а значит </w:t>
      </w:r>
      <w:r w:rsidR="00A664F3">
        <w:t xml:space="preserve">дальнейшая </w:t>
      </w:r>
      <w:r w:rsidR="008810DB">
        <w:t xml:space="preserve">доходность акций </w:t>
      </w:r>
      <w:r w:rsidR="008810DB">
        <w:rPr>
          <w:lang w:val="en-US"/>
        </w:rPr>
        <w:t>deSPAC</w:t>
      </w:r>
      <w:r w:rsidR="008810DB">
        <w:t xml:space="preserve"> может быть ниже. </w:t>
      </w:r>
      <w:r w:rsidR="001B1EDA">
        <w:t>Другим важным показателем является время между</w:t>
      </w:r>
      <w:r w:rsidR="00A664F3">
        <w:t xml:space="preserve"> датой проведения</w:t>
      </w:r>
      <w:r w:rsidR="001B1EDA">
        <w:t xml:space="preserve"> </w:t>
      </w:r>
      <w:r w:rsidR="00465C83">
        <w:rPr>
          <w:lang w:val="en-US"/>
        </w:rPr>
        <w:t>IPO</w:t>
      </w:r>
      <w:r w:rsidR="00465C83" w:rsidRPr="00465C83">
        <w:t xml:space="preserve"> </w:t>
      </w:r>
      <w:r w:rsidR="00465C83">
        <w:rPr>
          <w:lang w:val="en-US"/>
        </w:rPr>
        <w:t>SPAC</w:t>
      </w:r>
      <w:r w:rsidR="00465C83">
        <w:t xml:space="preserve"> и датой завершения сделки поглощения. Длительный поиск таргета </w:t>
      </w:r>
      <w:r w:rsidR="00A47B7C">
        <w:t>может свидетельствовать</w:t>
      </w:r>
      <w:r w:rsidR="00465C83">
        <w:t xml:space="preserve"> </w:t>
      </w:r>
      <w:r w:rsidR="00A47B7C">
        <w:t>об отсутствии достойных кандидатов для поглощения</w:t>
      </w:r>
      <w:r w:rsidR="00BD45AD">
        <w:t>. В случае долго</w:t>
      </w:r>
      <w:r w:rsidR="00595C79">
        <w:t>го</w:t>
      </w:r>
      <w:r w:rsidR="00BD45AD">
        <w:t xml:space="preserve"> поиска </w:t>
      </w:r>
      <w:r w:rsidR="00595C79">
        <w:t>в итоге</w:t>
      </w:r>
      <w:r w:rsidR="00BD45AD">
        <w:t xml:space="preserve"> может быть одобрена не столь перспективная компания, поскольку при ликвидации </w:t>
      </w:r>
      <w:r w:rsidR="00BD45AD">
        <w:rPr>
          <w:lang w:val="en-US"/>
        </w:rPr>
        <w:t>SPAC</w:t>
      </w:r>
      <w:r w:rsidR="00BD45AD">
        <w:t xml:space="preserve"> собственники теряют </w:t>
      </w:r>
      <w:r w:rsidR="00595C79">
        <w:t>деньги. Поэтому связь между длиной такого временного интервала</w:t>
      </w:r>
      <w:r w:rsidR="00522E96">
        <w:t xml:space="preserve"> до сделки</w:t>
      </w:r>
      <w:r w:rsidR="00595C79">
        <w:t xml:space="preserve"> и доходностью</w:t>
      </w:r>
      <w:r w:rsidR="00522E96">
        <w:t xml:space="preserve"> акций</w:t>
      </w:r>
      <w:r w:rsidR="00595C79">
        <w:t xml:space="preserve"> </w:t>
      </w:r>
      <w:r w:rsidR="00595C79">
        <w:rPr>
          <w:lang w:val="en-US"/>
        </w:rPr>
        <w:t>deSPAC</w:t>
      </w:r>
      <w:r w:rsidR="00595C79" w:rsidRPr="00595C79">
        <w:t xml:space="preserve"> </w:t>
      </w:r>
      <w:r w:rsidR="00595C79">
        <w:t>является отр</w:t>
      </w:r>
      <w:r w:rsidR="004062C2">
        <w:t xml:space="preserve">ицательной. </w:t>
      </w:r>
      <w:r w:rsidR="009321BB">
        <w:t>Величина процентной комиссии</w:t>
      </w:r>
      <w:r w:rsidR="00A57F79">
        <w:t xml:space="preserve"> андеррайтерам</w:t>
      </w:r>
      <w:r w:rsidR="009321BB">
        <w:t xml:space="preserve"> вероятно будет негативно воздействовать на результативность </w:t>
      </w:r>
      <w:r w:rsidR="009321BB">
        <w:rPr>
          <w:lang w:val="en-US"/>
        </w:rPr>
        <w:t>deSPAC</w:t>
      </w:r>
      <w:r w:rsidR="009321BB">
        <w:t xml:space="preserve">, поскольку </w:t>
      </w:r>
      <w:r w:rsidR="00C50E20">
        <w:t xml:space="preserve">менеджеры </w:t>
      </w:r>
      <w:r w:rsidR="00C50E20">
        <w:rPr>
          <w:lang w:val="en-US"/>
        </w:rPr>
        <w:t>SPAC</w:t>
      </w:r>
      <w:r w:rsidR="00C50E20">
        <w:t xml:space="preserve"> будут сильнее мотивированы в </w:t>
      </w:r>
      <w:r w:rsidR="00DA760B">
        <w:t>принципе</w:t>
      </w:r>
      <w:r w:rsidR="00C50E20">
        <w:t xml:space="preserve"> найти </w:t>
      </w:r>
      <w:r w:rsidR="00DA760B">
        <w:t>компанию-</w:t>
      </w:r>
      <w:r w:rsidR="00C50E20">
        <w:t xml:space="preserve">таргет, а не найти привлекательный </w:t>
      </w:r>
      <w:r w:rsidR="00DA760B">
        <w:t xml:space="preserve">для сделки поглощения </w:t>
      </w:r>
      <w:r w:rsidR="00C50E20">
        <w:t xml:space="preserve">бизнес, </w:t>
      </w:r>
      <w:r w:rsidR="00BE6F99">
        <w:t>так как</w:t>
      </w:r>
      <w:r w:rsidR="00C50E20">
        <w:t xml:space="preserve"> </w:t>
      </w:r>
      <w:r w:rsidR="00BE6F99">
        <w:t>им будет крайне необходимо окупить свои</w:t>
      </w:r>
      <w:r w:rsidR="009E6FDE">
        <w:t xml:space="preserve"> изначальные</w:t>
      </w:r>
      <w:r w:rsidR="00BE6F99">
        <w:t xml:space="preserve"> инвестиции</w:t>
      </w:r>
      <w:r w:rsidR="009E6FDE">
        <w:t xml:space="preserve"> в создание </w:t>
      </w:r>
      <w:r w:rsidR="009E6FDE">
        <w:rPr>
          <w:lang w:val="en-US"/>
        </w:rPr>
        <w:t>SPAC</w:t>
      </w:r>
      <w:r w:rsidR="00BE6F99">
        <w:t>. Положительн</w:t>
      </w:r>
      <w:r w:rsidR="00461F7F">
        <w:t xml:space="preserve">ая взаимосвязь доходности </w:t>
      </w:r>
      <w:r w:rsidR="00461F7F">
        <w:rPr>
          <w:lang w:val="en-US"/>
        </w:rPr>
        <w:t>deSPAC</w:t>
      </w:r>
      <w:r w:rsidR="00461F7F">
        <w:t xml:space="preserve"> может наблюдаться с характеристиками спонсоров, менеджеров (если менеджеры не являются спонсорами) и андеррайтерами. Ввиду сложности</w:t>
      </w:r>
      <w:r w:rsidR="00B9185F">
        <w:t xml:space="preserve"> нахождения информации по определенным характеристикам </w:t>
      </w:r>
      <w:r w:rsidR="00B9185F">
        <w:rPr>
          <w:lang w:val="en-US"/>
        </w:rPr>
        <w:t>SPAC</w:t>
      </w:r>
      <w:r w:rsidR="00B9185F">
        <w:t xml:space="preserve">, данная работа будет сфокусирована </w:t>
      </w:r>
      <w:r w:rsidR="00AF475C">
        <w:t xml:space="preserve">на следующих факторах: количество менеджеров </w:t>
      </w:r>
      <w:r w:rsidR="00AF475C">
        <w:rPr>
          <w:lang w:val="en-US"/>
        </w:rPr>
        <w:t>SPAC</w:t>
      </w:r>
      <w:r w:rsidR="00AF475C">
        <w:t>, количество инвестиционных банков в синдикате андеррайтеров</w:t>
      </w:r>
      <w:r w:rsidR="00387C43">
        <w:t>, принадлежность андеррайтера к топ-10 инвестиционных банков в сфере заключения сделок</w:t>
      </w:r>
      <w:r w:rsidR="00317CF1">
        <w:t xml:space="preserve"> со</w:t>
      </w:r>
      <w:r w:rsidR="00387C43">
        <w:t xml:space="preserve"> </w:t>
      </w:r>
      <w:r w:rsidR="00387C43">
        <w:rPr>
          <w:lang w:val="en-US"/>
        </w:rPr>
        <w:t>SPAC</w:t>
      </w:r>
      <w:r w:rsidR="00CE1B3A">
        <w:t>.</w:t>
      </w:r>
      <w:r w:rsidR="009E6FDE">
        <w:t xml:space="preserve"> Соответст</w:t>
      </w:r>
      <w:r w:rsidR="00A67E8D">
        <w:t>венно формулируются следующие гипотезы.</w:t>
      </w:r>
    </w:p>
    <w:p w14:paraId="59DD1756" w14:textId="18D918A6" w:rsidR="00A10BCF" w:rsidRDefault="00AD21D4" w:rsidP="00522E96">
      <w:r>
        <w:rPr>
          <w:b/>
          <w:bCs/>
          <w:lang w:val="en-US"/>
        </w:rPr>
        <w:t>H</w:t>
      </w:r>
      <w:r w:rsidR="00AD2DDE" w:rsidRPr="00AD2DDE">
        <w:rPr>
          <w:b/>
          <w:bCs/>
        </w:rPr>
        <w:t>5</w:t>
      </w:r>
      <w:r w:rsidR="00522E96">
        <w:rPr>
          <w:b/>
          <w:bCs/>
        </w:rPr>
        <w:t xml:space="preserve">: </w:t>
      </w:r>
      <w:r w:rsidR="00B83501">
        <w:t xml:space="preserve">Годовая доходность </w:t>
      </w:r>
      <w:r w:rsidR="00B83501">
        <w:rPr>
          <w:lang w:val="en-US"/>
        </w:rPr>
        <w:t>deSPAC</w:t>
      </w:r>
      <w:r w:rsidR="00B83501">
        <w:t xml:space="preserve"> </w:t>
      </w:r>
      <w:r w:rsidR="005A7F13">
        <w:t>связана отрицательно</w:t>
      </w:r>
      <w:r w:rsidR="00B83501">
        <w:t xml:space="preserve"> с </w:t>
      </w:r>
      <w:r w:rsidR="004C17A6">
        <w:t>коэффициент</w:t>
      </w:r>
      <w:r w:rsidR="00237E03">
        <w:t>ом</w:t>
      </w:r>
      <w:r w:rsidR="004C17A6">
        <w:t xml:space="preserve"> </w:t>
      </w:r>
      <w:r w:rsidR="00237E03">
        <w:t>выкупа акци</w:t>
      </w:r>
      <w:r w:rsidR="00A10BCF">
        <w:t>й</w:t>
      </w:r>
      <w:r w:rsidR="00522E96">
        <w:t>.</w:t>
      </w:r>
    </w:p>
    <w:p w14:paraId="03EB6032" w14:textId="619FF749" w:rsidR="00A10BCF" w:rsidRDefault="00522E96" w:rsidP="00522E96">
      <w:r>
        <w:rPr>
          <w:b/>
          <w:bCs/>
          <w:lang w:val="en-US"/>
        </w:rPr>
        <w:t>H</w:t>
      </w:r>
      <w:r w:rsidR="000A17CC" w:rsidRPr="000A17CC">
        <w:rPr>
          <w:b/>
          <w:bCs/>
        </w:rPr>
        <w:t>6</w:t>
      </w:r>
      <w:r>
        <w:rPr>
          <w:b/>
          <w:bCs/>
        </w:rPr>
        <w:t xml:space="preserve">: </w:t>
      </w:r>
      <w:r w:rsidR="00A10BCF">
        <w:t xml:space="preserve">Годовая доходность </w:t>
      </w:r>
      <w:r w:rsidR="00A10BCF">
        <w:rPr>
          <w:lang w:val="en-US"/>
        </w:rPr>
        <w:t>deSPAC</w:t>
      </w:r>
      <w:r w:rsidR="00A10BCF">
        <w:t xml:space="preserve"> связана отрицательно с </w:t>
      </w:r>
      <w:r w:rsidR="004C17A6">
        <w:t>количество</w:t>
      </w:r>
      <w:r w:rsidR="00A10BCF">
        <w:t>м</w:t>
      </w:r>
      <w:r w:rsidR="004C17A6">
        <w:t xml:space="preserve"> месяцев между </w:t>
      </w:r>
      <w:r w:rsidR="00045D28">
        <w:rPr>
          <w:lang w:val="en-US"/>
        </w:rPr>
        <w:t>IPO</w:t>
      </w:r>
      <w:r w:rsidR="00045D28" w:rsidRPr="00045D28">
        <w:t xml:space="preserve"> </w:t>
      </w:r>
      <w:r w:rsidR="00045D28">
        <w:rPr>
          <w:lang w:val="en-US"/>
        </w:rPr>
        <w:t>SPAC</w:t>
      </w:r>
      <w:r w:rsidR="00045D28">
        <w:t xml:space="preserve"> и поглощением таргета</w:t>
      </w:r>
      <w:r>
        <w:t>.</w:t>
      </w:r>
    </w:p>
    <w:p w14:paraId="2C316217" w14:textId="32E3DCC0" w:rsidR="008A3081" w:rsidRDefault="00522E96" w:rsidP="00522E96">
      <w:r>
        <w:rPr>
          <w:b/>
          <w:bCs/>
          <w:lang w:val="en-US"/>
        </w:rPr>
        <w:t>H</w:t>
      </w:r>
      <w:r w:rsidR="000A17CC">
        <w:rPr>
          <w:b/>
          <w:bCs/>
        </w:rPr>
        <w:t>7</w:t>
      </w:r>
      <w:r>
        <w:rPr>
          <w:b/>
          <w:bCs/>
        </w:rPr>
        <w:t xml:space="preserve">: </w:t>
      </w:r>
      <w:r w:rsidR="00A10BCF">
        <w:t xml:space="preserve">Годовая доходность </w:t>
      </w:r>
      <w:r w:rsidR="00A10BCF">
        <w:rPr>
          <w:lang w:val="en-US"/>
        </w:rPr>
        <w:t>deSPAC</w:t>
      </w:r>
      <w:r w:rsidR="00A10BCF">
        <w:t xml:space="preserve"> связана отрицательно с </w:t>
      </w:r>
      <w:r w:rsidR="009A3755">
        <w:t>процентн</w:t>
      </w:r>
      <w:r w:rsidR="00A10BCF">
        <w:t>ой</w:t>
      </w:r>
      <w:r w:rsidR="009A3755">
        <w:t xml:space="preserve"> комисси</w:t>
      </w:r>
      <w:r w:rsidR="00A10BCF">
        <w:t>ей</w:t>
      </w:r>
      <w:r w:rsidR="009A3755">
        <w:t xml:space="preserve"> андеррайтера</w:t>
      </w:r>
      <w:r>
        <w:t>.</w:t>
      </w:r>
    </w:p>
    <w:p w14:paraId="087DAE61" w14:textId="4F68E909" w:rsidR="00954D8F" w:rsidRDefault="00522E96" w:rsidP="00D22CA1">
      <w:r>
        <w:rPr>
          <w:b/>
          <w:bCs/>
          <w:lang w:val="en-US"/>
        </w:rPr>
        <w:t>H</w:t>
      </w:r>
      <w:r w:rsidR="005A5FF6">
        <w:rPr>
          <w:b/>
          <w:bCs/>
        </w:rPr>
        <w:t>8</w:t>
      </w:r>
      <w:r>
        <w:rPr>
          <w:b/>
          <w:bCs/>
        </w:rPr>
        <w:t xml:space="preserve">: </w:t>
      </w:r>
      <w:r w:rsidR="009A3755">
        <w:t xml:space="preserve">Годовая доходность </w:t>
      </w:r>
      <w:r w:rsidR="009A3755">
        <w:rPr>
          <w:lang w:val="en-US"/>
        </w:rPr>
        <w:t>deSPAC</w:t>
      </w:r>
      <w:r w:rsidR="009A3755">
        <w:t xml:space="preserve"> </w:t>
      </w:r>
      <w:r w:rsidR="005A7F13">
        <w:t xml:space="preserve">связана положительно с </w:t>
      </w:r>
      <w:r w:rsidR="009419FE">
        <w:t>количество</w:t>
      </w:r>
      <w:r w:rsidR="00954D8F">
        <w:t>м</w:t>
      </w:r>
      <w:r w:rsidR="009419FE">
        <w:t xml:space="preserve"> менеджеров </w:t>
      </w:r>
      <w:r w:rsidR="009419FE">
        <w:rPr>
          <w:lang w:val="en-US"/>
        </w:rPr>
        <w:t>SPAC</w:t>
      </w:r>
      <w:r>
        <w:t>.</w:t>
      </w:r>
    </w:p>
    <w:p w14:paraId="0242188C" w14:textId="6081E8C6" w:rsidR="00954D8F" w:rsidRDefault="00522E96" w:rsidP="00D22CA1">
      <w:r>
        <w:rPr>
          <w:b/>
          <w:bCs/>
          <w:lang w:val="en-US"/>
        </w:rPr>
        <w:t>H</w:t>
      </w:r>
      <w:r w:rsidR="005A5FF6">
        <w:rPr>
          <w:b/>
          <w:bCs/>
        </w:rPr>
        <w:t>9</w:t>
      </w:r>
      <w:r>
        <w:rPr>
          <w:b/>
          <w:bCs/>
        </w:rPr>
        <w:t xml:space="preserve">: </w:t>
      </w:r>
      <w:r w:rsidR="00954D8F">
        <w:t xml:space="preserve">Годовая доходность </w:t>
      </w:r>
      <w:r w:rsidR="00954D8F">
        <w:rPr>
          <w:lang w:val="en-US"/>
        </w:rPr>
        <w:t>deSPAC</w:t>
      </w:r>
      <w:r w:rsidR="00954D8F">
        <w:t xml:space="preserve"> связана положительно с </w:t>
      </w:r>
      <w:r w:rsidR="009419FE">
        <w:t>количество</w:t>
      </w:r>
      <w:r w:rsidR="00954D8F">
        <w:t>м</w:t>
      </w:r>
      <w:r w:rsidR="009419FE">
        <w:t xml:space="preserve"> инвестиционных банков в синдикате андеррайтеров</w:t>
      </w:r>
      <w:r>
        <w:t>.</w:t>
      </w:r>
    </w:p>
    <w:p w14:paraId="7F383D9C" w14:textId="1F689D4D" w:rsidR="009A3755" w:rsidRPr="0004422B" w:rsidRDefault="00522E96" w:rsidP="00D22CA1">
      <w:r>
        <w:rPr>
          <w:b/>
          <w:bCs/>
          <w:lang w:val="en-US"/>
        </w:rPr>
        <w:t>H</w:t>
      </w:r>
      <w:r w:rsidR="005A5FF6">
        <w:rPr>
          <w:b/>
          <w:bCs/>
        </w:rPr>
        <w:t>10</w:t>
      </w:r>
      <w:r>
        <w:rPr>
          <w:b/>
          <w:bCs/>
        </w:rPr>
        <w:t xml:space="preserve">: </w:t>
      </w:r>
      <w:r w:rsidR="00954D8F">
        <w:t xml:space="preserve">Годовая доходность </w:t>
      </w:r>
      <w:r w:rsidR="00954D8F">
        <w:rPr>
          <w:lang w:val="en-US"/>
        </w:rPr>
        <w:t>deSPAC</w:t>
      </w:r>
      <w:r w:rsidR="00954D8F">
        <w:t xml:space="preserve"> связана положительно с </w:t>
      </w:r>
      <w:r w:rsidR="009419FE">
        <w:t>принадлежность</w:t>
      </w:r>
      <w:r w:rsidR="0004422B">
        <w:t>ю</w:t>
      </w:r>
      <w:r w:rsidR="009419FE">
        <w:t xml:space="preserve"> </w:t>
      </w:r>
      <w:r w:rsidR="00317CF1">
        <w:t xml:space="preserve">андеррайтеров к топ-10 инвестиционных банков в сфере заключения сделок со </w:t>
      </w:r>
      <w:r w:rsidR="00317CF1">
        <w:rPr>
          <w:lang w:val="en-US"/>
        </w:rPr>
        <w:t>SPAC</w:t>
      </w:r>
      <w:r w:rsidR="0004422B">
        <w:t>.</w:t>
      </w:r>
    </w:p>
    <w:p w14:paraId="42D8FA70" w14:textId="1298AAEA" w:rsidR="006738F0" w:rsidRPr="00FE5B3B" w:rsidRDefault="009873B8" w:rsidP="009873B8">
      <w:pPr>
        <w:pStyle w:val="1"/>
      </w:pPr>
      <w:bookmarkStart w:id="32" w:name="_Toc102050305"/>
      <w:bookmarkStart w:id="33" w:name="_Toc102050677"/>
      <w:r>
        <w:lastRenderedPageBreak/>
        <w:t>Глава</w:t>
      </w:r>
      <w:r w:rsidR="00AA076D">
        <w:t> </w:t>
      </w:r>
      <w:r>
        <w:t>2.</w:t>
      </w:r>
      <w:r w:rsidR="00AA076D">
        <w:t> </w:t>
      </w:r>
      <w:r>
        <w:t>Эмпирическое</w:t>
      </w:r>
      <w:r w:rsidR="00AA076D">
        <w:t> </w:t>
      </w:r>
      <w:r>
        <w:t xml:space="preserve">исследование результативности </w:t>
      </w:r>
      <w:r>
        <w:rPr>
          <w:lang w:val="en-US"/>
        </w:rPr>
        <w:t>SPAC</w:t>
      </w:r>
      <w:bookmarkEnd w:id="32"/>
      <w:bookmarkEnd w:id="33"/>
    </w:p>
    <w:p w14:paraId="30795B9E" w14:textId="26B28161" w:rsidR="00233890" w:rsidRDefault="00BD58BE" w:rsidP="00202319">
      <w:pPr>
        <w:pStyle w:val="2"/>
      </w:pPr>
      <w:bookmarkStart w:id="34" w:name="_Toc102050306"/>
      <w:bookmarkStart w:id="35" w:name="_Toc102050678"/>
      <w:r>
        <w:t xml:space="preserve">2.1. </w:t>
      </w:r>
      <w:r w:rsidR="00202319">
        <w:t>Формирование выборки</w:t>
      </w:r>
      <w:bookmarkEnd w:id="34"/>
      <w:bookmarkEnd w:id="35"/>
    </w:p>
    <w:p w14:paraId="206A1352" w14:textId="49373B4B" w:rsidR="00202319" w:rsidRDefault="00A77BF1" w:rsidP="00202319">
      <w:r>
        <w:t xml:space="preserve">Для исследования результативности </w:t>
      </w:r>
      <w:r w:rsidR="00A201C5">
        <w:t xml:space="preserve">инвестиций в </w:t>
      </w:r>
      <w:r>
        <w:t>специализированны</w:t>
      </w:r>
      <w:r w:rsidR="006A70EA">
        <w:t>е</w:t>
      </w:r>
      <w:r>
        <w:t xml:space="preserve"> компани</w:t>
      </w:r>
      <w:r w:rsidR="00E80B93">
        <w:t>и</w:t>
      </w:r>
      <w:r>
        <w:t xml:space="preserve"> по целевым слияниям и поглощениям было использовано несколько баз данных.</w:t>
      </w:r>
      <w:r w:rsidR="00C95DE4">
        <w:t xml:space="preserve"> </w:t>
      </w:r>
      <w:r w:rsidR="00F90239">
        <w:t>Для в</w:t>
      </w:r>
      <w:r w:rsidR="00BE0526">
        <w:t xml:space="preserve">ыгрузки котировок </w:t>
      </w:r>
      <w:r w:rsidR="00E00679">
        <w:t xml:space="preserve">обыкновенных акций </w:t>
      </w:r>
      <w:r w:rsidR="00E00679">
        <w:rPr>
          <w:lang w:val="en-US"/>
        </w:rPr>
        <w:t>SPAC</w:t>
      </w:r>
      <w:r w:rsidR="00E00679">
        <w:t xml:space="preserve">, варрантов </w:t>
      </w:r>
      <w:r w:rsidR="00A949C0">
        <w:rPr>
          <w:lang w:val="en-US"/>
        </w:rPr>
        <w:t>SPAC</w:t>
      </w:r>
      <w:r w:rsidR="00A949C0">
        <w:t xml:space="preserve"> и компаний, выходивших на биржу через классическое </w:t>
      </w:r>
      <w:r w:rsidR="00A949C0">
        <w:rPr>
          <w:lang w:val="en-US"/>
        </w:rPr>
        <w:t>IPO</w:t>
      </w:r>
      <w:r w:rsidR="00A949C0">
        <w:t xml:space="preserve">, </w:t>
      </w:r>
      <w:r w:rsidR="00F90239">
        <w:t>использовал</w:t>
      </w:r>
      <w:r w:rsidR="00EC00D0">
        <w:rPr>
          <w:lang w:val="en-US"/>
        </w:rPr>
        <w:t>c</w:t>
      </w:r>
      <w:r w:rsidR="00EC00D0">
        <w:t xml:space="preserve">я </w:t>
      </w:r>
      <w:r w:rsidR="00F90239">
        <w:rPr>
          <w:lang w:val="en-US"/>
        </w:rPr>
        <w:t>Refinitiv</w:t>
      </w:r>
      <w:r w:rsidR="00F90239" w:rsidRPr="00F90239">
        <w:t xml:space="preserve"> </w:t>
      </w:r>
      <w:r w:rsidR="00F90239">
        <w:rPr>
          <w:lang w:val="en-US"/>
        </w:rPr>
        <w:t>Workspac</w:t>
      </w:r>
      <w:r w:rsidR="003720A2">
        <w:rPr>
          <w:lang w:val="en-US"/>
        </w:rPr>
        <w:t>e</w:t>
      </w:r>
      <w:r w:rsidR="009E37BD" w:rsidRPr="009E37BD">
        <w:t>.</w:t>
      </w:r>
      <w:r w:rsidR="00855374">
        <w:t xml:space="preserve"> </w:t>
      </w:r>
      <w:r w:rsidR="00F603BC">
        <w:t>Для поиска</w:t>
      </w:r>
      <w:r w:rsidR="00702E16">
        <w:t xml:space="preserve"> характеристик </w:t>
      </w:r>
      <w:r w:rsidR="00702E16">
        <w:rPr>
          <w:lang w:val="en-US"/>
        </w:rPr>
        <w:t>SPAC</w:t>
      </w:r>
      <w:r w:rsidR="00702E16">
        <w:t xml:space="preserve"> использовалась база данных </w:t>
      </w:r>
      <w:r w:rsidR="00702E16">
        <w:rPr>
          <w:lang w:val="en-US"/>
        </w:rPr>
        <w:t>Boardroom</w:t>
      </w:r>
      <w:r w:rsidR="00702E16" w:rsidRPr="00211F7D">
        <w:t xml:space="preserve"> </w:t>
      </w:r>
      <w:r w:rsidR="00702E16">
        <w:rPr>
          <w:lang w:val="en-US"/>
        </w:rPr>
        <w:t>Alpha</w:t>
      </w:r>
      <w:r w:rsidR="00211F7D" w:rsidRPr="00211F7D">
        <w:t xml:space="preserve">. </w:t>
      </w:r>
      <w:r w:rsidR="00211F7D">
        <w:t xml:space="preserve">Данная база данных предлагает разную информацию по </w:t>
      </w:r>
      <w:r w:rsidR="00211F7D">
        <w:rPr>
          <w:lang w:val="en-US"/>
        </w:rPr>
        <w:t>SPAC</w:t>
      </w:r>
      <w:r w:rsidR="00211F7D">
        <w:t>, в частности, оттуда б</w:t>
      </w:r>
      <w:r w:rsidR="006974E9">
        <w:t xml:space="preserve">ыла выгружена информация по коэффициентам </w:t>
      </w:r>
      <w:r w:rsidR="003C760D">
        <w:t>выкупа</w:t>
      </w:r>
      <w:r w:rsidR="006974E9">
        <w:t>, менеджерам</w:t>
      </w:r>
      <w:r w:rsidR="00EA6EBC">
        <w:t xml:space="preserve"> </w:t>
      </w:r>
      <w:r w:rsidR="00EA6EBC">
        <w:rPr>
          <w:lang w:val="en-US"/>
        </w:rPr>
        <w:t>SPAC</w:t>
      </w:r>
      <w:r w:rsidR="00EA6EBC">
        <w:t xml:space="preserve">, андеррайтерам </w:t>
      </w:r>
      <w:r w:rsidR="00EA6EBC">
        <w:rPr>
          <w:lang w:val="en-US"/>
        </w:rPr>
        <w:t>SPAC</w:t>
      </w:r>
      <w:r w:rsidR="00EA6EBC">
        <w:t xml:space="preserve">, дате </w:t>
      </w:r>
      <w:r w:rsidR="00EA6EBC">
        <w:rPr>
          <w:lang w:val="en-US"/>
        </w:rPr>
        <w:t>IPO</w:t>
      </w:r>
      <w:r w:rsidR="00EA6EBC">
        <w:t xml:space="preserve">, дате завершения сделки, </w:t>
      </w:r>
      <w:r w:rsidR="00E533D2">
        <w:t xml:space="preserve">частям юнита (долям варрантов), </w:t>
      </w:r>
      <w:r w:rsidR="007618AD">
        <w:t xml:space="preserve">поступлениям с </w:t>
      </w:r>
      <w:r w:rsidR="007618AD">
        <w:rPr>
          <w:lang w:val="en-US"/>
        </w:rPr>
        <w:t>IPO</w:t>
      </w:r>
      <w:r w:rsidR="003D604E">
        <w:t xml:space="preserve"> и наличии</w:t>
      </w:r>
      <w:r w:rsidR="00BF713E">
        <w:t xml:space="preserve"> фокуса </w:t>
      </w:r>
      <w:r w:rsidR="00BF713E">
        <w:rPr>
          <w:lang w:val="en-US"/>
        </w:rPr>
        <w:t>SPAC</w:t>
      </w:r>
      <w:r w:rsidR="00BF713E">
        <w:t xml:space="preserve"> на той или иной отрасли. </w:t>
      </w:r>
      <w:r w:rsidR="00137ABD">
        <w:t>Баз</w:t>
      </w:r>
      <w:r w:rsidR="00AF1432">
        <w:t xml:space="preserve">а содержит обширную информацию </w:t>
      </w:r>
      <w:r w:rsidR="00496AC0">
        <w:t xml:space="preserve">о характеристиках американских </w:t>
      </w:r>
      <w:r w:rsidR="00496AC0">
        <w:rPr>
          <w:lang w:val="en-US"/>
        </w:rPr>
        <w:t>SPAC</w:t>
      </w:r>
      <w:r w:rsidR="009A3F83">
        <w:t xml:space="preserve"> с 2003 года, а также данные о коэффициентах выкупа акций</w:t>
      </w:r>
      <w:r w:rsidR="00E647D6">
        <w:t xml:space="preserve">, что нельзя найти в </w:t>
      </w:r>
      <w:r w:rsidR="00E647D6">
        <w:rPr>
          <w:lang w:val="en-US"/>
        </w:rPr>
        <w:t>Bloomberg</w:t>
      </w:r>
      <w:r w:rsidR="00E647D6" w:rsidRPr="00E647D6">
        <w:t xml:space="preserve"> </w:t>
      </w:r>
      <w:r w:rsidR="00E647D6">
        <w:t xml:space="preserve">и </w:t>
      </w:r>
      <w:r w:rsidR="00E647D6">
        <w:rPr>
          <w:lang w:val="en-US"/>
        </w:rPr>
        <w:t>Refinitiv</w:t>
      </w:r>
      <w:r w:rsidR="00E647D6" w:rsidRPr="00E647D6">
        <w:t xml:space="preserve">. </w:t>
      </w:r>
      <w:r w:rsidR="00E647D6">
        <w:t>Так как база данных была сформирована лишь в 2021 году, для верификации данных был</w:t>
      </w:r>
      <w:r w:rsidR="00CA1262">
        <w:t>а</w:t>
      </w:r>
      <w:r w:rsidR="00E647D6">
        <w:t xml:space="preserve"> проведен</w:t>
      </w:r>
      <w:r w:rsidR="00CA1262">
        <w:t>а</w:t>
      </w:r>
      <w:r w:rsidR="00E647D6">
        <w:t xml:space="preserve"> кросс-</w:t>
      </w:r>
      <w:r w:rsidR="00CA1262">
        <w:t>проверка</w:t>
      </w:r>
      <w:r w:rsidR="00E647D6">
        <w:t xml:space="preserve"> </w:t>
      </w:r>
      <w:r w:rsidR="00593CD1">
        <w:t>в других базах по ряду характеристик.</w:t>
      </w:r>
      <w:r w:rsidR="00E95D0B" w:rsidRPr="00E95D0B">
        <w:t xml:space="preserve"> </w:t>
      </w:r>
      <w:r w:rsidR="003F20FB">
        <w:t xml:space="preserve">Специфические данные </w:t>
      </w:r>
      <w:r w:rsidR="008C716F">
        <w:t xml:space="preserve">по </w:t>
      </w:r>
      <w:r w:rsidR="008C716F">
        <w:rPr>
          <w:lang w:val="en-US"/>
        </w:rPr>
        <w:t>SPAC</w:t>
      </w:r>
      <w:r w:rsidR="00421EF1">
        <w:t xml:space="preserve"> (доля юнита, андеррайтеры и пр.)</w:t>
      </w:r>
      <w:r w:rsidR="00BE515E" w:rsidRPr="007F4C1B">
        <w:t xml:space="preserve"> </w:t>
      </w:r>
      <w:r w:rsidR="00BE515E">
        <w:t xml:space="preserve">были проверены в </w:t>
      </w:r>
      <w:r w:rsidR="007F4C1B">
        <w:rPr>
          <w:lang w:val="en-US"/>
        </w:rPr>
        <w:t>Bloomberg</w:t>
      </w:r>
      <w:r w:rsidR="00421EF1" w:rsidRPr="00421EF1">
        <w:t xml:space="preserve"> </w:t>
      </w:r>
      <w:r w:rsidR="00421EF1">
        <w:t xml:space="preserve">(предоставляет подробные данные по </w:t>
      </w:r>
      <w:r w:rsidR="00421EF1">
        <w:rPr>
          <w:lang w:val="en-US"/>
        </w:rPr>
        <w:t>SPAC</w:t>
      </w:r>
      <w:r w:rsidR="00421EF1">
        <w:t xml:space="preserve"> только с 2018 года) и </w:t>
      </w:r>
      <w:r w:rsidR="00421EF1">
        <w:rPr>
          <w:lang w:val="en-US"/>
        </w:rPr>
        <w:t>Refinitiv</w:t>
      </w:r>
      <w:r w:rsidR="00421EF1" w:rsidRPr="00421EF1">
        <w:t xml:space="preserve"> </w:t>
      </w:r>
      <w:r w:rsidR="00421EF1">
        <w:rPr>
          <w:lang w:val="en-US"/>
        </w:rPr>
        <w:t>Workspace</w:t>
      </w:r>
      <w:r w:rsidR="007F4C1B">
        <w:t xml:space="preserve">, информация совпала с данными в </w:t>
      </w:r>
      <w:r w:rsidR="007F4C1B">
        <w:rPr>
          <w:lang w:val="en-US"/>
        </w:rPr>
        <w:t>Boardroom</w:t>
      </w:r>
      <w:r w:rsidR="007F4C1B" w:rsidRPr="007F4C1B">
        <w:t xml:space="preserve"> </w:t>
      </w:r>
      <w:r w:rsidR="007F4C1B">
        <w:rPr>
          <w:lang w:val="en-US"/>
        </w:rPr>
        <w:t>Alpha</w:t>
      </w:r>
      <w:r w:rsidR="000B5A70">
        <w:t xml:space="preserve">. </w:t>
      </w:r>
      <w:r w:rsidR="00FE37CC">
        <w:t>Информация по комиссии андеррайтерам</w:t>
      </w:r>
      <w:r w:rsidR="007578BE">
        <w:t xml:space="preserve"> выгружалась из </w:t>
      </w:r>
      <w:r w:rsidR="007578BE">
        <w:rPr>
          <w:lang w:val="en-US"/>
        </w:rPr>
        <w:t>Refinitiv</w:t>
      </w:r>
      <w:r w:rsidR="007578BE" w:rsidRPr="007578BE">
        <w:t xml:space="preserve"> </w:t>
      </w:r>
      <w:r w:rsidR="007578BE">
        <w:rPr>
          <w:lang w:val="en-US"/>
        </w:rPr>
        <w:t>Workspace</w:t>
      </w:r>
      <w:r w:rsidR="007578BE" w:rsidRPr="007578BE">
        <w:t>.</w:t>
      </w:r>
      <w:r w:rsidR="007578BE">
        <w:t xml:space="preserve"> Пропуски в данных заполнялись посредств</w:t>
      </w:r>
      <w:r w:rsidR="00F032B4">
        <w:t>ом мониторинга электронных документов</w:t>
      </w:r>
      <w:r w:rsidR="002209B9">
        <w:t xml:space="preserve">, находящихся в официальной базе данных </w:t>
      </w:r>
      <w:r w:rsidR="002209B9">
        <w:rPr>
          <w:lang w:val="en-US"/>
        </w:rPr>
        <w:t>EDGAR</w:t>
      </w:r>
      <w:r w:rsidR="002209B9">
        <w:t xml:space="preserve"> Комиссии по ценным бумагам США.</w:t>
      </w:r>
      <w:r w:rsidR="005A2B0E">
        <w:t xml:space="preserve"> Информация </w:t>
      </w:r>
      <w:r w:rsidR="006B2C65">
        <w:t xml:space="preserve">по долям юнитов и менеджерам (в случае </w:t>
      </w:r>
      <w:r w:rsidR="008B0DCC">
        <w:t>отсутствия</w:t>
      </w:r>
      <w:r w:rsidR="006B2C65">
        <w:t xml:space="preserve"> данных в </w:t>
      </w:r>
      <w:r w:rsidR="006B2C65">
        <w:rPr>
          <w:lang w:val="en-US"/>
        </w:rPr>
        <w:t>Boardroom</w:t>
      </w:r>
      <w:r w:rsidR="006B2C65" w:rsidRPr="006B2C65">
        <w:t xml:space="preserve"> </w:t>
      </w:r>
      <w:r w:rsidR="006B2C65">
        <w:rPr>
          <w:lang w:val="en-US"/>
        </w:rPr>
        <w:t>Alpha</w:t>
      </w:r>
      <w:r w:rsidR="006B2C65" w:rsidRPr="006B2C65">
        <w:t xml:space="preserve">) </w:t>
      </w:r>
      <w:r w:rsidR="009105F4">
        <w:t xml:space="preserve">бралась из регистрационных форм </w:t>
      </w:r>
      <w:r w:rsidR="009105F4">
        <w:rPr>
          <w:lang w:val="en-US"/>
        </w:rPr>
        <w:t>S</w:t>
      </w:r>
      <w:r w:rsidR="009105F4" w:rsidRPr="009105F4">
        <w:t>-1</w:t>
      </w:r>
      <w:r w:rsidR="009105F4">
        <w:t>.</w:t>
      </w:r>
      <w:r w:rsidR="00220799">
        <w:t xml:space="preserve"> Данные о количестве выкупленных акций брались из отчетов </w:t>
      </w:r>
      <w:r w:rsidR="00220799" w:rsidRPr="00220799">
        <w:t>8-</w:t>
      </w:r>
      <w:r w:rsidR="00220799">
        <w:rPr>
          <w:lang w:val="en-US"/>
        </w:rPr>
        <w:t>K</w:t>
      </w:r>
      <w:r w:rsidR="00220799" w:rsidRPr="00220799">
        <w:t xml:space="preserve"> </w:t>
      </w:r>
      <w:r w:rsidR="00220799">
        <w:t>или квартальных</w:t>
      </w:r>
      <w:r w:rsidR="00220799" w:rsidRPr="00220799">
        <w:t>/</w:t>
      </w:r>
      <w:r w:rsidR="00220799">
        <w:t xml:space="preserve">годовых отчетов </w:t>
      </w:r>
      <w:r w:rsidR="00220799">
        <w:rPr>
          <w:lang w:val="en-US"/>
        </w:rPr>
        <w:t>SPAC</w:t>
      </w:r>
      <w:r w:rsidR="00220799">
        <w:t>.</w:t>
      </w:r>
    </w:p>
    <w:p w14:paraId="3F03CAEF" w14:textId="23B23C7B" w:rsidR="007058AC" w:rsidRDefault="004D31F8" w:rsidP="00323D20">
      <w:r>
        <w:t xml:space="preserve">Выборка компаний состояла из </w:t>
      </w:r>
      <w:r w:rsidR="00466C58">
        <w:t>350</w:t>
      </w:r>
      <w:r w:rsidR="00866179">
        <w:t xml:space="preserve"> американских</w:t>
      </w:r>
      <w:r w:rsidR="00466C58">
        <w:t xml:space="preserve"> </w:t>
      </w:r>
      <w:r w:rsidR="0002157B">
        <w:rPr>
          <w:lang w:val="en-US"/>
        </w:rPr>
        <w:t>SPAC</w:t>
      </w:r>
      <w:r w:rsidR="0002157B">
        <w:t xml:space="preserve"> вышедших на биржу</w:t>
      </w:r>
      <w:r w:rsidR="00873EC3">
        <w:t xml:space="preserve"> и завершивших сделку поглощения (либо ликвидировавшихся)</w:t>
      </w:r>
      <w:r w:rsidR="0002157B">
        <w:t xml:space="preserve"> в промежуток с 2015 по 2021 го</w:t>
      </w:r>
      <w:r w:rsidR="00873EC3">
        <w:t xml:space="preserve">ды. </w:t>
      </w:r>
      <w:r w:rsidR="002D5466">
        <w:t xml:space="preserve">Данный временной интервал был выбран по причине того, что начиная с 2015 года наблюдался </w:t>
      </w:r>
      <w:r w:rsidR="00866179">
        <w:t xml:space="preserve">ежегодный рост доли </w:t>
      </w:r>
      <w:r w:rsidR="00866179">
        <w:rPr>
          <w:lang w:val="en-US"/>
        </w:rPr>
        <w:t>SPAC</w:t>
      </w:r>
      <w:r w:rsidR="00866179">
        <w:t xml:space="preserve"> на аме</w:t>
      </w:r>
      <w:r w:rsidR="00B257D1">
        <w:t xml:space="preserve">риканском рынке </w:t>
      </w:r>
      <w:r w:rsidR="00B257D1">
        <w:rPr>
          <w:lang w:val="en-US"/>
        </w:rPr>
        <w:t>IPO</w:t>
      </w:r>
      <w:r w:rsidR="00B257D1">
        <w:t xml:space="preserve">. Фокус эмпирического исследования сделан именно на американских </w:t>
      </w:r>
      <w:r w:rsidR="00B257D1">
        <w:rPr>
          <w:lang w:val="en-US"/>
        </w:rPr>
        <w:t>SPAC</w:t>
      </w:r>
      <w:r w:rsidR="00B257D1">
        <w:t xml:space="preserve">, поскольку </w:t>
      </w:r>
      <w:r w:rsidR="00B46178">
        <w:t xml:space="preserve">они составляют больше 90% мирового </w:t>
      </w:r>
      <w:r w:rsidR="005D6247">
        <w:t xml:space="preserve">рынка </w:t>
      </w:r>
      <w:r w:rsidR="005D6247">
        <w:rPr>
          <w:lang w:val="en-US"/>
        </w:rPr>
        <w:t>SPAC</w:t>
      </w:r>
      <w:r w:rsidR="005D6247">
        <w:t>.</w:t>
      </w:r>
      <w:r w:rsidR="005D6247">
        <w:rPr>
          <w:rStyle w:val="af5"/>
        </w:rPr>
        <w:footnoteReference w:id="35"/>
      </w:r>
      <w:r w:rsidR="00690989">
        <w:t xml:space="preserve"> </w:t>
      </w:r>
      <w:r w:rsidR="004F33AB">
        <w:t xml:space="preserve">В выборке из 350 компаний </w:t>
      </w:r>
      <w:r w:rsidR="007C24A0">
        <w:t xml:space="preserve">лишь 10 </w:t>
      </w:r>
      <w:r w:rsidR="007C24A0">
        <w:rPr>
          <w:lang w:val="en-US"/>
        </w:rPr>
        <w:t>SPAC</w:t>
      </w:r>
      <w:r w:rsidR="007C24A0">
        <w:t xml:space="preserve"> были ликвидированы </w:t>
      </w:r>
      <w:r w:rsidR="00F93127">
        <w:t xml:space="preserve">в </w:t>
      </w:r>
      <w:r w:rsidR="00472423">
        <w:t xml:space="preserve">результате того, что </w:t>
      </w:r>
      <w:r w:rsidR="009C15C4">
        <w:t xml:space="preserve">компании не смогли найти таргет для поглощения. </w:t>
      </w:r>
      <w:r w:rsidR="00472E59">
        <w:t xml:space="preserve">Среди </w:t>
      </w:r>
      <w:r w:rsidR="00472E59">
        <w:rPr>
          <w:lang w:val="en-US"/>
        </w:rPr>
        <w:t>deSPAC</w:t>
      </w:r>
      <w:r w:rsidR="00472E59" w:rsidRPr="00472E59">
        <w:t xml:space="preserve"> </w:t>
      </w:r>
      <w:r w:rsidR="00472E59">
        <w:t>9 компаний были подвержены процедуре делистинга</w:t>
      </w:r>
      <w:r w:rsidR="00A0394A">
        <w:t xml:space="preserve">, одна из этих фирм </w:t>
      </w:r>
      <w:r w:rsidR="00153DDD">
        <w:lastRenderedPageBreak/>
        <w:t xml:space="preserve">была поглощена другой компанией. </w:t>
      </w:r>
      <w:r w:rsidR="00B632E0">
        <w:t xml:space="preserve">Аномальные наблюдения были удалены через метод </w:t>
      </w:r>
      <w:proofErr w:type="spellStart"/>
      <w:r w:rsidR="00B632E0">
        <w:t>Тьюки</w:t>
      </w:r>
      <w:proofErr w:type="spellEnd"/>
      <w:r w:rsidR="00AF5F4F">
        <w:t>, а именно через удаление «жестких выбросов».</w:t>
      </w:r>
      <w:r w:rsidR="00323D20">
        <w:t xml:space="preserve"> </w:t>
      </w:r>
      <w:r w:rsidR="007347BB">
        <w:t xml:space="preserve">В выборку классических </w:t>
      </w:r>
      <w:r w:rsidR="007347BB">
        <w:rPr>
          <w:lang w:val="en-US"/>
        </w:rPr>
        <w:t>IPO</w:t>
      </w:r>
      <w:r w:rsidR="007347BB">
        <w:t xml:space="preserve"> вошло</w:t>
      </w:r>
      <w:r w:rsidR="00E57641">
        <w:t xml:space="preserve"> 748 компаний, «жесткие» выбросы также были </w:t>
      </w:r>
      <w:r w:rsidR="00323D20">
        <w:t>удалены</w:t>
      </w:r>
      <w:r w:rsidR="00E57641">
        <w:t xml:space="preserve"> </w:t>
      </w:r>
      <w:r w:rsidR="00323D20">
        <w:t xml:space="preserve">по методу </w:t>
      </w:r>
      <w:proofErr w:type="spellStart"/>
      <w:r w:rsidR="00323D20">
        <w:t>Тьюки</w:t>
      </w:r>
      <w:proofErr w:type="spellEnd"/>
      <w:r w:rsidR="00323D20">
        <w:t>.</w:t>
      </w:r>
      <w:r w:rsidR="00E57641">
        <w:t xml:space="preserve"> </w:t>
      </w:r>
      <w:r w:rsidR="00E80B93">
        <w:t xml:space="preserve">Такой метод подразумевает </w:t>
      </w:r>
      <w:r w:rsidR="00D13BEC">
        <w:t>нахождение аномальных наблюдений через расчет межквартильного расстояния</w:t>
      </w:r>
      <w:r w:rsidR="00A92799">
        <w:t>.</w:t>
      </w:r>
    </w:p>
    <w:p w14:paraId="5E32C5EC" w14:textId="3FF7A94D" w:rsidR="004F25DD" w:rsidRDefault="00BD58BE" w:rsidP="004F25DD">
      <w:pPr>
        <w:pStyle w:val="2"/>
      </w:pPr>
      <w:bookmarkStart w:id="36" w:name="_Toc102050307"/>
      <w:bookmarkStart w:id="37" w:name="_Toc102050679"/>
      <w:r>
        <w:t xml:space="preserve">2.2. </w:t>
      </w:r>
      <w:r w:rsidR="004F25DD">
        <w:t>Методология исследования</w:t>
      </w:r>
      <w:bookmarkEnd w:id="36"/>
      <w:bookmarkEnd w:id="37"/>
    </w:p>
    <w:p w14:paraId="69504DA6" w14:textId="49ADFCA9" w:rsidR="004F25DD" w:rsidRDefault="00406ECF" w:rsidP="004F25DD">
      <w:r>
        <w:t>Для подтверждения или опровержения исследовательских гипотез</w:t>
      </w:r>
      <w:r w:rsidR="00827C47">
        <w:t>, сформулированны</w:t>
      </w:r>
      <w:r>
        <w:t>х</w:t>
      </w:r>
      <w:r w:rsidR="00827C47">
        <w:t xml:space="preserve"> в </w:t>
      </w:r>
      <w:r>
        <w:t>первой</w:t>
      </w:r>
      <w:r w:rsidR="00827C47">
        <w:t xml:space="preserve"> главе работы, буд</w:t>
      </w:r>
      <w:r w:rsidR="00FC232C">
        <w:t>ет использован разный инструментарий</w:t>
      </w:r>
      <w:r w:rsidR="00337BB3">
        <w:t>. Ниже представлены методы оценки доходности и сравнени</w:t>
      </w:r>
      <w:r w:rsidR="00882852">
        <w:t xml:space="preserve">я с доходностью </w:t>
      </w:r>
      <w:r w:rsidR="00882852">
        <w:rPr>
          <w:lang w:val="en-US"/>
        </w:rPr>
        <w:t>IPO</w:t>
      </w:r>
      <w:r w:rsidR="00882852">
        <w:t xml:space="preserve">, метод </w:t>
      </w:r>
      <w:r w:rsidR="00882852">
        <w:rPr>
          <w:lang w:val="en-US"/>
        </w:rPr>
        <w:t>BHAR</w:t>
      </w:r>
      <w:r w:rsidR="00882852">
        <w:t xml:space="preserve">, а также регрессионная модель для оценки </w:t>
      </w:r>
      <w:r w:rsidR="0073106A">
        <w:t>факторов долгосрочн</w:t>
      </w:r>
      <w:r w:rsidR="001157F9">
        <w:t>ой</w:t>
      </w:r>
      <w:r w:rsidR="0073106A">
        <w:t xml:space="preserve"> доходност</w:t>
      </w:r>
      <w:r w:rsidR="001157F9">
        <w:t>и</w:t>
      </w:r>
      <w:r w:rsidR="0073106A">
        <w:t xml:space="preserve"> </w:t>
      </w:r>
      <w:r w:rsidR="0073106A">
        <w:rPr>
          <w:lang w:val="en-US"/>
        </w:rPr>
        <w:t>SPAC</w:t>
      </w:r>
      <w:r w:rsidR="0073106A">
        <w:t>.</w:t>
      </w:r>
    </w:p>
    <w:p w14:paraId="0A10BFC1" w14:textId="4B3EFD53" w:rsidR="00FA2CE0" w:rsidRPr="00FE5B3B" w:rsidRDefault="00BD58BE" w:rsidP="00FA2CE0">
      <w:pPr>
        <w:pStyle w:val="3"/>
      </w:pPr>
      <w:bookmarkStart w:id="38" w:name="_Toc102050308"/>
      <w:bookmarkStart w:id="39" w:name="_Toc102050680"/>
      <w:r>
        <w:t xml:space="preserve">2.2.1. </w:t>
      </w:r>
      <w:r w:rsidR="00A96D7A">
        <w:t>Доходность инвестиций</w:t>
      </w:r>
      <w:r w:rsidR="00EE4251">
        <w:t xml:space="preserve"> в </w:t>
      </w:r>
      <w:r w:rsidR="00EE4251">
        <w:rPr>
          <w:lang w:val="en-US"/>
        </w:rPr>
        <w:t>SPAC</w:t>
      </w:r>
      <w:bookmarkEnd w:id="38"/>
      <w:bookmarkEnd w:id="39"/>
    </w:p>
    <w:p w14:paraId="3A7D20E5" w14:textId="74BA4C92" w:rsidR="00CC1940" w:rsidRPr="00E36F29" w:rsidRDefault="003B2FDB" w:rsidP="00EE4251">
      <w:r>
        <w:t xml:space="preserve">В соответствии со статьей </w:t>
      </w:r>
      <w:r w:rsidR="000E1A48" w:rsidRPr="00E2702A">
        <w:t>[</w:t>
      </w:r>
      <w:proofErr w:type="spellStart"/>
      <w:r w:rsidR="000E1A48">
        <w:rPr>
          <w:lang w:val="en-US"/>
        </w:rPr>
        <w:t>Gahng</w:t>
      </w:r>
      <w:proofErr w:type="spellEnd"/>
      <w:r w:rsidR="000E1A48" w:rsidRPr="00AD4ECC">
        <w:t xml:space="preserve">, </w:t>
      </w:r>
      <w:r w:rsidR="000E1A48">
        <w:rPr>
          <w:lang w:val="en-US"/>
        </w:rPr>
        <w:t>Ritter</w:t>
      </w:r>
      <w:r w:rsidR="000E1A48" w:rsidRPr="00E2702A">
        <w:t>,</w:t>
      </w:r>
      <w:r w:rsidR="000E1A48">
        <w:t xml:space="preserve"> </w:t>
      </w:r>
      <w:r w:rsidR="000E1A48">
        <w:rPr>
          <w:lang w:val="en-US"/>
        </w:rPr>
        <w:t>Zhang</w:t>
      </w:r>
      <w:r w:rsidR="000E1A48">
        <w:t xml:space="preserve"> 2021</w:t>
      </w:r>
      <w:r w:rsidR="000E1A48" w:rsidRPr="001F3F87">
        <w:t>]</w:t>
      </w:r>
      <w:r w:rsidR="005901EE">
        <w:t xml:space="preserve"> исследование доходности инвестиций в </w:t>
      </w:r>
      <w:r w:rsidR="005901EE">
        <w:rPr>
          <w:lang w:val="en-US"/>
        </w:rPr>
        <w:t>SPAC</w:t>
      </w:r>
      <w:r w:rsidR="005901EE">
        <w:t xml:space="preserve"> будет разбито на два периода:</w:t>
      </w:r>
      <w:r w:rsidR="00E36F29">
        <w:t xml:space="preserve"> период </w:t>
      </w:r>
      <w:r w:rsidR="00E36F29">
        <w:rPr>
          <w:lang w:val="en-US"/>
        </w:rPr>
        <w:t>SPAC</w:t>
      </w:r>
      <w:r w:rsidR="00E36F29" w:rsidRPr="00E36F29">
        <w:t xml:space="preserve"> </w:t>
      </w:r>
      <w:r w:rsidR="00E36F29">
        <w:t xml:space="preserve">и период </w:t>
      </w:r>
      <w:r w:rsidR="00E36F29">
        <w:rPr>
          <w:lang w:val="en-US"/>
        </w:rPr>
        <w:t>deSPAC</w:t>
      </w:r>
      <w:r w:rsidR="00E36F29">
        <w:t xml:space="preserve">. </w:t>
      </w:r>
      <w:r w:rsidR="00C174AA">
        <w:t xml:space="preserve">Данное разделение обусловлено тем, </w:t>
      </w:r>
      <w:r w:rsidR="002766D6">
        <w:t xml:space="preserve">что больше 92% инвесторов продают </w:t>
      </w:r>
      <w:r w:rsidR="00E37AC7">
        <w:t>акции</w:t>
      </w:r>
      <w:r w:rsidR="001157F9">
        <w:t xml:space="preserve"> </w:t>
      </w:r>
      <w:r w:rsidR="001157F9">
        <w:rPr>
          <w:lang w:val="en-US"/>
        </w:rPr>
        <w:t>SPAC</w:t>
      </w:r>
      <w:r w:rsidR="002766D6">
        <w:t xml:space="preserve"> или предъявляют их к выкупу до завершения сделки </w:t>
      </w:r>
      <w:r w:rsidR="0025052D">
        <w:t>погло</w:t>
      </w:r>
      <w:r w:rsidR="00E37AC7">
        <w:t>щения</w:t>
      </w:r>
      <w:r w:rsidR="00F11798">
        <w:t xml:space="preserve"> </w:t>
      </w:r>
      <w:r w:rsidR="000E1A48" w:rsidRPr="000E1A48">
        <w:t>[</w:t>
      </w:r>
      <w:r w:rsidR="00C5149D">
        <w:rPr>
          <w:lang w:val="en-US"/>
        </w:rPr>
        <w:t>Klausner</w:t>
      </w:r>
      <w:r w:rsidR="00C5149D" w:rsidRPr="00C5149D">
        <w:t xml:space="preserve">, </w:t>
      </w:r>
      <w:proofErr w:type="spellStart"/>
      <w:r w:rsidR="00C5149D">
        <w:rPr>
          <w:lang w:val="en-US"/>
        </w:rPr>
        <w:t>Ohlrogge</w:t>
      </w:r>
      <w:proofErr w:type="spellEnd"/>
      <w:r w:rsidR="00C5149D" w:rsidRPr="00C5149D">
        <w:t xml:space="preserve">, </w:t>
      </w:r>
      <w:r w:rsidR="00A81712">
        <w:t>2020</w:t>
      </w:r>
      <w:r w:rsidR="000E1A48" w:rsidRPr="000E1A48">
        <w:t>]</w:t>
      </w:r>
      <w:r w:rsidR="00C5149D">
        <w:t>,</w:t>
      </w:r>
      <w:r w:rsidR="00CF06AE">
        <w:t xml:space="preserve"> то есть </w:t>
      </w:r>
      <w:r w:rsidR="00C2419F">
        <w:t>в</w:t>
      </w:r>
      <w:r w:rsidR="00CF06AE">
        <w:t xml:space="preserve"> период</w:t>
      </w:r>
      <w:r w:rsidR="00041D30">
        <w:t xml:space="preserve"> существования новой компании после поглощения в нее вкладываются уже другие группы инвесторов. </w:t>
      </w:r>
    </w:p>
    <w:p w14:paraId="2125D455" w14:textId="792389EA" w:rsidR="00EE4251" w:rsidRDefault="00F2761F" w:rsidP="00EE4251">
      <w:r>
        <w:t>Стратегия инвестора, вкладывающего деньги в</w:t>
      </w:r>
      <w:r w:rsidR="00202363">
        <w:t xml:space="preserve"> </w:t>
      </w:r>
      <w:r w:rsidR="00202363">
        <w:rPr>
          <w:lang w:val="en-US"/>
        </w:rPr>
        <w:t>SPAC</w:t>
      </w:r>
      <w:r w:rsidR="00202363">
        <w:t xml:space="preserve"> в период</w:t>
      </w:r>
      <w:r w:rsidR="00991F9D">
        <w:t xml:space="preserve"> до поглощения, выглядит следующим образом: </w:t>
      </w:r>
      <w:r w:rsidR="00202363">
        <w:t xml:space="preserve">инвестор участвует в размещении </w:t>
      </w:r>
      <w:r w:rsidR="008F5BDC">
        <w:rPr>
          <w:lang w:val="en-US"/>
        </w:rPr>
        <w:t>SPAC</w:t>
      </w:r>
      <w:r w:rsidR="008F5BDC">
        <w:t xml:space="preserve"> путем покупки юнита по цене </w:t>
      </w:r>
      <w:r w:rsidR="008F5BDC" w:rsidRPr="008F5BDC">
        <w:t xml:space="preserve">$10 </w:t>
      </w:r>
      <w:r w:rsidR="008F5BDC">
        <w:t xml:space="preserve">за штуку. Спустя определенное количество дней он разделяет юнит на </w:t>
      </w:r>
      <w:r w:rsidR="00642EF2">
        <w:t xml:space="preserve">акции и варранты. </w:t>
      </w:r>
      <w:r w:rsidR="00CF08E6">
        <w:t>П</w:t>
      </w:r>
      <w:r w:rsidR="00D1189F">
        <w:t>осле объявления о нахождении таргета для поглощения инвестор по-прежнему держит</w:t>
      </w:r>
      <w:r w:rsidR="00012541">
        <w:t xml:space="preserve"> ценные бумаги</w:t>
      </w:r>
      <w:r w:rsidR="009F70E7">
        <w:t>. Продажа акций и варрантов осуществляется за 5 дней до даты завершения сделки поглощения</w:t>
      </w:r>
      <w:r w:rsidR="00554F54">
        <w:t xml:space="preserve"> – </w:t>
      </w:r>
      <w:r w:rsidR="00801113">
        <w:t>такой период обусловлен</w:t>
      </w:r>
      <w:r w:rsidR="00B92164">
        <w:t xml:space="preserve"> </w:t>
      </w:r>
      <w:r w:rsidR="00EA3118">
        <w:t>тем, что инвесторам потребуется какое-то время для проведения операции по предъявлению акций к выкупу, поскольку могут возникнуть трудно</w:t>
      </w:r>
      <w:r w:rsidR="009C6547">
        <w:t xml:space="preserve">сти с расчетами и </w:t>
      </w:r>
      <w:r w:rsidR="00DF3BC1">
        <w:t>т. д.</w:t>
      </w:r>
      <w:r w:rsidR="00CF5C5B">
        <w:t xml:space="preserve"> В целом реализация ценных бумаг до поглощения необходима для возможности </w:t>
      </w:r>
      <w:r w:rsidR="0074157C">
        <w:t>предъявить акции к выкупу</w:t>
      </w:r>
      <w:r w:rsidR="00B508E2">
        <w:t xml:space="preserve">, чтобы </w:t>
      </w:r>
      <w:r w:rsidR="002E1226">
        <w:t xml:space="preserve">компенсировать падение цены акций ниже </w:t>
      </w:r>
      <w:r w:rsidR="002E1226" w:rsidRPr="002E1226">
        <w:t>$10</w:t>
      </w:r>
      <w:r w:rsidR="002E1226">
        <w:t>.</w:t>
      </w:r>
      <w:r w:rsidR="00D1189F">
        <w:t xml:space="preserve"> </w:t>
      </w:r>
      <w:r w:rsidR="00211910">
        <w:t xml:space="preserve">Для расчета доходностей </w:t>
      </w:r>
      <w:r w:rsidR="00E716DD">
        <w:t xml:space="preserve">компаний в период </w:t>
      </w:r>
      <w:r w:rsidR="00E716DD">
        <w:rPr>
          <w:lang w:val="en-US"/>
        </w:rPr>
        <w:t>SPAC</w:t>
      </w:r>
      <w:r w:rsidRPr="00F2761F">
        <w:t xml:space="preserve"> </w:t>
      </w:r>
      <w:r w:rsidR="00E716DD">
        <w:t xml:space="preserve">была использована </w:t>
      </w:r>
      <w:r w:rsidR="00BC0930">
        <w:t xml:space="preserve">следующая формула на основе статьи </w:t>
      </w:r>
      <w:r w:rsidR="000E1A48" w:rsidRPr="00E2702A">
        <w:t>[</w:t>
      </w:r>
      <w:proofErr w:type="spellStart"/>
      <w:r w:rsidR="000E1A48">
        <w:rPr>
          <w:lang w:val="en-US"/>
        </w:rPr>
        <w:t>Gahng</w:t>
      </w:r>
      <w:proofErr w:type="spellEnd"/>
      <w:r w:rsidR="000E1A48" w:rsidRPr="00AD4ECC">
        <w:t xml:space="preserve">, </w:t>
      </w:r>
      <w:r w:rsidR="000E1A48">
        <w:rPr>
          <w:lang w:val="en-US"/>
        </w:rPr>
        <w:t>Ritter</w:t>
      </w:r>
      <w:r w:rsidR="000E1A48" w:rsidRPr="00E2702A">
        <w:t>,</w:t>
      </w:r>
      <w:r w:rsidR="000E1A48">
        <w:t xml:space="preserve"> </w:t>
      </w:r>
      <w:r w:rsidR="000E1A48">
        <w:rPr>
          <w:lang w:val="en-US"/>
        </w:rPr>
        <w:t>Zhang</w:t>
      </w:r>
      <w:r w:rsidR="000E1A48">
        <w:t xml:space="preserve"> 2021</w:t>
      </w:r>
      <w:r w:rsidR="000E1A48" w:rsidRPr="001F3F87">
        <w:t>]</w:t>
      </w:r>
      <w:r w:rsidRPr="00F2761F">
        <w:t>:</w:t>
      </w:r>
    </w:p>
    <w:p w14:paraId="526F913A" w14:textId="0E8E44D0" w:rsidR="00CD7523" w:rsidRPr="00285FB9" w:rsidRDefault="009038D3" w:rsidP="009038D3">
      <w:pPr>
        <w:pStyle w:val="af8"/>
        <w:rPr>
          <w:vanish/>
          <w:specVanish/>
        </w:rPr>
      </w:pPr>
      <w:r w:rsidRPr="00FE5B3B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SPAC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Months</m:t>
                </m:r>
              </m:den>
            </m:f>
          </m:sup>
        </m:sSup>
        <m:r>
          <w:rPr>
            <w:rFonts w:ascii="Cambria Math" w:hAnsi="Cambria Math"/>
          </w:rPr>
          <m:t>-1</m:t>
        </m:r>
      </m:oMath>
      <w:r>
        <w:tab/>
      </w:r>
    </w:p>
    <w:p w14:paraId="7AE3ACDA" w14:textId="13A28C9F" w:rsidR="00285FB9" w:rsidRDefault="00285FB9" w:rsidP="00AE76A4">
      <w:pPr>
        <w:pStyle w:val="af9"/>
        <w:rPr>
          <w:lang w:val="en-US"/>
        </w:rPr>
      </w:pPr>
      <w:r>
        <w:t xml:space="preserve"> </w:t>
      </w:r>
      <w:r w:rsidR="00AE76A4">
        <w:rPr>
          <w:lang w:val="en-US"/>
        </w:rPr>
        <w:t>(10)</w:t>
      </w:r>
    </w:p>
    <w:p w14:paraId="4472008C" w14:textId="15EDBBF5" w:rsidR="00AE76A4" w:rsidRDefault="00AE76A4" w:rsidP="00AE76A4">
      <w:pPr>
        <w:ind w:firstLine="0"/>
      </w:pPr>
      <w:r>
        <w:t>Где</w:t>
      </w:r>
    </w:p>
    <w:p w14:paraId="156DBCD8" w14:textId="72721484" w:rsidR="005E2B99" w:rsidRPr="00502D4A" w:rsidRDefault="005438C5" w:rsidP="005E2B99">
      <w:pPr>
        <w:pStyle w:val="af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$10,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Commo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t-5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+Price Structure of Warrant×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Warran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t-5</m:t>
              </m:r>
            </m:sub>
          </m:sSub>
        </m:oMath>
      </m:oMathPara>
    </w:p>
    <w:p w14:paraId="2DF276AC" w14:textId="15578F52" w:rsidR="005E2B99" w:rsidRPr="006D2D24" w:rsidRDefault="005438C5" w:rsidP="005E2B99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E2B99" w:rsidRPr="004A6318">
        <w:rPr>
          <w:rFonts w:eastAsiaTheme="minorEastAsia"/>
          <w:lang w:val="ru-RU"/>
        </w:rPr>
        <w:t xml:space="preserve"> – </w:t>
      </w:r>
      <w:r w:rsidR="005E2B99">
        <w:rPr>
          <w:rFonts w:eastAsiaTheme="minorEastAsia"/>
          <w:lang w:val="ru-RU"/>
        </w:rPr>
        <w:t>цена</w:t>
      </w:r>
      <w:r w:rsidR="007D06B4">
        <w:rPr>
          <w:rFonts w:eastAsiaTheme="minorEastAsia"/>
          <w:lang w:val="ru-RU"/>
        </w:rPr>
        <w:t xml:space="preserve"> юнита при</w:t>
      </w:r>
      <w:r w:rsidR="006D2D24">
        <w:rPr>
          <w:rFonts w:eastAsiaTheme="minorEastAsia"/>
          <w:lang w:val="ru-RU"/>
        </w:rPr>
        <w:t xml:space="preserve"> первоначальном</w:t>
      </w:r>
      <w:r w:rsidR="007D06B4">
        <w:rPr>
          <w:rFonts w:eastAsiaTheme="minorEastAsia"/>
          <w:lang w:val="ru-RU"/>
        </w:rPr>
        <w:t xml:space="preserve"> размещении</w:t>
      </w:r>
      <w:r w:rsidR="006D2D24">
        <w:rPr>
          <w:rFonts w:eastAsiaTheme="minorEastAsia"/>
          <w:lang w:val="ru-RU"/>
        </w:rPr>
        <w:t xml:space="preserve"> </w:t>
      </w:r>
      <w:r w:rsidR="006D2D24">
        <w:rPr>
          <w:rFonts w:eastAsiaTheme="minorEastAsia"/>
        </w:rPr>
        <w:t>SPAC</w:t>
      </w:r>
    </w:p>
    <w:p w14:paraId="49BF73E8" w14:textId="0461DAEA" w:rsidR="005E2B99" w:rsidRDefault="005438C5" w:rsidP="005E2B99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SPAC</m:t>
            </m:r>
          </m:sub>
        </m:sSub>
      </m:oMath>
      <w:r w:rsidR="005E2B99">
        <w:rPr>
          <w:rFonts w:eastAsiaTheme="minorEastAsia"/>
          <w:lang w:val="ru-RU"/>
        </w:rPr>
        <w:t xml:space="preserve"> – доходность </w:t>
      </w:r>
      <w:r w:rsidR="00B05402">
        <w:rPr>
          <w:rFonts w:eastAsiaTheme="minorEastAsia"/>
          <w:lang w:val="ru-RU"/>
        </w:rPr>
        <w:t xml:space="preserve">ценных бумаг </w:t>
      </w:r>
      <w:r w:rsidR="005E2B99">
        <w:rPr>
          <w:rFonts w:eastAsiaTheme="minorEastAsia"/>
        </w:rPr>
        <w:t>SPAC</w:t>
      </w:r>
      <w:r w:rsidR="005E2B99">
        <w:rPr>
          <w:rFonts w:eastAsiaTheme="minorEastAsia"/>
          <w:lang w:val="ru-RU"/>
        </w:rPr>
        <w:t xml:space="preserve"> в годовом выражении</w:t>
      </w:r>
    </w:p>
    <w:p w14:paraId="50CE79CD" w14:textId="749EAB63" w:rsidR="005E2B99" w:rsidRDefault="005E2B99" w:rsidP="005E2B99">
      <w:pPr>
        <w:pStyle w:val="af8"/>
        <w:rPr>
          <w:rFonts w:eastAsiaTheme="minorEastAsia"/>
          <w:lang w:val="ru-RU"/>
        </w:rPr>
      </w:pPr>
      <w:r>
        <w:rPr>
          <w:rFonts w:eastAsiaTheme="minorEastAsia"/>
        </w:rPr>
        <w:t>Months</w:t>
      </w:r>
      <w:r w:rsidRPr="00764C5B">
        <w:rPr>
          <w:rFonts w:eastAsiaTheme="minorEastAsia"/>
          <w:lang w:val="ru-RU"/>
        </w:rPr>
        <w:t xml:space="preserve"> – </w:t>
      </w:r>
      <w:r>
        <w:rPr>
          <w:rFonts w:eastAsiaTheme="minorEastAsia"/>
          <w:lang w:val="ru-RU"/>
        </w:rPr>
        <w:t xml:space="preserve">количество месяцев между </w:t>
      </w:r>
      <w:r w:rsidR="006D2D24">
        <w:rPr>
          <w:rFonts w:eastAsiaTheme="minorEastAsia"/>
          <w:lang w:val="ru-RU"/>
        </w:rPr>
        <w:t xml:space="preserve">первоначальным размещением </w:t>
      </w:r>
      <w:r>
        <w:rPr>
          <w:rFonts w:eastAsiaTheme="minorEastAsia"/>
        </w:rPr>
        <w:t>SPAC</w:t>
      </w:r>
      <w:r>
        <w:rPr>
          <w:rFonts w:eastAsiaTheme="minorEastAsia"/>
          <w:lang w:val="ru-RU"/>
        </w:rPr>
        <w:t xml:space="preserve"> и слиянием</w:t>
      </w:r>
      <w:r w:rsidR="006D2D24">
        <w:rPr>
          <w:rFonts w:eastAsiaTheme="minorEastAsia"/>
          <w:lang w:val="ru-RU"/>
        </w:rPr>
        <w:t xml:space="preserve"> с таргетом или </w:t>
      </w:r>
      <w:r>
        <w:rPr>
          <w:rFonts w:eastAsiaTheme="minorEastAsia"/>
          <w:lang w:val="ru-RU"/>
        </w:rPr>
        <w:t>ликвидацией</w:t>
      </w:r>
    </w:p>
    <w:p w14:paraId="1C23843E" w14:textId="5AA9E668" w:rsidR="005E2B99" w:rsidRPr="005A5631" w:rsidRDefault="005438C5" w:rsidP="005E2B99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Commo</m:t>
            </m:r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-5</m:t>
            </m:r>
          </m:sub>
        </m:sSub>
      </m:oMath>
      <w:r w:rsidR="005E2B99">
        <w:rPr>
          <w:rFonts w:eastAsiaTheme="minorEastAsia"/>
          <w:lang w:val="ru-RU"/>
        </w:rPr>
        <w:t xml:space="preserve"> – цена обыкновенной акции</w:t>
      </w:r>
      <w:r w:rsidR="0026528B">
        <w:rPr>
          <w:rFonts w:eastAsiaTheme="minorEastAsia"/>
          <w:lang w:val="ru-RU"/>
        </w:rPr>
        <w:t xml:space="preserve"> </w:t>
      </w:r>
      <w:r w:rsidR="0026528B">
        <w:rPr>
          <w:rFonts w:eastAsiaTheme="minorEastAsia"/>
        </w:rPr>
        <w:t>SPAC</w:t>
      </w:r>
      <w:r w:rsidR="005A5631">
        <w:rPr>
          <w:rFonts w:eastAsiaTheme="minorEastAsia"/>
          <w:lang w:val="ru-RU"/>
        </w:rPr>
        <w:t xml:space="preserve"> за 5 дней </w:t>
      </w:r>
      <w:r w:rsidR="0072206A">
        <w:rPr>
          <w:rFonts w:eastAsiaTheme="minorEastAsia"/>
          <w:lang w:val="ru-RU"/>
        </w:rPr>
        <w:t xml:space="preserve">до завершения сделки поглощения </w:t>
      </w:r>
      <w:r w:rsidR="0072206A" w:rsidRPr="0072206A">
        <w:rPr>
          <w:rFonts w:eastAsiaTheme="minorEastAsia"/>
          <w:lang w:val="ru-RU"/>
        </w:rPr>
        <w:t>/</w:t>
      </w:r>
      <w:r w:rsidR="0072206A">
        <w:rPr>
          <w:rFonts w:eastAsiaTheme="minorEastAsia"/>
          <w:lang w:val="ru-RU"/>
        </w:rPr>
        <w:t xml:space="preserve"> ликвидации </w:t>
      </w:r>
      <w:r w:rsidR="0072206A">
        <w:rPr>
          <w:rFonts w:eastAsiaTheme="minorEastAsia"/>
        </w:rPr>
        <w:t>SPAC</w:t>
      </w:r>
    </w:p>
    <w:p w14:paraId="0408E52C" w14:textId="0FEDE57E" w:rsidR="005E2B99" w:rsidRPr="003F60C0" w:rsidRDefault="005E2B99" w:rsidP="005E2B99">
      <w:pPr>
        <w:pStyle w:val="af8"/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Price</m:t>
        </m:r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Structure</m:t>
        </m:r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of</m:t>
        </m:r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Warrant</m:t>
        </m:r>
      </m:oMath>
      <w:r>
        <w:rPr>
          <w:rFonts w:eastAsiaTheme="minorEastAsia"/>
          <w:lang w:val="ru-RU"/>
        </w:rPr>
        <w:t xml:space="preserve"> – доля варранта</w:t>
      </w:r>
      <w:r w:rsidRPr="00CE3894">
        <w:rPr>
          <w:rFonts w:eastAsiaTheme="minorEastAsia"/>
          <w:lang w:val="ru-RU"/>
        </w:rPr>
        <w:t xml:space="preserve"> </w:t>
      </w:r>
      <w:r w:rsidRPr="00AF12D2">
        <w:rPr>
          <w:rFonts w:eastAsiaTheme="minorEastAsia"/>
          <w:lang w:val="ru-RU"/>
        </w:rPr>
        <w:t>(</w:t>
      </w:r>
      <w:r>
        <w:rPr>
          <w:rFonts w:eastAsiaTheme="minorEastAsia"/>
          <w:lang w:val="ru-RU"/>
        </w:rPr>
        <w:t>права) в одном юните. Например, в одном юните содержится ¼</w:t>
      </w:r>
      <w:r w:rsidRPr="003F60C0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варранта, тогда эта пропорция умножается на цену варранта</w:t>
      </w:r>
    </w:p>
    <w:p w14:paraId="129C68D0" w14:textId="10ABFD96" w:rsidR="005E2B99" w:rsidRPr="0072206A" w:rsidRDefault="005438C5" w:rsidP="00316B05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Warran</m:t>
            </m:r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-5</m:t>
            </m:r>
          </m:sub>
        </m:sSub>
      </m:oMath>
      <w:r w:rsidR="005E2B99">
        <w:rPr>
          <w:rFonts w:eastAsiaTheme="minorEastAsia"/>
          <w:lang w:val="ru-RU"/>
        </w:rPr>
        <w:t xml:space="preserve"> – цена варранта</w:t>
      </w:r>
      <w:r w:rsidR="0026528B">
        <w:rPr>
          <w:rFonts w:eastAsiaTheme="minorEastAsia"/>
          <w:lang w:val="ru-RU"/>
        </w:rPr>
        <w:t xml:space="preserve"> </w:t>
      </w:r>
      <w:r w:rsidR="0026528B">
        <w:rPr>
          <w:rFonts w:eastAsiaTheme="minorEastAsia"/>
        </w:rPr>
        <w:t>SPAC</w:t>
      </w:r>
      <w:r w:rsidR="006A18EB">
        <w:rPr>
          <w:rFonts w:eastAsiaTheme="minorEastAsia"/>
          <w:lang w:val="ru-RU"/>
        </w:rPr>
        <w:t xml:space="preserve"> за 5 дней до завершения </w:t>
      </w:r>
      <w:r w:rsidR="0072206A">
        <w:rPr>
          <w:rFonts w:eastAsiaTheme="minorEastAsia"/>
          <w:lang w:val="ru-RU"/>
        </w:rPr>
        <w:t xml:space="preserve">сделки поглощения </w:t>
      </w:r>
      <w:r w:rsidR="0072206A" w:rsidRPr="0072206A">
        <w:rPr>
          <w:rFonts w:eastAsiaTheme="minorEastAsia"/>
          <w:lang w:val="ru-RU"/>
        </w:rPr>
        <w:t>/</w:t>
      </w:r>
      <w:r w:rsidR="0072206A">
        <w:rPr>
          <w:rFonts w:eastAsiaTheme="minorEastAsia"/>
          <w:lang w:val="ru-RU"/>
        </w:rPr>
        <w:t xml:space="preserve"> ликвидации </w:t>
      </w:r>
      <w:r w:rsidR="0072206A">
        <w:rPr>
          <w:rFonts w:eastAsiaTheme="minorEastAsia"/>
        </w:rPr>
        <w:t>SPAC</w:t>
      </w:r>
    </w:p>
    <w:p w14:paraId="02D24904" w14:textId="4649C0B2" w:rsidR="001F3202" w:rsidRDefault="00967311" w:rsidP="001F3202">
      <w:r>
        <w:t xml:space="preserve">Стратегия инвестирования </w:t>
      </w:r>
      <w:r w:rsidR="00206DD5">
        <w:t xml:space="preserve">в </w:t>
      </w:r>
      <w:r w:rsidR="00206DD5">
        <w:rPr>
          <w:lang w:val="en-US"/>
        </w:rPr>
        <w:t>deSPAC</w:t>
      </w:r>
      <w:r w:rsidR="00206DD5">
        <w:t xml:space="preserve"> предполагает покупку акций</w:t>
      </w:r>
      <w:r w:rsidR="00E51D2A">
        <w:t xml:space="preserve"> по цене закрытия в день завершения сделки поглощени</w:t>
      </w:r>
      <w:r w:rsidR="003356BF">
        <w:t>я</w:t>
      </w:r>
      <w:r w:rsidR="00E51D2A">
        <w:t xml:space="preserve">. </w:t>
      </w:r>
      <w:r w:rsidR="002614C3">
        <w:t>Продажа осуществляется через 1 год</w:t>
      </w:r>
      <w:r w:rsidR="006950E6">
        <w:t xml:space="preserve"> или 3 года после даты завершения сделки. Если компания была подвержена процедуре делистинга раньше, чем </w:t>
      </w:r>
      <w:r w:rsidR="00C34879">
        <w:t xml:space="preserve">через 1 или 3 года после завершения </w:t>
      </w:r>
      <w:r w:rsidR="001F3202">
        <w:t xml:space="preserve">объединения, то в таком случае доходность акций таких компаний считается исходя из того количества времени, сколько они торговались, и приписывается к </w:t>
      </w:r>
      <w:r w:rsidR="00DA346B">
        <w:t xml:space="preserve">доходности за год или три года. </w:t>
      </w:r>
      <w:r w:rsidR="00D435AE">
        <w:t>Формула для</w:t>
      </w:r>
      <w:r w:rsidR="00DC7462">
        <w:t xml:space="preserve"> расчета доходности </w:t>
      </w:r>
      <w:r w:rsidR="00DC7462">
        <w:rPr>
          <w:lang w:val="en-US"/>
        </w:rPr>
        <w:t>deSPAC</w:t>
      </w:r>
      <w:r w:rsidR="00DC7462">
        <w:t xml:space="preserve"> </w:t>
      </w:r>
      <w:r w:rsidR="006D31C1">
        <w:t xml:space="preserve">выбрана на основе статьи </w:t>
      </w:r>
      <w:r w:rsidR="000E1A48" w:rsidRPr="00E2702A">
        <w:t>[</w:t>
      </w:r>
      <w:proofErr w:type="spellStart"/>
      <w:r w:rsidR="000E1A48">
        <w:rPr>
          <w:lang w:val="en-US"/>
        </w:rPr>
        <w:t>Gahng</w:t>
      </w:r>
      <w:proofErr w:type="spellEnd"/>
      <w:r w:rsidR="000E1A48" w:rsidRPr="00AD4ECC">
        <w:t xml:space="preserve">, </w:t>
      </w:r>
      <w:r w:rsidR="000E1A48">
        <w:rPr>
          <w:lang w:val="en-US"/>
        </w:rPr>
        <w:t>Ritter</w:t>
      </w:r>
      <w:r w:rsidR="000E1A48" w:rsidRPr="00E2702A">
        <w:t>,</w:t>
      </w:r>
      <w:r w:rsidR="000E1A48">
        <w:t xml:space="preserve"> </w:t>
      </w:r>
      <w:r w:rsidR="000E1A48">
        <w:rPr>
          <w:lang w:val="en-US"/>
        </w:rPr>
        <w:t>Zhang</w:t>
      </w:r>
      <w:r w:rsidR="000E1A48">
        <w:t xml:space="preserve"> 2021</w:t>
      </w:r>
      <w:r w:rsidR="000E1A48" w:rsidRPr="001F3F87">
        <w:t>]</w:t>
      </w:r>
      <w:r w:rsidR="006D31C1">
        <w:t>:</w:t>
      </w:r>
    </w:p>
    <w:p w14:paraId="7764E61A" w14:textId="4B770F1E" w:rsidR="0011145E" w:rsidRPr="009E68BE" w:rsidRDefault="0011145E" w:rsidP="0011145E">
      <w:pPr>
        <w:pStyle w:val="af8"/>
        <w:rPr>
          <w:vanish/>
          <w:specVanish/>
        </w:rPr>
      </w:pPr>
      <w:r w:rsidRPr="00F42192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BHRC</m:t>
            </m:r>
          </m:e>
          <m:sub>
            <m:r>
              <w:rPr>
                <w:rFonts w:ascii="Cambria Math" w:hAnsi="Cambria Math"/>
              </w:rPr>
              <m:t>i,t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T,   delist</m:t>
                    </m:r>
                  </m:e>
                </m:d>
              </m:e>
            </m:func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-1</m:t>
            </m:r>
          </m:e>
        </m:nary>
      </m:oMath>
      <w:r>
        <w:tab/>
      </w:r>
    </w:p>
    <w:p w14:paraId="74DC7DC3" w14:textId="4881ECAD" w:rsidR="0011145E" w:rsidRPr="00F42192" w:rsidRDefault="0011145E" w:rsidP="0011145E">
      <w:pPr>
        <w:pStyle w:val="af9"/>
      </w:pPr>
      <w:r>
        <w:t xml:space="preserve"> </w:t>
      </w:r>
      <w:r w:rsidRPr="00F42192">
        <w:t>(</w:t>
      </w:r>
      <w:r w:rsidR="00FE3894">
        <w:t>11</w:t>
      </w:r>
      <w:r w:rsidRPr="00F42192">
        <w:t>)</w:t>
      </w:r>
    </w:p>
    <w:p w14:paraId="49D187AB" w14:textId="77777777" w:rsidR="0011145E" w:rsidRDefault="0011145E" w:rsidP="0011145E">
      <w:pPr>
        <w:ind w:firstLine="0"/>
      </w:pPr>
      <w:r>
        <w:t>Где</w:t>
      </w:r>
    </w:p>
    <w:p w14:paraId="064E7F45" w14:textId="0346CA37" w:rsidR="0011145E" w:rsidRDefault="005438C5" w:rsidP="0011145E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i,t</m:t>
            </m:r>
          </m:sub>
        </m:sSub>
      </m:oMath>
      <w:r w:rsidR="0011145E">
        <w:rPr>
          <w:rFonts w:eastAsiaTheme="minorEastAsia"/>
        </w:rPr>
        <w:t xml:space="preserve"> – доходность за период </w:t>
      </w:r>
      <w:r w:rsidR="0011145E">
        <w:rPr>
          <w:rFonts w:eastAsiaTheme="minorEastAsia"/>
          <w:lang w:val="en-US"/>
        </w:rPr>
        <w:t>t</w:t>
      </w:r>
      <w:r w:rsidR="0011145E">
        <w:rPr>
          <w:rFonts w:eastAsiaTheme="minorEastAsia"/>
        </w:rPr>
        <w:t>, начисляемая ежедневно</w:t>
      </w:r>
      <w:r w:rsidR="007E6F06">
        <w:rPr>
          <w:rFonts w:eastAsiaTheme="minorEastAsia"/>
        </w:rPr>
        <w:t>;</w:t>
      </w:r>
    </w:p>
    <w:p w14:paraId="0C752CDF" w14:textId="72653732" w:rsidR="0011145E" w:rsidRDefault="005438C5" w:rsidP="0011145E">
      <w:pPr>
        <w:pStyle w:val="af8"/>
        <w:spacing w:before="0"/>
        <w:rPr>
          <w:lang w:val="ru-RU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ru-RU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delist</m:t>
                </m:r>
              </m:e>
            </m:d>
          </m:e>
        </m:func>
      </m:oMath>
      <w:r w:rsidR="0011145E" w:rsidRPr="007A1D7C">
        <w:rPr>
          <w:lang w:val="ru-RU"/>
        </w:rPr>
        <w:t xml:space="preserve"> – </w:t>
      </w:r>
      <w:r w:rsidR="0011145E" w:rsidRPr="00562BCB">
        <w:rPr>
          <w:lang w:val="ru-RU"/>
        </w:rPr>
        <w:t>первая из дат: год после поглощения (три года после поглощения) или делистинг</w:t>
      </w:r>
      <w:r w:rsidR="00EF7DEB">
        <w:rPr>
          <w:lang w:val="ru-RU"/>
        </w:rPr>
        <w:t xml:space="preserve"> </w:t>
      </w:r>
      <w:r w:rsidR="00EF7DEB">
        <w:t>deSPAC</w:t>
      </w:r>
      <w:r w:rsidR="007E6F06">
        <w:rPr>
          <w:lang w:val="ru-RU"/>
        </w:rPr>
        <w:t>.</w:t>
      </w:r>
    </w:p>
    <w:p w14:paraId="1B02CF67" w14:textId="77777777" w:rsidR="00420F73" w:rsidRDefault="009A7116" w:rsidP="00C70F8F">
      <w:r>
        <w:t>Ключевым</w:t>
      </w:r>
      <w:r w:rsidR="00277F1C">
        <w:t xml:space="preserve"> моментом в рамках </w:t>
      </w:r>
      <w:r w:rsidR="00551C29">
        <w:t xml:space="preserve">данного блока остается </w:t>
      </w:r>
      <w:r w:rsidR="00D65040">
        <w:t xml:space="preserve">сопоставление </w:t>
      </w:r>
      <w:r w:rsidR="00D65040">
        <w:rPr>
          <w:lang w:val="en-US"/>
        </w:rPr>
        <w:t>SPAC</w:t>
      </w:r>
      <w:r w:rsidR="00D65040">
        <w:t xml:space="preserve"> и компаний, </w:t>
      </w:r>
      <w:r w:rsidR="000E7160">
        <w:t xml:space="preserve">выходивших на биржу через классическое </w:t>
      </w:r>
      <w:r w:rsidR="000E7160">
        <w:rPr>
          <w:lang w:val="en-US"/>
        </w:rPr>
        <w:t>IPO</w:t>
      </w:r>
      <w:r w:rsidR="000E7160">
        <w:t>, для сравнения доходности.</w:t>
      </w:r>
      <w:r w:rsidR="006105C6">
        <w:t xml:space="preserve"> </w:t>
      </w:r>
      <w:r w:rsidR="004E138D">
        <w:t>Сопоставление проводилось сле</w:t>
      </w:r>
      <w:r w:rsidR="003159F0">
        <w:t>дующим образом</w:t>
      </w:r>
      <w:r w:rsidR="00420F73">
        <w:t>:</w:t>
      </w:r>
    </w:p>
    <w:p w14:paraId="6D5D70B8" w14:textId="5572E55B" w:rsidR="00420F73" w:rsidRDefault="00622343" w:rsidP="00420F73">
      <w:pPr>
        <w:pStyle w:val="ae"/>
        <w:numPr>
          <w:ilvl w:val="0"/>
          <w:numId w:val="9"/>
        </w:numPr>
      </w:pPr>
      <w:r>
        <w:t xml:space="preserve">Каждому </w:t>
      </w:r>
      <w:r>
        <w:rPr>
          <w:lang w:val="en-US"/>
        </w:rPr>
        <w:t>SPAC</w:t>
      </w:r>
      <w:r>
        <w:t xml:space="preserve"> в соответствие ставилась компания, выходившая на биржу через </w:t>
      </w:r>
      <w:r w:rsidR="009B5A4F">
        <w:t>традиционное</w:t>
      </w:r>
      <w:r>
        <w:t xml:space="preserve"> </w:t>
      </w:r>
      <w:r>
        <w:rPr>
          <w:lang w:val="en-US"/>
        </w:rPr>
        <w:t>IPO</w:t>
      </w:r>
      <w:r w:rsidR="009B5A4F">
        <w:t xml:space="preserve"> в тот же год, когда на бирже размещался </w:t>
      </w:r>
      <w:r w:rsidR="009B5A4F">
        <w:rPr>
          <w:lang w:val="en-US"/>
        </w:rPr>
        <w:t>SPAC</w:t>
      </w:r>
      <w:r w:rsidR="004960EE">
        <w:t xml:space="preserve">; размер же </w:t>
      </w:r>
      <w:r w:rsidR="004960EE">
        <w:rPr>
          <w:lang w:val="en-US"/>
        </w:rPr>
        <w:t>IPO</w:t>
      </w:r>
      <w:r w:rsidR="00985826">
        <w:t xml:space="preserve"> (</w:t>
      </w:r>
      <w:r w:rsidR="00985826">
        <w:rPr>
          <w:lang w:val="en-US"/>
        </w:rPr>
        <w:t>proceeds</w:t>
      </w:r>
      <w:r w:rsidR="00985826" w:rsidRPr="00985826">
        <w:t>)</w:t>
      </w:r>
      <w:r w:rsidR="004960EE">
        <w:t xml:space="preserve"> равен или примерно схож</w:t>
      </w:r>
      <w:r w:rsidR="000C7EAF">
        <w:rPr>
          <w:rStyle w:val="af5"/>
        </w:rPr>
        <w:footnoteReference w:id="36"/>
      </w:r>
      <w:r w:rsidR="004960EE">
        <w:t xml:space="preserve"> с объемом размещения </w:t>
      </w:r>
      <w:r w:rsidR="004960EE">
        <w:rPr>
          <w:lang w:val="en-US"/>
        </w:rPr>
        <w:t>SPAC</w:t>
      </w:r>
      <w:r w:rsidR="004960EE">
        <w:t xml:space="preserve">. </w:t>
      </w:r>
      <w:r w:rsidR="001806DA">
        <w:t xml:space="preserve">Также </w:t>
      </w:r>
      <w:r w:rsidR="001806DA">
        <w:rPr>
          <w:lang w:val="en-US"/>
        </w:rPr>
        <w:t>SPAC</w:t>
      </w:r>
      <w:r w:rsidR="001806DA">
        <w:t xml:space="preserve"> и </w:t>
      </w:r>
      <w:r w:rsidR="001806DA">
        <w:rPr>
          <w:lang w:val="en-US"/>
        </w:rPr>
        <w:t>IPO</w:t>
      </w:r>
      <w:r w:rsidR="001806DA">
        <w:t xml:space="preserve"> сопоставлялись по отрасли, об этом подробнее написано ниже.</w:t>
      </w:r>
    </w:p>
    <w:p w14:paraId="1C36955A" w14:textId="29A7908B" w:rsidR="001806DA" w:rsidRDefault="0061080D" w:rsidP="00420F73">
      <w:pPr>
        <w:pStyle w:val="ae"/>
        <w:numPr>
          <w:ilvl w:val="0"/>
          <w:numId w:val="9"/>
        </w:numPr>
      </w:pPr>
      <w:r>
        <w:lastRenderedPageBreak/>
        <w:t xml:space="preserve">Каждому </w:t>
      </w:r>
      <w:r>
        <w:rPr>
          <w:lang w:val="en-US"/>
        </w:rPr>
        <w:t>deSPAC</w:t>
      </w:r>
      <w:r>
        <w:t xml:space="preserve"> в соответствие</w:t>
      </w:r>
      <w:r w:rsidR="00DB56C1">
        <w:t xml:space="preserve"> приводилось</w:t>
      </w:r>
      <w:r>
        <w:t xml:space="preserve"> </w:t>
      </w:r>
      <w:r w:rsidR="00BF4C0B">
        <w:rPr>
          <w:lang w:val="en-US"/>
        </w:rPr>
        <w:t>IPO</w:t>
      </w:r>
      <w:r w:rsidR="00BF4C0B">
        <w:t xml:space="preserve"> из той же отрасли, в которой работает </w:t>
      </w:r>
      <w:r w:rsidR="00BF4C0B">
        <w:rPr>
          <w:lang w:val="en-US"/>
        </w:rPr>
        <w:t>deSPAC</w:t>
      </w:r>
      <w:r w:rsidR="00BF4C0B">
        <w:t xml:space="preserve">, и проводившееся </w:t>
      </w:r>
      <w:r w:rsidR="00B705C1">
        <w:t xml:space="preserve">в год, когда была завершена </w:t>
      </w:r>
      <w:r w:rsidR="00DB56C1">
        <w:t xml:space="preserve">сделка поглощения. </w:t>
      </w:r>
      <w:r w:rsidR="00520EA9">
        <w:t xml:space="preserve">Размер </w:t>
      </w:r>
      <w:r w:rsidR="00520EA9">
        <w:rPr>
          <w:lang w:val="en-US"/>
        </w:rPr>
        <w:t>IPO</w:t>
      </w:r>
      <w:r w:rsidR="00520EA9">
        <w:t xml:space="preserve"> равен или примерно схож с </w:t>
      </w:r>
      <w:r w:rsidR="001B536D">
        <w:t xml:space="preserve">капитализацией </w:t>
      </w:r>
      <w:r w:rsidR="001B536D">
        <w:rPr>
          <w:lang w:val="en-US"/>
        </w:rPr>
        <w:t>deSPAC</w:t>
      </w:r>
      <w:r w:rsidR="001B536D">
        <w:t>.</w:t>
      </w:r>
    </w:p>
    <w:p w14:paraId="20761CDA" w14:textId="1C60FCC4" w:rsidR="00B15DE4" w:rsidRPr="00073F07" w:rsidRDefault="00B15DE4" w:rsidP="00C70F8F">
      <w:r>
        <w:t xml:space="preserve">В случае, если для </w:t>
      </w:r>
      <w:r>
        <w:rPr>
          <w:lang w:val="en-US"/>
        </w:rPr>
        <w:t>deSPAC</w:t>
      </w:r>
      <w:r>
        <w:t xml:space="preserve"> не находится близкий по размеру </w:t>
      </w:r>
      <w:r>
        <w:rPr>
          <w:lang w:val="en-US"/>
        </w:rPr>
        <w:t>IPO</w:t>
      </w:r>
      <w:r>
        <w:t xml:space="preserve">, то в качестве сопоставления баралась средняя доходность </w:t>
      </w:r>
      <w:r>
        <w:rPr>
          <w:lang w:val="en-US"/>
        </w:rPr>
        <w:t>IPO</w:t>
      </w:r>
      <w:r>
        <w:t xml:space="preserve"> из той же отрасли</w:t>
      </w:r>
      <w:r w:rsidR="009D663F">
        <w:t xml:space="preserve">, которые проводились в тот же год, когда на бирже разместился </w:t>
      </w:r>
      <w:r w:rsidR="009D663F">
        <w:rPr>
          <w:lang w:val="en-US"/>
        </w:rPr>
        <w:t>SPAC</w:t>
      </w:r>
      <w:r w:rsidR="009D663F">
        <w:t xml:space="preserve">. Если для </w:t>
      </w:r>
      <w:r w:rsidR="009D663F">
        <w:rPr>
          <w:lang w:val="en-US"/>
        </w:rPr>
        <w:t>SPAC</w:t>
      </w:r>
      <w:r w:rsidR="009D663F">
        <w:t xml:space="preserve"> не находился </w:t>
      </w:r>
      <w:r w:rsidR="00073F07">
        <w:t>сопоставимый</w:t>
      </w:r>
      <w:r w:rsidR="009D663F">
        <w:t xml:space="preserve"> </w:t>
      </w:r>
      <w:r w:rsidR="009D663F">
        <w:rPr>
          <w:lang w:val="en-US"/>
        </w:rPr>
        <w:t>IPO</w:t>
      </w:r>
      <w:r w:rsidR="009D663F">
        <w:t xml:space="preserve">, в таком случае в качестве бенчмарка бралась </w:t>
      </w:r>
      <w:r w:rsidR="00312380">
        <w:t xml:space="preserve">доходность рыночного индекса </w:t>
      </w:r>
      <w:r w:rsidR="00312380">
        <w:rPr>
          <w:lang w:val="en-US"/>
        </w:rPr>
        <w:t>C</w:t>
      </w:r>
      <w:r w:rsidR="00073F07">
        <w:rPr>
          <w:lang w:val="en-US"/>
        </w:rPr>
        <w:t>RSP</w:t>
      </w:r>
      <w:r w:rsidR="00073F07" w:rsidRPr="00073F07">
        <w:t>.</w:t>
      </w:r>
    </w:p>
    <w:p w14:paraId="1B1034BD" w14:textId="4FCD9DA1" w:rsidR="00EA5B67" w:rsidRDefault="00982EA2" w:rsidP="00C70F8F">
      <w:r>
        <w:t xml:space="preserve">Если </w:t>
      </w:r>
      <w:r w:rsidR="00CE291F">
        <w:t xml:space="preserve">отрасль компании </w:t>
      </w:r>
      <w:r w:rsidR="00CE291F">
        <w:rPr>
          <w:lang w:val="en-US"/>
        </w:rPr>
        <w:t>deSPAC</w:t>
      </w:r>
      <w:r w:rsidR="00CE291F">
        <w:t xml:space="preserve"> определить несложно, то с отраслью «компании-пустышки» в период </w:t>
      </w:r>
      <w:r w:rsidR="00CE291F">
        <w:rPr>
          <w:lang w:val="en-US"/>
        </w:rPr>
        <w:t>SPAC</w:t>
      </w:r>
      <w:r w:rsidR="00CE291F">
        <w:t xml:space="preserve"> возникает сложность. </w:t>
      </w:r>
      <w:r w:rsidR="002E6ECD">
        <w:t xml:space="preserve">Как было указано в теоретической части, менеджеры </w:t>
      </w:r>
      <w:r w:rsidR="002E6ECD">
        <w:rPr>
          <w:lang w:val="en-US"/>
        </w:rPr>
        <w:t>SPAC</w:t>
      </w:r>
      <w:r w:rsidR="002E6ECD">
        <w:t xml:space="preserve"> в форме </w:t>
      </w:r>
      <w:r w:rsidR="002E6ECD">
        <w:rPr>
          <w:lang w:val="en-US"/>
        </w:rPr>
        <w:t>S</w:t>
      </w:r>
      <w:r w:rsidR="002E6ECD" w:rsidRPr="002E6ECD">
        <w:t xml:space="preserve">-1 </w:t>
      </w:r>
      <w:r w:rsidR="002E6ECD">
        <w:t>зачастую указывают критерии</w:t>
      </w:r>
      <w:r w:rsidR="00570006">
        <w:t xml:space="preserve">, на которые они смотрят при оценке фирмы-кандидата на поглощения. Одним из таких критериев может выступать и отрасль. </w:t>
      </w:r>
      <w:r w:rsidR="00EC207E">
        <w:t xml:space="preserve">Соответствующим образом </w:t>
      </w:r>
      <w:r w:rsidR="00EC207E">
        <w:rPr>
          <w:lang w:val="en-US"/>
        </w:rPr>
        <w:t>SPAC</w:t>
      </w:r>
      <w:r w:rsidR="00EC207E">
        <w:t xml:space="preserve"> были поделены на отрасли на основе наличия сфокусированности на том или ином экономическом секторе. </w:t>
      </w:r>
      <w:r w:rsidR="007008DF">
        <w:t xml:space="preserve">Некоторые </w:t>
      </w:r>
      <w:r w:rsidR="007008DF">
        <w:rPr>
          <w:lang w:val="en-US"/>
        </w:rPr>
        <w:t>SPAC</w:t>
      </w:r>
      <w:r w:rsidR="007008DF">
        <w:t xml:space="preserve"> не имели фокуса на отрасли – в таки</w:t>
      </w:r>
      <w:r w:rsidR="004F5D51">
        <w:t xml:space="preserve">х случаях доходность инвестиций в </w:t>
      </w:r>
      <w:r w:rsidR="004F5D51">
        <w:rPr>
          <w:lang w:val="en-US"/>
        </w:rPr>
        <w:t>SPAC</w:t>
      </w:r>
      <w:r w:rsidR="004F5D51">
        <w:t xml:space="preserve"> сравнивалась с доходность р</w:t>
      </w:r>
      <w:r w:rsidR="0091085C">
        <w:t xml:space="preserve">ынка: в качестве бенчмарка брался средневзвешенный рыночный индекс </w:t>
      </w:r>
      <w:r w:rsidR="0091085C">
        <w:rPr>
          <w:lang w:val="en-US"/>
        </w:rPr>
        <w:t>CRSP</w:t>
      </w:r>
      <w:r w:rsidR="0091085C">
        <w:t xml:space="preserve">, о нем подробно писалось </w:t>
      </w:r>
      <w:r w:rsidR="00454AEA">
        <w:t>в первой главе.</w:t>
      </w:r>
      <w:r w:rsidR="00417FFD">
        <w:t xml:space="preserve"> Перечень отраслей был подготовлен в соотв</w:t>
      </w:r>
      <w:r w:rsidR="00083A5C">
        <w:t>етствии с классификацией отраслей</w:t>
      </w:r>
      <w:r w:rsidR="00873E0D">
        <w:t xml:space="preserve">, предложенной </w:t>
      </w:r>
      <w:r w:rsidR="00873E0D">
        <w:rPr>
          <w:lang w:val="en-US"/>
        </w:rPr>
        <w:t>Refinitiv</w:t>
      </w:r>
      <w:r w:rsidR="00873E0D" w:rsidRPr="00873E0D">
        <w:t xml:space="preserve"> (</w:t>
      </w:r>
      <w:r w:rsidR="00873E0D">
        <w:rPr>
          <w:lang w:val="en-US"/>
        </w:rPr>
        <w:t>The</w:t>
      </w:r>
      <w:r w:rsidR="00873E0D" w:rsidRPr="00873E0D">
        <w:t xml:space="preserve"> </w:t>
      </w:r>
      <w:r w:rsidR="00873E0D">
        <w:rPr>
          <w:lang w:val="en-US"/>
        </w:rPr>
        <w:t>Refinitiv</w:t>
      </w:r>
      <w:r w:rsidR="00873E0D" w:rsidRPr="00873E0D">
        <w:t xml:space="preserve"> </w:t>
      </w:r>
      <w:r w:rsidR="00873E0D">
        <w:rPr>
          <w:lang w:val="en-US"/>
        </w:rPr>
        <w:t>Business</w:t>
      </w:r>
      <w:r w:rsidR="00873E0D" w:rsidRPr="00873E0D">
        <w:t xml:space="preserve"> </w:t>
      </w:r>
      <w:r w:rsidR="00873E0D">
        <w:rPr>
          <w:lang w:val="en-US"/>
        </w:rPr>
        <w:t>Classification</w:t>
      </w:r>
      <w:r w:rsidR="00873E0D" w:rsidRPr="00873E0D">
        <w:t xml:space="preserve"> </w:t>
      </w:r>
      <w:r w:rsidR="0011268C">
        <w:t>–</w:t>
      </w:r>
      <w:r w:rsidR="0011268C" w:rsidRPr="0011268C">
        <w:t xml:space="preserve"> </w:t>
      </w:r>
      <w:r w:rsidR="0011268C">
        <w:rPr>
          <w:lang w:val="en-US"/>
        </w:rPr>
        <w:t>TRBC</w:t>
      </w:r>
      <w:r w:rsidR="00FD3278">
        <w:rPr>
          <w:rStyle w:val="af5"/>
          <w:lang w:val="en-US"/>
        </w:rPr>
        <w:footnoteReference w:id="37"/>
      </w:r>
      <w:r w:rsidR="0011268C" w:rsidRPr="0011268C">
        <w:t xml:space="preserve">), </w:t>
      </w:r>
      <w:r w:rsidR="0011268C">
        <w:t>и включал следующие индустрии:</w:t>
      </w:r>
    </w:p>
    <w:p w14:paraId="0A8BABA8" w14:textId="050DBEC9" w:rsidR="0011268C" w:rsidRDefault="005A433B" w:rsidP="0011268C">
      <w:pPr>
        <w:pStyle w:val="ae"/>
        <w:numPr>
          <w:ilvl w:val="0"/>
          <w:numId w:val="7"/>
        </w:numPr>
      </w:pPr>
      <w:r>
        <w:t>Э</w:t>
      </w:r>
      <w:r w:rsidR="0011268C">
        <w:t>нергетика</w:t>
      </w:r>
      <w:r>
        <w:t xml:space="preserve"> – </w:t>
      </w:r>
      <w:r>
        <w:rPr>
          <w:lang w:val="en-US"/>
        </w:rPr>
        <w:t>Energy</w:t>
      </w:r>
      <w:r w:rsidR="0011268C">
        <w:t xml:space="preserve"> (</w:t>
      </w:r>
      <w:r w:rsidR="009A390B">
        <w:t>ископаем</w:t>
      </w:r>
      <w:r w:rsidR="00964362">
        <w:t>ое топливо, возобновляемая энергия)</w:t>
      </w:r>
      <w:r w:rsidR="00652F00">
        <w:t>;</w:t>
      </w:r>
    </w:p>
    <w:p w14:paraId="74AE974A" w14:textId="16B81C7E" w:rsidR="00652F00" w:rsidRDefault="005A433B" w:rsidP="0011268C">
      <w:pPr>
        <w:pStyle w:val="ae"/>
        <w:numPr>
          <w:ilvl w:val="0"/>
          <w:numId w:val="7"/>
        </w:numPr>
      </w:pPr>
      <w:r>
        <w:t>О</w:t>
      </w:r>
      <w:r w:rsidR="00652F00">
        <w:t>сновные материалы</w:t>
      </w:r>
      <w:r>
        <w:t xml:space="preserve"> – </w:t>
      </w:r>
      <w:r>
        <w:rPr>
          <w:lang w:val="en-US"/>
        </w:rPr>
        <w:t>Basic</w:t>
      </w:r>
      <w:r w:rsidRPr="003059B4">
        <w:t xml:space="preserve"> </w:t>
      </w:r>
      <w:r>
        <w:rPr>
          <w:lang w:val="en-US"/>
        </w:rPr>
        <w:t>Materials</w:t>
      </w:r>
      <w:r w:rsidR="00652F00">
        <w:t xml:space="preserve"> (</w:t>
      </w:r>
      <w:r w:rsidR="003059B4">
        <w:t xml:space="preserve">химическая промышленность, добыча металлов, </w:t>
      </w:r>
      <w:r w:rsidR="00DD6DCF">
        <w:t>лесная промышленность</w:t>
      </w:r>
      <w:r w:rsidR="00467237">
        <w:t>, производство упаковок)</w:t>
      </w:r>
      <w:r w:rsidR="00400488">
        <w:t>;</w:t>
      </w:r>
    </w:p>
    <w:p w14:paraId="1B4A2D98" w14:textId="3029C78B" w:rsidR="00467237" w:rsidRDefault="00467237" w:rsidP="0011268C">
      <w:pPr>
        <w:pStyle w:val="ae"/>
        <w:numPr>
          <w:ilvl w:val="0"/>
          <w:numId w:val="7"/>
        </w:numPr>
      </w:pPr>
      <w:r>
        <w:t xml:space="preserve">Тяжелая промышленность – </w:t>
      </w:r>
      <w:r>
        <w:rPr>
          <w:lang w:val="en-US"/>
        </w:rPr>
        <w:t>Industrials</w:t>
      </w:r>
      <w:r w:rsidRPr="005F6437">
        <w:t xml:space="preserve"> (</w:t>
      </w:r>
      <w:r>
        <w:t xml:space="preserve">производство </w:t>
      </w:r>
      <w:r w:rsidR="005F6437">
        <w:t xml:space="preserve">авиатехники, </w:t>
      </w:r>
      <w:r w:rsidR="00BA5072">
        <w:t>морских судов, тяжелой техники</w:t>
      </w:r>
      <w:r w:rsidR="006C1CE9" w:rsidRPr="006C1CE9">
        <w:t xml:space="preserve"> </w:t>
      </w:r>
      <w:r w:rsidR="00BA5072">
        <w:t>и пр.)</w:t>
      </w:r>
      <w:r w:rsidR="00400488">
        <w:t>;</w:t>
      </w:r>
    </w:p>
    <w:p w14:paraId="53267C51" w14:textId="2351E152" w:rsidR="00BA5072" w:rsidRDefault="006C1CE9" w:rsidP="0011268C">
      <w:pPr>
        <w:pStyle w:val="ae"/>
        <w:numPr>
          <w:ilvl w:val="0"/>
          <w:numId w:val="7"/>
        </w:numPr>
      </w:pPr>
      <w:r>
        <w:t>Циклические товары</w:t>
      </w:r>
      <w:r w:rsidR="000054FF">
        <w:t xml:space="preserve"> и услуги</w:t>
      </w:r>
      <w:r>
        <w:t xml:space="preserve"> – </w:t>
      </w:r>
      <w:r w:rsidR="00BA5072">
        <w:rPr>
          <w:lang w:val="en-US"/>
        </w:rPr>
        <w:t>Consumer</w:t>
      </w:r>
      <w:r w:rsidR="00BA5072" w:rsidRPr="002D7603">
        <w:t xml:space="preserve"> </w:t>
      </w:r>
      <w:r w:rsidR="00BA5072">
        <w:rPr>
          <w:lang w:val="en-US"/>
        </w:rPr>
        <w:t>Cyclicals</w:t>
      </w:r>
      <w:r w:rsidR="002D6467">
        <w:t xml:space="preserve"> (автомобили, текстиль</w:t>
      </w:r>
      <w:r w:rsidR="002D7603">
        <w:t xml:space="preserve">, строительные товары, бытовая техника, </w:t>
      </w:r>
      <w:r w:rsidR="00BC4EC2">
        <w:t xml:space="preserve">услуги в сфере медиа и </w:t>
      </w:r>
      <w:r w:rsidR="000E1A48">
        <w:t>развлечений, пр.</w:t>
      </w:r>
      <w:r w:rsidR="002D7603">
        <w:t>)</w:t>
      </w:r>
      <w:r w:rsidR="00400488">
        <w:t>;</w:t>
      </w:r>
    </w:p>
    <w:p w14:paraId="4ECB1FD8" w14:textId="182446F1" w:rsidR="002D7603" w:rsidRDefault="000054FF" w:rsidP="0011268C">
      <w:pPr>
        <w:pStyle w:val="ae"/>
        <w:numPr>
          <w:ilvl w:val="0"/>
          <w:numId w:val="7"/>
        </w:numPr>
      </w:pPr>
      <w:r>
        <w:t xml:space="preserve">Нециклические товары и услуги – </w:t>
      </w:r>
      <w:r w:rsidR="002F018C">
        <w:t>Consumer Non-</w:t>
      </w:r>
      <w:proofErr w:type="spellStart"/>
      <w:r w:rsidR="002F018C">
        <w:t>Cyclicals</w:t>
      </w:r>
      <w:proofErr w:type="spellEnd"/>
      <w:r w:rsidR="002F018C">
        <w:t xml:space="preserve"> (</w:t>
      </w:r>
      <w:r w:rsidR="00400488">
        <w:t xml:space="preserve">весь </w:t>
      </w:r>
      <w:r w:rsidR="00400488">
        <w:rPr>
          <w:lang w:val="en-US"/>
        </w:rPr>
        <w:t>FMCG</w:t>
      </w:r>
      <w:r w:rsidR="00400488">
        <w:t>);</w:t>
      </w:r>
    </w:p>
    <w:p w14:paraId="78CACA19" w14:textId="2A86CA8C" w:rsidR="00400488" w:rsidRDefault="00400488" w:rsidP="0011268C">
      <w:pPr>
        <w:pStyle w:val="ae"/>
        <w:numPr>
          <w:ilvl w:val="0"/>
          <w:numId w:val="7"/>
        </w:numPr>
      </w:pPr>
      <w:r>
        <w:t xml:space="preserve">Финансы – </w:t>
      </w:r>
      <w:r>
        <w:rPr>
          <w:lang w:val="en-US"/>
        </w:rPr>
        <w:t>Financials</w:t>
      </w:r>
      <w:r w:rsidRPr="005D0A1C">
        <w:t xml:space="preserve"> </w:t>
      </w:r>
      <w:r w:rsidR="00251DFC">
        <w:t>(</w:t>
      </w:r>
      <w:r w:rsidR="005D0A1C">
        <w:t>банковские услуги, финансовые технологии, страхование)</w:t>
      </w:r>
    </w:p>
    <w:p w14:paraId="17EECD91" w14:textId="4B2B5771" w:rsidR="005D0A1C" w:rsidRPr="009448F5" w:rsidRDefault="00396C80" w:rsidP="0011268C">
      <w:pPr>
        <w:pStyle w:val="ae"/>
        <w:numPr>
          <w:ilvl w:val="0"/>
          <w:numId w:val="7"/>
        </w:numPr>
      </w:pPr>
      <w:r>
        <w:t xml:space="preserve">Недвижимость – </w:t>
      </w:r>
      <w:r>
        <w:rPr>
          <w:lang w:val="en-US"/>
        </w:rPr>
        <w:t>Real Estate</w:t>
      </w:r>
      <w:r w:rsidR="009448F5">
        <w:rPr>
          <w:lang w:val="en-US"/>
        </w:rPr>
        <w:t>;</w:t>
      </w:r>
    </w:p>
    <w:p w14:paraId="4E51CF3B" w14:textId="0E232419" w:rsidR="009448F5" w:rsidRDefault="0070073B" w:rsidP="0011268C">
      <w:pPr>
        <w:pStyle w:val="ae"/>
        <w:numPr>
          <w:ilvl w:val="0"/>
          <w:numId w:val="7"/>
        </w:numPr>
      </w:pPr>
      <w:r>
        <w:t xml:space="preserve">Здравоохранение – </w:t>
      </w:r>
      <w:r>
        <w:rPr>
          <w:lang w:val="en-US"/>
        </w:rPr>
        <w:t>Healthcare</w:t>
      </w:r>
      <w:r w:rsidRPr="00864D35">
        <w:t xml:space="preserve"> (</w:t>
      </w:r>
      <w:r w:rsidR="00864D35">
        <w:t>медицинские услуги, медицинское оборудование, фармацевтика)</w:t>
      </w:r>
      <w:r w:rsidR="002E01B1">
        <w:t>;</w:t>
      </w:r>
    </w:p>
    <w:p w14:paraId="5E4D4643" w14:textId="606EDC55" w:rsidR="00864D35" w:rsidRDefault="00864D35" w:rsidP="0011268C">
      <w:pPr>
        <w:pStyle w:val="ae"/>
        <w:numPr>
          <w:ilvl w:val="0"/>
          <w:numId w:val="7"/>
        </w:numPr>
      </w:pPr>
      <w:r>
        <w:lastRenderedPageBreak/>
        <w:t xml:space="preserve">Технологии – </w:t>
      </w:r>
      <w:r>
        <w:rPr>
          <w:lang w:val="en-US"/>
        </w:rPr>
        <w:t>Technology</w:t>
      </w:r>
      <w:r w:rsidRPr="00060C1E">
        <w:t xml:space="preserve"> (</w:t>
      </w:r>
      <w:r w:rsidR="00060C1E">
        <w:rPr>
          <w:lang w:val="en-US"/>
        </w:rPr>
        <w:t>IT</w:t>
      </w:r>
      <w:r w:rsidR="00060C1E">
        <w:t>, телеком, технологическое и электронное оборудование, пр.)</w:t>
      </w:r>
    </w:p>
    <w:p w14:paraId="786182A2" w14:textId="752C7F5D" w:rsidR="00060C1E" w:rsidRDefault="00091E10" w:rsidP="0011268C">
      <w:pPr>
        <w:pStyle w:val="ae"/>
        <w:numPr>
          <w:ilvl w:val="0"/>
          <w:numId w:val="7"/>
        </w:numPr>
      </w:pPr>
      <w:r>
        <w:t xml:space="preserve">Коммунальные услуги – </w:t>
      </w:r>
      <w:r>
        <w:rPr>
          <w:lang w:val="en-US"/>
        </w:rPr>
        <w:t>Utilities</w:t>
      </w:r>
      <w:r w:rsidRPr="00AF6DE5">
        <w:t xml:space="preserve"> (</w:t>
      </w:r>
      <w:r w:rsidR="00AF6DE5">
        <w:t>генерация и распределение электроэнергии, гидроэнергетика и пр.)</w:t>
      </w:r>
      <w:r w:rsidR="002E01B1">
        <w:t>;</w:t>
      </w:r>
    </w:p>
    <w:p w14:paraId="11793884" w14:textId="21D887F8" w:rsidR="001811F1" w:rsidRPr="001811F1" w:rsidRDefault="001811F1" w:rsidP="0011268C">
      <w:pPr>
        <w:pStyle w:val="ae"/>
        <w:numPr>
          <w:ilvl w:val="0"/>
          <w:numId w:val="7"/>
        </w:numPr>
        <w:rPr>
          <w:lang w:val="en-US"/>
        </w:rPr>
      </w:pPr>
      <w:r>
        <w:t>Услуги</w:t>
      </w:r>
      <w:r w:rsidRPr="001811F1">
        <w:rPr>
          <w:lang w:val="en-US"/>
        </w:rPr>
        <w:t xml:space="preserve"> </w:t>
      </w:r>
      <w:r>
        <w:t>в</w:t>
      </w:r>
      <w:r w:rsidRPr="001811F1">
        <w:rPr>
          <w:lang w:val="en-US"/>
        </w:rPr>
        <w:t xml:space="preserve"> </w:t>
      </w:r>
      <w:r>
        <w:t>сфере</w:t>
      </w:r>
      <w:r w:rsidRPr="001811F1">
        <w:rPr>
          <w:lang w:val="en-US"/>
        </w:rPr>
        <w:t xml:space="preserve"> </w:t>
      </w:r>
      <w:r>
        <w:t>образования</w:t>
      </w:r>
      <w:r w:rsidRPr="001811F1">
        <w:rPr>
          <w:lang w:val="en-US"/>
        </w:rPr>
        <w:t xml:space="preserve"> – </w:t>
      </w:r>
      <w:r>
        <w:rPr>
          <w:lang w:val="en-US"/>
        </w:rPr>
        <w:t>Academic</w:t>
      </w:r>
      <w:r w:rsidRPr="001811F1">
        <w:rPr>
          <w:lang w:val="en-US"/>
        </w:rPr>
        <w:t xml:space="preserve"> &amp; </w:t>
      </w:r>
      <w:r>
        <w:rPr>
          <w:lang w:val="en-US"/>
        </w:rPr>
        <w:t>Educational</w:t>
      </w:r>
      <w:r w:rsidRPr="001811F1">
        <w:rPr>
          <w:lang w:val="en-US"/>
        </w:rPr>
        <w:t xml:space="preserve"> </w:t>
      </w:r>
      <w:r>
        <w:rPr>
          <w:lang w:val="en-US"/>
        </w:rPr>
        <w:t>Services</w:t>
      </w:r>
    </w:p>
    <w:p w14:paraId="5D264ADF" w14:textId="324D4C80" w:rsidR="006D31C1" w:rsidRDefault="00D10A4A" w:rsidP="00C70F8F">
      <w:r>
        <w:t xml:space="preserve">Основным вызовом стало сравнение доходностей инвестиций в </w:t>
      </w:r>
      <w:r>
        <w:rPr>
          <w:lang w:val="en-US"/>
        </w:rPr>
        <w:t>SPAC</w:t>
      </w:r>
      <w:r>
        <w:t xml:space="preserve"> и традиционное </w:t>
      </w:r>
      <w:r>
        <w:rPr>
          <w:lang w:val="en-US"/>
        </w:rPr>
        <w:t>IPO</w:t>
      </w:r>
      <w:r>
        <w:t xml:space="preserve"> в период, когда </w:t>
      </w:r>
      <w:r>
        <w:rPr>
          <w:lang w:val="en-US"/>
        </w:rPr>
        <w:t>SPAC</w:t>
      </w:r>
      <w:r>
        <w:t xml:space="preserve"> еще не поглотили другую фирму: </w:t>
      </w:r>
      <w:r w:rsidR="00E04779">
        <w:t xml:space="preserve">у каждой компании разный промежуток времени между первичным размещением и </w:t>
      </w:r>
      <w:r w:rsidR="00E04779">
        <w:rPr>
          <w:lang w:val="en-US"/>
        </w:rPr>
        <w:t>IPO</w:t>
      </w:r>
      <w:r w:rsidR="00E04779">
        <w:t xml:space="preserve">. </w:t>
      </w:r>
      <w:r w:rsidR="00E274AC">
        <w:t xml:space="preserve">В связи с этим </w:t>
      </w:r>
      <w:r w:rsidR="004D2438">
        <w:t xml:space="preserve">для каждого сопоставимого </w:t>
      </w:r>
      <w:r w:rsidR="00D973A4">
        <w:rPr>
          <w:lang w:val="en-US"/>
        </w:rPr>
        <w:t>IPO</w:t>
      </w:r>
      <w:r w:rsidR="00D973A4">
        <w:t xml:space="preserve"> по формуле (10) была посчитана доходность в годовом выражении. Например, </w:t>
      </w:r>
      <w:r w:rsidR="00D973A4">
        <w:rPr>
          <w:lang w:val="en-US"/>
        </w:rPr>
        <w:t>SPAC</w:t>
      </w:r>
      <w:r w:rsidR="00D973A4">
        <w:t xml:space="preserve"> </w:t>
      </w:r>
      <w:r w:rsidR="00D973A4">
        <w:rPr>
          <w:lang w:val="en-US"/>
        </w:rPr>
        <w:t>X</w:t>
      </w:r>
      <w:r w:rsidR="00D973A4">
        <w:t xml:space="preserve"> вышел на биржу и завершил поглощение через 15 месяцев после размещения. </w:t>
      </w:r>
      <w:r w:rsidR="00977D2D">
        <w:t>В таком сл</w:t>
      </w:r>
      <w:r w:rsidR="00835E36">
        <w:t xml:space="preserve">учае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835E36">
        <w:rPr>
          <w:rFonts w:eastAsiaTheme="minorEastAsia"/>
        </w:rPr>
        <w:t xml:space="preserve"> </w:t>
      </w:r>
      <w:r w:rsidR="00BB2092">
        <w:rPr>
          <w:rFonts w:eastAsiaTheme="minorEastAsia"/>
        </w:rPr>
        <w:t xml:space="preserve">акции </w:t>
      </w:r>
      <w:r w:rsidR="00141EC1">
        <w:rPr>
          <w:rFonts w:eastAsiaTheme="minorEastAsia"/>
        </w:rPr>
        <w:t>сопоставимой</w:t>
      </w:r>
      <w:r w:rsidR="00BB2092">
        <w:rPr>
          <w:rFonts w:eastAsiaTheme="minorEastAsia"/>
        </w:rPr>
        <w:t xml:space="preserve"> компании </w:t>
      </w:r>
      <w:r w:rsidR="00835E36">
        <w:rPr>
          <w:rFonts w:eastAsiaTheme="minorEastAsia"/>
        </w:rPr>
        <w:t>будет равня</w:t>
      </w:r>
      <w:r w:rsidR="00BB2092">
        <w:rPr>
          <w:rFonts w:eastAsiaTheme="minorEastAsia"/>
        </w:rPr>
        <w:t xml:space="preserve">ться цене через 15 месяцев после </w:t>
      </w:r>
      <w:r w:rsidR="00BB2092">
        <w:rPr>
          <w:rFonts w:eastAsiaTheme="minorEastAsia"/>
          <w:lang w:val="en-US"/>
        </w:rPr>
        <w:t>IPO</w:t>
      </w:r>
      <w:r w:rsidR="00BB2092">
        <w:rPr>
          <w:rFonts w:eastAsiaTheme="minorEastAsia"/>
        </w:rPr>
        <w:t xml:space="preserve">. </w:t>
      </w:r>
      <w:r w:rsidR="000C6696">
        <w:rPr>
          <w:rFonts w:eastAsiaTheme="minorEastAsia"/>
        </w:rPr>
        <w:t xml:space="preserve">В качестве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0C6696">
        <w:rPr>
          <w:rFonts w:eastAsiaTheme="minorEastAsia"/>
        </w:rPr>
        <w:t xml:space="preserve"> же выступает цена размещения </w:t>
      </w:r>
      <w:r w:rsidR="000C6696">
        <w:rPr>
          <w:rFonts w:eastAsiaTheme="minorEastAsia"/>
          <w:lang w:val="en-US"/>
        </w:rPr>
        <w:t>IPO</w:t>
      </w:r>
      <w:r w:rsidR="000C6696">
        <w:rPr>
          <w:rFonts w:eastAsiaTheme="minorEastAsia"/>
        </w:rPr>
        <w:t xml:space="preserve">, то есть инвестор вкладывается в </w:t>
      </w:r>
      <w:r w:rsidR="000C6696">
        <w:rPr>
          <w:rFonts w:eastAsiaTheme="minorEastAsia"/>
          <w:lang w:val="en-US"/>
        </w:rPr>
        <w:t>IPO</w:t>
      </w:r>
      <w:r w:rsidR="000C6696">
        <w:rPr>
          <w:rFonts w:eastAsiaTheme="minorEastAsia"/>
        </w:rPr>
        <w:t xml:space="preserve"> до начала торгов по аналогии с тем, как инвестор вложился бы в юнит </w:t>
      </w:r>
      <w:r w:rsidR="000C6696">
        <w:rPr>
          <w:rFonts w:eastAsiaTheme="minorEastAsia"/>
          <w:lang w:val="en-US"/>
        </w:rPr>
        <w:t>SPAC</w:t>
      </w:r>
      <w:r w:rsidR="000C6696">
        <w:rPr>
          <w:rFonts w:eastAsiaTheme="minorEastAsia"/>
        </w:rPr>
        <w:t xml:space="preserve"> до размещения.</w:t>
      </w:r>
    </w:p>
    <w:p w14:paraId="736126CF" w14:textId="1A4D2867" w:rsidR="001709AC" w:rsidRDefault="00467B15" w:rsidP="00C70F8F">
      <w:r>
        <w:t xml:space="preserve">Стратегия </w:t>
      </w:r>
      <w:r w:rsidR="00DD5FD5">
        <w:t>инвестиций</w:t>
      </w:r>
      <w:r>
        <w:t xml:space="preserve"> в </w:t>
      </w:r>
      <w:r>
        <w:rPr>
          <w:lang w:val="en-US"/>
        </w:rPr>
        <w:t>IPO</w:t>
      </w:r>
      <w:r>
        <w:t xml:space="preserve"> выглядит </w:t>
      </w:r>
      <w:r w:rsidR="00DD5FD5">
        <w:t>следующим образом: инвестор покупает акции компании по цене закрытия в первый день торгов</w:t>
      </w:r>
      <w:r w:rsidR="000D264E">
        <w:t xml:space="preserve"> и держит их. Продажа осуществляется спустя 1 год или 3 года после даты первичного размещения.</w:t>
      </w:r>
      <w:r w:rsidR="00F66432">
        <w:t xml:space="preserve"> Доходность акций компаний, вышедших через традиционное </w:t>
      </w:r>
      <w:r w:rsidR="00F66432">
        <w:rPr>
          <w:lang w:val="en-US"/>
        </w:rPr>
        <w:t>IPO</w:t>
      </w:r>
      <w:r w:rsidR="00F66432">
        <w:t xml:space="preserve">, рассчитывалась аналогичным образом по формуле </w:t>
      </w:r>
      <w:r w:rsidR="001308D8">
        <w:t>(11).</w:t>
      </w:r>
    </w:p>
    <w:p w14:paraId="0EFB653E" w14:textId="65212127" w:rsidR="00C93126" w:rsidRDefault="00C93126" w:rsidP="00C70F8F">
      <w:r>
        <w:t xml:space="preserve">Для определения результативности использовалась </w:t>
      </w:r>
      <w:r w:rsidR="00EF33D5">
        <w:t>избыточная</w:t>
      </w:r>
      <w:r>
        <w:t xml:space="preserve"> доходность</w:t>
      </w:r>
      <w:r w:rsidR="00F9412F">
        <w:t>, формула которо</w:t>
      </w:r>
      <w:r w:rsidR="00F54B80">
        <w:t>й</w:t>
      </w:r>
      <w:r w:rsidR="00F9412F">
        <w:t xml:space="preserve"> дана ниже:</w:t>
      </w:r>
    </w:p>
    <w:p w14:paraId="1BAFB9D8" w14:textId="5F2D2784" w:rsidR="00F9412F" w:rsidRPr="00B15DE4" w:rsidRDefault="00F9412F" w:rsidP="00F9412F">
      <w:pPr>
        <w:pStyle w:val="af8"/>
        <w:rPr>
          <w:vanish/>
          <w:specVanish/>
        </w:rPr>
      </w:pPr>
      <w:r w:rsidRPr="00F9412F">
        <w:rPr>
          <w:lang w:val="ru-RU"/>
        </w:rPr>
        <w:tab/>
      </w:r>
      <m:oMath>
        <m:r>
          <w:rPr>
            <w:rFonts w:ascii="Cambria Math" w:hAnsi="Cambria Math"/>
          </w:rPr>
          <m:t>AR=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-E(R)</m:t>
        </m:r>
      </m:oMath>
      <w:r>
        <w:tab/>
      </w:r>
    </w:p>
    <w:p w14:paraId="12260CA6" w14:textId="506BD442" w:rsidR="00B15DE4" w:rsidRPr="00F9782B" w:rsidRDefault="00B15DE4" w:rsidP="00F9412F">
      <w:pPr>
        <w:pStyle w:val="af8"/>
        <w:rPr>
          <w:lang w:val="ru-RU"/>
        </w:rPr>
      </w:pPr>
      <w:r w:rsidRPr="009C64E4">
        <w:rPr>
          <w:lang w:val="ru-RU"/>
        </w:rPr>
        <w:t xml:space="preserve"> </w:t>
      </w:r>
      <w:r w:rsidRPr="00F9782B">
        <w:rPr>
          <w:lang w:val="ru-RU"/>
        </w:rPr>
        <w:t>(</w:t>
      </w:r>
      <w:r w:rsidR="00583CDB">
        <w:rPr>
          <w:lang w:val="ru-RU"/>
        </w:rPr>
        <w:t>12</w:t>
      </w:r>
      <w:r w:rsidRPr="00F9782B">
        <w:rPr>
          <w:lang w:val="ru-RU"/>
        </w:rPr>
        <w:t>)</w:t>
      </w:r>
    </w:p>
    <w:p w14:paraId="6A627F93" w14:textId="5508F1A5" w:rsidR="00B15DE4" w:rsidRDefault="00B15DE4" w:rsidP="00F9412F">
      <w:pPr>
        <w:pStyle w:val="af8"/>
        <w:rPr>
          <w:lang w:val="ru-RU"/>
        </w:rPr>
      </w:pPr>
      <w:r>
        <w:rPr>
          <w:lang w:val="ru-RU"/>
        </w:rPr>
        <w:t>Где</w:t>
      </w:r>
    </w:p>
    <w:p w14:paraId="3919A461" w14:textId="1E250CB2" w:rsidR="00B15DE4" w:rsidRDefault="005438C5" w:rsidP="00F9412F">
      <w:pPr>
        <w:pStyle w:val="af8"/>
        <w:rPr>
          <w:rFonts w:eastAsiaTheme="minorEastAsia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15DE4">
        <w:rPr>
          <w:rFonts w:eastAsiaTheme="minorEastAsia"/>
          <w:lang w:val="ru-RU"/>
        </w:rPr>
        <w:t xml:space="preserve"> – доходность акций </w:t>
      </w:r>
      <w:r w:rsidR="00B15DE4">
        <w:rPr>
          <w:rFonts w:eastAsiaTheme="minorEastAsia"/>
        </w:rPr>
        <w:t>SPAC</w:t>
      </w:r>
      <w:r w:rsidR="00B15DE4">
        <w:rPr>
          <w:rFonts w:eastAsiaTheme="minorEastAsia"/>
          <w:lang w:val="ru-RU"/>
        </w:rPr>
        <w:t xml:space="preserve"> в годовом выражении </w:t>
      </w:r>
      <w:r w:rsidR="00B15DE4" w:rsidRPr="00B15DE4">
        <w:rPr>
          <w:rFonts w:eastAsiaTheme="minorEastAsia"/>
          <w:lang w:val="ru-RU"/>
        </w:rPr>
        <w:t xml:space="preserve">/ </w:t>
      </w:r>
      <w:r w:rsidR="00B15DE4">
        <w:rPr>
          <w:rFonts w:eastAsiaTheme="minorEastAsia"/>
          <w:lang w:val="ru-RU"/>
        </w:rPr>
        <w:t xml:space="preserve">доходность акций </w:t>
      </w:r>
      <w:r w:rsidR="00B15DE4">
        <w:rPr>
          <w:rFonts w:eastAsiaTheme="minorEastAsia"/>
        </w:rPr>
        <w:t>deSPAC</w:t>
      </w:r>
      <w:r w:rsidR="00B15DE4">
        <w:rPr>
          <w:rFonts w:eastAsiaTheme="minorEastAsia"/>
          <w:lang w:val="ru-RU"/>
        </w:rPr>
        <w:t xml:space="preserve"> через 1 год или через 3 года</w:t>
      </w:r>
    </w:p>
    <w:p w14:paraId="440A0D21" w14:textId="7E73B5DA" w:rsidR="00B15DE4" w:rsidRDefault="00141EC1" w:rsidP="00F9412F">
      <w:pPr>
        <w:pStyle w:val="af8"/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ru-RU"/>
          </w:rPr>
          <m:t>)</m:t>
        </m:r>
      </m:oMath>
      <w:r>
        <w:rPr>
          <w:rFonts w:eastAsiaTheme="minorEastAsia"/>
          <w:lang w:val="ru-RU"/>
        </w:rPr>
        <w:t xml:space="preserve"> – сопоставимая доходность (</w:t>
      </w:r>
      <w:r>
        <w:rPr>
          <w:rFonts w:eastAsiaTheme="minorEastAsia"/>
        </w:rPr>
        <w:t>IPO</w:t>
      </w:r>
      <w:r w:rsidRPr="00141EC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или </w:t>
      </w:r>
      <w:r w:rsidR="000C6B06">
        <w:rPr>
          <w:rFonts w:eastAsiaTheme="minorEastAsia"/>
          <w:lang w:val="ru-RU"/>
        </w:rPr>
        <w:t xml:space="preserve">индекса </w:t>
      </w:r>
      <w:r w:rsidR="000C6B06">
        <w:rPr>
          <w:rFonts w:eastAsiaTheme="minorEastAsia"/>
        </w:rPr>
        <w:t>CRSP</w:t>
      </w:r>
      <w:r w:rsidR="000C6B06">
        <w:rPr>
          <w:rFonts w:eastAsiaTheme="minorEastAsia"/>
          <w:lang w:val="ru-RU"/>
        </w:rPr>
        <w:t>, ситуации применения описаны выше)</w:t>
      </w:r>
    </w:p>
    <w:p w14:paraId="2913AED5" w14:textId="26E903F1" w:rsidR="00E654B4" w:rsidRPr="002967F8" w:rsidRDefault="00821310" w:rsidP="00E654B4">
      <w:r>
        <w:t xml:space="preserve">Далее считалась средняя оценка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AR</m:t>
            </m:r>
          </m:e>
        </m:acc>
      </m:oMath>
      <w:r>
        <w:rPr>
          <w:rFonts w:eastAsiaTheme="minorEastAsia"/>
        </w:rPr>
        <w:t xml:space="preserve">, которая проверялась на статистическую значимость через </w:t>
      </w:r>
      <w:r>
        <w:rPr>
          <w:rFonts w:eastAsiaTheme="minorEastAsia"/>
          <w:lang w:val="en-US"/>
        </w:rPr>
        <w:t>t</w:t>
      </w:r>
      <w:r w:rsidRPr="00821310">
        <w:rPr>
          <w:rFonts w:eastAsiaTheme="minorEastAsia"/>
        </w:rPr>
        <w:t>-</w:t>
      </w:r>
      <w:r>
        <w:rPr>
          <w:rFonts w:eastAsiaTheme="minorEastAsia"/>
        </w:rPr>
        <w:t xml:space="preserve">критерий Стьюдента. Если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AR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 w:rsidRPr="00821310">
        <w:rPr>
          <w:rFonts w:eastAsiaTheme="minorEastAsia"/>
        </w:rPr>
        <w:t>&lt; 0</w:t>
      </w:r>
      <w:proofErr w:type="gramEnd"/>
      <w:r>
        <w:rPr>
          <w:rFonts w:eastAsiaTheme="minorEastAsia"/>
        </w:rPr>
        <w:t xml:space="preserve"> и оценка значима, значит акции </w:t>
      </w:r>
      <w:r>
        <w:rPr>
          <w:rFonts w:eastAsiaTheme="minorEastAsia"/>
          <w:lang w:val="en-US"/>
        </w:rPr>
        <w:t>SPAC</w:t>
      </w:r>
      <w:r>
        <w:rPr>
          <w:rFonts w:eastAsiaTheme="minorEastAsia"/>
        </w:rPr>
        <w:t xml:space="preserve"> показываю низкую результативность (их доходность ниже доходности бенчмарка). Если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AR</m:t>
            </m:r>
          </m:e>
        </m:acc>
      </m:oMath>
      <w:r>
        <w:rPr>
          <w:rFonts w:eastAsiaTheme="minorEastAsia"/>
        </w:rPr>
        <w:t xml:space="preserve"> </w:t>
      </w:r>
      <w:r w:rsidR="00962A0D" w:rsidRPr="00962A0D">
        <w:rPr>
          <w:rFonts w:eastAsiaTheme="minorEastAsia"/>
        </w:rPr>
        <w:t>&gt;</w:t>
      </w:r>
      <w:r w:rsidRPr="00821310">
        <w:rPr>
          <w:rFonts w:eastAsiaTheme="minorEastAsia"/>
        </w:rPr>
        <w:t xml:space="preserve"> 0</w:t>
      </w:r>
      <w:r>
        <w:rPr>
          <w:rFonts w:eastAsiaTheme="minorEastAsia"/>
        </w:rPr>
        <w:t xml:space="preserve">, то акции </w:t>
      </w:r>
      <w:r>
        <w:rPr>
          <w:rFonts w:eastAsiaTheme="minorEastAsia"/>
          <w:lang w:val="en-US"/>
        </w:rPr>
        <w:t>SPAC</w:t>
      </w:r>
      <w:r>
        <w:rPr>
          <w:rFonts w:eastAsiaTheme="minorEastAsia"/>
        </w:rPr>
        <w:t xml:space="preserve"> показывают высокую результативность (их доходность выше доходности бенчмарка). </w:t>
      </w:r>
      <w:r w:rsidR="002967F8">
        <w:rPr>
          <w:rFonts w:eastAsiaTheme="minorEastAsia"/>
        </w:rPr>
        <w:t xml:space="preserve">Если оценка незначима, значит доходности акций </w:t>
      </w:r>
      <w:r w:rsidR="002967F8">
        <w:rPr>
          <w:rFonts w:eastAsiaTheme="minorEastAsia"/>
          <w:lang w:val="en-US"/>
        </w:rPr>
        <w:t>SPAC</w:t>
      </w:r>
      <w:r w:rsidR="002967F8">
        <w:rPr>
          <w:rFonts w:eastAsiaTheme="minorEastAsia"/>
        </w:rPr>
        <w:t xml:space="preserve"> и бенчмарка эквивалентны.</w:t>
      </w:r>
    </w:p>
    <w:p w14:paraId="2C036F76" w14:textId="4249781C" w:rsidR="00A06C0E" w:rsidRDefault="00BD58BE" w:rsidP="00A06C0E">
      <w:pPr>
        <w:pStyle w:val="3"/>
      </w:pPr>
      <w:bookmarkStart w:id="40" w:name="_Toc102050309"/>
      <w:bookmarkStart w:id="41" w:name="_Toc102050681"/>
      <w:r>
        <w:lastRenderedPageBreak/>
        <w:t xml:space="preserve">2.2.2. </w:t>
      </w:r>
      <w:r w:rsidR="0033310F">
        <w:t xml:space="preserve">Доходность варрантов </w:t>
      </w:r>
      <w:r w:rsidR="0033310F">
        <w:rPr>
          <w:lang w:val="en-US"/>
        </w:rPr>
        <w:t>SPAC</w:t>
      </w:r>
      <w:bookmarkEnd w:id="40"/>
      <w:bookmarkEnd w:id="41"/>
    </w:p>
    <w:p w14:paraId="1F73AF8B" w14:textId="38EB542C" w:rsidR="0033310F" w:rsidRDefault="006F711A" w:rsidP="0033310F">
      <w:r>
        <w:t xml:space="preserve">Для расчета </w:t>
      </w:r>
      <w:r w:rsidR="00E15C16">
        <w:t xml:space="preserve">доходности варрантов была использована следующая формула </w:t>
      </w:r>
      <w:r w:rsidR="000E1A48" w:rsidRPr="00E2702A">
        <w:t>[</w:t>
      </w:r>
      <w:proofErr w:type="spellStart"/>
      <w:r w:rsidR="000E1A48">
        <w:rPr>
          <w:lang w:val="en-US"/>
        </w:rPr>
        <w:t>Gahng</w:t>
      </w:r>
      <w:proofErr w:type="spellEnd"/>
      <w:r w:rsidR="000E1A48" w:rsidRPr="00AD4ECC">
        <w:t xml:space="preserve">, </w:t>
      </w:r>
      <w:r w:rsidR="000E1A48">
        <w:rPr>
          <w:lang w:val="en-US"/>
        </w:rPr>
        <w:t>Ritter</w:t>
      </w:r>
      <w:r w:rsidR="000E1A48" w:rsidRPr="00E2702A">
        <w:t>,</w:t>
      </w:r>
      <w:r w:rsidR="000E1A48">
        <w:t xml:space="preserve"> </w:t>
      </w:r>
      <w:r w:rsidR="000E1A48">
        <w:rPr>
          <w:lang w:val="en-US"/>
        </w:rPr>
        <w:t>Zhang</w:t>
      </w:r>
      <w:r w:rsidR="000E1A48">
        <w:t xml:space="preserve"> 2021</w:t>
      </w:r>
      <w:r w:rsidR="000E1A48" w:rsidRPr="001F3F87">
        <w:t>]</w:t>
      </w:r>
      <w:r w:rsidR="00E15C16">
        <w:t>:</w:t>
      </w:r>
    </w:p>
    <w:p w14:paraId="391B5443" w14:textId="6837D68E" w:rsidR="00E15C16" w:rsidRPr="00506595" w:rsidRDefault="00E15C16" w:rsidP="00E15C16">
      <w:pPr>
        <w:pStyle w:val="af8"/>
        <w:rPr>
          <w:vanish/>
          <w:lang w:val="ru-RU"/>
          <w:specVanish/>
        </w:rPr>
      </w:pPr>
      <w:r w:rsidRPr="00FE5B3B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BHRW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lang w:val="ru-RU"/>
                          </w:rPr>
                          <m:t xml:space="preserve">,   </m:t>
                        </m:r>
                        <m:r>
                          <w:rPr>
                            <w:rFonts w:ascii="Cambria Math" w:hAnsi="Cambria Math"/>
                          </w:rPr>
                          <m:t>delist</m:t>
                        </m:r>
                      </m:e>
                    </m:d>
                  </m:e>
                </m:func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deSPAC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date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/>
            <w:lang w:val="ru-RU"/>
          </w:rPr>
          <m:t>-1</m:t>
        </m:r>
      </m:oMath>
      <w:r w:rsidRPr="00506595">
        <w:rPr>
          <w:lang w:val="ru-RU"/>
        </w:rPr>
        <w:tab/>
      </w:r>
    </w:p>
    <w:p w14:paraId="687C6AA6" w14:textId="6D8BE2E9" w:rsidR="00E15C16" w:rsidRPr="00562BCB" w:rsidRDefault="00E15C16" w:rsidP="00E15C16">
      <w:pPr>
        <w:pStyle w:val="af9"/>
      </w:pPr>
      <w:r>
        <w:t xml:space="preserve"> </w:t>
      </w:r>
      <w:r w:rsidRPr="00562BCB">
        <w:t>(</w:t>
      </w:r>
      <w:r w:rsidR="00094512">
        <w:t>1</w:t>
      </w:r>
      <w:r w:rsidR="00E654B4" w:rsidRPr="00F9782B">
        <w:t>3</w:t>
      </w:r>
      <w:r w:rsidRPr="00562BCB">
        <w:t>)</w:t>
      </w:r>
    </w:p>
    <w:p w14:paraId="08145A1E" w14:textId="77777777" w:rsidR="00E15C16" w:rsidRDefault="00E15C16" w:rsidP="00E15C16">
      <w:pPr>
        <w:ind w:firstLine="0"/>
      </w:pPr>
      <w:r>
        <w:t>Где</w:t>
      </w:r>
    </w:p>
    <w:p w14:paraId="0FD1F563" w14:textId="3D3010C8" w:rsidR="00E15C16" w:rsidRDefault="005438C5" w:rsidP="00E15C16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T,   delist</m:t>
                    </m:r>
                  </m:e>
                </m:d>
              </m:e>
            </m:func>
          </m:sub>
        </m:sSub>
      </m:oMath>
      <w:r w:rsidR="00E15C16">
        <w:rPr>
          <w:rFonts w:eastAsiaTheme="minorEastAsia"/>
        </w:rPr>
        <w:t xml:space="preserve"> – цена варранта компании </w:t>
      </w:r>
      <w:proofErr w:type="spellStart"/>
      <w:r w:rsidR="00E15C16">
        <w:rPr>
          <w:rFonts w:eastAsiaTheme="minorEastAsia"/>
          <w:lang w:val="en-US"/>
        </w:rPr>
        <w:t>i</w:t>
      </w:r>
      <w:proofErr w:type="spellEnd"/>
      <w:r w:rsidR="00E15C16">
        <w:rPr>
          <w:rFonts w:eastAsiaTheme="minorEastAsia"/>
        </w:rPr>
        <w:t xml:space="preserve"> в период </w:t>
      </w:r>
      <w:r w:rsidR="00E15C16">
        <w:rPr>
          <w:rFonts w:eastAsiaTheme="minorEastAsia"/>
          <w:lang w:val="en-US"/>
        </w:rPr>
        <w:t>T</w:t>
      </w:r>
      <w:r w:rsidR="00E15C16">
        <w:rPr>
          <w:rFonts w:eastAsiaTheme="minorEastAsia"/>
        </w:rPr>
        <w:t xml:space="preserve"> (один или три года) или во время делистинга</w:t>
      </w:r>
    </w:p>
    <w:p w14:paraId="04BF8B32" w14:textId="35E7CE8C" w:rsidR="00E15C16" w:rsidRPr="00562BCB" w:rsidRDefault="005438C5" w:rsidP="00E15C16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deSPAC</m:t>
                </m:r>
                <m:ctrlPr>
                  <w:rPr>
                    <w:rFonts w:ascii="Cambria Math" w:hAnsi="Cambria Math"/>
                    <w:i/>
                    <w:lang w:val="ru-RU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date</m:t>
                </m:r>
              </m:sub>
            </m:sSub>
          </m:sub>
        </m:sSub>
      </m:oMath>
      <w:r w:rsidR="00E15C16" w:rsidRPr="00562BCB">
        <w:rPr>
          <w:lang w:val="ru-RU"/>
        </w:rPr>
        <w:t xml:space="preserve"> – цена закрытия варранта в день завершения сделки поглощения</w:t>
      </w:r>
    </w:p>
    <w:p w14:paraId="6AFFFA29" w14:textId="6950F73B" w:rsidR="00FE4441" w:rsidRPr="00E558A3" w:rsidRDefault="00701AED" w:rsidP="00E558A3">
      <w:r>
        <w:t xml:space="preserve">Позже </w:t>
      </w:r>
      <w:r w:rsidR="00D17613">
        <w:t xml:space="preserve">в части, посвященной расчетам, будет показано, что </w:t>
      </w:r>
      <w:r w:rsidR="00FB4700">
        <w:t xml:space="preserve">исполнение варрантов не будет являться оптимальной стратегией, так как </w:t>
      </w:r>
      <w:r w:rsidR="00335256">
        <w:t xml:space="preserve">как правила рыночная цена варрантов превосходит их </w:t>
      </w:r>
      <w:r w:rsidR="00B5724F">
        <w:t>внутреннюю стоимость.</w:t>
      </w:r>
    </w:p>
    <w:p w14:paraId="757BCDF6" w14:textId="156B1E17" w:rsidR="00FE4441" w:rsidRPr="004B1163" w:rsidRDefault="00BD58BE" w:rsidP="00277695">
      <w:pPr>
        <w:pStyle w:val="3"/>
      </w:pPr>
      <w:bookmarkStart w:id="42" w:name="_Toc102050310"/>
      <w:bookmarkStart w:id="43" w:name="_Toc102050682"/>
      <w:r w:rsidRPr="004B1163">
        <w:t>2.2.3.</w:t>
      </w:r>
      <w:r w:rsidR="00F547D9" w:rsidRPr="004B1163">
        <w:t xml:space="preserve"> </w:t>
      </w:r>
      <w:r w:rsidR="00E32FB7">
        <w:t>Метод</w:t>
      </w:r>
      <w:r w:rsidR="00E32FB7" w:rsidRPr="004B1163">
        <w:t xml:space="preserve"> </w:t>
      </w:r>
      <w:r w:rsidR="00E32FB7">
        <w:rPr>
          <w:lang w:val="en-US"/>
        </w:rPr>
        <w:t>buy</w:t>
      </w:r>
      <w:r w:rsidR="00E32FB7" w:rsidRPr="004B1163">
        <w:t>-</w:t>
      </w:r>
      <w:r w:rsidR="00E32FB7">
        <w:rPr>
          <w:lang w:val="en-US"/>
        </w:rPr>
        <w:t>and</w:t>
      </w:r>
      <w:r w:rsidR="00E32FB7" w:rsidRPr="004B1163">
        <w:t>-</w:t>
      </w:r>
      <w:r w:rsidR="00E32FB7">
        <w:rPr>
          <w:lang w:val="en-US"/>
        </w:rPr>
        <w:t>hold</w:t>
      </w:r>
      <w:r w:rsidR="00E32FB7" w:rsidRPr="004B1163">
        <w:t xml:space="preserve"> </w:t>
      </w:r>
      <w:r w:rsidR="00E32FB7">
        <w:rPr>
          <w:lang w:val="en-US"/>
        </w:rPr>
        <w:t>abnormal</w:t>
      </w:r>
      <w:r w:rsidR="00E32FB7" w:rsidRPr="004B1163">
        <w:t xml:space="preserve"> </w:t>
      </w:r>
      <w:r w:rsidR="00E32FB7">
        <w:rPr>
          <w:lang w:val="en-US"/>
        </w:rPr>
        <w:t>return</w:t>
      </w:r>
      <w:r w:rsidR="00D2433E" w:rsidRPr="004B1163">
        <w:t xml:space="preserve"> </w:t>
      </w:r>
      <w:r w:rsidR="00A83FEB" w:rsidRPr="004B1163">
        <w:t>(</w:t>
      </w:r>
      <w:r w:rsidR="00A83FEB">
        <w:rPr>
          <w:lang w:val="en-US"/>
        </w:rPr>
        <w:t>BHAR</w:t>
      </w:r>
      <w:r w:rsidR="00A83FEB" w:rsidRPr="004B1163">
        <w:t>)</w:t>
      </w:r>
      <w:bookmarkEnd w:id="42"/>
      <w:bookmarkEnd w:id="43"/>
    </w:p>
    <w:p w14:paraId="625F0CDD" w14:textId="0092D89C" w:rsidR="00E77D41" w:rsidRDefault="00E77D41" w:rsidP="00E77D41">
      <w:r>
        <w:t xml:space="preserve">Для оценки </w:t>
      </w:r>
      <w:r w:rsidR="00BE6D9C">
        <w:t>средней сверхдоходности</w:t>
      </w:r>
      <w:r w:rsidR="00F97D77">
        <w:t xml:space="preserve"> </w:t>
      </w:r>
      <w:r w:rsidR="00760B61">
        <w:t>(</w:t>
      </w:r>
      <w:r w:rsidR="00286C21">
        <w:t xml:space="preserve">к рынку) </w:t>
      </w:r>
      <w:r w:rsidR="00F97D77">
        <w:t xml:space="preserve">был использован метод </w:t>
      </w:r>
      <w:r w:rsidR="00F97D77">
        <w:rPr>
          <w:lang w:val="en-US"/>
        </w:rPr>
        <w:t>event</w:t>
      </w:r>
      <w:r w:rsidR="00F97D77" w:rsidRPr="00F97D77">
        <w:t xml:space="preserve"> </w:t>
      </w:r>
      <w:r w:rsidR="00F97D77">
        <w:rPr>
          <w:lang w:val="en-US"/>
        </w:rPr>
        <w:t>study</w:t>
      </w:r>
      <w:r w:rsidR="00F97D77">
        <w:t xml:space="preserve">, а именно </w:t>
      </w:r>
      <w:r w:rsidR="004840BE">
        <w:t xml:space="preserve">расчет </w:t>
      </w:r>
      <w:proofErr w:type="spellStart"/>
      <w:r w:rsidR="004840BE">
        <w:t>сверхдоходностей</w:t>
      </w:r>
      <w:proofErr w:type="spellEnd"/>
      <w:r w:rsidR="004840BE">
        <w:t xml:space="preserve"> «покупай и держи» (</w:t>
      </w:r>
      <w:r w:rsidR="004840BE">
        <w:rPr>
          <w:lang w:val="en-US"/>
        </w:rPr>
        <w:t>BHAR</w:t>
      </w:r>
      <w:r w:rsidR="004840BE">
        <w:t xml:space="preserve">). </w:t>
      </w:r>
      <w:r w:rsidR="008F0D88">
        <w:t>Данный метод был выбран</w:t>
      </w:r>
      <w:r w:rsidR="00276A04">
        <w:t xml:space="preserve">, среди прочих, </w:t>
      </w:r>
      <w:r w:rsidR="008F0D88">
        <w:t xml:space="preserve">на основе статьи </w:t>
      </w:r>
      <w:r w:rsidR="00E97D91">
        <w:t>испанских</w:t>
      </w:r>
      <w:r w:rsidR="008F0D88">
        <w:t xml:space="preserve"> исследователей </w:t>
      </w:r>
      <w:r w:rsidR="000E1A48" w:rsidRPr="000E1A48">
        <w:t>[</w:t>
      </w:r>
      <w:r w:rsidR="008F0D88">
        <w:rPr>
          <w:lang w:val="en-US"/>
        </w:rPr>
        <w:t>A</w:t>
      </w:r>
      <w:r w:rsidR="008F0D88" w:rsidRPr="00D439DE">
        <w:t>́</w:t>
      </w:r>
      <w:r w:rsidR="008F0D88">
        <w:rPr>
          <w:lang w:val="en-US"/>
        </w:rPr>
        <w:t>lvarez</w:t>
      </w:r>
      <w:r w:rsidR="008F0D88" w:rsidRPr="00D439DE">
        <w:t xml:space="preserve">, </w:t>
      </w:r>
      <w:r w:rsidR="008F0D88">
        <w:rPr>
          <w:lang w:val="en-US"/>
        </w:rPr>
        <w:t>Gonza</w:t>
      </w:r>
      <w:r w:rsidR="008F0D88" w:rsidRPr="00982DD4">
        <w:t>́</w:t>
      </w:r>
      <w:proofErr w:type="spellStart"/>
      <w:r w:rsidR="008F0D88">
        <w:rPr>
          <w:lang w:val="en-US"/>
        </w:rPr>
        <w:t>lez</w:t>
      </w:r>
      <w:proofErr w:type="spellEnd"/>
      <w:r w:rsidR="000E1A48" w:rsidRPr="000E1A48">
        <w:t>,</w:t>
      </w:r>
      <w:r w:rsidR="008F0D88" w:rsidRPr="00982DD4">
        <w:t xml:space="preserve"> 2005</w:t>
      </w:r>
      <w:r w:rsidR="000E1A48" w:rsidRPr="000E1A48">
        <w:t>]</w:t>
      </w:r>
      <w:r w:rsidR="00E97D91">
        <w:t xml:space="preserve">, где </w:t>
      </w:r>
      <w:r w:rsidR="00E97D91">
        <w:rPr>
          <w:lang w:val="en-US"/>
        </w:rPr>
        <w:t>BHAR</w:t>
      </w:r>
      <w:r w:rsidR="00E97D91">
        <w:t xml:space="preserve"> использовался для оценки</w:t>
      </w:r>
      <w:r w:rsidR="006F4408">
        <w:t xml:space="preserve"> долгосрочной результативности испанских </w:t>
      </w:r>
      <w:r w:rsidR="006F4408">
        <w:rPr>
          <w:lang w:val="en-US"/>
        </w:rPr>
        <w:t>IPO</w:t>
      </w:r>
      <w:r w:rsidR="006F4408">
        <w:t>.</w:t>
      </w:r>
    </w:p>
    <w:p w14:paraId="47056C20" w14:textId="797A2C18" w:rsidR="006F4408" w:rsidRDefault="007E3760" w:rsidP="00E77D41">
      <w:r>
        <w:t xml:space="preserve">Формула для расчета </w:t>
      </w:r>
      <w:r>
        <w:rPr>
          <w:lang w:val="en-US"/>
        </w:rPr>
        <w:t>BHAR</w:t>
      </w:r>
      <w:r w:rsidRPr="007E3760">
        <w:t xml:space="preserve"> </w:t>
      </w:r>
      <w:r>
        <w:t>имеет следующий вид:</w:t>
      </w:r>
    </w:p>
    <w:p w14:paraId="52B7552B" w14:textId="49A4746A" w:rsidR="007E3760" w:rsidRPr="00B25907" w:rsidRDefault="007E3760" w:rsidP="007E3760">
      <w:pPr>
        <w:pStyle w:val="af8"/>
        <w:rPr>
          <w:vanish/>
          <w:specVanish/>
        </w:rPr>
      </w:pPr>
      <w:r w:rsidRPr="00FE5B3B">
        <w:rPr>
          <w:lang w:val="ru-RU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BHAR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-1</m:t>
                    </m:r>
                  </m:e>
                </m:nary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E(R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-1</m:t>
                    </m:r>
                  </m:e>
                </m:nary>
              </m:e>
            </m:d>
          </m:e>
        </m:nary>
      </m:oMath>
      <w:r>
        <w:tab/>
      </w:r>
    </w:p>
    <w:p w14:paraId="5E4B4197" w14:textId="4BE883FD" w:rsidR="007E3760" w:rsidRPr="00FF18E4" w:rsidRDefault="007E3760" w:rsidP="007E3760">
      <w:pPr>
        <w:pStyle w:val="af9"/>
      </w:pPr>
      <w:r>
        <w:t xml:space="preserve"> </w:t>
      </w:r>
      <w:r w:rsidRPr="00FF18E4">
        <w:t>(</w:t>
      </w:r>
      <w:r>
        <w:t>14</w:t>
      </w:r>
      <w:r w:rsidRPr="00FF18E4">
        <w:t>)</w:t>
      </w:r>
    </w:p>
    <w:p w14:paraId="08201813" w14:textId="77777777" w:rsidR="007E3760" w:rsidRDefault="007E3760" w:rsidP="007E3760">
      <w:pPr>
        <w:ind w:firstLine="0"/>
      </w:pPr>
      <w:r>
        <w:t>Где</w:t>
      </w:r>
    </w:p>
    <w:p w14:paraId="524838B0" w14:textId="0E64CF06" w:rsidR="007E3760" w:rsidRDefault="005438C5" w:rsidP="007E3760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7E3760">
        <w:rPr>
          <w:rFonts w:eastAsiaTheme="minorEastAsia"/>
        </w:rPr>
        <w:t xml:space="preserve"> – доходность </w:t>
      </w:r>
      <w:r w:rsidR="00150623">
        <w:rPr>
          <w:rFonts w:eastAsiaTheme="minorEastAsia"/>
        </w:rPr>
        <w:t xml:space="preserve">акции </w:t>
      </w:r>
      <w:r w:rsidR="00150623">
        <w:rPr>
          <w:rFonts w:eastAsiaTheme="minorEastAsia"/>
          <w:lang w:val="en-US"/>
        </w:rPr>
        <w:t>deSPAC</w:t>
      </w:r>
      <w:r w:rsidR="00150623">
        <w:rPr>
          <w:rFonts w:eastAsiaTheme="minorEastAsia"/>
        </w:rPr>
        <w:t xml:space="preserve"> </w:t>
      </w:r>
      <w:proofErr w:type="spellStart"/>
      <w:r w:rsidR="007E3760">
        <w:rPr>
          <w:rFonts w:eastAsiaTheme="minorEastAsia"/>
          <w:lang w:val="en-US"/>
        </w:rPr>
        <w:t>i</w:t>
      </w:r>
      <w:proofErr w:type="spellEnd"/>
      <w:r w:rsidR="007E3760">
        <w:rPr>
          <w:rFonts w:eastAsiaTheme="minorEastAsia"/>
        </w:rPr>
        <w:t xml:space="preserve"> в </w:t>
      </w:r>
      <w:r w:rsidR="003C73C2">
        <w:rPr>
          <w:rFonts w:eastAsiaTheme="minorEastAsia"/>
        </w:rPr>
        <w:t>день</w:t>
      </w:r>
      <w:r w:rsidR="007E3760">
        <w:rPr>
          <w:rFonts w:eastAsiaTheme="minorEastAsia"/>
        </w:rPr>
        <w:t xml:space="preserve"> </w:t>
      </w:r>
      <w:r w:rsidR="007E3760">
        <w:rPr>
          <w:rFonts w:eastAsiaTheme="minorEastAsia"/>
          <w:lang w:val="en-US"/>
        </w:rPr>
        <w:t>t</w:t>
      </w:r>
      <w:r w:rsidR="00150623">
        <w:rPr>
          <w:rFonts w:eastAsiaTheme="minorEastAsia"/>
        </w:rPr>
        <w:t>;</w:t>
      </w:r>
    </w:p>
    <w:p w14:paraId="37B3A316" w14:textId="59141B19" w:rsidR="007E3760" w:rsidRPr="003C73C2" w:rsidRDefault="005438C5" w:rsidP="007E3760">
      <w:pPr>
        <w:pStyle w:val="af8"/>
        <w:spacing w:before="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  <w:lang w:val="ru-RU"/>
              </w:rPr>
              <m:t>(</m:t>
            </m:r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  <w:lang w:val="ru-RU"/>
          </w:rPr>
          <m:t>)</m:t>
        </m:r>
      </m:oMath>
      <w:r w:rsidR="007E3760" w:rsidRPr="00FF18E4">
        <w:rPr>
          <w:lang w:val="ru-RU"/>
        </w:rPr>
        <w:t xml:space="preserve"> – </w:t>
      </w:r>
      <w:r w:rsidR="003C73C2">
        <w:rPr>
          <w:lang w:val="ru-RU"/>
        </w:rPr>
        <w:t xml:space="preserve">доходность средневзвешенного рыночного индекса </w:t>
      </w:r>
      <w:r w:rsidR="00073F07">
        <w:t>CRSP</w:t>
      </w:r>
      <w:r w:rsidR="00AA2ACB">
        <w:rPr>
          <w:lang w:val="ru-RU"/>
        </w:rPr>
        <w:t xml:space="preserve"> в день </w:t>
      </w:r>
      <w:r w:rsidR="00AA2ACB">
        <w:t>t</w:t>
      </w:r>
      <w:r w:rsidR="00E4559C">
        <w:rPr>
          <w:lang w:val="ru-RU"/>
        </w:rPr>
        <w:t>.</w:t>
      </w:r>
    </w:p>
    <w:p w14:paraId="4C4A2969" w14:textId="4CA7A1BD" w:rsidR="007E3760" w:rsidRDefault="004833CA" w:rsidP="00E77D41">
      <w:r>
        <w:t xml:space="preserve">Значимость </w:t>
      </w:r>
      <w:r>
        <w:rPr>
          <w:lang w:val="en-US"/>
        </w:rPr>
        <w:t>BHAR</w:t>
      </w:r>
      <w:r w:rsidRPr="004833CA">
        <w:t xml:space="preserve"> </w:t>
      </w:r>
      <w:r>
        <w:t xml:space="preserve">проверялась через </w:t>
      </w:r>
      <w:r>
        <w:rPr>
          <w:lang w:val="en-US"/>
        </w:rPr>
        <w:t>t</w:t>
      </w:r>
      <w:r w:rsidRPr="004833CA">
        <w:t>-</w:t>
      </w:r>
      <w:r>
        <w:t>критерий Стьюдента.</w:t>
      </w:r>
    </w:p>
    <w:p w14:paraId="4D8DCF0D" w14:textId="14168083" w:rsidR="00AA2ACB" w:rsidRDefault="00F547D9" w:rsidP="009E4525">
      <w:pPr>
        <w:pStyle w:val="3"/>
      </w:pPr>
      <w:bookmarkStart w:id="44" w:name="_Toc102050311"/>
      <w:bookmarkStart w:id="45" w:name="_Toc102050683"/>
      <w:r>
        <w:t xml:space="preserve">2.2.4. </w:t>
      </w:r>
      <w:r w:rsidR="009E4525">
        <w:t>Регрессионный анализ</w:t>
      </w:r>
      <w:bookmarkEnd w:id="44"/>
      <w:bookmarkEnd w:id="45"/>
    </w:p>
    <w:p w14:paraId="170096FC" w14:textId="238CD10C" w:rsidR="009E4525" w:rsidRDefault="00FE5B3B" w:rsidP="009E4525">
      <w:r>
        <w:t>В основу составления модели для оценки</w:t>
      </w:r>
      <w:r w:rsidR="00A41F6F" w:rsidRPr="00A41F6F">
        <w:t xml:space="preserve"> </w:t>
      </w:r>
      <w:r w:rsidR="00A41F6F">
        <w:t xml:space="preserve">зависимости </w:t>
      </w:r>
      <w:r w:rsidR="006915F2">
        <w:t xml:space="preserve">доходности </w:t>
      </w:r>
      <w:r w:rsidR="006915F2">
        <w:rPr>
          <w:lang w:val="en-US"/>
        </w:rPr>
        <w:t>deSP</w:t>
      </w:r>
      <w:r w:rsidR="00105140">
        <w:rPr>
          <w:lang w:val="en-US"/>
        </w:rPr>
        <w:t>A</w:t>
      </w:r>
      <w:r w:rsidR="006915F2">
        <w:rPr>
          <w:lang w:val="en-US"/>
        </w:rPr>
        <w:t>C</w:t>
      </w:r>
      <w:r w:rsidR="006915F2">
        <w:t xml:space="preserve"> от ряда факторов легли исследования, которые были подробно </w:t>
      </w:r>
      <w:r w:rsidR="00D5642D">
        <w:t xml:space="preserve">проанализированы </w:t>
      </w:r>
      <w:r w:rsidR="00DB4F12">
        <w:t xml:space="preserve">в пункте </w:t>
      </w:r>
      <w:r w:rsidR="00C50BEB">
        <w:t>1.3.2</w:t>
      </w:r>
      <w:r w:rsidR="00DB4F12">
        <w:t>.</w:t>
      </w:r>
      <w:r w:rsidR="00920C64">
        <w:t xml:space="preserve"> </w:t>
      </w:r>
      <w:r w:rsidR="007B07E8">
        <w:t>Регрессионное уравнение имеет следующий вид:</w:t>
      </w:r>
    </w:p>
    <w:p w14:paraId="2D11EB33" w14:textId="4CA925B7" w:rsidR="006170E4" w:rsidRPr="003E07A1" w:rsidRDefault="006170E4" w:rsidP="006170E4">
      <w:pPr>
        <w:pStyle w:val="af8"/>
        <w:jc w:val="center"/>
        <w:rPr>
          <w:vanish/>
          <w:specVanish/>
        </w:rPr>
      </w:pPr>
      <w:r w:rsidRPr="00962D9D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BHRC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Redemption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Months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Team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UndNumber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UndFee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Top10und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IPOproceeds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WTunit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IndFocus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14:paraId="7C268BDC" w14:textId="3B610E58" w:rsidR="003E07A1" w:rsidRPr="00BE0E25" w:rsidRDefault="003E07A1" w:rsidP="003E07A1">
      <w:r>
        <w:t xml:space="preserve"> </w:t>
      </w:r>
      <w:r w:rsidRPr="00BE0E25">
        <w:t>(15)</w:t>
      </w:r>
    </w:p>
    <w:p w14:paraId="26191E9B" w14:textId="77777777" w:rsidR="00792909" w:rsidRDefault="003E07A1" w:rsidP="00792909">
      <w:pPr>
        <w:ind w:firstLine="0"/>
      </w:pPr>
      <w:r>
        <w:t>Где</w:t>
      </w:r>
    </w:p>
    <w:p w14:paraId="2151E46F" w14:textId="027C1C4F" w:rsidR="00792909" w:rsidRPr="00792909" w:rsidRDefault="005438C5" w:rsidP="00792909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BHRC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92909">
        <w:rPr>
          <w:rFonts w:eastAsiaTheme="minorEastAsia"/>
        </w:rPr>
        <w:t xml:space="preserve"> – доходность акций </w:t>
      </w:r>
      <w:r w:rsidR="00792909">
        <w:rPr>
          <w:rFonts w:eastAsiaTheme="minorEastAsia"/>
          <w:lang w:val="en-US"/>
        </w:rPr>
        <w:t>deSPAC</w:t>
      </w:r>
      <w:r w:rsidR="00792909">
        <w:rPr>
          <w:rFonts w:eastAsiaTheme="minorEastAsia"/>
        </w:rPr>
        <w:t xml:space="preserve"> (см. формулу 11)</w:t>
      </w:r>
    </w:p>
    <w:p w14:paraId="39260728" w14:textId="4C66E229" w:rsidR="003E07A1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Redemption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D0675">
        <w:rPr>
          <w:rFonts w:eastAsiaTheme="minorEastAsia"/>
        </w:rPr>
        <w:t xml:space="preserve"> – </w:t>
      </w:r>
      <w:r w:rsidR="00A57F2C">
        <w:rPr>
          <w:rFonts w:eastAsiaTheme="minorEastAsia"/>
        </w:rPr>
        <w:t xml:space="preserve">коэффициент, показывающий отношение акций, предъявленных к выкупу, к общему числу акций </w:t>
      </w:r>
      <w:r w:rsidR="00A57F2C">
        <w:rPr>
          <w:rFonts w:eastAsiaTheme="minorEastAsia"/>
          <w:lang w:val="en-US"/>
        </w:rPr>
        <w:t>deSPAC</w:t>
      </w:r>
    </w:p>
    <w:p w14:paraId="63811C46" w14:textId="46C3514F" w:rsidR="00B00100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Months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00100">
        <w:rPr>
          <w:rFonts w:eastAsiaTheme="minorEastAsia"/>
        </w:rPr>
        <w:t xml:space="preserve"> – число месяцев между датой </w:t>
      </w:r>
      <w:r w:rsidR="00DA64FA">
        <w:rPr>
          <w:rFonts w:eastAsiaTheme="minorEastAsia"/>
        </w:rPr>
        <w:t>размещения</w:t>
      </w:r>
      <w:r w:rsidR="00B00100">
        <w:rPr>
          <w:rFonts w:eastAsiaTheme="minorEastAsia"/>
        </w:rPr>
        <w:t xml:space="preserve"> </w:t>
      </w:r>
      <w:r w:rsidR="00B00100">
        <w:rPr>
          <w:rFonts w:eastAsiaTheme="minorEastAsia"/>
          <w:lang w:val="en-US"/>
        </w:rPr>
        <w:t>SPAC</w:t>
      </w:r>
      <w:r w:rsidR="00DA64FA">
        <w:rPr>
          <w:rFonts w:eastAsiaTheme="minorEastAsia"/>
        </w:rPr>
        <w:t xml:space="preserve"> на бирже</w:t>
      </w:r>
      <w:r w:rsidR="00B00100">
        <w:rPr>
          <w:rFonts w:eastAsiaTheme="minorEastAsia"/>
        </w:rPr>
        <w:t xml:space="preserve"> и датой завершения сделки о поглощении</w:t>
      </w:r>
    </w:p>
    <w:p w14:paraId="1FD02FDE" w14:textId="3CDEE180" w:rsidR="008A3E55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Team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A3E55">
        <w:rPr>
          <w:rFonts w:eastAsiaTheme="minorEastAsia"/>
        </w:rPr>
        <w:t xml:space="preserve"> – количество менеджеров </w:t>
      </w:r>
      <w:r w:rsidR="008A3E55">
        <w:rPr>
          <w:rFonts w:eastAsiaTheme="minorEastAsia"/>
          <w:lang w:val="en-US"/>
        </w:rPr>
        <w:t>SPAC</w:t>
      </w:r>
    </w:p>
    <w:p w14:paraId="18AAC486" w14:textId="5D2C8CD6" w:rsidR="00CB17DB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IPOproceeds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CB17DB">
        <w:rPr>
          <w:rFonts w:eastAsiaTheme="minorEastAsia"/>
        </w:rPr>
        <w:t xml:space="preserve"> – объем поступлений с </w:t>
      </w:r>
      <w:r w:rsidR="00DA64FA">
        <w:rPr>
          <w:rFonts w:eastAsiaTheme="minorEastAsia"/>
        </w:rPr>
        <w:t>размещения</w:t>
      </w:r>
      <w:r w:rsidR="00CB17DB" w:rsidRPr="00CB17DB">
        <w:rPr>
          <w:rFonts w:eastAsiaTheme="minorEastAsia"/>
        </w:rPr>
        <w:t xml:space="preserve"> </w:t>
      </w:r>
      <w:r w:rsidR="00CB17DB">
        <w:rPr>
          <w:rFonts w:eastAsiaTheme="minorEastAsia"/>
          <w:lang w:val="en-US"/>
        </w:rPr>
        <w:t>SPAC</w:t>
      </w:r>
      <w:r w:rsidR="00CB17DB">
        <w:rPr>
          <w:rFonts w:eastAsiaTheme="minorEastAsia"/>
        </w:rPr>
        <w:t xml:space="preserve"> </w:t>
      </w:r>
      <w:r w:rsidR="00E45131">
        <w:rPr>
          <w:rFonts w:eastAsiaTheme="minorEastAsia"/>
        </w:rPr>
        <w:t xml:space="preserve">в млн </w:t>
      </w:r>
      <w:r w:rsidR="00E45131" w:rsidRPr="00E45131">
        <w:rPr>
          <w:rFonts w:eastAsiaTheme="minorEastAsia"/>
        </w:rPr>
        <w:t>$</w:t>
      </w:r>
    </w:p>
    <w:p w14:paraId="338E5270" w14:textId="34ABE697" w:rsidR="00CD5FB2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UndNumber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CD5FB2">
        <w:rPr>
          <w:rFonts w:eastAsiaTheme="minorEastAsia"/>
        </w:rPr>
        <w:t xml:space="preserve"> – число андеррайтеров в синдикате</w:t>
      </w:r>
    </w:p>
    <w:p w14:paraId="189EC9D5" w14:textId="2DFC495F" w:rsidR="00CD5FB2" w:rsidRPr="00F9782B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UndFee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65B68">
        <w:rPr>
          <w:rFonts w:eastAsiaTheme="minorEastAsia"/>
        </w:rPr>
        <w:t xml:space="preserve"> – комиссия андеррайтера в % от поступлений с </w:t>
      </w:r>
      <w:r w:rsidR="00165B68">
        <w:rPr>
          <w:rFonts w:eastAsiaTheme="minorEastAsia"/>
          <w:lang w:val="en-US"/>
        </w:rPr>
        <w:t>IPO</w:t>
      </w:r>
    </w:p>
    <w:p w14:paraId="05A504F2" w14:textId="1FE70A79" w:rsidR="008A3E55" w:rsidRPr="008A3E55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Top10und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A3E55">
        <w:rPr>
          <w:rFonts w:eastAsiaTheme="minorEastAsia"/>
        </w:rPr>
        <w:t xml:space="preserve"> – бинарная переменная, принимающая значение 1, если в синдикате андеррайтеров присутствуют инвестиционные банки, входящие в топ 10 андеррайтеров по объему размещений </w:t>
      </w:r>
      <w:r w:rsidR="008A3E55">
        <w:rPr>
          <w:rFonts w:eastAsiaTheme="minorEastAsia"/>
          <w:lang w:val="en-US"/>
        </w:rPr>
        <w:t>SPAC</w:t>
      </w:r>
      <w:r w:rsidR="008A3E55">
        <w:rPr>
          <w:rFonts w:eastAsiaTheme="minorEastAsia"/>
        </w:rPr>
        <w:t xml:space="preserve"> с 2015 по 2021 годы</w:t>
      </w:r>
    </w:p>
    <w:p w14:paraId="7D219F96" w14:textId="581245B1" w:rsidR="008A3E55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WTunit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87F8D">
        <w:rPr>
          <w:rFonts w:eastAsiaTheme="minorEastAsia"/>
        </w:rPr>
        <w:t xml:space="preserve"> – доля варранта в юните </w:t>
      </w:r>
      <w:r w:rsidR="00F87F8D">
        <w:rPr>
          <w:rFonts w:eastAsiaTheme="minorEastAsia"/>
          <w:lang w:val="en-US"/>
        </w:rPr>
        <w:t>SPAC</w:t>
      </w:r>
    </w:p>
    <w:p w14:paraId="278A41E8" w14:textId="21FF1597" w:rsidR="00433E50" w:rsidRDefault="005438C5" w:rsidP="003E07A1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IndFocus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33E50">
        <w:rPr>
          <w:rFonts w:eastAsiaTheme="minorEastAsia"/>
        </w:rPr>
        <w:t xml:space="preserve"> – бинарная переменная, принимающая значение 1, если </w:t>
      </w:r>
      <w:r w:rsidR="00203ECA">
        <w:rPr>
          <w:rFonts w:eastAsiaTheme="minorEastAsia"/>
          <w:lang w:val="en-US"/>
        </w:rPr>
        <w:t>deSPAC</w:t>
      </w:r>
      <w:r w:rsidR="00203ECA">
        <w:rPr>
          <w:rFonts w:eastAsiaTheme="minorEastAsia"/>
        </w:rPr>
        <w:t xml:space="preserve"> был сфокусирован на поиске компании из определенной отрасли в период </w:t>
      </w:r>
      <w:r w:rsidR="00203ECA">
        <w:rPr>
          <w:rFonts w:eastAsiaTheme="minorEastAsia"/>
          <w:lang w:val="en-US"/>
        </w:rPr>
        <w:t>SPAC</w:t>
      </w:r>
    </w:p>
    <w:p w14:paraId="29EC61FA" w14:textId="16E93C33" w:rsidR="00203ECA" w:rsidRPr="00771FBC" w:rsidRDefault="008A3081" w:rsidP="00203ECA">
      <w:pPr>
        <w:rPr>
          <w:rFonts w:eastAsiaTheme="minorEastAsia"/>
        </w:rPr>
      </w:pPr>
      <w:r>
        <w:t xml:space="preserve">Переменные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IPOproceeds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B4349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WTunit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B4349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IndFocus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B1AE3">
        <w:rPr>
          <w:rFonts w:eastAsiaTheme="minorEastAsia"/>
        </w:rPr>
        <w:t xml:space="preserve"> являются контрольными и были добав</w:t>
      </w:r>
      <w:r w:rsidR="00A81B24">
        <w:rPr>
          <w:rFonts w:eastAsiaTheme="minorEastAsia"/>
        </w:rPr>
        <w:t xml:space="preserve">лены с целью увеличения объясняющей силы регрессионной модели. Остальные переменные нужны для принятия или опровержения </w:t>
      </w:r>
      <w:r w:rsidR="003032C3">
        <w:rPr>
          <w:rFonts w:eastAsiaTheme="minorEastAsia"/>
          <w:lang w:val="en-US"/>
        </w:rPr>
        <w:t>H</w:t>
      </w:r>
      <w:r w:rsidR="009173B2">
        <w:rPr>
          <w:rFonts w:eastAsiaTheme="minorEastAsia"/>
        </w:rPr>
        <w:t>5-</w:t>
      </w:r>
      <w:r w:rsidR="009173B2">
        <w:rPr>
          <w:rFonts w:eastAsiaTheme="minorEastAsia"/>
          <w:lang w:val="en-US"/>
        </w:rPr>
        <w:t>H10</w:t>
      </w:r>
      <w:r w:rsidR="003032C3" w:rsidRPr="00771FBC">
        <w:rPr>
          <w:rFonts w:eastAsiaTheme="minorEastAsia"/>
        </w:rPr>
        <w:t>.</w:t>
      </w:r>
    </w:p>
    <w:p w14:paraId="7124F8DB" w14:textId="1538BC17" w:rsidR="00BE0E25" w:rsidRDefault="00F547D9" w:rsidP="00BE0E25">
      <w:pPr>
        <w:pStyle w:val="2"/>
      </w:pPr>
      <w:bookmarkStart w:id="46" w:name="_Toc102050312"/>
      <w:bookmarkStart w:id="47" w:name="_Toc102050684"/>
      <w:r>
        <w:t xml:space="preserve">2.3. </w:t>
      </w:r>
      <w:r w:rsidR="00BE0E25">
        <w:t>Описательная статистика</w:t>
      </w:r>
      <w:bookmarkEnd w:id="46"/>
      <w:bookmarkEnd w:id="47"/>
    </w:p>
    <w:p w14:paraId="35D31E81" w14:textId="48736353" w:rsidR="00BE0E25" w:rsidRDefault="00BE0E25" w:rsidP="00BE0E25">
      <w:r>
        <w:t xml:space="preserve">В данном разделе </w:t>
      </w:r>
      <w:r w:rsidR="00692E8D">
        <w:t xml:space="preserve">представлена </w:t>
      </w:r>
      <w:r w:rsidR="00F936B8">
        <w:t xml:space="preserve">аналитика доходности с целью </w:t>
      </w:r>
      <w:r w:rsidR="007833F0">
        <w:t xml:space="preserve">принятия или опровержения гипотез </w:t>
      </w:r>
      <w:r w:rsidR="007833F0">
        <w:rPr>
          <w:lang w:val="en-US"/>
        </w:rPr>
        <w:t>H</w:t>
      </w:r>
      <w:r w:rsidR="007833F0" w:rsidRPr="007833F0">
        <w:t xml:space="preserve">1 </w:t>
      </w:r>
      <w:r w:rsidR="007833F0">
        <w:t xml:space="preserve">и </w:t>
      </w:r>
      <w:r w:rsidR="007833F0">
        <w:rPr>
          <w:lang w:val="en-US"/>
        </w:rPr>
        <w:t>H</w:t>
      </w:r>
      <w:r w:rsidR="007833F0" w:rsidRPr="007833F0">
        <w:t>2</w:t>
      </w:r>
      <w:r w:rsidR="007833F0">
        <w:t xml:space="preserve">, а также дана описательная статистика </w:t>
      </w:r>
      <w:r w:rsidR="004C2BD7">
        <w:t>независимых переменных регрессии.</w:t>
      </w:r>
    </w:p>
    <w:p w14:paraId="240EC72C" w14:textId="498B987D" w:rsidR="006D56ED" w:rsidRPr="00D61731" w:rsidRDefault="00F547D9" w:rsidP="006D56ED">
      <w:pPr>
        <w:pStyle w:val="3"/>
      </w:pPr>
      <w:bookmarkStart w:id="48" w:name="_Toc102050313"/>
      <w:bookmarkStart w:id="49" w:name="_Toc102050685"/>
      <w:r>
        <w:t xml:space="preserve">2.3.1. </w:t>
      </w:r>
      <w:r w:rsidR="006D56ED">
        <w:t xml:space="preserve">Доходности </w:t>
      </w:r>
      <w:r w:rsidR="00D61731">
        <w:t xml:space="preserve">акций </w:t>
      </w:r>
      <w:r w:rsidR="00D61731">
        <w:rPr>
          <w:lang w:val="en-US"/>
        </w:rPr>
        <w:t>SPAC</w:t>
      </w:r>
      <w:bookmarkEnd w:id="48"/>
      <w:bookmarkEnd w:id="49"/>
    </w:p>
    <w:p w14:paraId="24863AD6" w14:textId="03DD2BAC" w:rsidR="004C2BD7" w:rsidRPr="00745097" w:rsidRDefault="00E21606" w:rsidP="00BE0E25">
      <w:r>
        <w:t xml:space="preserve">Доходность акций </w:t>
      </w:r>
      <w:r>
        <w:rPr>
          <w:lang w:val="en-US"/>
        </w:rPr>
        <w:t>SPAC</w:t>
      </w:r>
      <w:r>
        <w:t xml:space="preserve"> до поглощения рассчитывались по формуле (10). </w:t>
      </w:r>
      <w:r w:rsidR="00D5461B">
        <w:t xml:space="preserve">Для расчета </w:t>
      </w:r>
      <w:r w:rsidR="00744051">
        <w:t xml:space="preserve">средней доходности использовались несколько методов: </w:t>
      </w:r>
      <w:r w:rsidR="00D51EB6">
        <w:t>расчёт</w:t>
      </w:r>
      <w:r w:rsidR="003C3EEB">
        <w:t xml:space="preserve"> средней оценки доходности (равные веса объектов выборки), расчет средневзвешенной доходности (в качестве весов выступали поступления с </w:t>
      </w:r>
      <w:r w:rsidR="003C3EEB">
        <w:rPr>
          <w:lang w:val="en-US"/>
        </w:rPr>
        <w:t>IPO</w:t>
      </w:r>
      <w:r w:rsidR="003C3EEB">
        <w:t>)</w:t>
      </w:r>
      <w:r w:rsidR="00D51EB6">
        <w:t xml:space="preserve"> и использование медианной оценки.</w:t>
      </w:r>
      <w:r w:rsidR="00745097">
        <w:t xml:space="preserve"> В таблице 6 представлена агрегированная статистика по доходностям акций </w:t>
      </w:r>
      <w:r w:rsidR="00745097">
        <w:rPr>
          <w:lang w:val="en-US"/>
        </w:rPr>
        <w:t>SPAC</w:t>
      </w:r>
      <w:r w:rsidR="00745097">
        <w:t xml:space="preserve"> до поглощения.</w:t>
      </w:r>
    </w:p>
    <w:p w14:paraId="6C7611E2" w14:textId="77777777" w:rsidR="00881649" w:rsidRDefault="00881649" w:rsidP="00D51EB6">
      <w:pPr>
        <w:pStyle w:val="a"/>
        <w:sectPr w:rsidR="00881649" w:rsidSect="00F1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4A0C9A" w14:textId="34F92C33" w:rsidR="00D51EB6" w:rsidRDefault="00A16D4F" w:rsidP="00D51EB6">
      <w:pPr>
        <w:pStyle w:val="a"/>
      </w:pPr>
      <w:r>
        <w:lastRenderedPageBreak/>
        <w:t xml:space="preserve">Описательная статистика доходности акций </w:t>
      </w:r>
      <w:r>
        <w:rPr>
          <w:lang w:val="en-US"/>
        </w:rPr>
        <w:t>SPAC</w:t>
      </w:r>
      <w:r w:rsidR="00014D96">
        <w:t xml:space="preserve"> до поглощения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7A66" w14:paraId="37EA406F" w14:textId="77777777" w:rsidTr="006744DC">
        <w:tc>
          <w:tcPr>
            <w:tcW w:w="4672" w:type="dxa"/>
          </w:tcPr>
          <w:p w14:paraId="24337DA4" w14:textId="5853B64B" w:rsidR="00AC7A66" w:rsidRDefault="00E56643" w:rsidP="008C443F">
            <w:pPr>
              <w:pStyle w:val="ad"/>
              <w:jc w:val="center"/>
            </w:pPr>
            <w:r>
              <w:t>Объем выборки</w:t>
            </w:r>
          </w:p>
        </w:tc>
        <w:tc>
          <w:tcPr>
            <w:tcW w:w="4673" w:type="dxa"/>
            <w:vAlign w:val="center"/>
          </w:tcPr>
          <w:p w14:paraId="6667D1D8" w14:textId="58B87930" w:rsidR="00AC7A66" w:rsidRDefault="00E56643" w:rsidP="006744DC">
            <w:pPr>
              <w:pStyle w:val="ad"/>
              <w:jc w:val="center"/>
            </w:pPr>
            <w:r>
              <w:t>229</w:t>
            </w:r>
          </w:p>
        </w:tc>
      </w:tr>
      <w:tr w:rsidR="00E56643" w14:paraId="7E27CC9C" w14:textId="77777777" w:rsidTr="006744DC">
        <w:tc>
          <w:tcPr>
            <w:tcW w:w="4672" w:type="dxa"/>
          </w:tcPr>
          <w:p w14:paraId="16111A7E" w14:textId="4B78844C" w:rsidR="00E56643" w:rsidRPr="00AE0D11" w:rsidRDefault="00E56643" w:rsidP="00E56643">
            <w:pPr>
              <w:pStyle w:val="ad"/>
              <w:jc w:val="center"/>
            </w:pPr>
            <w:r w:rsidRPr="00AE0D11">
              <w:t>Среднее</w:t>
            </w:r>
          </w:p>
        </w:tc>
        <w:tc>
          <w:tcPr>
            <w:tcW w:w="4673" w:type="dxa"/>
            <w:vAlign w:val="center"/>
          </w:tcPr>
          <w:p w14:paraId="2931FF9C" w14:textId="697842FB" w:rsidR="00E56643" w:rsidRPr="00AE0D11" w:rsidRDefault="00E56643" w:rsidP="00E56643">
            <w:pPr>
              <w:pStyle w:val="ad"/>
              <w:jc w:val="center"/>
            </w:pPr>
            <w:r w:rsidRPr="00AE0D11">
              <w:t>7,7%</w:t>
            </w:r>
          </w:p>
        </w:tc>
      </w:tr>
      <w:tr w:rsidR="00AC7A66" w14:paraId="78EC178B" w14:textId="77777777" w:rsidTr="006744DC">
        <w:tc>
          <w:tcPr>
            <w:tcW w:w="4672" w:type="dxa"/>
          </w:tcPr>
          <w:p w14:paraId="30B6AA8E" w14:textId="61378B61" w:rsidR="00AC7A66" w:rsidRPr="006744DC" w:rsidRDefault="006744DC" w:rsidP="008C443F">
            <w:pPr>
              <w:pStyle w:val="ad"/>
              <w:jc w:val="center"/>
            </w:pPr>
            <w:r>
              <w:t xml:space="preserve">Среднее, взвешенное по поступлениям с </w:t>
            </w:r>
            <w:r>
              <w:rPr>
                <w:lang w:val="en-US"/>
              </w:rPr>
              <w:t>IPO</w:t>
            </w:r>
          </w:p>
        </w:tc>
        <w:tc>
          <w:tcPr>
            <w:tcW w:w="4673" w:type="dxa"/>
            <w:vAlign w:val="center"/>
          </w:tcPr>
          <w:p w14:paraId="6AB9E752" w14:textId="270976C7" w:rsidR="00AC7A66" w:rsidRDefault="00AC7A66" w:rsidP="006744DC">
            <w:pPr>
              <w:pStyle w:val="ad"/>
              <w:jc w:val="center"/>
            </w:pPr>
            <w:r w:rsidRPr="00AE0D11">
              <w:t>8,1%</w:t>
            </w:r>
          </w:p>
        </w:tc>
      </w:tr>
      <w:tr w:rsidR="00AC7A66" w14:paraId="416674BF" w14:textId="77777777" w:rsidTr="006744DC">
        <w:tc>
          <w:tcPr>
            <w:tcW w:w="4672" w:type="dxa"/>
          </w:tcPr>
          <w:p w14:paraId="145018C6" w14:textId="311E717B" w:rsidR="00AC7A66" w:rsidRDefault="00AC7A66" w:rsidP="008C443F">
            <w:pPr>
              <w:pStyle w:val="ad"/>
              <w:jc w:val="center"/>
            </w:pPr>
            <w:r w:rsidRPr="00AE0D11">
              <w:t>Медиана</w:t>
            </w:r>
          </w:p>
        </w:tc>
        <w:tc>
          <w:tcPr>
            <w:tcW w:w="4673" w:type="dxa"/>
            <w:vAlign w:val="center"/>
          </w:tcPr>
          <w:p w14:paraId="5FD31F59" w14:textId="77F45692" w:rsidR="00AC7A66" w:rsidRDefault="00AC7A66" w:rsidP="006744DC">
            <w:pPr>
              <w:pStyle w:val="ad"/>
              <w:jc w:val="center"/>
            </w:pPr>
            <w:r w:rsidRPr="00AE0D11">
              <w:t>5,3%</w:t>
            </w:r>
          </w:p>
        </w:tc>
      </w:tr>
      <w:tr w:rsidR="00AC7A66" w14:paraId="69AE6FB7" w14:textId="77777777" w:rsidTr="006744DC">
        <w:tc>
          <w:tcPr>
            <w:tcW w:w="4672" w:type="dxa"/>
          </w:tcPr>
          <w:p w14:paraId="12998DF2" w14:textId="73AA058A" w:rsidR="00AC7A66" w:rsidRDefault="00AC7A66" w:rsidP="008C443F">
            <w:pPr>
              <w:pStyle w:val="ad"/>
              <w:jc w:val="center"/>
            </w:pPr>
            <w:r w:rsidRPr="00AE0D11">
              <w:t>Стандартное отклонение</w:t>
            </w:r>
          </w:p>
        </w:tc>
        <w:tc>
          <w:tcPr>
            <w:tcW w:w="4673" w:type="dxa"/>
            <w:vAlign w:val="center"/>
          </w:tcPr>
          <w:p w14:paraId="27E72620" w14:textId="5CA36B8D" w:rsidR="00AC7A66" w:rsidRDefault="00AC7A66" w:rsidP="006744DC">
            <w:pPr>
              <w:pStyle w:val="ad"/>
              <w:jc w:val="center"/>
            </w:pPr>
            <w:r w:rsidRPr="00AE0D11">
              <w:t>9,7%</w:t>
            </w:r>
          </w:p>
        </w:tc>
      </w:tr>
      <w:tr w:rsidR="00AC7A66" w14:paraId="6A4A8503" w14:textId="77777777" w:rsidTr="006744DC">
        <w:tc>
          <w:tcPr>
            <w:tcW w:w="4672" w:type="dxa"/>
          </w:tcPr>
          <w:p w14:paraId="7C519902" w14:textId="71DBD7B0" w:rsidR="00AC7A66" w:rsidRDefault="00AC7A66" w:rsidP="008C443F">
            <w:pPr>
              <w:pStyle w:val="ad"/>
              <w:jc w:val="center"/>
            </w:pPr>
            <w:r w:rsidRPr="00AE0D11">
              <w:t>Минимум</w:t>
            </w:r>
          </w:p>
        </w:tc>
        <w:tc>
          <w:tcPr>
            <w:tcW w:w="4673" w:type="dxa"/>
            <w:vAlign w:val="center"/>
          </w:tcPr>
          <w:p w14:paraId="6167E860" w14:textId="7341A9EE" w:rsidR="00AC7A66" w:rsidRDefault="00AC7A66" w:rsidP="006744DC">
            <w:pPr>
              <w:pStyle w:val="ad"/>
              <w:jc w:val="center"/>
            </w:pPr>
            <w:r w:rsidRPr="00AE0D11">
              <w:t>0,0</w:t>
            </w:r>
            <w:r w:rsidR="008C443F">
              <w:t>9</w:t>
            </w:r>
            <w:r w:rsidRPr="00AE0D11">
              <w:t>%</w:t>
            </w:r>
          </w:p>
        </w:tc>
      </w:tr>
      <w:tr w:rsidR="00AC7A66" w14:paraId="25570BFD" w14:textId="77777777" w:rsidTr="006744DC">
        <w:tc>
          <w:tcPr>
            <w:tcW w:w="4672" w:type="dxa"/>
          </w:tcPr>
          <w:p w14:paraId="47DDB1A3" w14:textId="6B8F9610" w:rsidR="00AC7A66" w:rsidRDefault="00AC7A66" w:rsidP="008C443F">
            <w:pPr>
              <w:pStyle w:val="ad"/>
              <w:jc w:val="center"/>
            </w:pPr>
            <w:r w:rsidRPr="00AE0D11">
              <w:t>Максимум</w:t>
            </w:r>
          </w:p>
        </w:tc>
        <w:tc>
          <w:tcPr>
            <w:tcW w:w="4673" w:type="dxa"/>
            <w:vAlign w:val="center"/>
          </w:tcPr>
          <w:p w14:paraId="1EF4831F" w14:textId="7E7CDB8B" w:rsidR="00AC7A66" w:rsidRDefault="00AC7A66" w:rsidP="006744DC">
            <w:pPr>
              <w:pStyle w:val="ad"/>
              <w:jc w:val="center"/>
            </w:pPr>
            <w:r w:rsidRPr="00AE0D11">
              <w:t>96,7%</w:t>
            </w:r>
          </w:p>
        </w:tc>
      </w:tr>
    </w:tbl>
    <w:p w14:paraId="44995C1F" w14:textId="4354195A" w:rsidR="008C443F" w:rsidRPr="006833AF" w:rsidRDefault="006833AF" w:rsidP="006833AF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697BC113" w14:textId="78A28487" w:rsidR="006744DC" w:rsidRDefault="00933580" w:rsidP="006744DC">
      <w:r>
        <w:t>Средняя доходность</w:t>
      </w:r>
      <w:r w:rsidR="002D48F0">
        <w:t xml:space="preserve"> акций </w:t>
      </w:r>
      <w:r w:rsidR="002D48F0">
        <w:rPr>
          <w:lang w:val="en-US"/>
        </w:rPr>
        <w:t>SPAC</w:t>
      </w:r>
      <w:r w:rsidR="002D48F0">
        <w:t xml:space="preserve"> до поглощения составила 7,7%, что не сильно отличается от средневзвешенной</w:t>
      </w:r>
      <w:r w:rsidR="00742DEC">
        <w:t xml:space="preserve"> и медианной оценок</w:t>
      </w:r>
      <w:r w:rsidR="0017469E">
        <w:t xml:space="preserve">, принявших значения 8,1% и 5,3% соответственно. </w:t>
      </w:r>
      <w:r w:rsidR="00417350">
        <w:t xml:space="preserve">Обратим внимание на минимальное значение в выборке: 0,09%, что больше </w:t>
      </w:r>
      <w:r w:rsidR="00BE7DBF">
        <w:t xml:space="preserve">0. Данная доходность наблюдалась у </w:t>
      </w:r>
      <w:r w:rsidR="007B6972">
        <w:t xml:space="preserve">ликвидированного </w:t>
      </w:r>
      <w:r w:rsidR="007B6972">
        <w:rPr>
          <w:lang w:val="en-US"/>
        </w:rPr>
        <w:t>SPAC</w:t>
      </w:r>
      <w:r w:rsidR="007B6972">
        <w:t xml:space="preserve">. </w:t>
      </w:r>
      <w:r w:rsidR="004C0AE7">
        <w:t>Можно сдела</w:t>
      </w:r>
      <w:r w:rsidR="002B7C09">
        <w:t xml:space="preserve">ть вывод, что </w:t>
      </w:r>
      <w:r w:rsidR="00E23C14">
        <w:t xml:space="preserve">даже в случае ликвидации </w:t>
      </w:r>
      <w:r w:rsidR="00E23C14">
        <w:rPr>
          <w:lang w:val="en-US"/>
        </w:rPr>
        <w:t>SPAC</w:t>
      </w:r>
      <w:r w:rsidR="00E23C14">
        <w:t xml:space="preserve"> инвестор получит нулевую доходность, поскольку может предъявить акцию к выкупу и получить </w:t>
      </w:r>
      <w:r w:rsidR="00AB3DE9" w:rsidRPr="00AB3DE9">
        <w:t>$10</w:t>
      </w:r>
      <w:r w:rsidR="00C54C57">
        <w:t>.</w:t>
      </w:r>
    </w:p>
    <w:p w14:paraId="674A69D9" w14:textId="1FC24818" w:rsidR="008C215E" w:rsidRDefault="008C215E" w:rsidP="008C215E">
      <w:pPr>
        <w:pStyle w:val="a"/>
      </w:pPr>
      <w:r>
        <w:t xml:space="preserve">Доходность акций </w:t>
      </w:r>
      <w:r>
        <w:rPr>
          <w:lang w:val="en-US"/>
        </w:rPr>
        <w:t>SPAC</w:t>
      </w:r>
      <w:r>
        <w:t xml:space="preserve"> до поглощения по годам</w:t>
      </w:r>
    </w:p>
    <w:tbl>
      <w:tblPr>
        <w:tblStyle w:val="a9"/>
        <w:tblW w:w="9426" w:type="dxa"/>
        <w:tblLook w:val="04A0" w:firstRow="1" w:lastRow="0" w:firstColumn="1" w:lastColumn="0" w:noHBand="0" w:noVBand="1"/>
      </w:tblPr>
      <w:tblGrid>
        <w:gridCol w:w="1017"/>
        <w:gridCol w:w="1186"/>
        <w:gridCol w:w="1104"/>
        <w:gridCol w:w="1771"/>
        <w:gridCol w:w="1190"/>
        <w:gridCol w:w="3158"/>
      </w:tblGrid>
      <w:tr w:rsidR="00660754" w14:paraId="5D520FD0" w14:textId="77777777" w:rsidTr="002478FC">
        <w:trPr>
          <w:trHeight w:val="2127"/>
        </w:trPr>
        <w:tc>
          <w:tcPr>
            <w:tcW w:w="1017" w:type="dxa"/>
            <w:vAlign w:val="center"/>
          </w:tcPr>
          <w:p w14:paraId="05E7C5FF" w14:textId="6A602355" w:rsidR="00660754" w:rsidRDefault="00660754" w:rsidP="00660754">
            <w:pPr>
              <w:pStyle w:val="ac"/>
            </w:pPr>
            <w:r w:rsidRPr="006409A5">
              <w:t>Год выхода на IPO</w:t>
            </w:r>
          </w:p>
        </w:tc>
        <w:tc>
          <w:tcPr>
            <w:tcW w:w="1186" w:type="dxa"/>
            <w:vAlign w:val="center"/>
          </w:tcPr>
          <w:p w14:paraId="27A36E74" w14:textId="74484472" w:rsidR="00660754" w:rsidRDefault="002478FC" w:rsidP="00660754">
            <w:pPr>
              <w:pStyle w:val="ac"/>
            </w:pPr>
            <w:r>
              <w:t>Объем выборки</w:t>
            </w:r>
          </w:p>
        </w:tc>
        <w:tc>
          <w:tcPr>
            <w:tcW w:w="1104" w:type="dxa"/>
            <w:vAlign w:val="center"/>
          </w:tcPr>
          <w:p w14:paraId="43D10F10" w14:textId="5C8BB7B2" w:rsidR="00660754" w:rsidRDefault="00660754" w:rsidP="00660754">
            <w:pPr>
              <w:pStyle w:val="ac"/>
            </w:pPr>
            <w:r w:rsidRPr="006409A5">
              <w:t>Среднее</w:t>
            </w:r>
          </w:p>
        </w:tc>
        <w:tc>
          <w:tcPr>
            <w:tcW w:w="1771" w:type="dxa"/>
            <w:vAlign w:val="center"/>
          </w:tcPr>
          <w:p w14:paraId="463BB81F" w14:textId="42DC2AD5" w:rsidR="00660754" w:rsidRDefault="00660754" w:rsidP="00660754">
            <w:pPr>
              <w:pStyle w:val="ac"/>
            </w:pPr>
            <w:r>
              <w:t xml:space="preserve">Среднее, взвешенное по поступлениям с </w:t>
            </w:r>
            <w:r>
              <w:rPr>
                <w:lang w:val="en-US"/>
              </w:rPr>
              <w:t>IPO</w:t>
            </w:r>
          </w:p>
        </w:tc>
        <w:tc>
          <w:tcPr>
            <w:tcW w:w="1190" w:type="dxa"/>
            <w:vAlign w:val="center"/>
          </w:tcPr>
          <w:p w14:paraId="7C1358E5" w14:textId="30109952" w:rsidR="00660754" w:rsidRDefault="00660754" w:rsidP="00660754">
            <w:pPr>
              <w:pStyle w:val="ac"/>
            </w:pPr>
            <w:r w:rsidRPr="006409A5">
              <w:t>Медиана</w:t>
            </w:r>
          </w:p>
        </w:tc>
        <w:tc>
          <w:tcPr>
            <w:tcW w:w="3158" w:type="dxa"/>
            <w:vAlign w:val="center"/>
          </w:tcPr>
          <w:p w14:paraId="0D464F04" w14:textId="45D46927" w:rsidR="00660754" w:rsidRDefault="00660754" w:rsidP="00660754">
            <w:pPr>
              <w:pStyle w:val="ac"/>
            </w:pPr>
            <w:r>
              <w:t>Кол-во месяцев</w:t>
            </w:r>
            <w:r w:rsidRPr="006409A5">
              <w:t xml:space="preserve"> между IPO</w:t>
            </w:r>
            <w:r>
              <w:t xml:space="preserve"> </w:t>
            </w:r>
            <w:r>
              <w:rPr>
                <w:lang w:val="en-US"/>
              </w:rPr>
              <w:t>SPAC</w:t>
            </w:r>
            <w:r w:rsidRPr="006409A5">
              <w:t xml:space="preserve"> и поглощением/делистингом</w:t>
            </w:r>
          </w:p>
        </w:tc>
      </w:tr>
      <w:tr w:rsidR="00660754" w14:paraId="0D9FD1A1" w14:textId="77777777" w:rsidTr="002478FC">
        <w:trPr>
          <w:trHeight w:val="432"/>
        </w:trPr>
        <w:tc>
          <w:tcPr>
            <w:tcW w:w="1017" w:type="dxa"/>
          </w:tcPr>
          <w:p w14:paraId="303583B8" w14:textId="509BAB02" w:rsidR="00660754" w:rsidRPr="00660754" w:rsidRDefault="00660754" w:rsidP="00FB3C60">
            <w:pPr>
              <w:pStyle w:val="ad"/>
              <w:jc w:val="center"/>
            </w:pPr>
            <w:r w:rsidRPr="00660754">
              <w:t>2015</w:t>
            </w:r>
          </w:p>
        </w:tc>
        <w:tc>
          <w:tcPr>
            <w:tcW w:w="1186" w:type="dxa"/>
          </w:tcPr>
          <w:p w14:paraId="100AE591" w14:textId="7EFC500D" w:rsidR="00660754" w:rsidRPr="00660754" w:rsidRDefault="00660754" w:rsidP="00227ED5">
            <w:pPr>
              <w:pStyle w:val="ad"/>
              <w:jc w:val="center"/>
            </w:pPr>
            <w:r w:rsidRPr="00660754">
              <w:t>6</w:t>
            </w:r>
          </w:p>
        </w:tc>
        <w:tc>
          <w:tcPr>
            <w:tcW w:w="1104" w:type="dxa"/>
          </w:tcPr>
          <w:p w14:paraId="0D15963D" w14:textId="30980B3E" w:rsidR="00660754" w:rsidRPr="00660754" w:rsidRDefault="00660754" w:rsidP="00227ED5">
            <w:pPr>
              <w:pStyle w:val="ad"/>
              <w:jc w:val="center"/>
            </w:pPr>
            <w:r w:rsidRPr="00660754">
              <w:t>2,3%</w:t>
            </w:r>
          </w:p>
        </w:tc>
        <w:tc>
          <w:tcPr>
            <w:tcW w:w="1771" w:type="dxa"/>
          </w:tcPr>
          <w:p w14:paraId="10315C3C" w14:textId="53F42190" w:rsidR="00660754" w:rsidRPr="00660754" w:rsidRDefault="00660754" w:rsidP="00227ED5">
            <w:pPr>
              <w:pStyle w:val="ad"/>
              <w:jc w:val="center"/>
            </w:pPr>
            <w:r w:rsidRPr="00660754">
              <w:t>1,3%</w:t>
            </w:r>
          </w:p>
        </w:tc>
        <w:tc>
          <w:tcPr>
            <w:tcW w:w="1190" w:type="dxa"/>
          </w:tcPr>
          <w:p w14:paraId="50AC1481" w14:textId="57B87B8F" w:rsidR="00660754" w:rsidRPr="00660754" w:rsidRDefault="00660754" w:rsidP="00227ED5">
            <w:pPr>
              <w:pStyle w:val="ad"/>
              <w:jc w:val="center"/>
            </w:pPr>
            <w:r w:rsidRPr="00660754">
              <w:t>1,1%</w:t>
            </w:r>
          </w:p>
        </w:tc>
        <w:tc>
          <w:tcPr>
            <w:tcW w:w="3158" w:type="dxa"/>
          </w:tcPr>
          <w:p w14:paraId="749B873B" w14:textId="5B690C84" w:rsidR="00660754" w:rsidRPr="00660754" w:rsidRDefault="00660754" w:rsidP="00227ED5">
            <w:pPr>
              <w:pStyle w:val="ad"/>
              <w:jc w:val="center"/>
            </w:pPr>
            <w:r w:rsidRPr="00660754">
              <w:t>31,8</w:t>
            </w:r>
          </w:p>
        </w:tc>
      </w:tr>
      <w:tr w:rsidR="00660754" w14:paraId="2C97BC3C" w14:textId="77777777" w:rsidTr="002478FC">
        <w:trPr>
          <w:trHeight w:val="420"/>
        </w:trPr>
        <w:tc>
          <w:tcPr>
            <w:tcW w:w="1017" w:type="dxa"/>
          </w:tcPr>
          <w:p w14:paraId="4739D63E" w14:textId="68120F8C" w:rsidR="00660754" w:rsidRPr="00660754" w:rsidRDefault="00660754" w:rsidP="00FB3C60">
            <w:pPr>
              <w:pStyle w:val="ad"/>
              <w:jc w:val="center"/>
            </w:pPr>
            <w:r w:rsidRPr="00660754">
              <w:t>2016</w:t>
            </w:r>
          </w:p>
        </w:tc>
        <w:tc>
          <w:tcPr>
            <w:tcW w:w="1186" w:type="dxa"/>
          </w:tcPr>
          <w:p w14:paraId="10DCF0AD" w14:textId="17EB67C5" w:rsidR="00660754" w:rsidRPr="00660754" w:rsidRDefault="00660754" w:rsidP="00227ED5">
            <w:pPr>
              <w:pStyle w:val="ad"/>
              <w:jc w:val="center"/>
            </w:pPr>
            <w:r w:rsidRPr="00660754">
              <w:t>4</w:t>
            </w:r>
          </w:p>
        </w:tc>
        <w:tc>
          <w:tcPr>
            <w:tcW w:w="1104" w:type="dxa"/>
          </w:tcPr>
          <w:p w14:paraId="0709E2C2" w14:textId="3CF8B859" w:rsidR="00660754" w:rsidRPr="00660754" w:rsidRDefault="00660754" w:rsidP="00227ED5">
            <w:pPr>
              <w:pStyle w:val="ad"/>
              <w:jc w:val="center"/>
            </w:pPr>
            <w:r w:rsidRPr="00660754">
              <w:t>1,1%</w:t>
            </w:r>
          </w:p>
        </w:tc>
        <w:tc>
          <w:tcPr>
            <w:tcW w:w="1771" w:type="dxa"/>
          </w:tcPr>
          <w:p w14:paraId="214CF203" w14:textId="2CC5089F" w:rsidR="00660754" w:rsidRPr="00660754" w:rsidRDefault="00660754" w:rsidP="00227ED5">
            <w:pPr>
              <w:pStyle w:val="ad"/>
              <w:jc w:val="center"/>
            </w:pPr>
            <w:r w:rsidRPr="00660754">
              <w:t>1,2%</w:t>
            </w:r>
          </w:p>
        </w:tc>
        <w:tc>
          <w:tcPr>
            <w:tcW w:w="1190" w:type="dxa"/>
          </w:tcPr>
          <w:p w14:paraId="1FED2626" w14:textId="1DE890E2" w:rsidR="00660754" w:rsidRPr="00660754" w:rsidRDefault="00660754" w:rsidP="00227ED5">
            <w:pPr>
              <w:pStyle w:val="ad"/>
              <w:jc w:val="center"/>
            </w:pPr>
            <w:r w:rsidRPr="00660754">
              <w:t>1,0%</w:t>
            </w:r>
          </w:p>
        </w:tc>
        <w:tc>
          <w:tcPr>
            <w:tcW w:w="3158" w:type="dxa"/>
          </w:tcPr>
          <w:p w14:paraId="67DD371A" w14:textId="7E0AEEC3" w:rsidR="00660754" w:rsidRPr="00660754" w:rsidRDefault="00660754" w:rsidP="00227ED5">
            <w:pPr>
              <w:pStyle w:val="ad"/>
              <w:jc w:val="center"/>
            </w:pPr>
            <w:r w:rsidRPr="00660754">
              <w:t>33,5</w:t>
            </w:r>
          </w:p>
        </w:tc>
      </w:tr>
      <w:tr w:rsidR="00660754" w14:paraId="508F2CCD" w14:textId="77777777" w:rsidTr="002478FC">
        <w:trPr>
          <w:trHeight w:val="420"/>
        </w:trPr>
        <w:tc>
          <w:tcPr>
            <w:tcW w:w="1017" w:type="dxa"/>
          </w:tcPr>
          <w:p w14:paraId="541D10D4" w14:textId="0476A5AE" w:rsidR="00660754" w:rsidRPr="00660754" w:rsidRDefault="00660754" w:rsidP="00FB3C60">
            <w:pPr>
              <w:pStyle w:val="ad"/>
              <w:jc w:val="center"/>
            </w:pPr>
            <w:r w:rsidRPr="00660754">
              <w:t>2017</w:t>
            </w:r>
          </w:p>
        </w:tc>
        <w:tc>
          <w:tcPr>
            <w:tcW w:w="1186" w:type="dxa"/>
          </w:tcPr>
          <w:p w14:paraId="7A1B7658" w14:textId="56BEBAFC" w:rsidR="00660754" w:rsidRPr="00660754" w:rsidRDefault="00660754" w:rsidP="00227ED5">
            <w:pPr>
              <w:pStyle w:val="ad"/>
              <w:jc w:val="center"/>
            </w:pPr>
            <w:r w:rsidRPr="00660754">
              <w:t>12</w:t>
            </w:r>
          </w:p>
        </w:tc>
        <w:tc>
          <w:tcPr>
            <w:tcW w:w="1104" w:type="dxa"/>
          </w:tcPr>
          <w:p w14:paraId="0A980C4D" w14:textId="6E1826EB" w:rsidR="00660754" w:rsidRPr="00660754" w:rsidRDefault="00660754" w:rsidP="00227ED5">
            <w:pPr>
              <w:pStyle w:val="ad"/>
              <w:jc w:val="center"/>
            </w:pPr>
            <w:r w:rsidRPr="00660754">
              <w:t>2,6%</w:t>
            </w:r>
          </w:p>
        </w:tc>
        <w:tc>
          <w:tcPr>
            <w:tcW w:w="1771" w:type="dxa"/>
          </w:tcPr>
          <w:p w14:paraId="061CA30B" w14:textId="2F99E940" w:rsidR="00660754" w:rsidRPr="00660754" w:rsidRDefault="00660754" w:rsidP="00227ED5">
            <w:pPr>
              <w:pStyle w:val="ad"/>
              <w:jc w:val="center"/>
            </w:pPr>
            <w:r w:rsidRPr="00660754">
              <w:t>2,4%</w:t>
            </w:r>
          </w:p>
        </w:tc>
        <w:tc>
          <w:tcPr>
            <w:tcW w:w="1190" w:type="dxa"/>
          </w:tcPr>
          <w:p w14:paraId="13A791E6" w14:textId="3E961B09" w:rsidR="00660754" w:rsidRPr="00660754" w:rsidRDefault="00660754" w:rsidP="00227ED5">
            <w:pPr>
              <w:pStyle w:val="ad"/>
              <w:jc w:val="center"/>
            </w:pPr>
            <w:r w:rsidRPr="00660754">
              <w:t>1,8%</w:t>
            </w:r>
          </w:p>
        </w:tc>
        <w:tc>
          <w:tcPr>
            <w:tcW w:w="3158" w:type="dxa"/>
          </w:tcPr>
          <w:p w14:paraId="1E94E12D" w14:textId="1F97F97E" w:rsidR="00660754" w:rsidRPr="00660754" w:rsidRDefault="00660754" w:rsidP="00227ED5">
            <w:pPr>
              <w:pStyle w:val="ad"/>
              <w:jc w:val="center"/>
            </w:pPr>
            <w:r w:rsidRPr="00660754">
              <w:t>26,8</w:t>
            </w:r>
          </w:p>
        </w:tc>
      </w:tr>
      <w:tr w:rsidR="00660754" w14:paraId="6EFAE4CA" w14:textId="77777777" w:rsidTr="002478FC">
        <w:trPr>
          <w:trHeight w:val="432"/>
        </w:trPr>
        <w:tc>
          <w:tcPr>
            <w:tcW w:w="1017" w:type="dxa"/>
          </w:tcPr>
          <w:p w14:paraId="1FB689D1" w14:textId="244B2CB8" w:rsidR="00660754" w:rsidRPr="00660754" w:rsidRDefault="00660754" w:rsidP="00FB3C60">
            <w:pPr>
              <w:pStyle w:val="ad"/>
              <w:jc w:val="center"/>
            </w:pPr>
            <w:r w:rsidRPr="00660754">
              <w:t>2018</w:t>
            </w:r>
          </w:p>
        </w:tc>
        <w:tc>
          <w:tcPr>
            <w:tcW w:w="1186" w:type="dxa"/>
          </w:tcPr>
          <w:p w14:paraId="38D1EC7F" w14:textId="72FF4F6E" w:rsidR="00660754" w:rsidRPr="00660754" w:rsidRDefault="00660754" w:rsidP="00227ED5">
            <w:pPr>
              <w:pStyle w:val="ad"/>
              <w:jc w:val="center"/>
            </w:pPr>
            <w:r w:rsidRPr="00660754">
              <w:t>19</w:t>
            </w:r>
          </w:p>
        </w:tc>
        <w:tc>
          <w:tcPr>
            <w:tcW w:w="1104" w:type="dxa"/>
          </w:tcPr>
          <w:p w14:paraId="686A883F" w14:textId="47971ED4" w:rsidR="00660754" w:rsidRPr="00660754" w:rsidRDefault="00660754" w:rsidP="00227ED5">
            <w:pPr>
              <w:pStyle w:val="ad"/>
              <w:jc w:val="center"/>
            </w:pPr>
            <w:r w:rsidRPr="00660754">
              <w:t>2,9%</w:t>
            </w:r>
          </w:p>
        </w:tc>
        <w:tc>
          <w:tcPr>
            <w:tcW w:w="1771" w:type="dxa"/>
          </w:tcPr>
          <w:p w14:paraId="59F9B6FF" w14:textId="0B868C33" w:rsidR="00660754" w:rsidRPr="00660754" w:rsidRDefault="00660754" w:rsidP="00227ED5">
            <w:pPr>
              <w:pStyle w:val="ad"/>
              <w:jc w:val="center"/>
            </w:pPr>
            <w:r w:rsidRPr="00660754">
              <w:t>2,8%</w:t>
            </w:r>
          </w:p>
        </w:tc>
        <w:tc>
          <w:tcPr>
            <w:tcW w:w="1190" w:type="dxa"/>
          </w:tcPr>
          <w:p w14:paraId="5BEE33DF" w14:textId="43BD4A8E" w:rsidR="00660754" w:rsidRPr="00660754" w:rsidRDefault="00660754" w:rsidP="00227ED5">
            <w:pPr>
              <w:pStyle w:val="ad"/>
              <w:jc w:val="center"/>
            </w:pPr>
            <w:r w:rsidRPr="00660754">
              <w:t>2,3%</w:t>
            </w:r>
          </w:p>
        </w:tc>
        <w:tc>
          <w:tcPr>
            <w:tcW w:w="3158" w:type="dxa"/>
          </w:tcPr>
          <w:p w14:paraId="5C48C6AE" w14:textId="4FE2151B" w:rsidR="00660754" w:rsidRPr="00660754" w:rsidRDefault="00660754" w:rsidP="00227ED5">
            <w:pPr>
              <w:pStyle w:val="ad"/>
              <w:jc w:val="center"/>
            </w:pPr>
            <w:r w:rsidRPr="00660754">
              <w:t>24,5</w:t>
            </w:r>
          </w:p>
        </w:tc>
      </w:tr>
      <w:tr w:rsidR="00660754" w14:paraId="1792F87A" w14:textId="77777777" w:rsidTr="002478FC">
        <w:trPr>
          <w:trHeight w:val="420"/>
        </w:trPr>
        <w:tc>
          <w:tcPr>
            <w:tcW w:w="1017" w:type="dxa"/>
          </w:tcPr>
          <w:p w14:paraId="2A280295" w14:textId="2F509FC0" w:rsidR="00660754" w:rsidRPr="00660754" w:rsidRDefault="00660754" w:rsidP="00FB3C60">
            <w:pPr>
              <w:pStyle w:val="ad"/>
              <w:jc w:val="center"/>
            </w:pPr>
            <w:r w:rsidRPr="00660754">
              <w:t>2019</w:t>
            </w:r>
          </w:p>
        </w:tc>
        <w:tc>
          <w:tcPr>
            <w:tcW w:w="1186" w:type="dxa"/>
          </w:tcPr>
          <w:p w14:paraId="5BF7E8DE" w14:textId="430D54A7" w:rsidR="00660754" w:rsidRPr="00660754" w:rsidRDefault="00660754" w:rsidP="00227ED5">
            <w:pPr>
              <w:pStyle w:val="ad"/>
              <w:jc w:val="center"/>
            </w:pPr>
            <w:r w:rsidRPr="00660754">
              <w:t>32</w:t>
            </w:r>
          </w:p>
        </w:tc>
        <w:tc>
          <w:tcPr>
            <w:tcW w:w="1104" w:type="dxa"/>
          </w:tcPr>
          <w:p w14:paraId="50AD6537" w14:textId="71756494" w:rsidR="00660754" w:rsidRPr="00660754" w:rsidRDefault="00660754" w:rsidP="00227ED5">
            <w:pPr>
              <w:pStyle w:val="ad"/>
              <w:jc w:val="center"/>
            </w:pPr>
            <w:r w:rsidRPr="00660754">
              <w:t>4,7%</w:t>
            </w:r>
          </w:p>
        </w:tc>
        <w:tc>
          <w:tcPr>
            <w:tcW w:w="1771" w:type="dxa"/>
          </w:tcPr>
          <w:p w14:paraId="2710BD48" w14:textId="3FA080C5" w:rsidR="00660754" w:rsidRPr="00660754" w:rsidRDefault="00660754" w:rsidP="00227ED5">
            <w:pPr>
              <w:pStyle w:val="ad"/>
              <w:jc w:val="center"/>
            </w:pPr>
            <w:r w:rsidRPr="00660754">
              <w:t>4,9%</w:t>
            </w:r>
          </w:p>
        </w:tc>
        <w:tc>
          <w:tcPr>
            <w:tcW w:w="1190" w:type="dxa"/>
          </w:tcPr>
          <w:p w14:paraId="483A45E0" w14:textId="0B78DAEA" w:rsidR="00660754" w:rsidRPr="00660754" w:rsidRDefault="00660754" w:rsidP="00227ED5">
            <w:pPr>
              <w:pStyle w:val="ad"/>
              <w:jc w:val="center"/>
            </w:pPr>
            <w:r w:rsidRPr="00660754">
              <w:t>4,1%</w:t>
            </w:r>
          </w:p>
        </w:tc>
        <w:tc>
          <w:tcPr>
            <w:tcW w:w="3158" w:type="dxa"/>
          </w:tcPr>
          <w:p w14:paraId="7E979097" w14:textId="3672F237" w:rsidR="00660754" w:rsidRPr="00660754" w:rsidRDefault="00660754" w:rsidP="00227ED5">
            <w:pPr>
              <w:pStyle w:val="ad"/>
              <w:jc w:val="center"/>
            </w:pPr>
            <w:r w:rsidRPr="00660754">
              <w:t>20,5</w:t>
            </w:r>
          </w:p>
        </w:tc>
      </w:tr>
      <w:tr w:rsidR="00660754" w14:paraId="1A5CA313" w14:textId="77777777" w:rsidTr="002478FC">
        <w:trPr>
          <w:trHeight w:val="420"/>
        </w:trPr>
        <w:tc>
          <w:tcPr>
            <w:tcW w:w="1017" w:type="dxa"/>
          </w:tcPr>
          <w:p w14:paraId="7C533177" w14:textId="72C2EC16" w:rsidR="00660754" w:rsidRPr="00660754" w:rsidRDefault="00660754" w:rsidP="00FB3C60">
            <w:pPr>
              <w:pStyle w:val="ad"/>
              <w:jc w:val="center"/>
            </w:pPr>
            <w:r w:rsidRPr="00660754">
              <w:t>2020</w:t>
            </w:r>
          </w:p>
        </w:tc>
        <w:tc>
          <w:tcPr>
            <w:tcW w:w="1186" w:type="dxa"/>
          </w:tcPr>
          <w:p w14:paraId="1E9D9792" w14:textId="3AE80C77" w:rsidR="00660754" w:rsidRPr="00660754" w:rsidRDefault="00660754" w:rsidP="00227ED5">
            <w:pPr>
              <w:pStyle w:val="ad"/>
              <w:jc w:val="center"/>
            </w:pPr>
            <w:r w:rsidRPr="00660754">
              <w:t>110</w:t>
            </w:r>
          </w:p>
        </w:tc>
        <w:tc>
          <w:tcPr>
            <w:tcW w:w="1104" w:type="dxa"/>
          </w:tcPr>
          <w:p w14:paraId="1ECC80E7" w14:textId="73331076" w:rsidR="00660754" w:rsidRPr="00660754" w:rsidRDefault="00660754" w:rsidP="00227ED5">
            <w:pPr>
              <w:pStyle w:val="ad"/>
              <w:jc w:val="center"/>
            </w:pPr>
            <w:r w:rsidRPr="00660754">
              <w:t>10,0%</w:t>
            </w:r>
          </w:p>
        </w:tc>
        <w:tc>
          <w:tcPr>
            <w:tcW w:w="1771" w:type="dxa"/>
          </w:tcPr>
          <w:p w14:paraId="2679CEA0" w14:textId="090B79E7" w:rsidR="00660754" w:rsidRPr="00660754" w:rsidRDefault="00660754" w:rsidP="00227ED5">
            <w:pPr>
              <w:pStyle w:val="ad"/>
              <w:jc w:val="center"/>
            </w:pPr>
            <w:r w:rsidRPr="00660754">
              <w:t>10,1%</w:t>
            </w:r>
          </w:p>
        </w:tc>
        <w:tc>
          <w:tcPr>
            <w:tcW w:w="1190" w:type="dxa"/>
          </w:tcPr>
          <w:p w14:paraId="29F88626" w14:textId="18505049" w:rsidR="00660754" w:rsidRPr="00660754" w:rsidRDefault="00660754" w:rsidP="00227ED5">
            <w:pPr>
              <w:pStyle w:val="ad"/>
              <w:jc w:val="center"/>
            </w:pPr>
            <w:r w:rsidRPr="00660754">
              <w:t>7,6%</w:t>
            </w:r>
          </w:p>
        </w:tc>
        <w:tc>
          <w:tcPr>
            <w:tcW w:w="3158" w:type="dxa"/>
          </w:tcPr>
          <w:p w14:paraId="3E3F3838" w14:textId="5C24D14A" w:rsidR="00660754" w:rsidRPr="00660754" w:rsidRDefault="00660754" w:rsidP="00227ED5">
            <w:pPr>
              <w:pStyle w:val="ad"/>
              <w:jc w:val="center"/>
            </w:pPr>
            <w:r w:rsidRPr="00660754">
              <w:t>11,0</w:t>
            </w:r>
          </w:p>
        </w:tc>
      </w:tr>
      <w:tr w:rsidR="00660754" w14:paraId="2CD6569C" w14:textId="77777777" w:rsidTr="002478FC">
        <w:trPr>
          <w:trHeight w:val="420"/>
        </w:trPr>
        <w:tc>
          <w:tcPr>
            <w:tcW w:w="1017" w:type="dxa"/>
          </w:tcPr>
          <w:p w14:paraId="6EE8C480" w14:textId="0B7DFCBF" w:rsidR="00660754" w:rsidRPr="00660754" w:rsidRDefault="00660754" w:rsidP="00FB3C60">
            <w:pPr>
              <w:pStyle w:val="ad"/>
              <w:jc w:val="center"/>
            </w:pPr>
            <w:r w:rsidRPr="00660754">
              <w:t>2021</w:t>
            </w:r>
          </w:p>
        </w:tc>
        <w:tc>
          <w:tcPr>
            <w:tcW w:w="1186" w:type="dxa"/>
          </w:tcPr>
          <w:p w14:paraId="72C74FF8" w14:textId="7B55DE56" w:rsidR="00660754" w:rsidRPr="00660754" w:rsidRDefault="00660754" w:rsidP="00227ED5">
            <w:pPr>
              <w:pStyle w:val="ad"/>
              <w:jc w:val="center"/>
            </w:pPr>
            <w:r w:rsidRPr="00660754">
              <w:t>46</w:t>
            </w:r>
          </w:p>
        </w:tc>
        <w:tc>
          <w:tcPr>
            <w:tcW w:w="1104" w:type="dxa"/>
          </w:tcPr>
          <w:p w14:paraId="6353C578" w14:textId="283F76DD" w:rsidR="00660754" w:rsidRPr="00660754" w:rsidRDefault="00660754" w:rsidP="00227ED5">
            <w:pPr>
              <w:pStyle w:val="ad"/>
              <w:jc w:val="center"/>
            </w:pPr>
            <w:r w:rsidRPr="00660754">
              <w:t>9,0%</w:t>
            </w:r>
          </w:p>
        </w:tc>
        <w:tc>
          <w:tcPr>
            <w:tcW w:w="1771" w:type="dxa"/>
          </w:tcPr>
          <w:p w14:paraId="1FCB677C" w14:textId="25BFCC3C" w:rsidR="00660754" w:rsidRPr="00660754" w:rsidRDefault="00660754" w:rsidP="00227ED5">
            <w:pPr>
              <w:pStyle w:val="ad"/>
              <w:jc w:val="center"/>
            </w:pPr>
            <w:r w:rsidRPr="00660754">
              <w:t>9,1%</w:t>
            </w:r>
          </w:p>
        </w:tc>
        <w:tc>
          <w:tcPr>
            <w:tcW w:w="1190" w:type="dxa"/>
          </w:tcPr>
          <w:p w14:paraId="594DC02F" w14:textId="4A0AEC5E" w:rsidR="00660754" w:rsidRPr="00660754" w:rsidRDefault="00660754" w:rsidP="00227ED5">
            <w:pPr>
              <w:pStyle w:val="ad"/>
              <w:jc w:val="center"/>
            </w:pPr>
            <w:r w:rsidRPr="00660754">
              <w:t>5,3%</w:t>
            </w:r>
          </w:p>
        </w:tc>
        <w:tc>
          <w:tcPr>
            <w:tcW w:w="3158" w:type="dxa"/>
          </w:tcPr>
          <w:p w14:paraId="16D2B780" w14:textId="201AB26F" w:rsidR="00660754" w:rsidRPr="00660754" w:rsidRDefault="00660754" w:rsidP="00227ED5">
            <w:pPr>
              <w:pStyle w:val="ad"/>
              <w:jc w:val="center"/>
            </w:pPr>
            <w:r w:rsidRPr="00660754">
              <w:t>9,3</w:t>
            </w:r>
          </w:p>
        </w:tc>
      </w:tr>
    </w:tbl>
    <w:p w14:paraId="75478DD0" w14:textId="5DB16579" w:rsidR="008C215E" w:rsidRPr="006833AF" w:rsidRDefault="006833AF" w:rsidP="006833AF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34FC48FA" w14:textId="7003FB6E" w:rsidR="00660754" w:rsidRDefault="0042142C" w:rsidP="00660754">
      <w:r>
        <w:t xml:space="preserve">В каждой из приведенных </w:t>
      </w:r>
      <w:r w:rsidR="00745097">
        <w:t xml:space="preserve">в таблице 7 </w:t>
      </w:r>
      <w:r>
        <w:t>средних оценок наблюдает позитивный тренд в отношении доходности: начиная</w:t>
      </w:r>
      <w:r w:rsidR="009A1698">
        <w:t xml:space="preserve"> с 2017 года показател</w:t>
      </w:r>
      <w:r w:rsidR="00B0124A">
        <w:t xml:space="preserve">и растут из года в год, рекордные значения наблюдается среди тех </w:t>
      </w:r>
      <w:r w:rsidR="00B0124A">
        <w:rPr>
          <w:lang w:val="en-US"/>
        </w:rPr>
        <w:t>SPAC</w:t>
      </w:r>
      <w:r w:rsidR="00B0124A">
        <w:t xml:space="preserve">, которые вышли на </w:t>
      </w:r>
      <w:r w:rsidR="00B0124A">
        <w:rPr>
          <w:lang w:val="en-US"/>
        </w:rPr>
        <w:t>IPO</w:t>
      </w:r>
      <w:r w:rsidR="00B0124A">
        <w:t xml:space="preserve"> в 2020 году</w:t>
      </w:r>
      <w:r w:rsidR="00264C48">
        <w:t xml:space="preserve">: средняя </w:t>
      </w:r>
      <w:r w:rsidR="00264C48">
        <w:lastRenderedPageBreak/>
        <w:t xml:space="preserve">доходность 10% против 2,3% в 2015. </w:t>
      </w:r>
      <w:r w:rsidR="00B702D6">
        <w:t xml:space="preserve">В периоде нахождения </w:t>
      </w:r>
      <w:r w:rsidR="001A128C">
        <w:t xml:space="preserve">таргета мы видим обратный тренд: число месяцев между </w:t>
      </w:r>
      <w:r w:rsidR="001A128C">
        <w:rPr>
          <w:lang w:val="en-US"/>
        </w:rPr>
        <w:t>IPO</w:t>
      </w:r>
      <w:r w:rsidR="001A128C">
        <w:t xml:space="preserve"> </w:t>
      </w:r>
      <w:r w:rsidR="001A128C">
        <w:rPr>
          <w:lang w:val="en-US"/>
        </w:rPr>
        <w:t>SPAC</w:t>
      </w:r>
      <w:r w:rsidR="001A128C">
        <w:t xml:space="preserve"> и завершением сделки сокращается с течением времени</w:t>
      </w:r>
      <w:r w:rsidR="003931D3">
        <w:t xml:space="preserve">. В 2019 году среднее время поиска таргета составило 20,5 месяцев против 31,8 в 2015. </w:t>
      </w:r>
      <w:r w:rsidR="00156CA0">
        <w:t>Аналогичные показатели в 2020 и 2021 годах анализировать некорректно, поскольку</w:t>
      </w:r>
      <w:r w:rsidR="00613D45">
        <w:t xml:space="preserve"> </w:t>
      </w:r>
      <w:r w:rsidR="00CF1ABA">
        <w:t xml:space="preserve">некоторые </w:t>
      </w:r>
      <w:r w:rsidR="00CF1ABA">
        <w:rPr>
          <w:lang w:val="en-US"/>
        </w:rPr>
        <w:t>SPAC</w:t>
      </w:r>
      <w:r w:rsidR="00CF1ABA">
        <w:t xml:space="preserve">, </w:t>
      </w:r>
      <w:r w:rsidR="00F91488">
        <w:t xml:space="preserve">вышедшие на </w:t>
      </w:r>
      <w:r w:rsidR="00F91488">
        <w:rPr>
          <w:lang w:val="en-US"/>
        </w:rPr>
        <w:t>IPO</w:t>
      </w:r>
      <w:r w:rsidR="00F91488">
        <w:t xml:space="preserve"> в этих годах, по-прежнему ищут таргет. И несмотря на то, что такие компании не были включены в выборку (</w:t>
      </w:r>
      <w:r w:rsidR="00ED5931">
        <w:t>в выборку были включены только те компании, которые совершили поглощение или были ликвидированы)</w:t>
      </w:r>
      <w:r w:rsidR="001932A8">
        <w:t xml:space="preserve">, с точки зрения </w:t>
      </w:r>
      <w:r w:rsidR="00FB2752">
        <w:t>логики</w:t>
      </w:r>
      <w:r w:rsidR="001932A8">
        <w:t xml:space="preserve"> некорректно делать вывод о том, что в 2020 года срок нахождения таргета уменьшился в два раза</w:t>
      </w:r>
      <w:r w:rsidR="00FB2752">
        <w:t>, поскольку на данный момент реальная оценка данного показателя пока неизвестна.</w:t>
      </w:r>
    </w:p>
    <w:p w14:paraId="744CD88F" w14:textId="310C9CDF" w:rsidR="00634DEC" w:rsidRDefault="00634DEC" w:rsidP="00634DEC">
      <w:pPr>
        <w:pStyle w:val="a"/>
      </w:pPr>
      <w:r>
        <w:t xml:space="preserve">Доходность акций </w:t>
      </w:r>
      <w:r>
        <w:rPr>
          <w:lang w:val="en-US"/>
        </w:rPr>
        <w:t>SPAC</w:t>
      </w:r>
      <w:r>
        <w:t xml:space="preserve"> до поглощения по отраслям</w:t>
      </w:r>
    </w:p>
    <w:tbl>
      <w:tblPr>
        <w:tblStyle w:val="a9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2"/>
        <w:gridCol w:w="750"/>
        <w:gridCol w:w="1103"/>
        <w:gridCol w:w="1769"/>
        <w:gridCol w:w="1188"/>
        <w:gridCol w:w="2880"/>
      </w:tblGrid>
      <w:tr w:rsidR="001217C2" w14:paraId="75F95661" w14:textId="77777777" w:rsidTr="008A3942">
        <w:tc>
          <w:tcPr>
            <w:tcW w:w="2092" w:type="dxa"/>
            <w:vAlign w:val="center"/>
          </w:tcPr>
          <w:p w14:paraId="63050079" w14:textId="24FA68D0" w:rsidR="0021732D" w:rsidRDefault="001217C2" w:rsidP="004D0B42">
            <w:pPr>
              <w:pStyle w:val="ac"/>
            </w:pPr>
            <w:r>
              <w:t>Фокус отрасль</w:t>
            </w:r>
          </w:p>
        </w:tc>
        <w:tc>
          <w:tcPr>
            <w:tcW w:w="750" w:type="dxa"/>
            <w:vAlign w:val="center"/>
          </w:tcPr>
          <w:p w14:paraId="51EFFC18" w14:textId="3B47B306" w:rsidR="0021732D" w:rsidRPr="00E478F2" w:rsidRDefault="00E478F2" w:rsidP="004D0B42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rStyle w:val="af5"/>
                <w:lang w:val="en-US"/>
              </w:rPr>
              <w:footnoteReference w:id="38"/>
            </w:r>
          </w:p>
        </w:tc>
        <w:tc>
          <w:tcPr>
            <w:tcW w:w="1103" w:type="dxa"/>
            <w:vAlign w:val="center"/>
          </w:tcPr>
          <w:p w14:paraId="7EA71243" w14:textId="77777777" w:rsidR="0021732D" w:rsidRDefault="0021732D" w:rsidP="004D0B42">
            <w:pPr>
              <w:pStyle w:val="ac"/>
            </w:pPr>
            <w:r w:rsidRPr="006409A5">
              <w:t>Среднее</w:t>
            </w:r>
          </w:p>
        </w:tc>
        <w:tc>
          <w:tcPr>
            <w:tcW w:w="1769" w:type="dxa"/>
            <w:vAlign w:val="center"/>
          </w:tcPr>
          <w:p w14:paraId="6A74839B" w14:textId="77777777" w:rsidR="0021732D" w:rsidRDefault="0021732D" w:rsidP="004D0B42">
            <w:pPr>
              <w:pStyle w:val="ac"/>
            </w:pPr>
            <w:r>
              <w:t xml:space="preserve">Среднее, взвешенное по поступлениям с </w:t>
            </w:r>
            <w:r>
              <w:rPr>
                <w:lang w:val="en-US"/>
              </w:rPr>
              <w:t>IPO</w:t>
            </w:r>
          </w:p>
        </w:tc>
        <w:tc>
          <w:tcPr>
            <w:tcW w:w="1188" w:type="dxa"/>
            <w:vAlign w:val="center"/>
          </w:tcPr>
          <w:p w14:paraId="12E9C779" w14:textId="77777777" w:rsidR="0021732D" w:rsidRDefault="0021732D" w:rsidP="004D0B42">
            <w:pPr>
              <w:pStyle w:val="ac"/>
            </w:pPr>
            <w:r w:rsidRPr="006409A5">
              <w:t>Медиана</w:t>
            </w:r>
          </w:p>
        </w:tc>
        <w:tc>
          <w:tcPr>
            <w:tcW w:w="2880" w:type="dxa"/>
            <w:vAlign w:val="center"/>
          </w:tcPr>
          <w:p w14:paraId="2D963198" w14:textId="77777777" w:rsidR="0021732D" w:rsidRDefault="0021732D" w:rsidP="004D0B42">
            <w:pPr>
              <w:pStyle w:val="ac"/>
            </w:pPr>
            <w:r>
              <w:t>Кол-во месяцев</w:t>
            </w:r>
            <w:r w:rsidRPr="006409A5">
              <w:t xml:space="preserve"> между IPO</w:t>
            </w:r>
            <w:r>
              <w:t xml:space="preserve"> </w:t>
            </w:r>
            <w:r>
              <w:rPr>
                <w:lang w:val="en-US"/>
              </w:rPr>
              <w:t>SPAC</w:t>
            </w:r>
            <w:r w:rsidRPr="006409A5">
              <w:t xml:space="preserve"> и поглощением/делистингом</w:t>
            </w:r>
          </w:p>
        </w:tc>
      </w:tr>
      <w:tr w:rsidR="001217C2" w14:paraId="5EF0BF1E" w14:textId="77777777" w:rsidTr="008A3942">
        <w:tc>
          <w:tcPr>
            <w:tcW w:w="2092" w:type="dxa"/>
          </w:tcPr>
          <w:p w14:paraId="7973AFFC" w14:textId="27E863DD" w:rsidR="001217C2" w:rsidRPr="00660754" w:rsidRDefault="00227ED5" w:rsidP="00FB3C60">
            <w:pPr>
              <w:pStyle w:val="ad"/>
              <w:jc w:val="center"/>
            </w:pPr>
            <w:r>
              <w:t>Циклические товары и услуги</w:t>
            </w:r>
          </w:p>
        </w:tc>
        <w:tc>
          <w:tcPr>
            <w:tcW w:w="750" w:type="dxa"/>
          </w:tcPr>
          <w:p w14:paraId="66335459" w14:textId="5BBCE2E9" w:rsidR="001217C2" w:rsidRPr="00660754" w:rsidRDefault="001217C2" w:rsidP="00227ED5">
            <w:pPr>
              <w:pStyle w:val="ad"/>
              <w:jc w:val="center"/>
            </w:pPr>
            <w:r w:rsidRPr="001158D8">
              <w:t>13</w:t>
            </w:r>
          </w:p>
        </w:tc>
        <w:tc>
          <w:tcPr>
            <w:tcW w:w="1103" w:type="dxa"/>
          </w:tcPr>
          <w:p w14:paraId="5A37D9A2" w14:textId="7859EDB1" w:rsidR="001217C2" w:rsidRPr="00660754" w:rsidRDefault="001217C2" w:rsidP="00227ED5">
            <w:pPr>
              <w:pStyle w:val="ad"/>
              <w:jc w:val="center"/>
            </w:pPr>
            <w:r w:rsidRPr="001158D8">
              <w:t>8,4%</w:t>
            </w:r>
          </w:p>
        </w:tc>
        <w:tc>
          <w:tcPr>
            <w:tcW w:w="1769" w:type="dxa"/>
          </w:tcPr>
          <w:p w14:paraId="2BA50CFF" w14:textId="2D009278" w:rsidR="001217C2" w:rsidRPr="00660754" w:rsidRDefault="001217C2" w:rsidP="00227ED5">
            <w:pPr>
              <w:pStyle w:val="ad"/>
              <w:jc w:val="center"/>
            </w:pPr>
            <w:r w:rsidRPr="001158D8">
              <w:t>7,2%</w:t>
            </w:r>
          </w:p>
        </w:tc>
        <w:tc>
          <w:tcPr>
            <w:tcW w:w="1188" w:type="dxa"/>
          </w:tcPr>
          <w:p w14:paraId="75F050C0" w14:textId="09FFC01E" w:rsidR="001217C2" w:rsidRPr="00660754" w:rsidRDefault="001217C2" w:rsidP="00227ED5">
            <w:pPr>
              <w:pStyle w:val="ad"/>
              <w:jc w:val="center"/>
            </w:pPr>
            <w:r w:rsidRPr="001158D8">
              <w:t>4,3%</w:t>
            </w:r>
          </w:p>
        </w:tc>
        <w:tc>
          <w:tcPr>
            <w:tcW w:w="2880" w:type="dxa"/>
          </w:tcPr>
          <w:p w14:paraId="1F56C5D8" w14:textId="3379ED0E" w:rsidR="001217C2" w:rsidRPr="00660754" w:rsidRDefault="001217C2" w:rsidP="00227ED5">
            <w:pPr>
              <w:pStyle w:val="ad"/>
              <w:jc w:val="center"/>
            </w:pPr>
            <w:r w:rsidRPr="001158D8">
              <w:t>15,0</w:t>
            </w:r>
          </w:p>
        </w:tc>
      </w:tr>
      <w:tr w:rsidR="001217C2" w14:paraId="5FFC3458" w14:textId="77777777" w:rsidTr="008A3942">
        <w:tc>
          <w:tcPr>
            <w:tcW w:w="2092" w:type="dxa"/>
          </w:tcPr>
          <w:p w14:paraId="54E0BEF5" w14:textId="010DA8F6" w:rsidR="001217C2" w:rsidRPr="00660754" w:rsidRDefault="00CB7AAB" w:rsidP="00FB3C60">
            <w:pPr>
              <w:pStyle w:val="ad"/>
              <w:jc w:val="center"/>
            </w:pPr>
            <w:r>
              <w:t>Технологии</w:t>
            </w:r>
          </w:p>
        </w:tc>
        <w:tc>
          <w:tcPr>
            <w:tcW w:w="750" w:type="dxa"/>
          </w:tcPr>
          <w:p w14:paraId="4D0AADC5" w14:textId="689D5C02" w:rsidR="001217C2" w:rsidRPr="00660754" w:rsidRDefault="001217C2" w:rsidP="00227ED5">
            <w:pPr>
              <w:pStyle w:val="ad"/>
              <w:jc w:val="center"/>
            </w:pPr>
            <w:r w:rsidRPr="001158D8">
              <w:t>41</w:t>
            </w:r>
          </w:p>
        </w:tc>
        <w:tc>
          <w:tcPr>
            <w:tcW w:w="1103" w:type="dxa"/>
          </w:tcPr>
          <w:p w14:paraId="2DB94691" w14:textId="77DFB913" w:rsidR="001217C2" w:rsidRPr="00660754" w:rsidRDefault="001217C2" w:rsidP="00227ED5">
            <w:pPr>
              <w:pStyle w:val="ad"/>
              <w:jc w:val="center"/>
            </w:pPr>
            <w:r w:rsidRPr="001158D8">
              <w:t>6,5%</w:t>
            </w:r>
          </w:p>
        </w:tc>
        <w:tc>
          <w:tcPr>
            <w:tcW w:w="1769" w:type="dxa"/>
          </w:tcPr>
          <w:p w14:paraId="37D50703" w14:textId="5CCC13DF" w:rsidR="001217C2" w:rsidRPr="00660754" w:rsidRDefault="001217C2" w:rsidP="00227ED5">
            <w:pPr>
              <w:pStyle w:val="ad"/>
              <w:jc w:val="center"/>
            </w:pPr>
            <w:r w:rsidRPr="001158D8">
              <w:t>5,9%</w:t>
            </w:r>
          </w:p>
        </w:tc>
        <w:tc>
          <w:tcPr>
            <w:tcW w:w="1188" w:type="dxa"/>
          </w:tcPr>
          <w:p w14:paraId="027ACBDF" w14:textId="1C234986" w:rsidR="001217C2" w:rsidRPr="00660754" w:rsidRDefault="001217C2" w:rsidP="00227ED5">
            <w:pPr>
              <w:pStyle w:val="ad"/>
              <w:jc w:val="center"/>
            </w:pPr>
            <w:r w:rsidRPr="001158D8">
              <w:t>5,0%</w:t>
            </w:r>
          </w:p>
        </w:tc>
        <w:tc>
          <w:tcPr>
            <w:tcW w:w="2880" w:type="dxa"/>
          </w:tcPr>
          <w:p w14:paraId="3BEBCBF4" w14:textId="10C868A8" w:rsidR="001217C2" w:rsidRPr="00660754" w:rsidRDefault="001217C2" w:rsidP="00227ED5">
            <w:pPr>
              <w:pStyle w:val="ad"/>
              <w:jc w:val="center"/>
            </w:pPr>
            <w:r w:rsidRPr="001158D8">
              <w:t>16,9</w:t>
            </w:r>
          </w:p>
        </w:tc>
      </w:tr>
      <w:tr w:rsidR="001217C2" w14:paraId="18AFEAC4" w14:textId="77777777" w:rsidTr="008A3942">
        <w:tc>
          <w:tcPr>
            <w:tcW w:w="2092" w:type="dxa"/>
          </w:tcPr>
          <w:p w14:paraId="6971099B" w14:textId="77B6AB3E" w:rsidR="001217C2" w:rsidRPr="00660754" w:rsidRDefault="00227ED5" w:rsidP="00FB3C60">
            <w:pPr>
              <w:pStyle w:val="ad"/>
              <w:jc w:val="center"/>
            </w:pPr>
            <w:r>
              <w:t>Нециклические товары и услуги</w:t>
            </w:r>
          </w:p>
        </w:tc>
        <w:tc>
          <w:tcPr>
            <w:tcW w:w="750" w:type="dxa"/>
          </w:tcPr>
          <w:p w14:paraId="308A5FE4" w14:textId="53D97727" w:rsidR="001217C2" w:rsidRPr="00660754" w:rsidRDefault="001217C2" w:rsidP="00227ED5">
            <w:pPr>
              <w:pStyle w:val="ad"/>
              <w:jc w:val="center"/>
            </w:pPr>
            <w:r w:rsidRPr="001158D8">
              <w:t>6</w:t>
            </w:r>
          </w:p>
        </w:tc>
        <w:tc>
          <w:tcPr>
            <w:tcW w:w="1103" w:type="dxa"/>
          </w:tcPr>
          <w:p w14:paraId="478D8CD6" w14:textId="58BCF7CC" w:rsidR="001217C2" w:rsidRPr="00660754" w:rsidRDefault="001217C2" w:rsidP="00227ED5">
            <w:pPr>
              <w:pStyle w:val="ad"/>
              <w:jc w:val="center"/>
            </w:pPr>
            <w:r w:rsidRPr="001158D8">
              <w:t>20,5%</w:t>
            </w:r>
          </w:p>
        </w:tc>
        <w:tc>
          <w:tcPr>
            <w:tcW w:w="1769" w:type="dxa"/>
          </w:tcPr>
          <w:p w14:paraId="1C60D3DF" w14:textId="647B24C6" w:rsidR="001217C2" w:rsidRPr="00660754" w:rsidRDefault="001217C2" w:rsidP="00227ED5">
            <w:pPr>
              <w:pStyle w:val="ad"/>
              <w:jc w:val="center"/>
            </w:pPr>
            <w:r w:rsidRPr="001158D8">
              <w:t>28,4%</w:t>
            </w:r>
          </w:p>
        </w:tc>
        <w:tc>
          <w:tcPr>
            <w:tcW w:w="1188" w:type="dxa"/>
          </w:tcPr>
          <w:p w14:paraId="49ACDB97" w14:textId="633EADB3" w:rsidR="001217C2" w:rsidRPr="00660754" w:rsidRDefault="001217C2" w:rsidP="00227ED5">
            <w:pPr>
              <w:pStyle w:val="ad"/>
              <w:jc w:val="center"/>
            </w:pPr>
            <w:r w:rsidRPr="001158D8">
              <w:t>5,6%</w:t>
            </w:r>
          </w:p>
        </w:tc>
        <w:tc>
          <w:tcPr>
            <w:tcW w:w="2880" w:type="dxa"/>
          </w:tcPr>
          <w:p w14:paraId="077117EF" w14:textId="769A89D6" w:rsidR="001217C2" w:rsidRPr="00660754" w:rsidRDefault="001217C2" w:rsidP="00227ED5">
            <w:pPr>
              <w:pStyle w:val="ad"/>
              <w:jc w:val="center"/>
            </w:pPr>
            <w:r w:rsidRPr="001158D8">
              <w:t>10,2</w:t>
            </w:r>
          </w:p>
        </w:tc>
      </w:tr>
      <w:tr w:rsidR="001217C2" w14:paraId="7E249B1A" w14:textId="77777777" w:rsidTr="008A3942">
        <w:tc>
          <w:tcPr>
            <w:tcW w:w="2092" w:type="dxa"/>
          </w:tcPr>
          <w:p w14:paraId="2FCE2ADC" w14:textId="14555BB4" w:rsidR="001217C2" w:rsidRPr="00660754" w:rsidRDefault="008A3942" w:rsidP="00FB3C60">
            <w:pPr>
              <w:pStyle w:val="ad"/>
              <w:jc w:val="center"/>
            </w:pPr>
            <w:r>
              <w:t>Здравоохранение</w:t>
            </w:r>
          </w:p>
        </w:tc>
        <w:tc>
          <w:tcPr>
            <w:tcW w:w="750" w:type="dxa"/>
          </w:tcPr>
          <w:p w14:paraId="134F029B" w14:textId="15327A76" w:rsidR="001217C2" w:rsidRPr="00660754" w:rsidRDefault="001217C2" w:rsidP="00227ED5">
            <w:pPr>
              <w:pStyle w:val="ad"/>
              <w:jc w:val="center"/>
            </w:pPr>
            <w:r w:rsidRPr="001158D8">
              <w:t>30</w:t>
            </w:r>
          </w:p>
        </w:tc>
        <w:tc>
          <w:tcPr>
            <w:tcW w:w="1103" w:type="dxa"/>
          </w:tcPr>
          <w:p w14:paraId="5923AF20" w14:textId="4C90C38E" w:rsidR="001217C2" w:rsidRPr="00660754" w:rsidRDefault="001217C2" w:rsidP="00227ED5">
            <w:pPr>
              <w:pStyle w:val="ad"/>
              <w:jc w:val="center"/>
            </w:pPr>
            <w:r w:rsidRPr="001158D8">
              <w:t>7,6%</w:t>
            </w:r>
          </w:p>
        </w:tc>
        <w:tc>
          <w:tcPr>
            <w:tcW w:w="1769" w:type="dxa"/>
          </w:tcPr>
          <w:p w14:paraId="49024F04" w14:textId="68AAEB63" w:rsidR="001217C2" w:rsidRPr="00660754" w:rsidRDefault="001217C2" w:rsidP="00227ED5">
            <w:pPr>
              <w:pStyle w:val="ad"/>
              <w:jc w:val="center"/>
            </w:pPr>
            <w:r w:rsidRPr="001158D8">
              <w:t>9,2%</w:t>
            </w:r>
          </w:p>
        </w:tc>
        <w:tc>
          <w:tcPr>
            <w:tcW w:w="1188" w:type="dxa"/>
          </w:tcPr>
          <w:p w14:paraId="789E37F9" w14:textId="001515C7" w:rsidR="001217C2" w:rsidRPr="00660754" w:rsidRDefault="001217C2" w:rsidP="00227ED5">
            <w:pPr>
              <w:pStyle w:val="ad"/>
              <w:jc w:val="center"/>
            </w:pPr>
            <w:r w:rsidRPr="001158D8">
              <w:t>5,9%</w:t>
            </w:r>
          </w:p>
        </w:tc>
        <w:tc>
          <w:tcPr>
            <w:tcW w:w="2880" w:type="dxa"/>
          </w:tcPr>
          <w:p w14:paraId="68D63E65" w14:textId="43F11A7B" w:rsidR="001217C2" w:rsidRPr="00660754" w:rsidRDefault="001217C2" w:rsidP="00227ED5">
            <w:pPr>
              <w:pStyle w:val="ad"/>
              <w:jc w:val="center"/>
            </w:pPr>
            <w:r w:rsidRPr="001158D8">
              <w:t>12,9</w:t>
            </w:r>
          </w:p>
        </w:tc>
      </w:tr>
      <w:tr w:rsidR="001217C2" w14:paraId="438E4765" w14:textId="77777777" w:rsidTr="008A3942">
        <w:tc>
          <w:tcPr>
            <w:tcW w:w="2092" w:type="dxa"/>
          </w:tcPr>
          <w:p w14:paraId="5D5F42A8" w14:textId="7DD12B9F" w:rsidR="001217C2" w:rsidRPr="00660754" w:rsidRDefault="008A3942" w:rsidP="00FB3C60">
            <w:pPr>
              <w:pStyle w:val="ad"/>
              <w:jc w:val="center"/>
            </w:pPr>
            <w:r>
              <w:t>Тяжелая промышленность</w:t>
            </w:r>
          </w:p>
        </w:tc>
        <w:tc>
          <w:tcPr>
            <w:tcW w:w="750" w:type="dxa"/>
          </w:tcPr>
          <w:p w14:paraId="2A8D1DF2" w14:textId="58AAA61E" w:rsidR="001217C2" w:rsidRPr="00660754" w:rsidRDefault="001217C2" w:rsidP="00227ED5">
            <w:pPr>
              <w:pStyle w:val="ad"/>
              <w:jc w:val="center"/>
            </w:pPr>
            <w:r w:rsidRPr="001158D8">
              <w:t>22</w:t>
            </w:r>
          </w:p>
        </w:tc>
        <w:tc>
          <w:tcPr>
            <w:tcW w:w="1103" w:type="dxa"/>
          </w:tcPr>
          <w:p w14:paraId="02C28A82" w14:textId="25B3ACA9" w:rsidR="001217C2" w:rsidRPr="00660754" w:rsidRDefault="001217C2" w:rsidP="00227ED5">
            <w:pPr>
              <w:pStyle w:val="ad"/>
              <w:jc w:val="center"/>
            </w:pPr>
            <w:r w:rsidRPr="001158D8">
              <w:t>7,8%</w:t>
            </w:r>
          </w:p>
        </w:tc>
        <w:tc>
          <w:tcPr>
            <w:tcW w:w="1769" w:type="dxa"/>
          </w:tcPr>
          <w:p w14:paraId="7C485C8A" w14:textId="78F3881D" w:rsidR="001217C2" w:rsidRPr="00660754" w:rsidRDefault="001217C2" w:rsidP="00227ED5">
            <w:pPr>
              <w:pStyle w:val="ad"/>
              <w:jc w:val="center"/>
            </w:pPr>
            <w:r w:rsidRPr="001158D8">
              <w:t>7,8%</w:t>
            </w:r>
          </w:p>
        </w:tc>
        <w:tc>
          <w:tcPr>
            <w:tcW w:w="1188" w:type="dxa"/>
          </w:tcPr>
          <w:p w14:paraId="7F1306A1" w14:textId="31B9ADA2" w:rsidR="001217C2" w:rsidRPr="00660754" w:rsidRDefault="001217C2" w:rsidP="00227ED5">
            <w:pPr>
              <w:pStyle w:val="ad"/>
              <w:jc w:val="center"/>
            </w:pPr>
            <w:r w:rsidRPr="001158D8">
              <w:t>6,8%</w:t>
            </w:r>
          </w:p>
        </w:tc>
        <w:tc>
          <w:tcPr>
            <w:tcW w:w="2880" w:type="dxa"/>
          </w:tcPr>
          <w:p w14:paraId="17F24002" w14:textId="3B46E550" w:rsidR="001217C2" w:rsidRPr="00660754" w:rsidRDefault="001217C2" w:rsidP="00227ED5">
            <w:pPr>
              <w:pStyle w:val="ad"/>
              <w:jc w:val="center"/>
            </w:pPr>
            <w:r w:rsidRPr="001158D8">
              <w:t>12,7</w:t>
            </w:r>
          </w:p>
        </w:tc>
      </w:tr>
      <w:tr w:rsidR="001217C2" w14:paraId="5E4C64AD" w14:textId="77777777" w:rsidTr="008A3942">
        <w:tc>
          <w:tcPr>
            <w:tcW w:w="2092" w:type="dxa"/>
          </w:tcPr>
          <w:p w14:paraId="4455D026" w14:textId="769F01B6" w:rsidR="001217C2" w:rsidRPr="00660754" w:rsidRDefault="008A3942" w:rsidP="00FB3C60">
            <w:pPr>
              <w:pStyle w:val="ad"/>
              <w:jc w:val="center"/>
            </w:pPr>
            <w:r>
              <w:t>Основные материалы</w:t>
            </w:r>
          </w:p>
        </w:tc>
        <w:tc>
          <w:tcPr>
            <w:tcW w:w="750" w:type="dxa"/>
          </w:tcPr>
          <w:p w14:paraId="2B1F0F35" w14:textId="5C24C396" w:rsidR="001217C2" w:rsidRPr="00660754" w:rsidRDefault="001217C2" w:rsidP="00227ED5">
            <w:pPr>
              <w:pStyle w:val="ad"/>
              <w:jc w:val="center"/>
            </w:pPr>
            <w:r w:rsidRPr="001158D8">
              <w:t>2</w:t>
            </w:r>
          </w:p>
        </w:tc>
        <w:tc>
          <w:tcPr>
            <w:tcW w:w="1103" w:type="dxa"/>
          </w:tcPr>
          <w:p w14:paraId="61973014" w14:textId="09702CE9" w:rsidR="001217C2" w:rsidRPr="00660754" w:rsidRDefault="001217C2" w:rsidP="00227ED5">
            <w:pPr>
              <w:pStyle w:val="ad"/>
              <w:jc w:val="center"/>
            </w:pPr>
            <w:r w:rsidRPr="001158D8">
              <w:t>6,5%</w:t>
            </w:r>
          </w:p>
        </w:tc>
        <w:tc>
          <w:tcPr>
            <w:tcW w:w="1769" w:type="dxa"/>
          </w:tcPr>
          <w:p w14:paraId="001C6894" w14:textId="2F778AD6" w:rsidR="001217C2" w:rsidRPr="00660754" w:rsidRDefault="001217C2" w:rsidP="00227ED5">
            <w:pPr>
              <w:pStyle w:val="ad"/>
              <w:jc w:val="center"/>
            </w:pPr>
            <w:r w:rsidRPr="001158D8">
              <w:t>7,4%</w:t>
            </w:r>
          </w:p>
        </w:tc>
        <w:tc>
          <w:tcPr>
            <w:tcW w:w="1188" w:type="dxa"/>
          </w:tcPr>
          <w:p w14:paraId="5CE4AC2A" w14:textId="18160352" w:rsidR="001217C2" w:rsidRPr="00660754" w:rsidRDefault="001217C2" w:rsidP="00227ED5">
            <w:pPr>
              <w:pStyle w:val="ad"/>
              <w:jc w:val="center"/>
            </w:pPr>
            <w:r w:rsidRPr="001158D8">
              <w:t>6,5%</w:t>
            </w:r>
          </w:p>
        </w:tc>
        <w:tc>
          <w:tcPr>
            <w:tcW w:w="2880" w:type="dxa"/>
          </w:tcPr>
          <w:p w14:paraId="4BAD9C27" w14:textId="1F8A1085" w:rsidR="001217C2" w:rsidRPr="00660754" w:rsidRDefault="001217C2" w:rsidP="00227ED5">
            <w:pPr>
              <w:pStyle w:val="ad"/>
              <w:jc w:val="center"/>
            </w:pPr>
            <w:r w:rsidRPr="001158D8">
              <w:t>13,5</w:t>
            </w:r>
          </w:p>
        </w:tc>
      </w:tr>
      <w:tr w:rsidR="001217C2" w14:paraId="12A99FBB" w14:textId="77777777" w:rsidTr="008A3942">
        <w:tc>
          <w:tcPr>
            <w:tcW w:w="2092" w:type="dxa"/>
          </w:tcPr>
          <w:p w14:paraId="33BF18E4" w14:textId="22E803D1" w:rsidR="001217C2" w:rsidRPr="00660754" w:rsidRDefault="008A3942" w:rsidP="00FB3C60">
            <w:pPr>
              <w:pStyle w:val="ad"/>
              <w:jc w:val="center"/>
            </w:pPr>
            <w:r>
              <w:t>Коммунальные услуги</w:t>
            </w:r>
          </w:p>
        </w:tc>
        <w:tc>
          <w:tcPr>
            <w:tcW w:w="750" w:type="dxa"/>
          </w:tcPr>
          <w:p w14:paraId="452AA6B7" w14:textId="732FFBBA" w:rsidR="001217C2" w:rsidRPr="00660754" w:rsidRDefault="001217C2" w:rsidP="00227ED5">
            <w:pPr>
              <w:pStyle w:val="ad"/>
              <w:jc w:val="center"/>
            </w:pPr>
            <w:r w:rsidRPr="001158D8">
              <w:t>4</w:t>
            </w:r>
          </w:p>
        </w:tc>
        <w:tc>
          <w:tcPr>
            <w:tcW w:w="1103" w:type="dxa"/>
          </w:tcPr>
          <w:p w14:paraId="104A83B0" w14:textId="12D916CB" w:rsidR="001217C2" w:rsidRPr="00660754" w:rsidRDefault="001217C2" w:rsidP="00227ED5">
            <w:pPr>
              <w:pStyle w:val="ad"/>
              <w:jc w:val="center"/>
            </w:pPr>
            <w:r w:rsidRPr="001158D8">
              <w:t>12,2%</w:t>
            </w:r>
          </w:p>
        </w:tc>
        <w:tc>
          <w:tcPr>
            <w:tcW w:w="1769" w:type="dxa"/>
          </w:tcPr>
          <w:p w14:paraId="15AABC2D" w14:textId="2D4C25EA" w:rsidR="001217C2" w:rsidRPr="00660754" w:rsidRDefault="001217C2" w:rsidP="00227ED5">
            <w:pPr>
              <w:pStyle w:val="ad"/>
              <w:jc w:val="center"/>
            </w:pPr>
            <w:r w:rsidRPr="001158D8">
              <w:t>10,7%</w:t>
            </w:r>
          </w:p>
        </w:tc>
        <w:tc>
          <w:tcPr>
            <w:tcW w:w="1188" w:type="dxa"/>
          </w:tcPr>
          <w:p w14:paraId="5201B787" w14:textId="5D575660" w:rsidR="001217C2" w:rsidRPr="00660754" w:rsidRDefault="001217C2" w:rsidP="00227ED5">
            <w:pPr>
              <w:pStyle w:val="ad"/>
              <w:jc w:val="center"/>
            </w:pPr>
            <w:r w:rsidRPr="001158D8">
              <w:t>5,9%</w:t>
            </w:r>
          </w:p>
        </w:tc>
        <w:tc>
          <w:tcPr>
            <w:tcW w:w="2880" w:type="dxa"/>
          </w:tcPr>
          <w:p w14:paraId="26EAA430" w14:textId="7A998EF1" w:rsidR="001217C2" w:rsidRPr="00660754" w:rsidRDefault="001217C2" w:rsidP="00227ED5">
            <w:pPr>
              <w:pStyle w:val="ad"/>
              <w:jc w:val="center"/>
            </w:pPr>
            <w:r w:rsidRPr="001158D8">
              <w:t>11,0</w:t>
            </w:r>
          </w:p>
        </w:tc>
      </w:tr>
      <w:tr w:rsidR="001217C2" w14:paraId="13083E11" w14:textId="77777777" w:rsidTr="008A3942">
        <w:tc>
          <w:tcPr>
            <w:tcW w:w="2092" w:type="dxa"/>
          </w:tcPr>
          <w:p w14:paraId="064F6128" w14:textId="5D724263" w:rsidR="001217C2" w:rsidRPr="00660754" w:rsidRDefault="008A3942" w:rsidP="00FB3C60">
            <w:pPr>
              <w:pStyle w:val="ad"/>
              <w:jc w:val="center"/>
            </w:pPr>
            <w:r>
              <w:t>Финансы</w:t>
            </w:r>
          </w:p>
        </w:tc>
        <w:tc>
          <w:tcPr>
            <w:tcW w:w="750" w:type="dxa"/>
          </w:tcPr>
          <w:p w14:paraId="2E4EDED3" w14:textId="57BBB009" w:rsidR="001217C2" w:rsidRPr="00660754" w:rsidRDefault="001217C2" w:rsidP="00227ED5">
            <w:pPr>
              <w:pStyle w:val="ad"/>
              <w:jc w:val="center"/>
            </w:pPr>
            <w:r w:rsidRPr="001158D8">
              <w:t>5</w:t>
            </w:r>
          </w:p>
        </w:tc>
        <w:tc>
          <w:tcPr>
            <w:tcW w:w="1103" w:type="dxa"/>
          </w:tcPr>
          <w:p w14:paraId="22C70D56" w14:textId="565D2FFF" w:rsidR="001217C2" w:rsidRPr="00660754" w:rsidRDefault="001217C2" w:rsidP="00227ED5">
            <w:pPr>
              <w:pStyle w:val="ad"/>
              <w:jc w:val="center"/>
            </w:pPr>
            <w:r w:rsidRPr="001158D8">
              <w:t>12,6%</w:t>
            </w:r>
          </w:p>
        </w:tc>
        <w:tc>
          <w:tcPr>
            <w:tcW w:w="1769" w:type="dxa"/>
          </w:tcPr>
          <w:p w14:paraId="49575710" w14:textId="50072499" w:rsidR="001217C2" w:rsidRPr="00660754" w:rsidRDefault="001217C2" w:rsidP="00227ED5">
            <w:pPr>
              <w:pStyle w:val="ad"/>
              <w:jc w:val="center"/>
            </w:pPr>
            <w:r w:rsidRPr="001158D8">
              <w:t>12,2%</w:t>
            </w:r>
          </w:p>
        </w:tc>
        <w:tc>
          <w:tcPr>
            <w:tcW w:w="1188" w:type="dxa"/>
          </w:tcPr>
          <w:p w14:paraId="36B3CAD8" w14:textId="3D13EF0E" w:rsidR="001217C2" w:rsidRPr="00660754" w:rsidRDefault="001217C2" w:rsidP="00227ED5">
            <w:pPr>
              <w:pStyle w:val="ad"/>
              <w:jc w:val="center"/>
            </w:pPr>
            <w:r w:rsidRPr="001158D8">
              <w:t>3,0%</w:t>
            </w:r>
          </w:p>
        </w:tc>
        <w:tc>
          <w:tcPr>
            <w:tcW w:w="2880" w:type="dxa"/>
          </w:tcPr>
          <w:p w14:paraId="2A7985A1" w14:textId="40C6AE06" w:rsidR="001217C2" w:rsidRPr="00660754" w:rsidRDefault="001217C2" w:rsidP="00227ED5">
            <w:pPr>
              <w:pStyle w:val="ad"/>
              <w:jc w:val="center"/>
            </w:pPr>
            <w:r w:rsidRPr="001158D8">
              <w:t>11,4</w:t>
            </w:r>
          </w:p>
        </w:tc>
      </w:tr>
      <w:tr w:rsidR="001217C2" w14:paraId="110DD6CA" w14:textId="77777777" w:rsidTr="008A3942">
        <w:tc>
          <w:tcPr>
            <w:tcW w:w="2092" w:type="dxa"/>
          </w:tcPr>
          <w:p w14:paraId="22997201" w14:textId="741E2569" w:rsidR="001217C2" w:rsidRPr="00660754" w:rsidRDefault="00227ED5" w:rsidP="00FB3C60">
            <w:pPr>
              <w:pStyle w:val="ad"/>
              <w:jc w:val="center"/>
            </w:pPr>
            <w:r>
              <w:t>Энергетика</w:t>
            </w:r>
          </w:p>
        </w:tc>
        <w:tc>
          <w:tcPr>
            <w:tcW w:w="750" w:type="dxa"/>
          </w:tcPr>
          <w:p w14:paraId="73B7499B" w14:textId="551AF9D5" w:rsidR="001217C2" w:rsidRPr="00660754" w:rsidRDefault="001217C2" w:rsidP="00227ED5">
            <w:pPr>
              <w:pStyle w:val="ad"/>
              <w:jc w:val="center"/>
            </w:pPr>
            <w:r w:rsidRPr="001158D8">
              <w:t>7</w:t>
            </w:r>
          </w:p>
        </w:tc>
        <w:tc>
          <w:tcPr>
            <w:tcW w:w="1103" w:type="dxa"/>
          </w:tcPr>
          <w:p w14:paraId="598FB6D1" w14:textId="06EF508D" w:rsidR="001217C2" w:rsidRPr="00660754" w:rsidRDefault="001217C2" w:rsidP="00227ED5">
            <w:pPr>
              <w:pStyle w:val="ad"/>
              <w:jc w:val="center"/>
            </w:pPr>
            <w:r w:rsidRPr="001158D8">
              <w:t>2,9%</w:t>
            </w:r>
          </w:p>
        </w:tc>
        <w:tc>
          <w:tcPr>
            <w:tcW w:w="1769" w:type="dxa"/>
          </w:tcPr>
          <w:p w14:paraId="79656556" w14:textId="25F1E17A" w:rsidR="001217C2" w:rsidRPr="00660754" w:rsidRDefault="001217C2" w:rsidP="00227ED5">
            <w:pPr>
              <w:pStyle w:val="ad"/>
              <w:jc w:val="center"/>
            </w:pPr>
            <w:r w:rsidRPr="001158D8">
              <w:t>2,7%</w:t>
            </w:r>
          </w:p>
        </w:tc>
        <w:tc>
          <w:tcPr>
            <w:tcW w:w="1188" w:type="dxa"/>
          </w:tcPr>
          <w:p w14:paraId="41ED8649" w14:textId="4B63DE43" w:rsidR="001217C2" w:rsidRPr="00660754" w:rsidRDefault="001217C2" w:rsidP="00227ED5">
            <w:pPr>
              <w:pStyle w:val="ad"/>
              <w:jc w:val="center"/>
            </w:pPr>
            <w:r w:rsidRPr="001158D8">
              <w:t>2,7%</w:t>
            </w:r>
          </w:p>
        </w:tc>
        <w:tc>
          <w:tcPr>
            <w:tcW w:w="2880" w:type="dxa"/>
          </w:tcPr>
          <w:p w14:paraId="504563AD" w14:textId="51527B1E" w:rsidR="001217C2" w:rsidRPr="00660754" w:rsidRDefault="001217C2" w:rsidP="00227ED5">
            <w:pPr>
              <w:pStyle w:val="ad"/>
              <w:jc w:val="center"/>
            </w:pPr>
            <w:r w:rsidRPr="001158D8">
              <w:t>19,1</w:t>
            </w:r>
          </w:p>
        </w:tc>
      </w:tr>
      <w:tr w:rsidR="001217C2" w14:paraId="1B9E16F8" w14:textId="77777777" w:rsidTr="008A3942">
        <w:tc>
          <w:tcPr>
            <w:tcW w:w="2092" w:type="dxa"/>
          </w:tcPr>
          <w:p w14:paraId="3F1D5615" w14:textId="02A5F934" w:rsidR="001217C2" w:rsidRPr="00660754" w:rsidRDefault="00CB7AAB" w:rsidP="00FB3C60">
            <w:pPr>
              <w:pStyle w:val="ad"/>
              <w:jc w:val="center"/>
            </w:pPr>
            <w:r>
              <w:t>Недвижимость</w:t>
            </w:r>
          </w:p>
        </w:tc>
        <w:tc>
          <w:tcPr>
            <w:tcW w:w="750" w:type="dxa"/>
          </w:tcPr>
          <w:p w14:paraId="637C4662" w14:textId="08AFDCF9" w:rsidR="001217C2" w:rsidRPr="00660754" w:rsidRDefault="001217C2" w:rsidP="00227ED5">
            <w:pPr>
              <w:pStyle w:val="ad"/>
              <w:jc w:val="center"/>
            </w:pPr>
            <w:r w:rsidRPr="001158D8">
              <w:t>2</w:t>
            </w:r>
          </w:p>
        </w:tc>
        <w:tc>
          <w:tcPr>
            <w:tcW w:w="1103" w:type="dxa"/>
          </w:tcPr>
          <w:p w14:paraId="31A506E1" w14:textId="5DBCE5BE" w:rsidR="001217C2" w:rsidRPr="00660754" w:rsidRDefault="001217C2" w:rsidP="00227ED5">
            <w:pPr>
              <w:pStyle w:val="ad"/>
              <w:jc w:val="center"/>
            </w:pPr>
            <w:r w:rsidRPr="001158D8">
              <w:t>6,4%</w:t>
            </w:r>
          </w:p>
        </w:tc>
        <w:tc>
          <w:tcPr>
            <w:tcW w:w="1769" w:type="dxa"/>
          </w:tcPr>
          <w:p w14:paraId="2305A115" w14:textId="32C68716" w:rsidR="001217C2" w:rsidRPr="00660754" w:rsidRDefault="001217C2" w:rsidP="00227ED5">
            <w:pPr>
              <w:pStyle w:val="ad"/>
              <w:jc w:val="center"/>
            </w:pPr>
            <w:r w:rsidRPr="001158D8">
              <w:t>6,0%</w:t>
            </w:r>
          </w:p>
        </w:tc>
        <w:tc>
          <w:tcPr>
            <w:tcW w:w="1188" w:type="dxa"/>
          </w:tcPr>
          <w:p w14:paraId="2A017713" w14:textId="05392166" w:rsidR="001217C2" w:rsidRPr="00660754" w:rsidRDefault="001217C2" w:rsidP="00227ED5">
            <w:pPr>
              <w:pStyle w:val="ad"/>
              <w:jc w:val="center"/>
            </w:pPr>
            <w:r w:rsidRPr="001158D8">
              <w:t>6,4%</w:t>
            </w:r>
          </w:p>
        </w:tc>
        <w:tc>
          <w:tcPr>
            <w:tcW w:w="2880" w:type="dxa"/>
          </w:tcPr>
          <w:p w14:paraId="1541E294" w14:textId="7BC307B0" w:rsidR="001217C2" w:rsidRPr="00660754" w:rsidRDefault="001217C2" w:rsidP="00227ED5">
            <w:pPr>
              <w:pStyle w:val="ad"/>
              <w:jc w:val="center"/>
            </w:pPr>
            <w:r w:rsidRPr="001158D8">
              <w:t>24,0</w:t>
            </w:r>
          </w:p>
        </w:tc>
      </w:tr>
      <w:tr w:rsidR="001217C2" w14:paraId="24C5B9B0" w14:textId="77777777" w:rsidTr="008A3942">
        <w:tc>
          <w:tcPr>
            <w:tcW w:w="2092" w:type="dxa"/>
          </w:tcPr>
          <w:p w14:paraId="6815D90A" w14:textId="7EAA9B5B" w:rsidR="001217C2" w:rsidRPr="00660754" w:rsidRDefault="00CB7AAB" w:rsidP="00FB3C60">
            <w:pPr>
              <w:pStyle w:val="ad"/>
              <w:jc w:val="center"/>
            </w:pPr>
            <w:r>
              <w:t>Без фокуса</w:t>
            </w:r>
          </w:p>
        </w:tc>
        <w:tc>
          <w:tcPr>
            <w:tcW w:w="750" w:type="dxa"/>
          </w:tcPr>
          <w:p w14:paraId="2934379D" w14:textId="32980E11" w:rsidR="001217C2" w:rsidRPr="00660754" w:rsidRDefault="001217C2" w:rsidP="00227ED5">
            <w:pPr>
              <w:pStyle w:val="ad"/>
              <w:jc w:val="center"/>
            </w:pPr>
            <w:r w:rsidRPr="001158D8">
              <w:t>97</w:t>
            </w:r>
          </w:p>
        </w:tc>
        <w:tc>
          <w:tcPr>
            <w:tcW w:w="1103" w:type="dxa"/>
          </w:tcPr>
          <w:p w14:paraId="534659DA" w14:textId="0E607174" w:rsidR="001217C2" w:rsidRPr="00660754" w:rsidRDefault="001217C2" w:rsidP="00227ED5">
            <w:pPr>
              <w:pStyle w:val="ad"/>
              <w:jc w:val="center"/>
            </w:pPr>
            <w:r w:rsidRPr="001158D8">
              <w:t>7,3%</w:t>
            </w:r>
          </w:p>
        </w:tc>
        <w:tc>
          <w:tcPr>
            <w:tcW w:w="1769" w:type="dxa"/>
          </w:tcPr>
          <w:p w14:paraId="4CF1D58A" w14:textId="24ED295D" w:rsidR="001217C2" w:rsidRPr="00660754" w:rsidRDefault="001217C2" w:rsidP="00227ED5">
            <w:pPr>
              <w:pStyle w:val="ad"/>
              <w:jc w:val="center"/>
            </w:pPr>
            <w:r w:rsidRPr="001158D8">
              <w:t>8,2%</w:t>
            </w:r>
          </w:p>
        </w:tc>
        <w:tc>
          <w:tcPr>
            <w:tcW w:w="1188" w:type="dxa"/>
          </w:tcPr>
          <w:p w14:paraId="7499E4B3" w14:textId="39588D6F" w:rsidR="001217C2" w:rsidRPr="00660754" w:rsidRDefault="001217C2" w:rsidP="00227ED5">
            <w:pPr>
              <w:pStyle w:val="ad"/>
              <w:jc w:val="center"/>
            </w:pPr>
            <w:r w:rsidRPr="001158D8">
              <w:t>5,2%</w:t>
            </w:r>
          </w:p>
        </w:tc>
        <w:tc>
          <w:tcPr>
            <w:tcW w:w="2880" w:type="dxa"/>
          </w:tcPr>
          <w:p w14:paraId="4EE79180" w14:textId="15369B17" w:rsidR="001217C2" w:rsidRPr="00660754" w:rsidRDefault="001217C2" w:rsidP="00227ED5">
            <w:pPr>
              <w:pStyle w:val="ad"/>
              <w:jc w:val="center"/>
            </w:pPr>
            <w:r w:rsidRPr="001158D8">
              <w:t>15,2</w:t>
            </w:r>
          </w:p>
        </w:tc>
      </w:tr>
    </w:tbl>
    <w:p w14:paraId="2222BFE3" w14:textId="037BBA93" w:rsidR="00B677D9" w:rsidRPr="006833AF" w:rsidRDefault="006833AF" w:rsidP="006833AF">
      <w:pPr>
        <w:ind w:firstLine="0"/>
        <w:rPr>
          <w:i/>
          <w:iCs/>
        </w:rPr>
      </w:pPr>
      <w:r>
        <w:rPr>
          <w:i/>
          <w:iCs/>
        </w:rPr>
        <w:lastRenderedPageBreak/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6C7480F2" w14:textId="65F80790" w:rsidR="00634DEC" w:rsidRDefault="00745097" w:rsidP="00660754">
      <w:r>
        <w:t xml:space="preserve">В таблице 8 представлены доходности акций </w:t>
      </w:r>
      <w:r>
        <w:rPr>
          <w:lang w:val="en-US"/>
        </w:rPr>
        <w:t>SPAC</w:t>
      </w:r>
      <w:r>
        <w:t xml:space="preserve"> по отраслям. </w:t>
      </w:r>
      <w:r w:rsidR="001604FB">
        <w:t xml:space="preserve">В выборке 42% </w:t>
      </w:r>
      <w:r w:rsidR="001604FB">
        <w:rPr>
          <w:lang w:val="en-US"/>
        </w:rPr>
        <w:t>SPAC</w:t>
      </w:r>
      <w:r w:rsidR="001604FB">
        <w:t xml:space="preserve"> </w:t>
      </w:r>
      <w:r w:rsidR="002470F0">
        <w:t xml:space="preserve">не фокусировались на определенной отрасли при поиске таргета. </w:t>
      </w:r>
      <w:r w:rsidR="00C63DAA">
        <w:t xml:space="preserve">Наибольшее число </w:t>
      </w:r>
      <w:r w:rsidR="00A62448">
        <w:rPr>
          <w:lang w:val="en-US"/>
        </w:rPr>
        <w:t>SPAC</w:t>
      </w:r>
      <w:r w:rsidR="00A62448">
        <w:t xml:space="preserve"> ищут технологические компании</w:t>
      </w:r>
      <w:r w:rsidR="0048773E">
        <w:t xml:space="preserve">. </w:t>
      </w:r>
      <w:r w:rsidR="00722662">
        <w:t xml:space="preserve">Также довольно много </w:t>
      </w:r>
      <w:r w:rsidR="00722662">
        <w:rPr>
          <w:lang w:val="en-US"/>
        </w:rPr>
        <w:t>SPAC</w:t>
      </w:r>
      <w:r w:rsidR="00722662">
        <w:t xml:space="preserve"> ищут компани</w:t>
      </w:r>
      <w:r w:rsidR="004C3038">
        <w:t>и</w:t>
      </w:r>
      <w:r w:rsidR="00722662">
        <w:t xml:space="preserve"> в сфере здравоохранения и </w:t>
      </w:r>
      <w:r w:rsidR="004C3038">
        <w:t xml:space="preserve">тяжелой промышленности. </w:t>
      </w:r>
      <w:r w:rsidR="00382526">
        <w:t>Непопулярными</w:t>
      </w:r>
      <w:r w:rsidR="004C3038">
        <w:t xml:space="preserve"> отраслями являются недв</w:t>
      </w:r>
      <w:r w:rsidR="00382526">
        <w:t xml:space="preserve">ижимость и основные материалы (химикаты, металл, древесина). </w:t>
      </w:r>
      <w:r w:rsidR="00744499">
        <w:t xml:space="preserve">Наибольшую среднюю доходность показывают </w:t>
      </w:r>
      <w:r w:rsidR="00CE5540">
        <w:rPr>
          <w:lang w:val="en-US"/>
        </w:rPr>
        <w:t>SPAC</w:t>
      </w:r>
      <w:r w:rsidR="00CE5540">
        <w:t xml:space="preserve">, ориентированные на поглощение </w:t>
      </w:r>
      <w:proofErr w:type="spellStart"/>
      <w:r w:rsidR="00CE5540">
        <w:t>таргетов</w:t>
      </w:r>
      <w:proofErr w:type="spellEnd"/>
      <w:r w:rsidR="00CE5540">
        <w:t xml:space="preserve"> в </w:t>
      </w:r>
      <w:r w:rsidR="007F0D45">
        <w:t xml:space="preserve">сфере </w:t>
      </w:r>
      <w:r w:rsidR="0029661F">
        <w:t>нециклических товаров и услуг, при этом медианная оценка</w:t>
      </w:r>
      <w:r w:rsidR="00463A25">
        <w:t xml:space="preserve"> доходности таких </w:t>
      </w:r>
      <w:r w:rsidR="00463A25">
        <w:rPr>
          <w:lang w:val="en-US"/>
        </w:rPr>
        <w:t>SPAC</w:t>
      </w:r>
      <w:r w:rsidR="00463A25">
        <w:t xml:space="preserve"> остается на уровне других секторов. </w:t>
      </w:r>
      <w:r w:rsidR="00BD185A">
        <w:t xml:space="preserve">Наименьшая </w:t>
      </w:r>
      <w:r w:rsidR="00B30820">
        <w:t xml:space="preserve">средняя доходность наблюдается среди </w:t>
      </w:r>
      <w:r w:rsidR="00B30820">
        <w:rPr>
          <w:lang w:val="en-US"/>
        </w:rPr>
        <w:t>SPAC</w:t>
      </w:r>
      <w:r w:rsidR="00B30820">
        <w:t xml:space="preserve">, сфокусированных на поиске компаний в области энергетики. </w:t>
      </w:r>
      <w:r w:rsidR="009A1743">
        <w:t xml:space="preserve">Быстрее всего таргет ищут </w:t>
      </w:r>
      <w:r w:rsidR="009A1743">
        <w:rPr>
          <w:lang w:val="en-US"/>
        </w:rPr>
        <w:t>SPAC</w:t>
      </w:r>
      <w:r w:rsidR="009A1743">
        <w:t xml:space="preserve">, </w:t>
      </w:r>
      <w:r w:rsidR="00D72DCD">
        <w:t xml:space="preserve">сфокусированные на компаниях в сфере нециклических товаров и услуг. Те </w:t>
      </w:r>
      <w:r w:rsidR="00D72DCD">
        <w:rPr>
          <w:lang w:val="en-US"/>
        </w:rPr>
        <w:t>SPAC</w:t>
      </w:r>
      <w:r w:rsidR="00D72DCD">
        <w:t xml:space="preserve">, </w:t>
      </w:r>
      <w:r w:rsidR="008B70C0">
        <w:t>которые ориентированы на поиск компа</w:t>
      </w:r>
      <w:r w:rsidR="00A466AF">
        <w:t xml:space="preserve">ний </w:t>
      </w:r>
      <w:r w:rsidR="003D4F90">
        <w:t>в сфере недвижимости, ищут таргет дольше всего, однако оценка может быть незначимой ввиду небольшого числа объектов выборки.</w:t>
      </w:r>
    </w:p>
    <w:p w14:paraId="303EBA28" w14:textId="343EE9F0" w:rsidR="000320F7" w:rsidRDefault="000320F7" w:rsidP="000320F7">
      <w:pPr>
        <w:pStyle w:val="a"/>
      </w:pPr>
      <w:r>
        <w:t xml:space="preserve">Доходность акций </w:t>
      </w:r>
      <w:r>
        <w:rPr>
          <w:lang w:val="en-US"/>
        </w:rPr>
        <w:t>SPAC</w:t>
      </w:r>
      <w:r>
        <w:t xml:space="preserve"> </w:t>
      </w:r>
      <w:r w:rsidR="007634D1">
        <w:t>по успешным сделкам и ликвидациям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096B6C" w14:paraId="04B30BA1" w14:textId="7E05B473" w:rsidTr="00096B6C">
        <w:tc>
          <w:tcPr>
            <w:tcW w:w="2337" w:type="dxa"/>
            <w:vAlign w:val="center"/>
          </w:tcPr>
          <w:p w14:paraId="6D25F5E9" w14:textId="0FC49FCB" w:rsidR="00096B6C" w:rsidRPr="00096B6C" w:rsidRDefault="00096B6C" w:rsidP="00096B6C">
            <w:pPr>
              <w:pStyle w:val="ac"/>
            </w:pPr>
            <w:r>
              <w:t xml:space="preserve">Статус </w:t>
            </w:r>
            <w:r>
              <w:rPr>
                <w:lang w:val="en-US"/>
              </w:rPr>
              <w:t>SPAC</w:t>
            </w:r>
          </w:p>
        </w:tc>
        <w:tc>
          <w:tcPr>
            <w:tcW w:w="2336" w:type="dxa"/>
            <w:vAlign w:val="center"/>
          </w:tcPr>
          <w:p w14:paraId="6457EE3E" w14:textId="6FC0F67F" w:rsidR="00096B6C" w:rsidRDefault="00096B6C" w:rsidP="00096B6C">
            <w:pPr>
              <w:pStyle w:val="ac"/>
              <w:rPr>
                <w:lang w:val="en-US"/>
              </w:rPr>
            </w:pPr>
            <w:r w:rsidRPr="00147179">
              <w:t>Счет</w:t>
            </w:r>
          </w:p>
        </w:tc>
        <w:tc>
          <w:tcPr>
            <w:tcW w:w="2336" w:type="dxa"/>
            <w:vAlign w:val="center"/>
          </w:tcPr>
          <w:p w14:paraId="1C5BB171" w14:textId="58BD534E" w:rsidR="00096B6C" w:rsidRDefault="00096B6C" w:rsidP="00096B6C">
            <w:pPr>
              <w:pStyle w:val="ac"/>
              <w:rPr>
                <w:lang w:val="en-US"/>
              </w:rPr>
            </w:pPr>
            <w:r w:rsidRPr="00147179">
              <w:t>Среднее</w:t>
            </w:r>
          </w:p>
        </w:tc>
        <w:tc>
          <w:tcPr>
            <w:tcW w:w="2336" w:type="dxa"/>
            <w:vAlign w:val="center"/>
          </w:tcPr>
          <w:p w14:paraId="3BE893C4" w14:textId="7231CA33" w:rsidR="00096B6C" w:rsidRDefault="00096B6C" w:rsidP="00096B6C">
            <w:pPr>
              <w:pStyle w:val="ac"/>
              <w:rPr>
                <w:lang w:val="en-US"/>
              </w:rPr>
            </w:pPr>
            <w:r w:rsidRPr="00147179">
              <w:t xml:space="preserve">IPO </w:t>
            </w:r>
            <w:proofErr w:type="spellStart"/>
            <w:r w:rsidRPr="00147179">
              <w:t>proceeds</w:t>
            </w:r>
            <w:proofErr w:type="spellEnd"/>
            <w:r w:rsidRPr="00147179">
              <w:t xml:space="preserve"> </w:t>
            </w:r>
            <w:proofErr w:type="spellStart"/>
            <w:r w:rsidRPr="00147179">
              <w:t>weighted</w:t>
            </w:r>
            <w:proofErr w:type="spellEnd"/>
            <w:r w:rsidRPr="00147179">
              <w:t xml:space="preserve"> </w:t>
            </w:r>
            <w:proofErr w:type="spellStart"/>
            <w:r w:rsidRPr="00147179">
              <w:t>average</w:t>
            </w:r>
            <w:proofErr w:type="spellEnd"/>
          </w:p>
        </w:tc>
      </w:tr>
      <w:tr w:rsidR="00096B6C" w14:paraId="06C4A84B" w14:textId="44FE6274" w:rsidTr="00096B6C">
        <w:tc>
          <w:tcPr>
            <w:tcW w:w="2337" w:type="dxa"/>
          </w:tcPr>
          <w:p w14:paraId="63D1CF37" w14:textId="51EBFB66" w:rsidR="00096B6C" w:rsidRDefault="00096B6C" w:rsidP="00FB3C60">
            <w:pPr>
              <w:ind w:firstLine="0"/>
              <w:jc w:val="center"/>
              <w:rPr>
                <w:lang w:val="en-US"/>
              </w:rPr>
            </w:pPr>
            <w:r w:rsidRPr="00147179">
              <w:t>DeSPAC</w:t>
            </w:r>
          </w:p>
        </w:tc>
        <w:tc>
          <w:tcPr>
            <w:tcW w:w="2336" w:type="dxa"/>
          </w:tcPr>
          <w:p w14:paraId="030765DF" w14:textId="201809B1" w:rsidR="00096B6C" w:rsidRDefault="00096B6C" w:rsidP="00096B6C">
            <w:pPr>
              <w:ind w:firstLine="0"/>
              <w:jc w:val="center"/>
              <w:rPr>
                <w:lang w:val="en-US"/>
              </w:rPr>
            </w:pPr>
            <w:r w:rsidRPr="00147179">
              <w:t>219</w:t>
            </w:r>
          </w:p>
        </w:tc>
        <w:tc>
          <w:tcPr>
            <w:tcW w:w="2336" w:type="dxa"/>
          </w:tcPr>
          <w:p w14:paraId="4DDBDD46" w14:textId="55387D47" w:rsidR="00096B6C" w:rsidRDefault="00096B6C" w:rsidP="00096B6C">
            <w:pPr>
              <w:ind w:firstLine="0"/>
              <w:jc w:val="center"/>
              <w:rPr>
                <w:lang w:val="en-US"/>
              </w:rPr>
            </w:pPr>
            <w:r w:rsidRPr="00147179">
              <w:t>8,0%</w:t>
            </w:r>
          </w:p>
        </w:tc>
        <w:tc>
          <w:tcPr>
            <w:tcW w:w="2336" w:type="dxa"/>
          </w:tcPr>
          <w:p w14:paraId="6E13C678" w14:textId="732AEC8C" w:rsidR="00096B6C" w:rsidRDefault="00096B6C" w:rsidP="00096B6C">
            <w:pPr>
              <w:ind w:firstLine="0"/>
              <w:jc w:val="center"/>
              <w:rPr>
                <w:lang w:val="en-US"/>
              </w:rPr>
            </w:pPr>
            <w:r w:rsidRPr="00147179">
              <w:t>8,4%</w:t>
            </w:r>
          </w:p>
        </w:tc>
      </w:tr>
      <w:tr w:rsidR="00096B6C" w14:paraId="20351CC4" w14:textId="72EB8766" w:rsidTr="00096B6C">
        <w:tc>
          <w:tcPr>
            <w:tcW w:w="2337" w:type="dxa"/>
          </w:tcPr>
          <w:p w14:paraId="4178F1E7" w14:textId="1FA0B206" w:rsidR="00096B6C" w:rsidRPr="003B4DF9" w:rsidRDefault="003B4DF9" w:rsidP="00FB3C60">
            <w:pPr>
              <w:ind w:firstLine="0"/>
              <w:jc w:val="center"/>
            </w:pPr>
            <w:r>
              <w:t>Ликвидированные</w:t>
            </w:r>
          </w:p>
        </w:tc>
        <w:tc>
          <w:tcPr>
            <w:tcW w:w="2336" w:type="dxa"/>
          </w:tcPr>
          <w:p w14:paraId="57E50EA5" w14:textId="3361E982" w:rsidR="00096B6C" w:rsidRDefault="00096B6C" w:rsidP="00096B6C">
            <w:pPr>
              <w:ind w:firstLine="0"/>
              <w:jc w:val="center"/>
              <w:rPr>
                <w:lang w:val="en-US"/>
              </w:rPr>
            </w:pPr>
            <w:r w:rsidRPr="00147179">
              <w:t>10</w:t>
            </w:r>
          </w:p>
        </w:tc>
        <w:tc>
          <w:tcPr>
            <w:tcW w:w="2336" w:type="dxa"/>
          </w:tcPr>
          <w:p w14:paraId="096FC715" w14:textId="4E47ECA7" w:rsidR="00096B6C" w:rsidRDefault="00096B6C" w:rsidP="00096B6C">
            <w:pPr>
              <w:ind w:firstLine="0"/>
              <w:jc w:val="center"/>
              <w:rPr>
                <w:lang w:val="en-US"/>
              </w:rPr>
            </w:pPr>
            <w:r w:rsidRPr="00147179">
              <w:t>1,4%</w:t>
            </w:r>
          </w:p>
        </w:tc>
        <w:tc>
          <w:tcPr>
            <w:tcW w:w="2336" w:type="dxa"/>
          </w:tcPr>
          <w:p w14:paraId="50B64220" w14:textId="384EA6FF" w:rsidR="00096B6C" w:rsidRDefault="00096B6C" w:rsidP="00096B6C">
            <w:pPr>
              <w:ind w:firstLine="0"/>
              <w:jc w:val="center"/>
              <w:rPr>
                <w:lang w:val="en-US"/>
              </w:rPr>
            </w:pPr>
            <w:r w:rsidRPr="00147179">
              <w:t>1,2%</w:t>
            </w:r>
          </w:p>
        </w:tc>
      </w:tr>
    </w:tbl>
    <w:p w14:paraId="64E25F1D" w14:textId="690C4C38" w:rsidR="00CC37DD" w:rsidRPr="006833AF" w:rsidRDefault="006833AF" w:rsidP="006833AF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40A84553" w14:textId="01BEFC0A" w:rsidR="003D4F90" w:rsidRDefault="007E460F" w:rsidP="00660754">
      <w:r>
        <w:t xml:space="preserve">В таблице 9 представлены доходности акций </w:t>
      </w:r>
      <w:r>
        <w:rPr>
          <w:lang w:val="en-US"/>
        </w:rPr>
        <w:t>SPAC</w:t>
      </w:r>
      <w:r w:rsidR="005560CC">
        <w:t xml:space="preserve"> в разбивке на те компании, которые смогли найти и поглотить таргет, и тех, кто был ликвидирован. </w:t>
      </w:r>
      <w:r w:rsidR="0022779C">
        <w:t xml:space="preserve">Средняя доходность ликвидированных </w:t>
      </w:r>
      <w:r w:rsidR="0022779C">
        <w:rPr>
          <w:lang w:val="en-US"/>
        </w:rPr>
        <w:t>SPAC</w:t>
      </w:r>
      <w:r w:rsidR="0022779C">
        <w:t xml:space="preserve"> ожидаемо ниже средней доходности </w:t>
      </w:r>
      <w:r w:rsidR="0022779C">
        <w:rPr>
          <w:lang w:val="en-US"/>
        </w:rPr>
        <w:t>SPAC</w:t>
      </w:r>
      <w:r w:rsidR="0022779C">
        <w:t>, успешно завершивших сделку</w:t>
      </w:r>
      <w:r w:rsidR="0071189A">
        <w:t xml:space="preserve"> поглощения.</w:t>
      </w:r>
    </w:p>
    <w:p w14:paraId="32CFDF8C" w14:textId="65186513" w:rsidR="00771FBC" w:rsidRDefault="00D8613E" w:rsidP="00660754">
      <w:r>
        <w:t xml:space="preserve">Рассмотрим описательную статистику доходности </w:t>
      </w:r>
      <w:r w:rsidR="00743CBA">
        <w:t xml:space="preserve">акций </w:t>
      </w:r>
      <w:r>
        <w:rPr>
          <w:lang w:val="en-US"/>
        </w:rPr>
        <w:t>deSPAC</w:t>
      </w:r>
      <w:r>
        <w:t xml:space="preserve"> через 1 год, 3 года после завершения сделки поглощения. </w:t>
      </w:r>
      <w:r w:rsidR="004D551D">
        <w:t xml:space="preserve">Статистика также представлена </w:t>
      </w:r>
      <w:r w:rsidR="00743CBA">
        <w:t>по годам и отраслям.</w:t>
      </w:r>
    </w:p>
    <w:p w14:paraId="6E116D07" w14:textId="0EE38561" w:rsidR="00743CBA" w:rsidRDefault="00743CBA" w:rsidP="00743CBA">
      <w:pPr>
        <w:pStyle w:val="a"/>
      </w:pPr>
      <w:r>
        <w:t xml:space="preserve">Описательная статистика доходности акций </w:t>
      </w:r>
      <w:r>
        <w:rPr>
          <w:lang w:val="en-US"/>
        </w:rPr>
        <w:t>deSPAC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08D2" w14:paraId="49C7D14C" w14:textId="77777777" w:rsidTr="00392C76">
        <w:tc>
          <w:tcPr>
            <w:tcW w:w="3115" w:type="dxa"/>
          </w:tcPr>
          <w:p w14:paraId="73CEE132" w14:textId="615254A5" w:rsidR="00A608D2" w:rsidRDefault="00A608D2" w:rsidP="003F17CC">
            <w:pPr>
              <w:pStyle w:val="ac"/>
            </w:pPr>
          </w:p>
        </w:tc>
        <w:tc>
          <w:tcPr>
            <w:tcW w:w="3115" w:type="dxa"/>
          </w:tcPr>
          <w:p w14:paraId="62A23A2A" w14:textId="0F41679B" w:rsidR="00A608D2" w:rsidRDefault="00E56643" w:rsidP="003F17CC">
            <w:pPr>
              <w:pStyle w:val="ac"/>
            </w:pPr>
            <w:r>
              <w:t>1 год</w:t>
            </w:r>
          </w:p>
        </w:tc>
        <w:tc>
          <w:tcPr>
            <w:tcW w:w="3115" w:type="dxa"/>
          </w:tcPr>
          <w:p w14:paraId="049E58F8" w14:textId="78D27983" w:rsidR="00A608D2" w:rsidRDefault="00E56643" w:rsidP="003F17CC">
            <w:pPr>
              <w:pStyle w:val="ac"/>
            </w:pPr>
            <w:r>
              <w:t>3 года</w:t>
            </w:r>
          </w:p>
        </w:tc>
      </w:tr>
      <w:tr w:rsidR="00E56643" w14:paraId="35DCC389" w14:textId="77777777" w:rsidTr="00392C76">
        <w:tc>
          <w:tcPr>
            <w:tcW w:w="3115" w:type="dxa"/>
          </w:tcPr>
          <w:p w14:paraId="1F7E518D" w14:textId="62ECB18F" w:rsidR="00E56643" w:rsidRPr="00AF2251" w:rsidRDefault="00E56643" w:rsidP="00A608D2">
            <w:pPr>
              <w:ind w:firstLine="0"/>
              <w:jc w:val="center"/>
            </w:pPr>
            <w:r>
              <w:t>Объем выборки</w:t>
            </w:r>
          </w:p>
        </w:tc>
        <w:tc>
          <w:tcPr>
            <w:tcW w:w="3115" w:type="dxa"/>
          </w:tcPr>
          <w:p w14:paraId="4C0B54CE" w14:textId="5F8A4491" w:rsidR="00E56643" w:rsidRDefault="00294581" w:rsidP="00294581">
            <w:pPr>
              <w:ind w:firstLine="0"/>
              <w:jc w:val="center"/>
            </w:pPr>
            <w:r>
              <w:t>131</w:t>
            </w:r>
          </w:p>
        </w:tc>
        <w:tc>
          <w:tcPr>
            <w:tcW w:w="3115" w:type="dxa"/>
          </w:tcPr>
          <w:p w14:paraId="69C140B8" w14:textId="6DC791F9" w:rsidR="00E56643" w:rsidRDefault="00294581" w:rsidP="00294581">
            <w:pPr>
              <w:ind w:firstLine="0"/>
              <w:jc w:val="center"/>
            </w:pPr>
            <w:r>
              <w:t>31</w:t>
            </w:r>
          </w:p>
        </w:tc>
      </w:tr>
      <w:tr w:rsidR="005109FA" w14:paraId="404897ED" w14:textId="77777777" w:rsidTr="00392C76">
        <w:tc>
          <w:tcPr>
            <w:tcW w:w="3115" w:type="dxa"/>
          </w:tcPr>
          <w:p w14:paraId="6739F96A" w14:textId="2E86280B" w:rsidR="005109FA" w:rsidRPr="00AF2251" w:rsidRDefault="005109FA" w:rsidP="005109FA">
            <w:pPr>
              <w:ind w:firstLine="0"/>
              <w:jc w:val="center"/>
            </w:pPr>
            <w:r w:rsidRPr="00AF2251">
              <w:t>Среднее</w:t>
            </w:r>
          </w:p>
        </w:tc>
        <w:tc>
          <w:tcPr>
            <w:tcW w:w="3115" w:type="dxa"/>
          </w:tcPr>
          <w:p w14:paraId="36225011" w14:textId="10B79341" w:rsidR="005109FA" w:rsidRDefault="005109FA" w:rsidP="005109FA">
            <w:pPr>
              <w:ind w:firstLine="0"/>
              <w:jc w:val="center"/>
            </w:pPr>
            <w:r w:rsidRPr="006876C1">
              <w:t>-35,2%</w:t>
            </w:r>
          </w:p>
        </w:tc>
        <w:tc>
          <w:tcPr>
            <w:tcW w:w="3115" w:type="dxa"/>
          </w:tcPr>
          <w:p w14:paraId="5D667FFB" w14:textId="6C7504B2" w:rsidR="005109FA" w:rsidRDefault="005109FA" w:rsidP="005109FA">
            <w:pPr>
              <w:ind w:firstLine="0"/>
              <w:jc w:val="center"/>
            </w:pPr>
            <w:r w:rsidRPr="00A01C2E">
              <w:t>-23,0%</w:t>
            </w:r>
          </w:p>
        </w:tc>
      </w:tr>
      <w:tr w:rsidR="005109FA" w14:paraId="74D774EF" w14:textId="77777777" w:rsidTr="00392C76">
        <w:tc>
          <w:tcPr>
            <w:tcW w:w="3115" w:type="dxa"/>
          </w:tcPr>
          <w:p w14:paraId="11B53B16" w14:textId="735B8D5E" w:rsidR="005109FA" w:rsidRDefault="005109FA" w:rsidP="005109FA">
            <w:pPr>
              <w:ind w:firstLine="0"/>
              <w:jc w:val="center"/>
            </w:pPr>
            <w:r w:rsidRPr="00AF2251">
              <w:t>Среднее, взвешенное по поступлениям с IPO</w:t>
            </w:r>
          </w:p>
        </w:tc>
        <w:tc>
          <w:tcPr>
            <w:tcW w:w="3115" w:type="dxa"/>
          </w:tcPr>
          <w:p w14:paraId="70A872BC" w14:textId="6D98CBCC" w:rsidR="005109FA" w:rsidRDefault="005109FA" w:rsidP="005109FA">
            <w:pPr>
              <w:ind w:firstLine="0"/>
              <w:jc w:val="center"/>
            </w:pPr>
            <w:r w:rsidRPr="006876C1">
              <w:t>-31,8%</w:t>
            </w:r>
          </w:p>
        </w:tc>
        <w:tc>
          <w:tcPr>
            <w:tcW w:w="3115" w:type="dxa"/>
          </w:tcPr>
          <w:p w14:paraId="09469BE6" w14:textId="60421E9E" w:rsidR="005109FA" w:rsidRDefault="005109FA" w:rsidP="005109FA">
            <w:pPr>
              <w:ind w:firstLine="0"/>
              <w:jc w:val="center"/>
            </w:pPr>
            <w:r w:rsidRPr="00A01C2E">
              <w:t>-28,6%</w:t>
            </w:r>
          </w:p>
        </w:tc>
      </w:tr>
    </w:tbl>
    <w:p w14:paraId="365A1625" w14:textId="77777777" w:rsidR="00881649" w:rsidRDefault="00881649" w:rsidP="00881649">
      <w:pPr>
        <w:jc w:val="right"/>
        <w:rPr>
          <w:b/>
          <w:bCs/>
        </w:rPr>
      </w:pPr>
    </w:p>
    <w:p w14:paraId="0898F787" w14:textId="568B3AC2" w:rsidR="00881649" w:rsidRPr="00881649" w:rsidRDefault="00881649" w:rsidP="00881649">
      <w:pPr>
        <w:jc w:val="right"/>
      </w:pPr>
      <w:r>
        <w:rPr>
          <w:b/>
          <w:bCs/>
        </w:rPr>
        <w:lastRenderedPageBreak/>
        <w:t xml:space="preserve">Таблица 10. </w:t>
      </w:r>
      <w:r>
        <w:t xml:space="preserve">Описательная статистика доходности акций </w:t>
      </w:r>
      <w:r>
        <w:rPr>
          <w:lang w:val="en-US"/>
        </w:rPr>
        <w:t>deSPAC</w:t>
      </w:r>
      <w:r>
        <w:t xml:space="preserve"> (продолжение)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6723" w14:paraId="4E0669EA" w14:textId="77777777" w:rsidTr="00392C76">
        <w:tc>
          <w:tcPr>
            <w:tcW w:w="3115" w:type="dxa"/>
          </w:tcPr>
          <w:p w14:paraId="0BE2918E" w14:textId="77777777" w:rsidR="00C16723" w:rsidRPr="00AF2251" w:rsidRDefault="00C16723" w:rsidP="00C16723">
            <w:pPr>
              <w:ind w:firstLine="0"/>
              <w:jc w:val="center"/>
            </w:pPr>
          </w:p>
        </w:tc>
        <w:tc>
          <w:tcPr>
            <w:tcW w:w="3115" w:type="dxa"/>
          </w:tcPr>
          <w:p w14:paraId="0DF69B67" w14:textId="016A181C" w:rsidR="00C16723" w:rsidRPr="00C16723" w:rsidRDefault="00C16723" w:rsidP="00C16723">
            <w:pPr>
              <w:ind w:firstLine="0"/>
              <w:jc w:val="center"/>
              <w:rPr>
                <w:b/>
                <w:bCs/>
              </w:rPr>
            </w:pPr>
            <w:r w:rsidRPr="00C16723">
              <w:rPr>
                <w:b/>
                <w:bCs/>
              </w:rPr>
              <w:t>1 год</w:t>
            </w:r>
          </w:p>
        </w:tc>
        <w:tc>
          <w:tcPr>
            <w:tcW w:w="3115" w:type="dxa"/>
          </w:tcPr>
          <w:p w14:paraId="48B47557" w14:textId="5E2B8B10" w:rsidR="00C16723" w:rsidRPr="00C16723" w:rsidRDefault="00C16723" w:rsidP="00C16723">
            <w:pPr>
              <w:ind w:firstLine="0"/>
              <w:jc w:val="center"/>
              <w:rPr>
                <w:b/>
                <w:bCs/>
              </w:rPr>
            </w:pPr>
            <w:r w:rsidRPr="00C16723">
              <w:rPr>
                <w:b/>
                <w:bCs/>
              </w:rPr>
              <w:t>3 года</w:t>
            </w:r>
          </w:p>
        </w:tc>
      </w:tr>
      <w:tr w:rsidR="005109FA" w14:paraId="2AA6B1AA" w14:textId="77777777" w:rsidTr="00392C76">
        <w:tc>
          <w:tcPr>
            <w:tcW w:w="3115" w:type="dxa"/>
          </w:tcPr>
          <w:p w14:paraId="3FA7D395" w14:textId="78A5C947" w:rsidR="005109FA" w:rsidRDefault="005109FA" w:rsidP="005109FA">
            <w:pPr>
              <w:ind w:firstLine="0"/>
              <w:jc w:val="center"/>
            </w:pPr>
            <w:r w:rsidRPr="00AF2251">
              <w:t>Максимум</w:t>
            </w:r>
          </w:p>
        </w:tc>
        <w:tc>
          <w:tcPr>
            <w:tcW w:w="3115" w:type="dxa"/>
          </w:tcPr>
          <w:p w14:paraId="246CE142" w14:textId="5C968536" w:rsidR="005109FA" w:rsidRDefault="005109FA" w:rsidP="005109FA">
            <w:pPr>
              <w:ind w:firstLine="0"/>
              <w:jc w:val="center"/>
            </w:pPr>
            <w:r w:rsidRPr="00110D8C">
              <w:t>93,2%</w:t>
            </w:r>
          </w:p>
        </w:tc>
        <w:tc>
          <w:tcPr>
            <w:tcW w:w="3115" w:type="dxa"/>
          </w:tcPr>
          <w:p w14:paraId="000A6A8F" w14:textId="6DA6DAE0" w:rsidR="005109FA" w:rsidRDefault="005109FA" w:rsidP="005109FA">
            <w:pPr>
              <w:ind w:firstLine="0"/>
              <w:jc w:val="center"/>
            </w:pPr>
            <w:r w:rsidRPr="00145977">
              <w:t>105,6%</w:t>
            </w:r>
          </w:p>
        </w:tc>
      </w:tr>
      <w:tr w:rsidR="00C1023A" w14:paraId="18326AA1" w14:textId="77777777" w:rsidTr="00392C76">
        <w:tc>
          <w:tcPr>
            <w:tcW w:w="3115" w:type="dxa"/>
          </w:tcPr>
          <w:p w14:paraId="352689D7" w14:textId="7A37FC5F" w:rsidR="00C1023A" w:rsidRPr="00AF2251" w:rsidRDefault="00C1023A" w:rsidP="00C1023A">
            <w:pPr>
              <w:ind w:firstLine="0"/>
              <w:jc w:val="center"/>
            </w:pPr>
            <w:r w:rsidRPr="00AF2251">
              <w:t>Медиана</w:t>
            </w:r>
          </w:p>
        </w:tc>
        <w:tc>
          <w:tcPr>
            <w:tcW w:w="3115" w:type="dxa"/>
          </w:tcPr>
          <w:p w14:paraId="2282CC28" w14:textId="50D9CC03" w:rsidR="00C1023A" w:rsidRPr="00110D8C" w:rsidRDefault="00C1023A" w:rsidP="00C1023A">
            <w:pPr>
              <w:ind w:firstLine="0"/>
              <w:jc w:val="center"/>
            </w:pPr>
            <w:r w:rsidRPr="006876C1">
              <w:t>-46,7%</w:t>
            </w:r>
          </w:p>
        </w:tc>
        <w:tc>
          <w:tcPr>
            <w:tcW w:w="3115" w:type="dxa"/>
          </w:tcPr>
          <w:p w14:paraId="0EDEE636" w14:textId="4E746089" w:rsidR="00C1023A" w:rsidRPr="00145977" w:rsidRDefault="00C1023A" w:rsidP="00C1023A">
            <w:pPr>
              <w:ind w:firstLine="0"/>
              <w:jc w:val="center"/>
            </w:pPr>
            <w:r w:rsidRPr="00A01C2E">
              <w:t>-15,1%</w:t>
            </w:r>
          </w:p>
        </w:tc>
      </w:tr>
      <w:tr w:rsidR="00C1023A" w14:paraId="5FE3F461" w14:textId="77777777" w:rsidTr="00392C76">
        <w:tc>
          <w:tcPr>
            <w:tcW w:w="3115" w:type="dxa"/>
          </w:tcPr>
          <w:p w14:paraId="214C8FA4" w14:textId="61A8529E" w:rsidR="00C1023A" w:rsidRPr="00AF2251" w:rsidRDefault="00C1023A" w:rsidP="00C1023A">
            <w:pPr>
              <w:ind w:firstLine="0"/>
              <w:jc w:val="center"/>
            </w:pPr>
            <w:r w:rsidRPr="00AF2251">
              <w:t>Стандартное отклонение</w:t>
            </w:r>
          </w:p>
        </w:tc>
        <w:tc>
          <w:tcPr>
            <w:tcW w:w="3115" w:type="dxa"/>
          </w:tcPr>
          <w:p w14:paraId="112F3855" w14:textId="117651FD" w:rsidR="00C1023A" w:rsidRPr="00110D8C" w:rsidRDefault="00C1023A" w:rsidP="00C1023A">
            <w:pPr>
              <w:ind w:firstLine="0"/>
              <w:jc w:val="center"/>
            </w:pPr>
            <w:r w:rsidRPr="006876C1">
              <w:t>42,4%</w:t>
            </w:r>
          </w:p>
        </w:tc>
        <w:tc>
          <w:tcPr>
            <w:tcW w:w="3115" w:type="dxa"/>
          </w:tcPr>
          <w:p w14:paraId="5B90DFBB" w14:textId="0334218B" w:rsidR="00C1023A" w:rsidRPr="00145977" w:rsidRDefault="00C1023A" w:rsidP="00C1023A">
            <w:pPr>
              <w:ind w:firstLine="0"/>
              <w:jc w:val="center"/>
            </w:pPr>
            <w:r w:rsidRPr="00A01C2E">
              <w:t>59,2%</w:t>
            </w:r>
          </w:p>
        </w:tc>
      </w:tr>
      <w:tr w:rsidR="00C1023A" w14:paraId="6790523A" w14:textId="77777777" w:rsidTr="00392C76">
        <w:tc>
          <w:tcPr>
            <w:tcW w:w="3115" w:type="dxa"/>
          </w:tcPr>
          <w:p w14:paraId="7B03D00F" w14:textId="01F781AE" w:rsidR="00C1023A" w:rsidRPr="00AF2251" w:rsidRDefault="00C1023A" w:rsidP="00C1023A">
            <w:pPr>
              <w:ind w:firstLine="0"/>
              <w:jc w:val="center"/>
            </w:pPr>
            <w:r w:rsidRPr="00AF2251">
              <w:t>Минимум</w:t>
            </w:r>
          </w:p>
        </w:tc>
        <w:tc>
          <w:tcPr>
            <w:tcW w:w="3115" w:type="dxa"/>
          </w:tcPr>
          <w:p w14:paraId="5C51B979" w14:textId="0F369BD3" w:rsidR="00C1023A" w:rsidRPr="00110D8C" w:rsidRDefault="00C1023A" w:rsidP="00C1023A">
            <w:pPr>
              <w:ind w:firstLine="0"/>
              <w:jc w:val="center"/>
            </w:pPr>
            <w:r w:rsidRPr="00110D8C">
              <w:t>-95,2%</w:t>
            </w:r>
          </w:p>
        </w:tc>
        <w:tc>
          <w:tcPr>
            <w:tcW w:w="3115" w:type="dxa"/>
          </w:tcPr>
          <w:p w14:paraId="464531B2" w14:textId="3D04AD30" w:rsidR="00C1023A" w:rsidRPr="00145977" w:rsidRDefault="00C1023A" w:rsidP="00C1023A">
            <w:pPr>
              <w:ind w:firstLine="0"/>
              <w:jc w:val="center"/>
            </w:pPr>
            <w:r w:rsidRPr="00145977">
              <w:t>-99,99958%</w:t>
            </w:r>
          </w:p>
        </w:tc>
      </w:tr>
    </w:tbl>
    <w:p w14:paraId="1A692E58" w14:textId="1039CF49" w:rsidR="00392C76" w:rsidRPr="006833AF" w:rsidRDefault="006833AF" w:rsidP="006833AF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4ACC0B6F" w14:textId="743343F2" w:rsidR="00086580" w:rsidRDefault="00B17FB5" w:rsidP="00086580">
      <w:r>
        <w:t xml:space="preserve">В таблице 10 представлена агрегированная статистика по доходности акций </w:t>
      </w:r>
      <w:r>
        <w:rPr>
          <w:lang w:val="en-US"/>
        </w:rPr>
        <w:t>deSPAC</w:t>
      </w:r>
      <w:r>
        <w:t xml:space="preserve">. </w:t>
      </w:r>
      <w:r w:rsidR="00BA797F">
        <w:t>Объем выборки для</w:t>
      </w:r>
      <w:r w:rsidR="000661C1">
        <w:t xml:space="preserve"> трехлетних</w:t>
      </w:r>
      <w:r w:rsidR="00BA797F">
        <w:t xml:space="preserve"> </w:t>
      </w:r>
      <w:r w:rsidR="000661C1">
        <w:t xml:space="preserve">доходностей акций </w:t>
      </w:r>
      <w:r w:rsidR="000661C1">
        <w:rPr>
          <w:lang w:val="en-US"/>
        </w:rPr>
        <w:t>deSPAC</w:t>
      </w:r>
      <w:r w:rsidR="000661C1">
        <w:t xml:space="preserve"> составил лишь 31,</w:t>
      </w:r>
      <w:r w:rsidR="00CC61DD">
        <w:t xml:space="preserve"> поскольку в рассматривае</w:t>
      </w:r>
      <w:r w:rsidR="00D27AC3">
        <w:t xml:space="preserve">мом временном интервале только акции 31 компании обращались на бирже в течение 3 лет. </w:t>
      </w:r>
      <w:r w:rsidR="00B62E13">
        <w:t xml:space="preserve">Средняя доходность </w:t>
      </w:r>
      <w:r w:rsidR="00B62E13">
        <w:rPr>
          <w:lang w:val="en-US"/>
        </w:rPr>
        <w:t>deSPAC</w:t>
      </w:r>
      <w:r w:rsidR="00B62E13">
        <w:t xml:space="preserve"> через год после завершения сделки составила -35,</w:t>
      </w:r>
      <w:r w:rsidR="00E52E0B">
        <w:t xml:space="preserve">2%, медианная оценка и вовсе составила -46,7%. </w:t>
      </w:r>
      <w:r w:rsidR="00D27AC3">
        <w:t xml:space="preserve">Отрицательную доходность имеют </w:t>
      </w:r>
      <w:r w:rsidR="00150F6C">
        <w:t xml:space="preserve">и акции </w:t>
      </w:r>
      <w:r w:rsidR="00150F6C">
        <w:rPr>
          <w:lang w:val="en-US"/>
        </w:rPr>
        <w:t>deSPAC</w:t>
      </w:r>
      <w:r w:rsidR="00150F6C">
        <w:t xml:space="preserve"> через 3 года после поглощения, </w:t>
      </w:r>
      <w:r w:rsidR="002076C6">
        <w:t>оценка трехлетней доходности выше о</w:t>
      </w:r>
      <w:r w:rsidR="00003889">
        <w:t xml:space="preserve">дногодичного аналога. </w:t>
      </w:r>
      <w:r w:rsidR="009D5010">
        <w:t xml:space="preserve">Однако, по результатам </w:t>
      </w:r>
      <w:r w:rsidR="009D5010">
        <w:rPr>
          <w:lang w:val="en-US"/>
        </w:rPr>
        <w:t>t</w:t>
      </w:r>
      <w:r w:rsidR="009D5010" w:rsidRPr="00CC0C9D">
        <w:t>-</w:t>
      </w:r>
      <w:r w:rsidR="009D5010">
        <w:t xml:space="preserve">теста </w:t>
      </w:r>
      <w:r w:rsidR="00CC0C9D">
        <w:t xml:space="preserve">для выборок с неравными дисперсиями </w:t>
      </w:r>
      <w:r w:rsidR="0035218B">
        <w:t>разница оценок не является значимой: альтернативная гипотеза о том, что трехлетняя доходность выше годовой</w:t>
      </w:r>
      <w:r w:rsidR="00E006A8">
        <w:t>, отвергается.</w:t>
      </w:r>
      <w:r w:rsidR="00CC2230">
        <w:t xml:space="preserve"> </w:t>
      </w:r>
      <w:r w:rsidR="00487229">
        <w:t xml:space="preserve">Любопытным наблюдением является и тот факт, что </w:t>
      </w:r>
      <w:r w:rsidR="009C75B7">
        <w:t xml:space="preserve">минимальные значение близки к 100%: это </w:t>
      </w:r>
      <w:r w:rsidR="00A563C2">
        <w:t xml:space="preserve">акции некоторых </w:t>
      </w:r>
      <w:r w:rsidR="00A563C2">
        <w:rPr>
          <w:lang w:val="en-US"/>
        </w:rPr>
        <w:t>deSPAC</w:t>
      </w:r>
      <w:r w:rsidR="00A563C2">
        <w:t xml:space="preserve"> теряют всю практически всю свою стоимость.</w:t>
      </w:r>
    </w:p>
    <w:p w14:paraId="295020DF" w14:textId="6DC28F5A" w:rsidR="0068576A" w:rsidRDefault="0068576A" w:rsidP="0068576A">
      <w:pPr>
        <w:pStyle w:val="a"/>
      </w:pPr>
      <w:r>
        <w:t xml:space="preserve">Доходность акций </w:t>
      </w:r>
      <w:r>
        <w:rPr>
          <w:lang w:val="en-US"/>
        </w:rPr>
        <w:t>deSPAC</w:t>
      </w:r>
      <w:r>
        <w:t xml:space="preserve"> по годам</w:t>
      </w:r>
    </w:p>
    <w:tbl>
      <w:tblPr>
        <w:tblStyle w:val="a9"/>
        <w:tblW w:w="1075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36"/>
        <w:gridCol w:w="557"/>
        <w:gridCol w:w="1116"/>
        <w:gridCol w:w="1612"/>
        <w:gridCol w:w="1324"/>
        <w:gridCol w:w="518"/>
        <w:gridCol w:w="1276"/>
        <w:gridCol w:w="1559"/>
        <w:gridCol w:w="1255"/>
        <w:gridCol w:w="6"/>
      </w:tblGrid>
      <w:tr w:rsidR="006F5D16" w14:paraId="5A6EDCDF" w14:textId="69CF0F83" w:rsidTr="00ED1658">
        <w:trPr>
          <w:trHeight w:val="431"/>
        </w:trPr>
        <w:tc>
          <w:tcPr>
            <w:tcW w:w="1536" w:type="dxa"/>
            <w:vMerge w:val="restart"/>
            <w:vAlign w:val="center"/>
          </w:tcPr>
          <w:p w14:paraId="4D380D65" w14:textId="7354EC08" w:rsidR="00EF3117" w:rsidRDefault="00EF3117" w:rsidP="00E16A7D">
            <w:pPr>
              <w:pStyle w:val="ac"/>
            </w:pPr>
            <w:r>
              <w:t>Год</w:t>
            </w:r>
            <w:r w:rsidR="002A1493">
              <w:t>ы завершения сделок</w:t>
            </w:r>
          </w:p>
        </w:tc>
        <w:tc>
          <w:tcPr>
            <w:tcW w:w="4609" w:type="dxa"/>
            <w:gridSpan w:val="4"/>
          </w:tcPr>
          <w:p w14:paraId="71C69668" w14:textId="29ECF932" w:rsidR="00EF3117" w:rsidRDefault="00EF3117" w:rsidP="000C0893">
            <w:pPr>
              <w:pStyle w:val="ac"/>
            </w:pPr>
            <w:r>
              <w:t>1 год</w:t>
            </w:r>
          </w:p>
        </w:tc>
        <w:tc>
          <w:tcPr>
            <w:tcW w:w="4614" w:type="dxa"/>
            <w:gridSpan w:val="5"/>
          </w:tcPr>
          <w:p w14:paraId="479312EB" w14:textId="297AC98B" w:rsidR="00EF3117" w:rsidRDefault="00EF3117" w:rsidP="000C0893">
            <w:pPr>
              <w:pStyle w:val="ac"/>
            </w:pPr>
            <w:r>
              <w:t>3 года</w:t>
            </w:r>
          </w:p>
        </w:tc>
      </w:tr>
      <w:tr w:rsidR="004D62C2" w14:paraId="394F0DEA" w14:textId="7928667E" w:rsidTr="00ED1658">
        <w:trPr>
          <w:gridAfter w:val="1"/>
          <w:wAfter w:w="6" w:type="dxa"/>
          <w:trHeight w:val="1767"/>
        </w:trPr>
        <w:tc>
          <w:tcPr>
            <w:tcW w:w="1536" w:type="dxa"/>
            <w:vMerge/>
          </w:tcPr>
          <w:p w14:paraId="6A1C4F6B" w14:textId="77777777" w:rsidR="00EF3117" w:rsidRDefault="00EF3117" w:rsidP="000C0893">
            <w:pPr>
              <w:pStyle w:val="ad"/>
            </w:pPr>
          </w:p>
        </w:tc>
        <w:tc>
          <w:tcPr>
            <w:tcW w:w="557" w:type="dxa"/>
            <w:vAlign w:val="center"/>
          </w:tcPr>
          <w:p w14:paraId="5B1FB81A" w14:textId="60BE80A6" w:rsidR="00EF3117" w:rsidRPr="00F103E9" w:rsidRDefault="00F103E9" w:rsidP="000C0893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116" w:type="dxa"/>
            <w:vAlign w:val="center"/>
          </w:tcPr>
          <w:p w14:paraId="6AE69D6D" w14:textId="11A99649" w:rsidR="00EF3117" w:rsidRDefault="00EF3117" w:rsidP="000C0893">
            <w:pPr>
              <w:pStyle w:val="ac"/>
            </w:pPr>
            <w:r w:rsidRPr="000057F8">
              <w:t>Среднее</w:t>
            </w:r>
          </w:p>
        </w:tc>
        <w:tc>
          <w:tcPr>
            <w:tcW w:w="1612" w:type="dxa"/>
            <w:vAlign w:val="center"/>
          </w:tcPr>
          <w:p w14:paraId="2C325297" w14:textId="441A2F6D" w:rsidR="00EF3117" w:rsidRDefault="00ED2BCC" w:rsidP="000C0893">
            <w:pPr>
              <w:pStyle w:val="ac"/>
            </w:pPr>
            <w:r>
              <w:t>Взвешенная средняя</w:t>
            </w:r>
          </w:p>
        </w:tc>
        <w:tc>
          <w:tcPr>
            <w:tcW w:w="1324" w:type="dxa"/>
            <w:vAlign w:val="center"/>
          </w:tcPr>
          <w:p w14:paraId="2197253A" w14:textId="708F88ED" w:rsidR="00EF3117" w:rsidRDefault="00EF3117" w:rsidP="000C0893">
            <w:pPr>
              <w:pStyle w:val="ac"/>
            </w:pPr>
            <w:r w:rsidRPr="000057F8">
              <w:t>Медиана</w:t>
            </w:r>
          </w:p>
        </w:tc>
        <w:tc>
          <w:tcPr>
            <w:tcW w:w="518" w:type="dxa"/>
            <w:vAlign w:val="center"/>
          </w:tcPr>
          <w:p w14:paraId="3E7BE8A7" w14:textId="308E66C4" w:rsidR="00EF3117" w:rsidRPr="00F103E9" w:rsidRDefault="00F103E9" w:rsidP="000C0893">
            <w:pPr>
              <w:pStyle w:val="ac"/>
            </w:pPr>
            <w:r>
              <w:rPr>
                <w:lang w:val="en-US"/>
              </w:rPr>
              <w:t>N</w:t>
            </w:r>
          </w:p>
        </w:tc>
        <w:tc>
          <w:tcPr>
            <w:tcW w:w="1276" w:type="dxa"/>
            <w:vAlign w:val="center"/>
          </w:tcPr>
          <w:p w14:paraId="32992C8E" w14:textId="2D62EAB8" w:rsidR="00EF3117" w:rsidRDefault="00EF3117" w:rsidP="000C0893">
            <w:pPr>
              <w:pStyle w:val="ac"/>
            </w:pPr>
            <w:r w:rsidRPr="000057F8">
              <w:t>Среднее</w:t>
            </w:r>
          </w:p>
        </w:tc>
        <w:tc>
          <w:tcPr>
            <w:tcW w:w="1559" w:type="dxa"/>
            <w:vAlign w:val="center"/>
          </w:tcPr>
          <w:p w14:paraId="555200E1" w14:textId="2B535C62" w:rsidR="00EF3117" w:rsidRDefault="00ED2BCC" w:rsidP="000C0893">
            <w:pPr>
              <w:pStyle w:val="ac"/>
            </w:pPr>
            <w:r>
              <w:t>Взвешенная средняя</w:t>
            </w:r>
          </w:p>
        </w:tc>
        <w:tc>
          <w:tcPr>
            <w:tcW w:w="1255" w:type="dxa"/>
            <w:vAlign w:val="center"/>
          </w:tcPr>
          <w:p w14:paraId="1DF0ED35" w14:textId="34DA68D2" w:rsidR="00EF3117" w:rsidRDefault="00EF3117" w:rsidP="000C0893">
            <w:pPr>
              <w:pStyle w:val="ac"/>
            </w:pPr>
            <w:r w:rsidRPr="000057F8">
              <w:t>Медиана</w:t>
            </w:r>
          </w:p>
        </w:tc>
      </w:tr>
      <w:tr w:rsidR="00ED2BCC" w14:paraId="62ADD7B7" w14:textId="0CF077C4" w:rsidTr="00ED1658">
        <w:trPr>
          <w:gridAfter w:val="1"/>
          <w:wAfter w:w="6" w:type="dxa"/>
          <w:trHeight w:val="431"/>
        </w:trPr>
        <w:tc>
          <w:tcPr>
            <w:tcW w:w="1536" w:type="dxa"/>
            <w:vAlign w:val="bottom"/>
          </w:tcPr>
          <w:p w14:paraId="28D5AB0B" w14:textId="3EAE3F6E" w:rsidR="009A7469" w:rsidRPr="00006E23" w:rsidRDefault="009A7469" w:rsidP="009A7469">
            <w:pPr>
              <w:pStyle w:val="ad"/>
              <w:jc w:val="center"/>
            </w:pPr>
            <w:r w:rsidRPr="00006E23">
              <w:t>2016</w:t>
            </w:r>
          </w:p>
        </w:tc>
        <w:tc>
          <w:tcPr>
            <w:tcW w:w="557" w:type="dxa"/>
            <w:vAlign w:val="bottom"/>
          </w:tcPr>
          <w:p w14:paraId="280F8117" w14:textId="3DC42937" w:rsidR="009A7469" w:rsidRPr="00006E23" w:rsidRDefault="009A7469" w:rsidP="009A7469">
            <w:pPr>
              <w:pStyle w:val="ad"/>
              <w:jc w:val="center"/>
            </w:pPr>
            <w:r w:rsidRPr="00006E23">
              <w:t>3</w:t>
            </w:r>
          </w:p>
        </w:tc>
        <w:tc>
          <w:tcPr>
            <w:tcW w:w="1116" w:type="dxa"/>
            <w:vAlign w:val="bottom"/>
          </w:tcPr>
          <w:p w14:paraId="75D81CC1" w14:textId="296DFD0C" w:rsidR="009A7469" w:rsidRPr="00006E23" w:rsidRDefault="009A7469" w:rsidP="009A7469">
            <w:pPr>
              <w:pStyle w:val="ad"/>
              <w:jc w:val="center"/>
            </w:pPr>
            <w:r w:rsidRPr="00006E23">
              <w:t>3,8%</w:t>
            </w:r>
          </w:p>
        </w:tc>
        <w:tc>
          <w:tcPr>
            <w:tcW w:w="1612" w:type="dxa"/>
            <w:vAlign w:val="bottom"/>
          </w:tcPr>
          <w:p w14:paraId="7ED40A4D" w14:textId="7B917592" w:rsidR="009A7469" w:rsidRPr="00006E23" w:rsidRDefault="009A7469" w:rsidP="009A7469">
            <w:pPr>
              <w:pStyle w:val="ad"/>
              <w:jc w:val="center"/>
            </w:pPr>
            <w:r w:rsidRPr="00006E23">
              <w:t>14,4%</w:t>
            </w:r>
          </w:p>
        </w:tc>
        <w:tc>
          <w:tcPr>
            <w:tcW w:w="1324" w:type="dxa"/>
            <w:vAlign w:val="bottom"/>
          </w:tcPr>
          <w:p w14:paraId="279C2549" w14:textId="1658556E" w:rsidR="009A7469" w:rsidRPr="00006E23" w:rsidRDefault="009A7469" w:rsidP="009A7469">
            <w:pPr>
              <w:pStyle w:val="ad"/>
              <w:jc w:val="center"/>
            </w:pPr>
            <w:r w:rsidRPr="00006E23">
              <w:t>18,5%</w:t>
            </w:r>
          </w:p>
        </w:tc>
        <w:tc>
          <w:tcPr>
            <w:tcW w:w="518" w:type="dxa"/>
          </w:tcPr>
          <w:p w14:paraId="2C4F17FE" w14:textId="4B71B1FF" w:rsidR="009A7469" w:rsidRDefault="009A7469" w:rsidP="009A7469">
            <w:pPr>
              <w:pStyle w:val="ad"/>
              <w:jc w:val="center"/>
            </w:pPr>
            <w:r w:rsidRPr="00CD08DF">
              <w:t>3</w:t>
            </w:r>
          </w:p>
        </w:tc>
        <w:tc>
          <w:tcPr>
            <w:tcW w:w="1276" w:type="dxa"/>
          </w:tcPr>
          <w:p w14:paraId="71584722" w14:textId="63C64FC3" w:rsidR="009A7469" w:rsidRDefault="009A7469" w:rsidP="009A7469">
            <w:pPr>
              <w:pStyle w:val="ad"/>
              <w:jc w:val="center"/>
            </w:pPr>
            <w:r w:rsidRPr="00CD08DF">
              <w:t>-39,2%</w:t>
            </w:r>
          </w:p>
        </w:tc>
        <w:tc>
          <w:tcPr>
            <w:tcW w:w="1559" w:type="dxa"/>
          </w:tcPr>
          <w:p w14:paraId="6935AD13" w14:textId="49EEDAA9" w:rsidR="009A7469" w:rsidRDefault="009A7469" w:rsidP="009A7469">
            <w:pPr>
              <w:pStyle w:val="ad"/>
              <w:jc w:val="center"/>
            </w:pPr>
            <w:r w:rsidRPr="00CD08DF">
              <w:t>-58,4%</w:t>
            </w:r>
          </w:p>
        </w:tc>
        <w:tc>
          <w:tcPr>
            <w:tcW w:w="1255" w:type="dxa"/>
          </w:tcPr>
          <w:p w14:paraId="002F4F8E" w14:textId="6B4751AB" w:rsidR="009A7469" w:rsidRDefault="009A7469" w:rsidP="009A7469">
            <w:pPr>
              <w:pStyle w:val="ad"/>
              <w:jc w:val="center"/>
            </w:pPr>
            <w:r w:rsidRPr="00CD08DF">
              <w:t>-76,7%</w:t>
            </w:r>
          </w:p>
        </w:tc>
      </w:tr>
      <w:tr w:rsidR="00ED2BCC" w14:paraId="457E8998" w14:textId="4CA79374" w:rsidTr="00ED1658">
        <w:trPr>
          <w:gridAfter w:val="1"/>
          <w:wAfter w:w="6" w:type="dxa"/>
          <w:trHeight w:val="431"/>
        </w:trPr>
        <w:tc>
          <w:tcPr>
            <w:tcW w:w="1536" w:type="dxa"/>
            <w:vAlign w:val="bottom"/>
          </w:tcPr>
          <w:p w14:paraId="423964C4" w14:textId="55D22C4F" w:rsidR="009A7469" w:rsidRPr="00006E23" w:rsidRDefault="009A7469" w:rsidP="009A7469">
            <w:pPr>
              <w:pStyle w:val="ad"/>
              <w:jc w:val="center"/>
            </w:pPr>
            <w:r w:rsidRPr="00006E23">
              <w:t>2017</w:t>
            </w:r>
          </w:p>
        </w:tc>
        <w:tc>
          <w:tcPr>
            <w:tcW w:w="557" w:type="dxa"/>
            <w:vAlign w:val="bottom"/>
          </w:tcPr>
          <w:p w14:paraId="2EDB9283" w14:textId="7AFABA3F" w:rsidR="009A7469" w:rsidRPr="00006E23" w:rsidRDefault="009A7469" w:rsidP="009A7469">
            <w:pPr>
              <w:pStyle w:val="ad"/>
              <w:jc w:val="center"/>
            </w:pPr>
            <w:r w:rsidRPr="00006E23">
              <w:t>9</w:t>
            </w:r>
          </w:p>
        </w:tc>
        <w:tc>
          <w:tcPr>
            <w:tcW w:w="1116" w:type="dxa"/>
            <w:vAlign w:val="bottom"/>
          </w:tcPr>
          <w:p w14:paraId="3890873A" w14:textId="7FC80422" w:rsidR="009A7469" w:rsidRPr="00006E23" w:rsidRDefault="009A7469" w:rsidP="009A7469">
            <w:pPr>
              <w:pStyle w:val="ad"/>
              <w:jc w:val="center"/>
            </w:pPr>
            <w:r w:rsidRPr="00006E23">
              <w:t>-13,2%</w:t>
            </w:r>
          </w:p>
        </w:tc>
        <w:tc>
          <w:tcPr>
            <w:tcW w:w="1612" w:type="dxa"/>
            <w:vAlign w:val="bottom"/>
          </w:tcPr>
          <w:p w14:paraId="1BA09B88" w14:textId="3753994B" w:rsidR="009A7469" w:rsidRPr="00006E23" w:rsidRDefault="009A7469" w:rsidP="009A7469">
            <w:pPr>
              <w:pStyle w:val="ad"/>
              <w:jc w:val="center"/>
            </w:pPr>
            <w:r w:rsidRPr="00006E23">
              <w:t>-9,0%</w:t>
            </w:r>
          </w:p>
        </w:tc>
        <w:tc>
          <w:tcPr>
            <w:tcW w:w="1324" w:type="dxa"/>
            <w:vAlign w:val="bottom"/>
          </w:tcPr>
          <w:p w14:paraId="7B7B739D" w14:textId="1D2C9F5A" w:rsidR="009A7469" w:rsidRPr="00006E23" w:rsidRDefault="009A7469" w:rsidP="009A7469">
            <w:pPr>
              <w:pStyle w:val="ad"/>
              <w:jc w:val="center"/>
            </w:pPr>
            <w:r w:rsidRPr="00006E23">
              <w:t>-19,7%</w:t>
            </w:r>
          </w:p>
        </w:tc>
        <w:tc>
          <w:tcPr>
            <w:tcW w:w="518" w:type="dxa"/>
          </w:tcPr>
          <w:p w14:paraId="4A0F4B9D" w14:textId="2A1509E1" w:rsidR="009A7469" w:rsidRDefault="009A7469" w:rsidP="009A7469">
            <w:pPr>
              <w:pStyle w:val="ad"/>
              <w:jc w:val="center"/>
            </w:pPr>
            <w:r w:rsidRPr="00CD08DF">
              <w:t>9</w:t>
            </w:r>
          </w:p>
        </w:tc>
        <w:tc>
          <w:tcPr>
            <w:tcW w:w="1276" w:type="dxa"/>
          </w:tcPr>
          <w:p w14:paraId="47D4B05C" w14:textId="0428C0DA" w:rsidR="009A7469" w:rsidRDefault="009A7469" w:rsidP="009A7469">
            <w:pPr>
              <w:pStyle w:val="ad"/>
              <w:jc w:val="center"/>
            </w:pPr>
            <w:r w:rsidRPr="00CD08DF">
              <w:t>-38,1%</w:t>
            </w:r>
          </w:p>
        </w:tc>
        <w:tc>
          <w:tcPr>
            <w:tcW w:w="1559" w:type="dxa"/>
          </w:tcPr>
          <w:p w14:paraId="2D5D00D0" w14:textId="2A7B22F2" w:rsidR="009A7469" w:rsidRDefault="009A7469" w:rsidP="009A7469">
            <w:pPr>
              <w:pStyle w:val="ad"/>
              <w:jc w:val="center"/>
            </w:pPr>
            <w:r w:rsidRPr="00CD08DF">
              <w:t>-29,5%</w:t>
            </w:r>
          </w:p>
        </w:tc>
        <w:tc>
          <w:tcPr>
            <w:tcW w:w="1255" w:type="dxa"/>
          </w:tcPr>
          <w:p w14:paraId="53D0AB25" w14:textId="50F856C9" w:rsidR="009A7469" w:rsidRDefault="009A7469" w:rsidP="009A7469">
            <w:pPr>
              <w:pStyle w:val="ad"/>
              <w:jc w:val="center"/>
            </w:pPr>
            <w:r w:rsidRPr="00CD08DF">
              <w:t>-66,0%</w:t>
            </w:r>
          </w:p>
        </w:tc>
      </w:tr>
      <w:tr w:rsidR="00ED2BCC" w14:paraId="014E4538" w14:textId="78F3A89A" w:rsidTr="00ED1658">
        <w:trPr>
          <w:gridAfter w:val="1"/>
          <w:wAfter w:w="6" w:type="dxa"/>
          <w:trHeight w:val="445"/>
        </w:trPr>
        <w:tc>
          <w:tcPr>
            <w:tcW w:w="1536" w:type="dxa"/>
            <w:vAlign w:val="bottom"/>
          </w:tcPr>
          <w:p w14:paraId="227173B2" w14:textId="53E9EFA6" w:rsidR="009A7469" w:rsidRPr="00006E23" w:rsidRDefault="009A7469" w:rsidP="009A7469">
            <w:pPr>
              <w:pStyle w:val="ad"/>
              <w:jc w:val="center"/>
            </w:pPr>
            <w:r w:rsidRPr="00006E23">
              <w:t>2018</w:t>
            </w:r>
          </w:p>
        </w:tc>
        <w:tc>
          <w:tcPr>
            <w:tcW w:w="557" w:type="dxa"/>
            <w:vAlign w:val="bottom"/>
          </w:tcPr>
          <w:p w14:paraId="75704795" w14:textId="509B96BC" w:rsidR="009A7469" w:rsidRPr="00006E23" w:rsidRDefault="009A7469" w:rsidP="009A7469">
            <w:pPr>
              <w:pStyle w:val="ad"/>
              <w:jc w:val="center"/>
            </w:pPr>
            <w:r w:rsidRPr="00006E23">
              <w:t>15</w:t>
            </w:r>
          </w:p>
        </w:tc>
        <w:tc>
          <w:tcPr>
            <w:tcW w:w="1116" w:type="dxa"/>
            <w:vAlign w:val="bottom"/>
          </w:tcPr>
          <w:p w14:paraId="6F7709C0" w14:textId="7BF2858E" w:rsidR="009A7469" w:rsidRPr="00006E23" w:rsidRDefault="009A7469" w:rsidP="009A7469">
            <w:pPr>
              <w:pStyle w:val="ad"/>
              <w:jc w:val="center"/>
            </w:pPr>
            <w:r w:rsidRPr="00006E23">
              <w:t>-41,8%</w:t>
            </w:r>
          </w:p>
        </w:tc>
        <w:tc>
          <w:tcPr>
            <w:tcW w:w="1612" w:type="dxa"/>
            <w:vAlign w:val="bottom"/>
          </w:tcPr>
          <w:p w14:paraId="44BDF6DF" w14:textId="21FAA1EF" w:rsidR="009A7469" w:rsidRPr="00006E23" w:rsidRDefault="009A7469" w:rsidP="009A7469">
            <w:pPr>
              <w:pStyle w:val="ad"/>
              <w:jc w:val="center"/>
            </w:pPr>
            <w:r w:rsidRPr="00006E23">
              <w:t>-41,6%</w:t>
            </w:r>
          </w:p>
        </w:tc>
        <w:tc>
          <w:tcPr>
            <w:tcW w:w="1324" w:type="dxa"/>
            <w:vAlign w:val="bottom"/>
          </w:tcPr>
          <w:p w14:paraId="46B4A70C" w14:textId="2722FF5B" w:rsidR="009A7469" w:rsidRPr="00006E23" w:rsidRDefault="009A7469" w:rsidP="009A7469">
            <w:pPr>
              <w:pStyle w:val="ad"/>
              <w:jc w:val="center"/>
            </w:pPr>
            <w:r w:rsidRPr="00006E23">
              <w:t>-46,7%</w:t>
            </w:r>
          </w:p>
        </w:tc>
        <w:tc>
          <w:tcPr>
            <w:tcW w:w="518" w:type="dxa"/>
          </w:tcPr>
          <w:p w14:paraId="1B794FA1" w14:textId="622631B0" w:rsidR="009A7469" w:rsidRDefault="009A7469" w:rsidP="009A7469">
            <w:pPr>
              <w:pStyle w:val="ad"/>
              <w:jc w:val="center"/>
            </w:pPr>
            <w:r w:rsidRPr="00CD08DF">
              <w:t>14</w:t>
            </w:r>
          </w:p>
        </w:tc>
        <w:tc>
          <w:tcPr>
            <w:tcW w:w="1276" w:type="dxa"/>
          </w:tcPr>
          <w:p w14:paraId="17F085EB" w14:textId="6E4D1084" w:rsidR="009A7469" w:rsidRDefault="009A7469" w:rsidP="009A7469">
            <w:pPr>
              <w:pStyle w:val="ad"/>
              <w:jc w:val="center"/>
            </w:pPr>
            <w:r w:rsidRPr="00CD08DF">
              <w:t>-8,7%</w:t>
            </w:r>
          </w:p>
        </w:tc>
        <w:tc>
          <w:tcPr>
            <w:tcW w:w="1559" w:type="dxa"/>
          </w:tcPr>
          <w:p w14:paraId="4D91C4CE" w14:textId="1D7F8128" w:rsidR="009A7469" w:rsidRDefault="009A7469" w:rsidP="009A7469">
            <w:pPr>
              <w:pStyle w:val="ad"/>
              <w:jc w:val="center"/>
            </w:pPr>
            <w:r w:rsidRPr="00CD08DF">
              <w:t>-23,0%</w:t>
            </w:r>
          </w:p>
        </w:tc>
        <w:tc>
          <w:tcPr>
            <w:tcW w:w="1255" w:type="dxa"/>
          </w:tcPr>
          <w:p w14:paraId="36980DD6" w14:textId="3F8A8FE8" w:rsidR="009A7469" w:rsidRDefault="009A7469" w:rsidP="009A7469">
            <w:pPr>
              <w:pStyle w:val="ad"/>
              <w:jc w:val="center"/>
            </w:pPr>
            <w:r w:rsidRPr="00CD08DF">
              <w:t>-7,9%</w:t>
            </w:r>
          </w:p>
        </w:tc>
      </w:tr>
      <w:tr w:rsidR="00ED2BCC" w14:paraId="2A2C3E86" w14:textId="4285A19E" w:rsidTr="00ED1658">
        <w:trPr>
          <w:gridAfter w:val="1"/>
          <w:wAfter w:w="6" w:type="dxa"/>
          <w:trHeight w:val="431"/>
        </w:trPr>
        <w:tc>
          <w:tcPr>
            <w:tcW w:w="1536" w:type="dxa"/>
            <w:vAlign w:val="bottom"/>
          </w:tcPr>
          <w:p w14:paraId="32C21557" w14:textId="04AAFC03" w:rsidR="009A7469" w:rsidRPr="00006E23" w:rsidRDefault="009A7469" w:rsidP="009A7469">
            <w:pPr>
              <w:pStyle w:val="ad"/>
              <w:jc w:val="center"/>
            </w:pPr>
            <w:r w:rsidRPr="00006E23">
              <w:t>2019</w:t>
            </w:r>
          </w:p>
        </w:tc>
        <w:tc>
          <w:tcPr>
            <w:tcW w:w="557" w:type="dxa"/>
            <w:vAlign w:val="bottom"/>
          </w:tcPr>
          <w:p w14:paraId="5AB97396" w14:textId="2E92AA2D" w:rsidR="009A7469" w:rsidRPr="00006E23" w:rsidRDefault="009A7469" w:rsidP="009A7469">
            <w:pPr>
              <w:pStyle w:val="ad"/>
              <w:jc w:val="center"/>
            </w:pPr>
            <w:r w:rsidRPr="00006E23">
              <w:t>25</w:t>
            </w:r>
          </w:p>
        </w:tc>
        <w:tc>
          <w:tcPr>
            <w:tcW w:w="1116" w:type="dxa"/>
            <w:vAlign w:val="bottom"/>
          </w:tcPr>
          <w:p w14:paraId="179423B0" w14:textId="4B9744D5" w:rsidR="009A7469" w:rsidRPr="00006E23" w:rsidRDefault="009A7469" w:rsidP="009A7469">
            <w:pPr>
              <w:pStyle w:val="ad"/>
              <w:jc w:val="center"/>
            </w:pPr>
            <w:r w:rsidRPr="00006E23">
              <w:t>-24,3%</w:t>
            </w:r>
          </w:p>
        </w:tc>
        <w:tc>
          <w:tcPr>
            <w:tcW w:w="1612" w:type="dxa"/>
            <w:vAlign w:val="bottom"/>
          </w:tcPr>
          <w:p w14:paraId="2929DF2C" w14:textId="053879F9" w:rsidR="009A7469" w:rsidRPr="00006E23" w:rsidRDefault="009A7469" w:rsidP="009A7469">
            <w:pPr>
              <w:pStyle w:val="ad"/>
              <w:jc w:val="center"/>
            </w:pPr>
            <w:r w:rsidRPr="00006E23">
              <w:t>-16,7%</w:t>
            </w:r>
          </w:p>
        </w:tc>
        <w:tc>
          <w:tcPr>
            <w:tcW w:w="1324" w:type="dxa"/>
            <w:vAlign w:val="bottom"/>
          </w:tcPr>
          <w:p w14:paraId="4663525B" w14:textId="62ABE9B8" w:rsidR="009A7469" w:rsidRPr="00006E23" w:rsidRDefault="009A7469" w:rsidP="009A7469">
            <w:pPr>
              <w:pStyle w:val="ad"/>
              <w:jc w:val="center"/>
            </w:pPr>
            <w:r w:rsidRPr="00006E23">
              <w:t>-25,5%</w:t>
            </w:r>
          </w:p>
        </w:tc>
        <w:tc>
          <w:tcPr>
            <w:tcW w:w="518" w:type="dxa"/>
          </w:tcPr>
          <w:p w14:paraId="6B5B4FD0" w14:textId="41BF8FD9" w:rsidR="009A7469" w:rsidRDefault="009A7469" w:rsidP="009A7469">
            <w:pPr>
              <w:pStyle w:val="ad"/>
              <w:jc w:val="center"/>
            </w:pPr>
            <w:r w:rsidRPr="00CD08DF">
              <w:t>5</w:t>
            </w:r>
          </w:p>
        </w:tc>
        <w:tc>
          <w:tcPr>
            <w:tcW w:w="1276" w:type="dxa"/>
          </w:tcPr>
          <w:p w14:paraId="2911C7D7" w14:textId="6CFE4621" w:rsidR="009A7469" w:rsidRDefault="009A7469" w:rsidP="009A7469">
            <w:pPr>
              <w:pStyle w:val="ad"/>
              <w:jc w:val="center"/>
            </w:pPr>
            <w:r w:rsidRPr="00CD08DF">
              <w:t>-26,2%</w:t>
            </w:r>
          </w:p>
        </w:tc>
        <w:tc>
          <w:tcPr>
            <w:tcW w:w="1559" w:type="dxa"/>
          </w:tcPr>
          <w:p w14:paraId="21F04797" w14:textId="71D55912" w:rsidR="009A7469" w:rsidRDefault="009A7469" w:rsidP="009A7469">
            <w:pPr>
              <w:pStyle w:val="ad"/>
              <w:jc w:val="center"/>
            </w:pPr>
            <w:r w:rsidRPr="00CD08DF">
              <w:t>-29,2%</w:t>
            </w:r>
          </w:p>
        </w:tc>
        <w:tc>
          <w:tcPr>
            <w:tcW w:w="1255" w:type="dxa"/>
          </w:tcPr>
          <w:p w14:paraId="1B95FB40" w14:textId="20C6F5C3" w:rsidR="009A7469" w:rsidRDefault="009A7469" w:rsidP="009A7469">
            <w:pPr>
              <w:pStyle w:val="ad"/>
              <w:jc w:val="center"/>
            </w:pPr>
            <w:r w:rsidRPr="00CD08DF">
              <w:t>-43,6%</w:t>
            </w:r>
          </w:p>
        </w:tc>
      </w:tr>
      <w:tr w:rsidR="00ED2BCC" w14:paraId="2591399C" w14:textId="61EC6075" w:rsidTr="00ED1658">
        <w:trPr>
          <w:gridAfter w:val="1"/>
          <w:wAfter w:w="6" w:type="dxa"/>
          <w:trHeight w:val="431"/>
        </w:trPr>
        <w:tc>
          <w:tcPr>
            <w:tcW w:w="1536" w:type="dxa"/>
            <w:vAlign w:val="bottom"/>
          </w:tcPr>
          <w:p w14:paraId="7E677617" w14:textId="783234BF" w:rsidR="00733841" w:rsidRPr="00006E23" w:rsidRDefault="00733841" w:rsidP="00733841">
            <w:pPr>
              <w:pStyle w:val="ad"/>
              <w:jc w:val="center"/>
            </w:pPr>
            <w:r w:rsidRPr="00006E23">
              <w:t>2020</w:t>
            </w:r>
          </w:p>
        </w:tc>
        <w:tc>
          <w:tcPr>
            <w:tcW w:w="557" w:type="dxa"/>
            <w:vAlign w:val="bottom"/>
          </w:tcPr>
          <w:p w14:paraId="622A4145" w14:textId="391E7BB9" w:rsidR="00733841" w:rsidRPr="00006E23" w:rsidRDefault="00733841" w:rsidP="00733841">
            <w:pPr>
              <w:pStyle w:val="ad"/>
              <w:jc w:val="center"/>
            </w:pPr>
            <w:r w:rsidRPr="00006E23">
              <w:t>59</w:t>
            </w:r>
          </w:p>
        </w:tc>
        <w:tc>
          <w:tcPr>
            <w:tcW w:w="1116" w:type="dxa"/>
            <w:vAlign w:val="bottom"/>
          </w:tcPr>
          <w:p w14:paraId="0A16EA15" w14:textId="617D3741" w:rsidR="00733841" w:rsidRPr="00006E23" w:rsidRDefault="00733841" w:rsidP="00733841">
            <w:pPr>
              <w:pStyle w:val="ad"/>
              <w:jc w:val="center"/>
            </w:pPr>
            <w:r w:rsidRPr="00006E23">
              <w:t>-34,6%</w:t>
            </w:r>
          </w:p>
        </w:tc>
        <w:tc>
          <w:tcPr>
            <w:tcW w:w="1612" w:type="dxa"/>
            <w:vAlign w:val="bottom"/>
          </w:tcPr>
          <w:p w14:paraId="2C1EDE54" w14:textId="1BBDAAA8" w:rsidR="00733841" w:rsidRPr="00006E23" w:rsidRDefault="00733841" w:rsidP="00733841">
            <w:pPr>
              <w:pStyle w:val="ad"/>
              <w:jc w:val="center"/>
            </w:pPr>
            <w:r w:rsidRPr="00006E23">
              <w:t>-29,5%</w:t>
            </w:r>
          </w:p>
        </w:tc>
        <w:tc>
          <w:tcPr>
            <w:tcW w:w="1324" w:type="dxa"/>
            <w:vAlign w:val="bottom"/>
          </w:tcPr>
          <w:p w14:paraId="374406EC" w14:textId="5648B40A" w:rsidR="00733841" w:rsidRPr="00006E23" w:rsidRDefault="00733841" w:rsidP="00733841">
            <w:pPr>
              <w:pStyle w:val="ad"/>
              <w:jc w:val="center"/>
            </w:pPr>
            <w:r w:rsidRPr="00006E23">
              <w:t>-47,4%</w:t>
            </w:r>
          </w:p>
        </w:tc>
        <w:tc>
          <w:tcPr>
            <w:tcW w:w="518" w:type="dxa"/>
          </w:tcPr>
          <w:p w14:paraId="47CA4D5F" w14:textId="1B1F99E0" w:rsidR="00733841" w:rsidRDefault="00733841" w:rsidP="00733841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70713D9" w14:textId="4BD5E55E" w:rsidR="00733841" w:rsidRDefault="00733841" w:rsidP="00733841">
            <w:pPr>
              <w:pStyle w:val="ad"/>
              <w:jc w:val="center"/>
            </w:pPr>
            <w:r w:rsidRPr="00E76701">
              <w:t>-</w:t>
            </w:r>
          </w:p>
        </w:tc>
        <w:tc>
          <w:tcPr>
            <w:tcW w:w="1559" w:type="dxa"/>
          </w:tcPr>
          <w:p w14:paraId="2254B691" w14:textId="44466946" w:rsidR="00733841" w:rsidRDefault="00733841" w:rsidP="00733841">
            <w:pPr>
              <w:pStyle w:val="ad"/>
              <w:jc w:val="center"/>
            </w:pPr>
            <w:r w:rsidRPr="00E76701">
              <w:t>-</w:t>
            </w:r>
          </w:p>
        </w:tc>
        <w:tc>
          <w:tcPr>
            <w:tcW w:w="1255" w:type="dxa"/>
          </w:tcPr>
          <w:p w14:paraId="443D5B38" w14:textId="57631393" w:rsidR="00733841" w:rsidRDefault="00733841" w:rsidP="00733841">
            <w:pPr>
              <w:pStyle w:val="ad"/>
              <w:jc w:val="center"/>
            </w:pPr>
            <w:r w:rsidRPr="00E76701">
              <w:t>-</w:t>
            </w:r>
          </w:p>
        </w:tc>
      </w:tr>
      <w:tr w:rsidR="00ED2BCC" w14:paraId="6228D08D" w14:textId="1CB44AA4" w:rsidTr="00ED1658">
        <w:trPr>
          <w:gridAfter w:val="1"/>
          <w:wAfter w:w="6" w:type="dxa"/>
          <w:trHeight w:val="431"/>
        </w:trPr>
        <w:tc>
          <w:tcPr>
            <w:tcW w:w="1536" w:type="dxa"/>
            <w:vAlign w:val="bottom"/>
          </w:tcPr>
          <w:p w14:paraId="4F5BDDFA" w14:textId="3E2FC8A3" w:rsidR="00733841" w:rsidRPr="00006E23" w:rsidRDefault="00733841" w:rsidP="00733841">
            <w:pPr>
              <w:pStyle w:val="ad"/>
              <w:jc w:val="center"/>
            </w:pPr>
            <w:r w:rsidRPr="00006E23">
              <w:t>2021</w:t>
            </w:r>
          </w:p>
        </w:tc>
        <w:tc>
          <w:tcPr>
            <w:tcW w:w="557" w:type="dxa"/>
            <w:vAlign w:val="bottom"/>
          </w:tcPr>
          <w:p w14:paraId="125FA487" w14:textId="4A30E95C" w:rsidR="00733841" w:rsidRPr="00006E23" w:rsidRDefault="00733841" w:rsidP="00733841">
            <w:pPr>
              <w:pStyle w:val="ad"/>
              <w:jc w:val="center"/>
            </w:pPr>
            <w:r w:rsidRPr="00006E23">
              <w:t>20</w:t>
            </w:r>
          </w:p>
        </w:tc>
        <w:tc>
          <w:tcPr>
            <w:tcW w:w="1116" w:type="dxa"/>
            <w:vAlign w:val="bottom"/>
          </w:tcPr>
          <w:p w14:paraId="7A378750" w14:textId="51754796" w:rsidR="00733841" w:rsidRPr="00006E23" w:rsidRDefault="00733841" w:rsidP="00733841">
            <w:pPr>
              <w:pStyle w:val="ad"/>
              <w:jc w:val="center"/>
            </w:pPr>
            <w:r w:rsidRPr="00006E23">
              <w:t>-61,4%</w:t>
            </w:r>
          </w:p>
        </w:tc>
        <w:tc>
          <w:tcPr>
            <w:tcW w:w="1612" w:type="dxa"/>
            <w:vAlign w:val="bottom"/>
          </w:tcPr>
          <w:p w14:paraId="3F4EF1B6" w14:textId="1B48252E" w:rsidR="00733841" w:rsidRPr="00006E23" w:rsidRDefault="00733841" w:rsidP="00733841">
            <w:pPr>
              <w:pStyle w:val="ad"/>
              <w:jc w:val="center"/>
            </w:pPr>
            <w:r w:rsidRPr="00006E23">
              <w:t>-65,4%</w:t>
            </w:r>
          </w:p>
        </w:tc>
        <w:tc>
          <w:tcPr>
            <w:tcW w:w="1324" w:type="dxa"/>
            <w:vAlign w:val="bottom"/>
          </w:tcPr>
          <w:p w14:paraId="529BB173" w14:textId="39C70777" w:rsidR="00733841" w:rsidRPr="00006E23" w:rsidRDefault="00733841" w:rsidP="00733841">
            <w:pPr>
              <w:pStyle w:val="ad"/>
              <w:jc w:val="center"/>
            </w:pPr>
            <w:r w:rsidRPr="00006E23">
              <w:t>-71,1%</w:t>
            </w:r>
          </w:p>
        </w:tc>
        <w:tc>
          <w:tcPr>
            <w:tcW w:w="518" w:type="dxa"/>
          </w:tcPr>
          <w:p w14:paraId="39F37CEB" w14:textId="4C40F59E" w:rsidR="00733841" w:rsidRDefault="00733841" w:rsidP="00733841">
            <w:pPr>
              <w:pStyle w:val="ad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D0C0BAD" w14:textId="67CD2662" w:rsidR="00733841" w:rsidRDefault="00733841" w:rsidP="00733841">
            <w:pPr>
              <w:pStyle w:val="ad"/>
              <w:jc w:val="center"/>
            </w:pPr>
            <w:r w:rsidRPr="00E76701">
              <w:t>-</w:t>
            </w:r>
          </w:p>
        </w:tc>
        <w:tc>
          <w:tcPr>
            <w:tcW w:w="1559" w:type="dxa"/>
          </w:tcPr>
          <w:p w14:paraId="461D47EB" w14:textId="5C417CF1" w:rsidR="00733841" w:rsidRDefault="00733841" w:rsidP="00733841">
            <w:pPr>
              <w:pStyle w:val="ad"/>
              <w:jc w:val="center"/>
            </w:pPr>
            <w:r w:rsidRPr="00E76701">
              <w:t>-</w:t>
            </w:r>
          </w:p>
        </w:tc>
        <w:tc>
          <w:tcPr>
            <w:tcW w:w="1255" w:type="dxa"/>
          </w:tcPr>
          <w:p w14:paraId="4BA03A83" w14:textId="0EF2C912" w:rsidR="00733841" w:rsidRDefault="00733841" w:rsidP="00733841">
            <w:pPr>
              <w:pStyle w:val="ad"/>
              <w:jc w:val="center"/>
            </w:pPr>
            <w:r w:rsidRPr="00E76701">
              <w:t>-</w:t>
            </w:r>
          </w:p>
        </w:tc>
      </w:tr>
    </w:tbl>
    <w:p w14:paraId="26C6E716" w14:textId="527569E4" w:rsidR="0068576A" w:rsidRPr="006833AF" w:rsidRDefault="006833AF" w:rsidP="006833AF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0493A353" w14:textId="1CA63702" w:rsidR="00733841" w:rsidRDefault="003B489D" w:rsidP="00733841">
      <w:r>
        <w:t xml:space="preserve">Таблица 11 дает статистику доходности акций </w:t>
      </w:r>
      <w:r>
        <w:rPr>
          <w:lang w:val="en-US"/>
        </w:rPr>
        <w:t>deSPAC</w:t>
      </w:r>
      <w:r>
        <w:t xml:space="preserve"> по годам. </w:t>
      </w:r>
      <w:r w:rsidR="00B37F4C">
        <w:t xml:space="preserve">В рамках заданного временного интервала </w:t>
      </w:r>
      <w:r w:rsidR="000634AC">
        <w:t xml:space="preserve">нельзя выделить четких трендов в отношении доходности </w:t>
      </w:r>
      <w:r w:rsidR="00426B2C">
        <w:t xml:space="preserve">акций </w:t>
      </w:r>
      <w:r w:rsidR="00426B2C">
        <w:rPr>
          <w:lang w:val="en-US"/>
        </w:rPr>
        <w:lastRenderedPageBreak/>
        <w:t>deSPAC</w:t>
      </w:r>
      <w:r w:rsidR="00426B2C">
        <w:t xml:space="preserve">. </w:t>
      </w:r>
      <w:r w:rsidR="00022D09">
        <w:t xml:space="preserve">Максимальную годовую доходность показывали </w:t>
      </w:r>
      <w:r w:rsidR="00D7504B">
        <w:t xml:space="preserve">компании, завершившие сделку в 2016 году, однако выборка довольно сильно ужата, ввиду чего оценка может быть смещена. </w:t>
      </w:r>
      <w:r w:rsidR="000452E4">
        <w:t>Минимальную годовую доходность можно наблюдать в 2021 год</w:t>
      </w:r>
      <w:r w:rsidR="00040368">
        <w:t xml:space="preserve">у, однако </w:t>
      </w:r>
      <w:r w:rsidR="000452E4">
        <w:t xml:space="preserve">данная оценка может быть </w:t>
      </w:r>
      <w:r w:rsidR="00040368">
        <w:t xml:space="preserve">не столь репрезентативна ввиду того, что в рамках данного исследования </w:t>
      </w:r>
      <w:r w:rsidR="00AB17F6">
        <w:t xml:space="preserve">в 2021 год входят компании, </w:t>
      </w:r>
      <w:r w:rsidR="00832ED7">
        <w:t xml:space="preserve">завершившие сделки до марта 2021. </w:t>
      </w:r>
      <w:r w:rsidR="00CB5A80">
        <w:t xml:space="preserve">Тем не менее, </w:t>
      </w:r>
      <w:r w:rsidR="00106225">
        <w:t xml:space="preserve">среди таких компаний большая часть выходила на </w:t>
      </w:r>
      <w:r w:rsidR="00106225">
        <w:rPr>
          <w:lang w:val="en-US"/>
        </w:rPr>
        <w:t>IPO</w:t>
      </w:r>
      <w:r w:rsidR="00106225">
        <w:t xml:space="preserve"> в 2020 году, когда произошел бум </w:t>
      </w:r>
      <w:r w:rsidR="00106225">
        <w:rPr>
          <w:lang w:val="en-US"/>
        </w:rPr>
        <w:t>SPAC</w:t>
      </w:r>
      <w:r w:rsidR="00106225">
        <w:t xml:space="preserve">. </w:t>
      </w:r>
      <w:r w:rsidR="00BF7F56">
        <w:t>Максимальные т</w:t>
      </w:r>
      <w:r w:rsidR="0072269F">
        <w:t xml:space="preserve">рехлетние доходности </w:t>
      </w:r>
      <w:r w:rsidR="00BF7F56">
        <w:t xml:space="preserve">наблюдались у акций тех </w:t>
      </w:r>
      <w:r w:rsidR="00BF7F56">
        <w:rPr>
          <w:lang w:val="en-US"/>
        </w:rPr>
        <w:t>deSPAC</w:t>
      </w:r>
      <w:r w:rsidR="00BF7F56">
        <w:t>, которые завершили сделку в 2018 году</w:t>
      </w:r>
      <w:r w:rsidR="00DA6AEF">
        <w:t>. Несмотря на то, что средневзвешенная оценка значительно ниже среднеарифметической, показатель по-прежнему остается максимальным на рассматриваемом временном интервале.</w:t>
      </w:r>
    </w:p>
    <w:p w14:paraId="0B20537D" w14:textId="2F98F98E" w:rsidR="00411507" w:rsidRDefault="00411507" w:rsidP="0085468A">
      <w:pPr>
        <w:pStyle w:val="a"/>
        <w:spacing w:before="0"/>
        <w:ind w:left="714" w:hanging="357"/>
      </w:pPr>
      <w:r>
        <w:t xml:space="preserve">Доходность акций </w:t>
      </w:r>
      <w:r>
        <w:rPr>
          <w:lang w:val="en-US"/>
        </w:rPr>
        <w:t>deSPAC</w:t>
      </w:r>
      <w:r>
        <w:t xml:space="preserve"> по отраслям</w:t>
      </w:r>
    </w:p>
    <w:tbl>
      <w:tblPr>
        <w:tblStyle w:val="a9"/>
        <w:tblW w:w="11199" w:type="dxa"/>
        <w:tblInd w:w="-1281" w:type="dxa"/>
        <w:tblLook w:val="04A0" w:firstRow="1" w:lastRow="0" w:firstColumn="1" w:lastColumn="0" w:noHBand="0" w:noVBand="1"/>
      </w:tblPr>
      <w:tblGrid>
        <w:gridCol w:w="2007"/>
        <w:gridCol w:w="754"/>
        <w:gridCol w:w="1103"/>
        <w:gridCol w:w="1545"/>
        <w:gridCol w:w="1188"/>
        <w:gridCol w:w="750"/>
        <w:gridCol w:w="1103"/>
        <w:gridCol w:w="1545"/>
        <w:gridCol w:w="1204"/>
      </w:tblGrid>
      <w:tr w:rsidR="00D4437C" w14:paraId="5026F53F" w14:textId="77777777" w:rsidTr="003256EA">
        <w:trPr>
          <w:trHeight w:val="420"/>
        </w:trPr>
        <w:tc>
          <w:tcPr>
            <w:tcW w:w="2007" w:type="dxa"/>
            <w:vMerge w:val="restart"/>
            <w:vAlign w:val="center"/>
          </w:tcPr>
          <w:p w14:paraId="65DB5702" w14:textId="504B9871" w:rsidR="007B249E" w:rsidRPr="000052F7" w:rsidRDefault="000052F7" w:rsidP="003256EA">
            <w:pPr>
              <w:pStyle w:val="ac"/>
            </w:pPr>
            <w:r>
              <w:t>Отрасль</w:t>
            </w:r>
          </w:p>
        </w:tc>
        <w:tc>
          <w:tcPr>
            <w:tcW w:w="4590" w:type="dxa"/>
            <w:gridSpan w:val="4"/>
            <w:vAlign w:val="center"/>
          </w:tcPr>
          <w:p w14:paraId="2AA5D307" w14:textId="77777777" w:rsidR="007B249E" w:rsidRDefault="007B249E" w:rsidP="003256EA">
            <w:pPr>
              <w:pStyle w:val="ac"/>
            </w:pPr>
            <w:r>
              <w:t>1 год</w:t>
            </w:r>
          </w:p>
        </w:tc>
        <w:tc>
          <w:tcPr>
            <w:tcW w:w="4602" w:type="dxa"/>
            <w:gridSpan w:val="4"/>
            <w:vAlign w:val="center"/>
          </w:tcPr>
          <w:p w14:paraId="369D6B37" w14:textId="77777777" w:rsidR="007B249E" w:rsidRDefault="007B249E" w:rsidP="003256EA">
            <w:pPr>
              <w:pStyle w:val="ac"/>
            </w:pPr>
            <w:r>
              <w:t>3 года</w:t>
            </w:r>
          </w:p>
        </w:tc>
      </w:tr>
      <w:tr w:rsidR="00D4437C" w14:paraId="3BC86779" w14:textId="77777777" w:rsidTr="003256EA">
        <w:trPr>
          <w:trHeight w:val="1720"/>
        </w:trPr>
        <w:tc>
          <w:tcPr>
            <w:tcW w:w="2007" w:type="dxa"/>
            <w:vMerge/>
            <w:vAlign w:val="center"/>
          </w:tcPr>
          <w:p w14:paraId="019B4AAE" w14:textId="77777777" w:rsidR="008E68D6" w:rsidRDefault="008E68D6" w:rsidP="003256EA">
            <w:pPr>
              <w:pStyle w:val="ad"/>
              <w:jc w:val="center"/>
            </w:pPr>
          </w:p>
        </w:tc>
        <w:tc>
          <w:tcPr>
            <w:tcW w:w="754" w:type="dxa"/>
            <w:vAlign w:val="center"/>
          </w:tcPr>
          <w:p w14:paraId="3D8CB20E" w14:textId="4F44364D" w:rsidR="008E68D6" w:rsidRDefault="008E68D6" w:rsidP="003256EA">
            <w:pPr>
              <w:pStyle w:val="ac"/>
            </w:pPr>
            <w:r w:rsidRPr="000057F8">
              <w:t>Счет</w:t>
            </w:r>
          </w:p>
        </w:tc>
        <w:tc>
          <w:tcPr>
            <w:tcW w:w="1103" w:type="dxa"/>
            <w:vAlign w:val="center"/>
          </w:tcPr>
          <w:p w14:paraId="59978972" w14:textId="75FAE527" w:rsidR="008E68D6" w:rsidRDefault="008E68D6" w:rsidP="003256EA">
            <w:pPr>
              <w:pStyle w:val="ac"/>
            </w:pPr>
            <w:r w:rsidRPr="000057F8">
              <w:t>Среднее</w:t>
            </w:r>
          </w:p>
        </w:tc>
        <w:tc>
          <w:tcPr>
            <w:tcW w:w="1545" w:type="dxa"/>
            <w:vAlign w:val="center"/>
          </w:tcPr>
          <w:p w14:paraId="2580AEDC" w14:textId="7212D5B6" w:rsidR="008E68D6" w:rsidRPr="00F00C38" w:rsidRDefault="008E68D6" w:rsidP="003256EA">
            <w:pPr>
              <w:pStyle w:val="ac"/>
            </w:pPr>
            <w:r>
              <w:t>Взвешенная средняя</w:t>
            </w:r>
          </w:p>
        </w:tc>
        <w:tc>
          <w:tcPr>
            <w:tcW w:w="1188" w:type="dxa"/>
            <w:vAlign w:val="center"/>
          </w:tcPr>
          <w:p w14:paraId="54C0FC98" w14:textId="5442FC77" w:rsidR="008E68D6" w:rsidRDefault="008E68D6" w:rsidP="003256EA">
            <w:pPr>
              <w:pStyle w:val="ac"/>
            </w:pPr>
            <w:r w:rsidRPr="000057F8">
              <w:t>Медиана</w:t>
            </w:r>
          </w:p>
        </w:tc>
        <w:tc>
          <w:tcPr>
            <w:tcW w:w="750" w:type="dxa"/>
            <w:vAlign w:val="center"/>
          </w:tcPr>
          <w:p w14:paraId="0AA748C9" w14:textId="26BB71B8" w:rsidR="008E68D6" w:rsidRDefault="008E68D6" w:rsidP="003256EA">
            <w:pPr>
              <w:pStyle w:val="ac"/>
            </w:pPr>
            <w:r w:rsidRPr="000057F8">
              <w:t>Счет</w:t>
            </w:r>
          </w:p>
        </w:tc>
        <w:tc>
          <w:tcPr>
            <w:tcW w:w="1103" w:type="dxa"/>
            <w:vAlign w:val="center"/>
          </w:tcPr>
          <w:p w14:paraId="4E9FFA45" w14:textId="0EAB9779" w:rsidR="008E68D6" w:rsidRDefault="008E68D6" w:rsidP="003256EA">
            <w:pPr>
              <w:pStyle w:val="ac"/>
            </w:pPr>
            <w:r w:rsidRPr="000057F8">
              <w:t>Среднее</w:t>
            </w:r>
          </w:p>
        </w:tc>
        <w:tc>
          <w:tcPr>
            <w:tcW w:w="1545" w:type="dxa"/>
            <w:vAlign w:val="center"/>
          </w:tcPr>
          <w:p w14:paraId="6A510C32" w14:textId="64519B17" w:rsidR="008E68D6" w:rsidRDefault="008E68D6" w:rsidP="003256EA">
            <w:pPr>
              <w:pStyle w:val="ac"/>
            </w:pPr>
            <w:r>
              <w:t>Взвешенная средняя</w:t>
            </w:r>
          </w:p>
        </w:tc>
        <w:tc>
          <w:tcPr>
            <w:tcW w:w="1204" w:type="dxa"/>
            <w:vAlign w:val="center"/>
          </w:tcPr>
          <w:p w14:paraId="424DBFEB" w14:textId="07B7B193" w:rsidR="008E68D6" w:rsidRDefault="008E68D6" w:rsidP="003256EA">
            <w:pPr>
              <w:pStyle w:val="ac"/>
            </w:pPr>
            <w:r w:rsidRPr="000057F8">
              <w:t>Медиана</w:t>
            </w:r>
          </w:p>
        </w:tc>
      </w:tr>
      <w:tr w:rsidR="00B968EA" w14:paraId="3A211BF1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12366347" w14:textId="295D2E21" w:rsidR="00B968EA" w:rsidRPr="000052F7" w:rsidRDefault="00B968EA" w:rsidP="003256EA">
            <w:pPr>
              <w:pStyle w:val="ad"/>
              <w:jc w:val="center"/>
              <w:rPr>
                <w:lang w:val="en-US"/>
              </w:rPr>
            </w:pPr>
            <w:r>
              <w:t>Циклические товары и услуги</w:t>
            </w:r>
          </w:p>
        </w:tc>
        <w:tc>
          <w:tcPr>
            <w:tcW w:w="754" w:type="dxa"/>
            <w:vAlign w:val="center"/>
          </w:tcPr>
          <w:p w14:paraId="4B8B57DC" w14:textId="1E4E91D8" w:rsidR="00B968EA" w:rsidRPr="00006E23" w:rsidRDefault="00B968EA" w:rsidP="003256EA">
            <w:pPr>
              <w:pStyle w:val="ad"/>
              <w:jc w:val="center"/>
            </w:pPr>
            <w:r w:rsidRPr="00DA085A">
              <w:t>30</w:t>
            </w:r>
          </w:p>
        </w:tc>
        <w:tc>
          <w:tcPr>
            <w:tcW w:w="1103" w:type="dxa"/>
            <w:vAlign w:val="center"/>
          </w:tcPr>
          <w:p w14:paraId="3BB66E2F" w14:textId="473DDC8B" w:rsidR="00B968EA" w:rsidRPr="00006E23" w:rsidRDefault="00B968EA" w:rsidP="003256EA">
            <w:pPr>
              <w:pStyle w:val="ad"/>
              <w:jc w:val="center"/>
            </w:pPr>
            <w:r w:rsidRPr="00DA085A">
              <w:t>-45,8%</w:t>
            </w:r>
          </w:p>
        </w:tc>
        <w:tc>
          <w:tcPr>
            <w:tcW w:w="1545" w:type="dxa"/>
            <w:vAlign w:val="center"/>
          </w:tcPr>
          <w:p w14:paraId="60ADE40E" w14:textId="2B428881" w:rsidR="00B968EA" w:rsidRPr="00006E23" w:rsidRDefault="00B968EA" w:rsidP="003256EA">
            <w:pPr>
              <w:pStyle w:val="ad"/>
              <w:jc w:val="center"/>
            </w:pPr>
            <w:r w:rsidRPr="00DA085A">
              <w:t>-40,9%</w:t>
            </w:r>
          </w:p>
        </w:tc>
        <w:tc>
          <w:tcPr>
            <w:tcW w:w="1188" w:type="dxa"/>
            <w:vAlign w:val="center"/>
          </w:tcPr>
          <w:p w14:paraId="0A12C4E8" w14:textId="327B85B2" w:rsidR="00B968EA" w:rsidRPr="00006E23" w:rsidRDefault="00B968EA" w:rsidP="003256EA">
            <w:pPr>
              <w:pStyle w:val="ad"/>
              <w:jc w:val="center"/>
            </w:pPr>
            <w:r w:rsidRPr="00DA085A">
              <w:t>-56,4%</w:t>
            </w:r>
          </w:p>
        </w:tc>
        <w:tc>
          <w:tcPr>
            <w:tcW w:w="750" w:type="dxa"/>
            <w:vAlign w:val="center"/>
          </w:tcPr>
          <w:p w14:paraId="0D18A744" w14:textId="53D74EFF" w:rsidR="00B968EA" w:rsidRPr="00FB3C60" w:rsidRDefault="00B968EA" w:rsidP="003256EA">
            <w:pPr>
              <w:pStyle w:val="ad"/>
              <w:jc w:val="center"/>
            </w:pPr>
            <w:r w:rsidRPr="00FB3C60">
              <w:t>5</w:t>
            </w:r>
          </w:p>
        </w:tc>
        <w:tc>
          <w:tcPr>
            <w:tcW w:w="1103" w:type="dxa"/>
            <w:vAlign w:val="center"/>
          </w:tcPr>
          <w:p w14:paraId="05D58AE9" w14:textId="05FE8161" w:rsidR="00B968EA" w:rsidRPr="00FB3C60" w:rsidRDefault="00B968EA" w:rsidP="003256EA">
            <w:pPr>
              <w:pStyle w:val="ad"/>
              <w:jc w:val="center"/>
            </w:pPr>
            <w:r w:rsidRPr="00FB3C60">
              <w:t>-11,8%</w:t>
            </w:r>
          </w:p>
        </w:tc>
        <w:tc>
          <w:tcPr>
            <w:tcW w:w="1545" w:type="dxa"/>
            <w:vAlign w:val="center"/>
          </w:tcPr>
          <w:p w14:paraId="6C3ED0C1" w14:textId="0FB61991" w:rsidR="00B968EA" w:rsidRPr="00FB3C60" w:rsidRDefault="00B968EA" w:rsidP="003256EA">
            <w:pPr>
              <w:pStyle w:val="ad"/>
              <w:jc w:val="center"/>
            </w:pPr>
            <w:r w:rsidRPr="00FB3C60">
              <w:t>-40,6%</w:t>
            </w:r>
          </w:p>
        </w:tc>
        <w:tc>
          <w:tcPr>
            <w:tcW w:w="1204" w:type="dxa"/>
            <w:vAlign w:val="center"/>
          </w:tcPr>
          <w:p w14:paraId="40DB5A39" w14:textId="57FF9369" w:rsidR="00B968EA" w:rsidRPr="00FB3C60" w:rsidRDefault="00B968EA" w:rsidP="003256EA">
            <w:pPr>
              <w:pStyle w:val="ad"/>
              <w:jc w:val="center"/>
            </w:pPr>
            <w:r w:rsidRPr="00FB3C60">
              <w:t>-43,6%</w:t>
            </w:r>
          </w:p>
        </w:tc>
      </w:tr>
      <w:tr w:rsidR="0070254B" w14:paraId="276F2571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2339C139" w14:textId="26C2CECB" w:rsidR="0070254B" w:rsidRPr="00006E23" w:rsidRDefault="0070254B" w:rsidP="003256EA">
            <w:pPr>
              <w:pStyle w:val="ad"/>
              <w:jc w:val="center"/>
            </w:pPr>
            <w:r>
              <w:t>Технологии</w:t>
            </w:r>
          </w:p>
        </w:tc>
        <w:tc>
          <w:tcPr>
            <w:tcW w:w="754" w:type="dxa"/>
            <w:vAlign w:val="center"/>
          </w:tcPr>
          <w:p w14:paraId="79B664EC" w14:textId="47C4C66B" w:rsidR="0070254B" w:rsidRPr="00006E23" w:rsidRDefault="0070254B" w:rsidP="003256EA">
            <w:pPr>
              <w:pStyle w:val="ad"/>
              <w:jc w:val="center"/>
            </w:pPr>
            <w:r w:rsidRPr="00DA085A">
              <w:t>25</w:t>
            </w:r>
          </w:p>
        </w:tc>
        <w:tc>
          <w:tcPr>
            <w:tcW w:w="1103" w:type="dxa"/>
            <w:vAlign w:val="center"/>
          </w:tcPr>
          <w:p w14:paraId="654A9AEF" w14:textId="62FCDF05" w:rsidR="0070254B" w:rsidRPr="00006E23" w:rsidRDefault="0070254B" w:rsidP="003256EA">
            <w:pPr>
              <w:pStyle w:val="ad"/>
              <w:jc w:val="center"/>
            </w:pPr>
            <w:r w:rsidRPr="00DA085A">
              <w:t>-45,1%</w:t>
            </w:r>
          </w:p>
        </w:tc>
        <w:tc>
          <w:tcPr>
            <w:tcW w:w="1545" w:type="dxa"/>
            <w:vAlign w:val="center"/>
          </w:tcPr>
          <w:p w14:paraId="7A269D8F" w14:textId="1A04AF17" w:rsidR="0070254B" w:rsidRPr="00006E23" w:rsidRDefault="0070254B" w:rsidP="003256EA">
            <w:pPr>
              <w:pStyle w:val="ad"/>
              <w:jc w:val="center"/>
            </w:pPr>
            <w:r w:rsidRPr="00DA085A">
              <w:t>-44,5%</w:t>
            </w:r>
          </w:p>
        </w:tc>
        <w:tc>
          <w:tcPr>
            <w:tcW w:w="1188" w:type="dxa"/>
            <w:vAlign w:val="center"/>
          </w:tcPr>
          <w:p w14:paraId="367775E1" w14:textId="40BDCAE4" w:rsidR="0070254B" w:rsidRPr="00006E23" w:rsidRDefault="0070254B" w:rsidP="003256EA">
            <w:pPr>
              <w:pStyle w:val="ad"/>
              <w:jc w:val="center"/>
            </w:pPr>
            <w:r w:rsidRPr="00DA085A">
              <w:t>-48,7%</w:t>
            </w:r>
          </w:p>
        </w:tc>
        <w:tc>
          <w:tcPr>
            <w:tcW w:w="750" w:type="dxa"/>
            <w:vAlign w:val="center"/>
          </w:tcPr>
          <w:p w14:paraId="1FF20731" w14:textId="2DD5DB75" w:rsidR="0070254B" w:rsidRPr="00FB3C60" w:rsidRDefault="0070254B" w:rsidP="003256EA">
            <w:pPr>
              <w:pStyle w:val="ad"/>
              <w:jc w:val="center"/>
            </w:pPr>
            <w:r w:rsidRPr="00FB3C60">
              <w:t>6</w:t>
            </w:r>
          </w:p>
        </w:tc>
        <w:tc>
          <w:tcPr>
            <w:tcW w:w="1103" w:type="dxa"/>
            <w:vAlign w:val="center"/>
          </w:tcPr>
          <w:p w14:paraId="230A9D19" w14:textId="0050F5C5" w:rsidR="0070254B" w:rsidRPr="00FB3C60" w:rsidRDefault="0070254B" w:rsidP="003256EA">
            <w:pPr>
              <w:pStyle w:val="ad"/>
              <w:jc w:val="center"/>
            </w:pPr>
            <w:r w:rsidRPr="00FB3C60">
              <w:t>-65,2%</w:t>
            </w:r>
          </w:p>
        </w:tc>
        <w:tc>
          <w:tcPr>
            <w:tcW w:w="1545" w:type="dxa"/>
            <w:vAlign w:val="center"/>
          </w:tcPr>
          <w:p w14:paraId="693987B2" w14:textId="3CF12703" w:rsidR="0070254B" w:rsidRPr="00FB3C60" w:rsidRDefault="0070254B" w:rsidP="003256EA">
            <w:pPr>
              <w:pStyle w:val="ad"/>
              <w:jc w:val="center"/>
            </w:pPr>
            <w:r w:rsidRPr="00FB3C60">
              <w:t>-58,1%</w:t>
            </w:r>
          </w:p>
        </w:tc>
        <w:tc>
          <w:tcPr>
            <w:tcW w:w="1204" w:type="dxa"/>
            <w:vAlign w:val="center"/>
          </w:tcPr>
          <w:p w14:paraId="5F1799AB" w14:textId="0A726A86" w:rsidR="0070254B" w:rsidRPr="00FB3C60" w:rsidRDefault="0070254B" w:rsidP="003256EA">
            <w:pPr>
              <w:pStyle w:val="ad"/>
              <w:jc w:val="center"/>
            </w:pPr>
            <w:r w:rsidRPr="00FB3C60">
              <w:t>-69,7%</w:t>
            </w:r>
          </w:p>
        </w:tc>
      </w:tr>
      <w:tr w:rsidR="00DA3758" w14:paraId="66C4AAA7" w14:textId="77777777" w:rsidTr="003256EA">
        <w:trPr>
          <w:trHeight w:val="433"/>
        </w:trPr>
        <w:tc>
          <w:tcPr>
            <w:tcW w:w="2007" w:type="dxa"/>
            <w:vAlign w:val="center"/>
          </w:tcPr>
          <w:p w14:paraId="6DFC1E3D" w14:textId="53DC17F2" w:rsidR="00DA3758" w:rsidRPr="00006E23" w:rsidRDefault="00DA3758" w:rsidP="003256EA">
            <w:pPr>
              <w:pStyle w:val="ad"/>
              <w:jc w:val="center"/>
            </w:pPr>
            <w:r>
              <w:t>Нециклические товары и услуги</w:t>
            </w:r>
          </w:p>
        </w:tc>
        <w:tc>
          <w:tcPr>
            <w:tcW w:w="754" w:type="dxa"/>
            <w:vAlign w:val="center"/>
          </w:tcPr>
          <w:p w14:paraId="7C210138" w14:textId="4C1D55E2" w:rsidR="00DA3758" w:rsidRPr="00006E23" w:rsidRDefault="00DA3758" w:rsidP="003256EA">
            <w:pPr>
              <w:pStyle w:val="ad"/>
              <w:jc w:val="center"/>
            </w:pPr>
            <w:r w:rsidRPr="00DA085A">
              <w:t>7</w:t>
            </w:r>
          </w:p>
        </w:tc>
        <w:tc>
          <w:tcPr>
            <w:tcW w:w="1103" w:type="dxa"/>
            <w:vAlign w:val="center"/>
          </w:tcPr>
          <w:p w14:paraId="1938B350" w14:textId="1C749CC4" w:rsidR="00DA3758" w:rsidRPr="00006E23" w:rsidRDefault="00DA3758" w:rsidP="003256EA">
            <w:pPr>
              <w:pStyle w:val="ad"/>
              <w:jc w:val="center"/>
            </w:pPr>
            <w:r w:rsidRPr="00DA085A">
              <w:t>-17,8%</w:t>
            </w:r>
          </w:p>
        </w:tc>
        <w:tc>
          <w:tcPr>
            <w:tcW w:w="1545" w:type="dxa"/>
            <w:vAlign w:val="center"/>
          </w:tcPr>
          <w:p w14:paraId="2F43C22E" w14:textId="40AEC0A1" w:rsidR="00DA3758" w:rsidRPr="00006E23" w:rsidRDefault="00DA3758" w:rsidP="003256EA">
            <w:pPr>
              <w:pStyle w:val="ad"/>
              <w:jc w:val="center"/>
            </w:pPr>
            <w:r w:rsidRPr="00DA085A">
              <w:t>2,6%</w:t>
            </w:r>
          </w:p>
        </w:tc>
        <w:tc>
          <w:tcPr>
            <w:tcW w:w="1188" w:type="dxa"/>
            <w:vAlign w:val="center"/>
          </w:tcPr>
          <w:p w14:paraId="557D2870" w14:textId="0B20A786" w:rsidR="00DA3758" w:rsidRPr="00006E23" w:rsidRDefault="00DA3758" w:rsidP="003256EA">
            <w:pPr>
              <w:pStyle w:val="ad"/>
              <w:jc w:val="center"/>
            </w:pPr>
            <w:r w:rsidRPr="00DA085A">
              <w:t>-26,6%</w:t>
            </w:r>
          </w:p>
        </w:tc>
        <w:tc>
          <w:tcPr>
            <w:tcW w:w="750" w:type="dxa"/>
            <w:vAlign w:val="center"/>
          </w:tcPr>
          <w:p w14:paraId="3D8546B3" w14:textId="3C1C27A4" w:rsidR="00DA3758" w:rsidRPr="00FB3C60" w:rsidRDefault="00DA3758" w:rsidP="003256EA">
            <w:pPr>
              <w:pStyle w:val="ad"/>
              <w:jc w:val="center"/>
            </w:pPr>
            <w:r w:rsidRPr="00FB3C60">
              <w:t>1</w:t>
            </w:r>
          </w:p>
        </w:tc>
        <w:tc>
          <w:tcPr>
            <w:tcW w:w="1103" w:type="dxa"/>
            <w:vAlign w:val="center"/>
          </w:tcPr>
          <w:p w14:paraId="3CF61E17" w14:textId="1F299606" w:rsidR="00DA3758" w:rsidRPr="00FB3C60" w:rsidRDefault="00DA3758" w:rsidP="003256EA">
            <w:pPr>
              <w:pStyle w:val="ad"/>
              <w:jc w:val="center"/>
            </w:pPr>
            <w:r w:rsidRPr="00FB3C60">
              <w:t>75,2%</w:t>
            </w:r>
          </w:p>
        </w:tc>
        <w:tc>
          <w:tcPr>
            <w:tcW w:w="1545" w:type="dxa"/>
            <w:vAlign w:val="center"/>
          </w:tcPr>
          <w:p w14:paraId="48ED22C2" w14:textId="196D16AF" w:rsidR="00DA3758" w:rsidRPr="00FB3C60" w:rsidRDefault="00DA3758" w:rsidP="003256EA">
            <w:pPr>
              <w:pStyle w:val="ad"/>
              <w:jc w:val="center"/>
            </w:pPr>
            <w:r w:rsidRPr="00FB3C60">
              <w:t>75,2%</w:t>
            </w:r>
          </w:p>
        </w:tc>
        <w:tc>
          <w:tcPr>
            <w:tcW w:w="1204" w:type="dxa"/>
            <w:vAlign w:val="center"/>
          </w:tcPr>
          <w:p w14:paraId="4C5B547A" w14:textId="090BFB63" w:rsidR="00DA3758" w:rsidRPr="00FB3C60" w:rsidRDefault="00DA3758" w:rsidP="003256EA">
            <w:pPr>
              <w:pStyle w:val="ad"/>
              <w:jc w:val="center"/>
            </w:pPr>
            <w:r w:rsidRPr="00FB3C60">
              <w:t>75,2%</w:t>
            </w:r>
          </w:p>
        </w:tc>
      </w:tr>
      <w:tr w:rsidR="00B70631" w14:paraId="5465392C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21D3BCCF" w14:textId="46D5B63B" w:rsidR="00B70631" w:rsidRPr="00006E23" w:rsidRDefault="00B70631" w:rsidP="003256EA">
            <w:pPr>
              <w:pStyle w:val="ad"/>
              <w:jc w:val="center"/>
            </w:pPr>
            <w:r>
              <w:t>Здравоохранение</w:t>
            </w:r>
          </w:p>
        </w:tc>
        <w:tc>
          <w:tcPr>
            <w:tcW w:w="754" w:type="dxa"/>
            <w:vAlign w:val="center"/>
          </w:tcPr>
          <w:p w14:paraId="52FF1981" w14:textId="7EC77AA5" w:rsidR="00B70631" w:rsidRPr="00006E23" w:rsidRDefault="00B70631" w:rsidP="003256EA">
            <w:pPr>
              <w:pStyle w:val="ad"/>
              <w:jc w:val="center"/>
            </w:pPr>
            <w:r w:rsidRPr="00DA085A">
              <w:t>16</w:t>
            </w:r>
          </w:p>
        </w:tc>
        <w:tc>
          <w:tcPr>
            <w:tcW w:w="1103" w:type="dxa"/>
            <w:vAlign w:val="center"/>
          </w:tcPr>
          <w:p w14:paraId="1F824E92" w14:textId="45B90A45" w:rsidR="00B70631" w:rsidRPr="00006E23" w:rsidRDefault="00B70631" w:rsidP="003256EA">
            <w:pPr>
              <w:pStyle w:val="ad"/>
              <w:jc w:val="center"/>
            </w:pPr>
            <w:r w:rsidRPr="00DA085A">
              <w:t>-40,4%</w:t>
            </w:r>
          </w:p>
        </w:tc>
        <w:tc>
          <w:tcPr>
            <w:tcW w:w="1545" w:type="dxa"/>
            <w:vAlign w:val="center"/>
          </w:tcPr>
          <w:p w14:paraId="650CEF4F" w14:textId="66CBDC7F" w:rsidR="00B70631" w:rsidRPr="00006E23" w:rsidRDefault="00B70631" w:rsidP="003256EA">
            <w:pPr>
              <w:pStyle w:val="ad"/>
              <w:jc w:val="center"/>
            </w:pPr>
            <w:r w:rsidRPr="00DA085A">
              <w:t>-44,6%</w:t>
            </w:r>
          </w:p>
        </w:tc>
        <w:tc>
          <w:tcPr>
            <w:tcW w:w="1188" w:type="dxa"/>
            <w:vAlign w:val="center"/>
          </w:tcPr>
          <w:p w14:paraId="3C459359" w14:textId="35D6CF66" w:rsidR="00B70631" w:rsidRPr="00006E23" w:rsidRDefault="00B70631" w:rsidP="003256EA">
            <w:pPr>
              <w:pStyle w:val="ad"/>
              <w:jc w:val="center"/>
            </w:pPr>
            <w:r w:rsidRPr="00DA085A">
              <w:t>-56,9%</w:t>
            </w:r>
          </w:p>
        </w:tc>
        <w:tc>
          <w:tcPr>
            <w:tcW w:w="750" w:type="dxa"/>
            <w:vAlign w:val="center"/>
          </w:tcPr>
          <w:p w14:paraId="54329B84" w14:textId="161464C2" w:rsidR="00B70631" w:rsidRPr="00FB3C60" w:rsidRDefault="00B70631" w:rsidP="003256EA">
            <w:pPr>
              <w:pStyle w:val="ad"/>
              <w:jc w:val="center"/>
            </w:pPr>
            <w:r w:rsidRPr="00FB3C60">
              <w:t>2</w:t>
            </w:r>
          </w:p>
        </w:tc>
        <w:tc>
          <w:tcPr>
            <w:tcW w:w="1103" w:type="dxa"/>
            <w:vAlign w:val="center"/>
          </w:tcPr>
          <w:p w14:paraId="3484FD28" w14:textId="276A1336" w:rsidR="00B70631" w:rsidRPr="00FB3C60" w:rsidRDefault="00B70631" w:rsidP="003256EA">
            <w:pPr>
              <w:pStyle w:val="ad"/>
              <w:jc w:val="center"/>
            </w:pPr>
            <w:r w:rsidRPr="00FB3C60">
              <w:t>9,4%</w:t>
            </w:r>
          </w:p>
        </w:tc>
        <w:tc>
          <w:tcPr>
            <w:tcW w:w="1545" w:type="dxa"/>
            <w:vAlign w:val="center"/>
          </w:tcPr>
          <w:p w14:paraId="6CF0B814" w14:textId="2B6FC2F4" w:rsidR="00B70631" w:rsidRPr="00FB3C60" w:rsidRDefault="00B70631" w:rsidP="003256EA">
            <w:pPr>
              <w:pStyle w:val="ad"/>
              <w:jc w:val="center"/>
            </w:pPr>
            <w:r w:rsidRPr="00FB3C60">
              <w:t>12,2%</w:t>
            </w:r>
          </w:p>
        </w:tc>
        <w:tc>
          <w:tcPr>
            <w:tcW w:w="1204" w:type="dxa"/>
            <w:vAlign w:val="center"/>
          </w:tcPr>
          <w:p w14:paraId="69D2BB38" w14:textId="7996D74A" w:rsidR="00B70631" w:rsidRPr="00FB3C60" w:rsidRDefault="00B70631" w:rsidP="003256EA">
            <w:pPr>
              <w:pStyle w:val="ad"/>
              <w:jc w:val="center"/>
            </w:pPr>
            <w:r w:rsidRPr="00FB3C60">
              <w:t>9,4%</w:t>
            </w:r>
          </w:p>
        </w:tc>
      </w:tr>
      <w:tr w:rsidR="00B70631" w14:paraId="71061118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4A4F210E" w14:textId="5820D0D8" w:rsidR="00B70631" w:rsidRPr="00006E23" w:rsidRDefault="00B70631" w:rsidP="003256EA">
            <w:pPr>
              <w:pStyle w:val="ad"/>
              <w:jc w:val="center"/>
            </w:pPr>
            <w:r>
              <w:t>Тяжелая промышленность</w:t>
            </w:r>
          </w:p>
        </w:tc>
        <w:tc>
          <w:tcPr>
            <w:tcW w:w="754" w:type="dxa"/>
            <w:vAlign w:val="center"/>
          </w:tcPr>
          <w:p w14:paraId="58B3E848" w14:textId="0CDF5F0A" w:rsidR="00B70631" w:rsidRPr="00006E23" w:rsidRDefault="00B70631" w:rsidP="003256EA">
            <w:pPr>
              <w:pStyle w:val="ad"/>
              <w:jc w:val="center"/>
            </w:pPr>
            <w:r w:rsidRPr="00DA085A">
              <w:t>21</w:t>
            </w:r>
          </w:p>
        </w:tc>
        <w:tc>
          <w:tcPr>
            <w:tcW w:w="1103" w:type="dxa"/>
            <w:vAlign w:val="center"/>
          </w:tcPr>
          <w:p w14:paraId="08E2F5F7" w14:textId="704DB415" w:rsidR="00B70631" w:rsidRPr="00006E23" w:rsidRDefault="00B70631" w:rsidP="003256EA">
            <w:pPr>
              <w:pStyle w:val="ad"/>
              <w:jc w:val="center"/>
            </w:pPr>
            <w:r w:rsidRPr="00DA085A">
              <w:t>-8,5%</w:t>
            </w:r>
          </w:p>
        </w:tc>
        <w:tc>
          <w:tcPr>
            <w:tcW w:w="1545" w:type="dxa"/>
            <w:vAlign w:val="center"/>
          </w:tcPr>
          <w:p w14:paraId="0602B61D" w14:textId="70028555" w:rsidR="00B70631" w:rsidRPr="00006E23" w:rsidRDefault="00B70631" w:rsidP="003256EA">
            <w:pPr>
              <w:pStyle w:val="ad"/>
              <w:jc w:val="center"/>
            </w:pPr>
            <w:r w:rsidRPr="00DA085A">
              <w:t>2,6%</w:t>
            </w:r>
          </w:p>
        </w:tc>
        <w:tc>
          <w:tcPr>
            <w:tcW w:w="1188" w:type="dxa"/>
            <w:vAlign w:val="center"/>
          </w:tcPr>
          <w:p w14:paraId="31111E8C" w14:textId="2BC209E3" w:rsidR="00B70631" w:rsidRPr="00006E23" w:rsidRDefault="00B70631" w:rsidP="003256EA">
            <w:pPr>
              <w:pStyle w:val="ad"/>
              <w:jc w:val="center"/>
            </w:pPr>
            <w:r w:rsidRPr="00DA085A">
              <w:t>-10,7%</w:t>
            </w:r>
          </w:p>
        </w:tc>
        <w:tc>
          <w:tcPr>
            <w:tcW w:w="750" w:type="dxa"/>
            <w:vAlign w:val="center"/>
          </w:tcPr>
          <w:p w14:paraId="78CDBA8C" w14:textId="11C5CA9C" w:rsidR="00B70631" w:rsidRPr="00FB3C60" w:rsidRDefault="00B70631" w:rsidP="003256EA">
            <w:pPr>
              <w:pStyle w:val="ad"/>
              <w:jc w:val="center"/>
            </w:pPr>
            <w:r w:rsidRPr="00FB3C60">
              <w:t>6</w:t>
            </w:r>
          </w:p>
        </w:tc>
        <w:tc>
          <w:tcPr>
            <w:tcW w:w="1103" w:type="dxa"/>
            <w:vAlign w:val="center"/>
          </w:tcPr>
          <w:p w14:paraId="077A76F6" w14:textId="6BFA820F" w:rsidR="00B70631" w:rsidRPr="00FB3C60" w:rsidRDefault="00B70631" w:rsidP="003256EA">
            <w:pPr>
              <w:pStyle w:val="ad"/>
              <w:jc w:val="center"/>
            </w:pPr>
            <w:r w:rsidRPr="00FB3C60">
              <w:t>15,5%</w:t>
            </w:r>
          </w:p>
        </w:tc>
        <w:tc>
          <w:tcPr>
            <w:tcW w:w="1545" w:type="dxa"/>
            <w:vAlign w:val="center"/>
          </w:tcPr>
          <w:p w14:paraId="003276A4" w14:textId="045C6CEB" w:rsidR="00B70631" w:rsidRPr="00FB3C60" w:rsidRDefault="00B70631" w:rsidP="003256EA">
            <w:pPr>
              <w:pStyle w:val="ad"/>
              <w:jc w:val="center"/>
            </w:pPr>
            <w:r w:rsidRPr="00FB3C60">
              <w:t>13,6%</w:t>
            </w:r>
          </w:p>
        </w:tc>
        <w:tc>
          <w:tcPr>
            <w:tcW w:w="1204" w:type="dxa"/>
            <w:vAlign w:val="center"/>
          </w:tcPr>
          <w:p w14:paraId="2AFE18B1" w14:textId="68CB2366" w:rsidR="00B70631" w:rsidRPr="00FB3C60" w:rsidRDefault="00B70631" w:rsidP="003256EA">
            <w:pPr>
              <w:pStyle w:val="ad"/>
              <w:jc w:val="center"/>
            </w:pPr>
            <w:r w:rsidRPr="00FB3C60">
              <w:t>39,8%</w:t>
            </w:r>
          </w:p>
        </w:tc>
      </w:tr>
      <w:tr w:rsidR="00BA1E39" w14:paraId="6EF8DE15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10CAC94C" w14:textId="4D8240DA" w:rsidR="00BA1E39" w:rsidRPr="00006E23" w:rsidRDefault="00BA1E39" w:rsidP="003256EA">
            <w:pPr>
              <w:pStyle w:val="ad"/>
              <w:jc w:val="center"/>
            </w:pPr>
            <w:r>
              <w:t>Основные материалы</w:t>
            </w:r>
          </w:p>
        </w:tc>
        <w:tc>
          <w:tcPr>
            <w:tcW w:w="754" w:type="dxa"/>
            <w:vAlign w:val="center"/>
          </w:tcPr>
          <w:p w14:paraId="4E991A96" w14:textId="4E02149E" w:rsidR="00BA1E39" w:rsidRPr="00006E23" w:rsidRDefault="00BA1E39" w:rsidP="003256EA">
            <w:pPr>
              <w:pStyle w:val="ad"/>
              <w:jc w:val="center"/>
            </w:pPr>
            <w:r w:rsidRPr="00DA085A">
              <w:t>4</w:t>
            </w:r>
          </w:p>
        </w:tc>
        <w:tc>
          <w:tcPr>
            <w:tcW w:w="1103" w:type="dxa"/>
            <w:vAlign w:val="center"/>
          </w:tcPr>
          <w:p w14:paraId="629DCC40" w14:textId="40DDD25B" w:rsidR="00BA1E39" w:rsidRPr="00006E23" w:rsidRDefault="00BA1E39" w:rsidP="003256EA">
            <w:pPr>
              <w:pStyle w:val="ad"/>
              <w:jc w:val="center"/>
            </w:pPr>
            <w:r w:rsidRPr="00DA085A">
              <w:t>-40,9%</w:t>
            </w:r>
          </w:p>
        </w:tc>
        <w:tc>
          <w:tcPr>
            <w:tcW w:w="1545" w:type="dxa"/>
            <w:vAlign w:val="center"/>
          </w:tcPr>
          <w:p w14:paraId="5AB19255" w14:textId="18DBC88C" w:rsidR="00BA1E39" w:rsidRPr="00006E23" w:rsidRDefault="00BA1E39" w:rsidP="003256EA">
            <w:pPr>
              <w:pStyle w:val="ad"/>
              <w:jc w:val="center"/>
            </w:pPr>
            <w:r w:rsidRPr="00DA085A">
              <w:t>-42,2%</w:t>
            </w:r>
          </w:p>
        </w:tc>
        <w:tc>
          <w:tcPr>
            <w:tcW w:w="1188" w:type="dxa"/>
            <w:vAlign w:val="center"/>
          </w:tcPr>
          <w:p w14:paraId="6947B3F9" w14:textId="42A97462" w:rsidR="00BA1E39" w:rsidRPr="00006E23" w:rsidRDefault="00BA1E39" w:rsidP="003256EA">
            <w:pPr>
              <w:pStyle w:val="ad"/>
              <w:jc w:val="center"/>
            </w:pPr>
            <w:r w:rsidRPr="00DA085A">
              <w:t>-44,6%</w:t>
            </w:r>
          </w:p>
        </w:tc>
        <w:tc>
          <w:tcPr>
            <w:tcW w:w="750" w:type="dxa"/>
            <w:vAlign w:val="center"/>
          </w:tcPr>
          <w:p w14:paraId="7ED04346" w14:textId="0775A77D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103" w:type="dxa"/>
            <w:vAlign w:val="center"/>
          </w:tcPr>
          <w:p w14:paraId="16B1E33F" w14:textId="47A70A27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545" w:type="dxa"/>
            <w:vAlign w:val="center"/>
          </w:tcPr>
          <w:p w14:paraId="4167A374" w14:textId="6E3D464B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204" w:type="dxa"/>
            <w:vAlign w:val="center"/>
          </w:tcPr>
          <w:p w14:paraId="3FF6827D" w14:textId="3FBE9A11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</w:tr>
      <w:tr w:rsidR="006C6B5E" w14:paraId="2074ADBA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3D58498E" w14:textId="016F3538" w:rsidR="006C6B5E" w:rsidRPr="00006E23" w:rsidRDefault="006C6B5E" w:rsidP="003256EA">
            <w:pPr>
              <w:pStyle w:val="ad"/>
              <w:jc w:val="center"/>
            </w:pPr>
            <w:r>
              <w:t>Коммунальные услуги</w:t>
            </w:r>
          </w:p>
        </w:tc>
        <w:tc>
          <w:tcPr>
            <w:tcW w:w="754" w:type="dxa"/>
            <w:vAlign w:val="center"/>
          </w:tcPr>
          <w:p w14:paraId="7F0A98DC" w14:textId="79E29F0D" w:rsidR="006C6B5E" w:rsidRPr="00006E23" w:rsidRDefault="006C6B5E" w:rsidP="003256EA">
            <w:pPr>
              <w:pStyle w:val="ad"/>
              <w:jc w:val="center"/>
            </w:pPr>
            <w:r w:rsidRPr="00DA085A">
              <w:t>2</w:t>
            </w:r>
          </w:p>
        </w:tc>
        <w:tc>
          <w:tcPr>
            <w:tcW w:w="1103" w:type="dxa"/>
            <w:vAlign w:val="center"/>
          </w:tcPr>
          <w:p w14:paraId="54972CAD" w14:textId="05FCB28F" w:rsidR="006C6B5E" w:rsidRPr="00006E23" w:rsidRDefault="006C6B5E" w:rsidP="003256EA">
            <w:pPr>
              <w:pStyle w:val="ad"/>
              <w:jc w:val="center"/>
            </w:pPr>
            <w:r w:rsidRPr="00DA085A">
              <w:t>-50,5%</w:t>
            </w:r>
          </w:p>
        </w:tc>
        <w:tc>
          <w:tcPr>
            <w:tcW w:w="1545" w:type="dxa"/>
            <w:vAlign w:val="center"/>
          </w:tcPr>
          <w:p w14:paraId="4699D352" w14:textId="4A5ABCBD" w:rsidR="006C6B5E" w:rsidRPr="00006E23" w:rsidRDefault="006C6B5E" w:rsidP="003256EA">
            <w:pPr>
              <w:pStyle w:val="ad"/>
              <w:jc w:val="center"/>
            </w:pPr>
            <w:r w:rsidRPr="00DA085A">
              <w:t>-52,4%</w:t>
            </w:r>
          </w:p>
        </w:tc>
        <w:tc>
          <w:tcPr>
            <w:tcW w:w="1188" w:type="dxa"/>
            <w:vAlign w:val="center"/>
          </w:tcPr>
          <w:p w14:paraId="164CCEE7" w14:textId="16077F9F" w:rsidR="006C6B5E" w:rsidRPr="00006E23" w:rsidRDefault="006C6B5E" w:rsidP="003256EA">
            <w:pPr>
              <w:pStyle w:val="ad"/>
              <w:jc w:val="center"/>
            </w:pPr>
            <w:r w:rsidRPr="00DA085A">
              <w:t>-50,5%</w:t>
            </w:r>
          </w:p>
        </w:tc>
        <w:tc>
          <w:tcPr>
            <w:tcW w:w="750" w:type="dxa"/>
            <w:vAlign w:val="center"/>
          </w:tcPr>
          <w:p w14:paraId="1BAA2CCB" w14:textId="630D27B7" w:rsidR="006C6B5E" w:rsidRPr="00FB3C60" w:rsidRDefault="006C6B5E" w:rsidP="003256EA">
            <w:pPr>
              <w:pStyle w:val="ad"/>
              <w:jc w:val="center"/>
            </w:pPr>
            <w:r w:rsidRPr="00FB3C60">
              <w:t>1</w:t>
            </w:r>
          </w:p>
        </w:tc>
        <w:tc>
          <w:tcPr>
            <w:tcW w:w="1103" w:type="dxa"/>
            <w:vAlign w:val="center"/>
          </w:tcPr>
          <w:p w14:paraId="6A85160D" w14:textId="0AB972AC" w:rsidR="006C6B5E" w:rsidRPr="00FB3C60" w:rsidRDefault="006C6B5E" w:rsidP="003256EA">
            <w:pPr>
              <w:pStyle w:val="ad"/>
              <w:jc w:val="center"/>
            </w:pPr>
            <w:r w:rsidRPr="00FB3C60">
              <w:t>-80,9%</w:t>
            </w:r>
          </w:p>
        </w:tc>
        <w:tc>
          <w:tcPr>
            <w:tcW w:w="1545" w:type="dxa"/>
            <w:vAlign w:val="center"/>
          </w:tcPr>
          <w:p w14:paraId="0EABD44E" w14:textId="0770E623" w:rsidR="006C6B5E" w:rsidRPr="00FB3C60" w:rsidRDefault="006C6B5E" w:rsidP="003256EA">
            <w:pPr>
              <w:pStyle w:val="ad"/>
              <w:jc w:val="center"/>
            </w:pPr>
            <w:r w:rsidRPr="00FB3C60">
              <w:t>-80,9%</w:t>
            </w:r>
          </w:p>
        </w:tc>
        <w:tc>
          <w:tcPr>
            <w:tcW w:w="1204" w:type="dxa"/>
            <w:vAlign w:val="center"/>
          </w:tcPr>
          <w:p w14:paraId="70FC772B" w14:textId="1139824B" w:rsidR="006C6B5E" w:rsidRPr="00FB3C60" w:rsidRDefault="006C6B5E" w:rsidP="003256EA">
            <w:pPr>
              <w:pStyle w:val="ad"/>
              <w:jc w:val="center"/>
            </w:pPr>
            <w:r w:rsidRPr="00FB3C60">
              <w:t>-80,9%</w:t>
            </w:r>
          </w:p>
        </w:tc>
      </w:tr>
      <w:tr w:rsidR="006C6B5E" w14:paraId="5DF1DE4B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59166EED" w14:textId="5B016752" w:rsidR="006C6B5E" w:rsidRPr="00006E23" w:rsidRDefault="006C6B5E" w:rsidP="003256EA">
            <w:pPr>
              <w:pStyle w:val="ad"/>
              <w:jc w:val="center"/>
            </w:pPr>
            <w:r>
              <w:t>Финансы</w:t>
            </w:r>
          </w:p>
        </w:tc>
        <w:tc>
          <w:tcPr>
            <w:tcW w:w="754" w:type="dxa"/>
            <w:vAlign w:val="center"/>
          </w:tcPr>
          <w:p w14:paraId="4CAA6FA9" w14:textId="38B7ABE3" w:rsidR="006C6B5E" w:rsidRPr="00006E23" w:rsidRDefault="006C6B5E" w:rsidP="003256EA">
            <w:pPr>
              <w:pStyle w:val="ad"/>
              <w:jc w:val="center"/>
            </w:pPr>
            <w:r w:rsidRPr="00DA085A">
              <w:t>9</w:t>
            </w:r>
          </w:p>
        </w:tc>
        <w:tc>
          <w:tcPr>
            <w:tcW w:w="1103" w:type="dxa"/>
            <w:vAlign w:val="center"/>
          </w:tcPr>
          <w:p w14:paraId="418A8002" w14:textId="7949F4FC" w:rsidR="006C6B5E" w:rsidRPr="00006E23" w:rsidRDefault="006C6B5E" w:rsidP="003256EA">
            <w:pPr>
              <w:pStyle w:val="ad"/>
              <w:jc w:val="center"/>
            </w:pPr>
            <w:r w:rsidRPr="00DA085A">
              <w:t>-26,6%</w:t>
            </w:r>
          </w:p>
        </w:tc>
        <w:tc>
          <w:tcPr>
            <w:tcW w:w="1545" w:type="dxa"/>
            <w:vAlign w:val="center"/>
          </w:tcPr>
          <w:p w14:paraId="795DAFDB" w14:textId="2548595D" w:rsidR="006C6B5E" w:rsidRPr="00006E23" w:rsidRDefault="006C6B5E" w:rsidP="003256EA">
            <w:pPr>
              <w:pStyle w:val="ad"/>
              <w:jc w:val="center"/>
            </w:pPr>
            <w:r w:rsidRPr="00DA085A">
              <w:t>-32,0%</w:t>
            </w:r>
          </w:p>
        </w:tc>
        <w:tc>
          <w:tcPr>
            <w:tcW w:w="1188" w:type="dxa"/>
            <w:vAlign w:val="center"/>
          </w:tcPr>
          <w:p w14:paraId="1A304A50" w14:textId="63991B53" w:rsidR="006C6B5E" w:rsidRPr="00006E23" w:rsidRDefault="006C6B5E" w:rsidP="003256EA">
            <w:pPr>
              <w:pStyle w:val="ad"/>
              <w:jc w:val="center"/>
            </w:pPr>
            <w:r w:rsidRPr="00DA085A">
              <w:t>-24,4%</w:t>
            </w:r>
          </w:p>
        </w:tc>
        <w:tc>
          <w:tcPr>
            <w:tcW w:w="750" w:type="dxa"/>
            <w:vAlign w:val="center"/>
          </w:tcPr>
          <w:p w14:paraId="499FAC50" w14:textId="4AF3B6F3" w:rsidR="006C6B5E" w:rsidRPr="00FB3C60" w:rsidRDefault="006C6B5E" w:rsidP="003256EA">
            <w:pPr>
              <w:pStyle w:val="ad"/>
              <w:jc w:val="center"/>
            </w:pPr>
            <w:r w:rsidRPr="00FB3C60">
              <w:t>3</w:t>
            </w:r>
          </w:p>
        </w:tc>
        <w:tc>
          <w:tcPr>
            <w:tcW w:w="1103" w:type="dxa"/>
            <w:vAlign w:val="center"/>
          </w:tcPr>
          <w:p w14:paraId="0DA25D52" w14:textId="02BE7394" w:rsidR="006C6B5E" w:rsidRPr="00FB3C60" w:rsidRDefault="006C6B5E" w:rsidP="003256EA">
            <w:pPr>
              <w:pStyle w:val="ad"/>
              <w:jc w:val="center"/>
            </w:pPr>
            <w:r w:rsidRPr="00FB3C60">
              <w:t>-7,3%</w:t>
            </w:r>
          </w:p>
        </w:tc>
        <w:tc>
          <w:tcPr>
            <w:tcW w:w="1545" w:type="dxa"/>
            <w:vAlign w:val="center"/>
          </w:tcPr>
          <w:p w14:paraId="28E2C79E" w14:textId="5F64AC70" w:rsidR="006C6B5E" w:rsidRPr="00FB3C60" w:rsidRDefault="006C6B5E" w:rsidP="003256EA">
            <w:pPr>
              <w:pStyle w:val="ad"/>
              <w:jc w:val="center"/>
            </w:pPr>
            <w:r w:rsidRPr="00FB3C60">
              <w:t>-13,7%</w:t>
            </w:r>
          </w:p>
        </w:tc>
        <w:tc>
          <w:tcPr>
            <w:tcW w:w="1204" w:type="dxa"/>
            <w:vAlign w:val="center"/>
          </w:tcPr>
          <w:p w14:paraId="1F10AE0D" w14:textId="34381CF5" w:rsidR="006C6B5E" w:rsidRPr="00FB3C60" w:rsidRDefault="006C6B5E" w:rsidP="003256EA">
            <w:pPr>
              <w:pStyle w:val="ad"/>
              <w:jc w:val="center"/>
            </w:pPr>
            <w:r w:rsidRPr="00FB3C60">
              <w:t>-13,8%</w:t>
            </w:r>
          </w:p>
        </w:tc>
      </w:tr>
      <w:tr w:rsidR="00FB3C60" w14:paraId="6F73195A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41775E18" w14:textId="0587CDA9" w:rsidR="00FB3C60" w:rsidRPr="00006E23" w:rsidRDefault="00FB3C60" w:rsidP="003256EA">
            <w:pPr>
              <w:pStyle w:val="ad"/>
              <w:jc w:val="center"/>
            </w:pPr>
            <w:r>
              <w:t>Энергетика</w:t>
            </w:r>
          </w:p>
        </w:tc>
        <w:tc>
          <w:tcPr>
            <w:tcW w:w="754" w:type="dxa"/>
            <w:vAlign w:val="center"/>
          </w:tcPr>
          <w:p w14:paraId="1B618AD9" w14:textId="03BA377E" w:rsidR="00FB3C60" w:rsidRPr="00006E23" w:rsidRDefault="00FB3C60" w:rsidP="003256EA">
            <w:pPr>
              <w:pStyle w:val="ad"/>
              <w:jc w:val="center"/>
            </w:pPr>
            <w:r w:rsidRPr="00DA085A">
              <w:t>12</w:t>
            </w:r>
          </w:p>
        </w:tc>
        <w:tc>
          <w:tcPr>
            <w:tcW w:w="1103" w:type="dxa"/>
            <w:vAlign w:val="center"/>
          </w:tcPr>
          <w:p w14:paraId="08186F4B" w14:textId="19EF8550" w:rsidR="00FB3C60" w:rsidRPr="00006E23" w:rsidRDefault="00FB3C60" w:rsidP="003256EA">
            <w:pPr>
              <w:pStyle w:val="ad"/>
              <w:jc w:val="center"/>
            </w:pPr>
            <w:r w:rsidRPr="00DA085A">
              <w:t>-33,8%</w:t>
            </w:r>
          </w:p>
        </w:tc>
        <w:tc>
          <w:tcPr>
            <w:tcW w:w="1545" w:type="dxa"/>
            <w:vAlign w:val="center"/>
          </w:tcPr>
          <w:p w14:paraId="2C723629" w14:textId="14DA0BCE" w:rsidR="00FB3C60" w:rsidRPr="00006E23" w:rsidRDefault="00FB3C60" w:rsidP="003256EA">
            <w:pPr>
              <w:pStyle w:val="ad"/>
              <w:jc w:val="center"/>
            </w:pPr>
            <w:r w:rsidRPr="00DA085A">
              <w:t>-37,6%</w:t>
            </w:r>
          </w:p>
        </w:tc>
        <w:tc>
          <w:tcPr>
            <w:tcW w:w="1188" w:type="dxa"/>
            <w:vAlign w:val="center"/>
          </w:tcPr>
          <w:p w14:paraId="3494994A" w14:textId="0C03AB17" w:rsidR="00FB3C60" w:rsidRPr="00006E23" w:rsidRDefault="00FB3C60" w:rsidP="003256EA">
            <w:pPr>
              <w:pStyle w:val="ad"/>
              <w:jc w:val="center"/>
            </w:pPr>
            <w:r w:rsidRPr="00DA085A">
              <w:t>-27,3%</w:t>
            </w:r>
          </w:p>
        </w:tc>
        <w:tc>
          <w:tcPr>
            <w:tcW w:w="750" w:type="dxa"/>
            <w:vAlign w:val="center"/>
          </w:tcPr>
          <w:p w14:paraId="43C96FEB" w14:textId="060DA441" w:rsidR="00FB3C60" w:rsidRPr="00FB3C60" w:rsidRDefault="00FB3C60" w:rsidP="003256EA">
            <w:pPr>
              <w:pStyle w:val="ad"/>
              <w:jc w:val="center"/>
            </w:pPr>
            <w:r w:rsidRPr="00FB3C60">
              <w:t>7</w:t>
            </w:r>
          </w:p>
        </w:tc>
        <w:tc>
          <w:tcPr>
            <w:tcW w:w="1103" w:type="dxa"/>
            <w:vAlign w:val="center"/>
          </w:tcPr>
          <w:p w14:paraId="21D76184" w14:textId="5462F820" w:rsidR="00FB3C60" w:rsidRPr="00FB3C60" w:rsidRDefault="00FB3C60" w:rsidP="003256EA">
            <w:pPr>
              <w:pStyle w:val="ad"/>
              <w:jc w:val="center"/>
            </w:pPr>
            <w:r w:rsidRPr="00FB3C60">
              <w:t>-49,6%</w:t>
            </w:r>
          </w:p>
        </w:tc>
        <w:tc>
          <w:tcPr>
            <w:tcW w:w="1545" w:type="dxa"/>
            <w:vAlign w:val="center"/>
          </w:tcPr>
          <w:p w14:paraId="5EC4C1F1" w14:textId="73D5CB66" w:rsidR="00FB3C60" w:rsidRPr="00FB3C60" w:rsidRDefault="00FB3C60" w:rsidP="003256EA">
            <w:pPr>
              <w:pStyle w:val="ad"/>
              <w:jc w:val="center"/>
            </w:pPr>
            <w:r w:rsidRPr="00FB3C60">
              <w:t>-54,1%</w:t>
            </w:r>
          </w:p>
        </w:tc>
        <w:tc>
          <w:tcPr>
            <w:tcW w:w="1204" w:type="dxa"/>
            <w:vAlign w:val="center"/>
          </w:tcPr>
          <w:p w14:paraId="3D513535" w14:textId="6BE8F7D8" w:rsidR="00FB3C60" w:rsidRPr="00FB3C60" w:rsidRDefault="00FB3C60" w:rsidP="003256EA">
            <w:pPr>
              <w:pStyle w:val="ad"/>
              <w:jc w:val="center"/>
            </w:pPr>
            <w:r w:rsidRPr="00FB3C60">
              <w:t>-76,7%</w:t>
            </w:r>
          </w:p>
        </w:tc>
      </w:tr>
      <w:tr w:rsidR="00BA1E39" w14:paraId="4BA783C9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506B7891" w14:textId="2BB88A38" w:rsidR="00BA1E39" w:rsidRPr="00006E23" w:rsidRDefault="00BA1E39" w:rsidP="003256EA">
            <w:pPr>
              <w:pStyle w:val="ad"/>
              <w:jc w:val="center"/>
            </w:pPr>
            <w:r>
              <w:t>Недвижимость</w:t>
            </w:r>
          </w:p>
        </w:tc>
        <w:tc>
          <w:tcPr>
            <w:tcW w:w="754" w:type="dxa"/>
            <w:vAlign w:val="center"/>
          </w:tcPr>
          <w:p w14:paraId="45FD2087" w14:textId="03C74F40" w:rsidR="00BA1E39" w:rsidRPr="00006E23" w:rsidRDefault="00BA1E39" w:rsidP="003256EA">
            <w:pPr>
              <w:pStyle w:val="ad"/>
              <w:jc w:val="center"/>
            </w:pPr>
            <w:r w:rsidRPr="00DA085A">
              <w:t>4</w:t>
            </w:r>
          </w:p>
        </w:tc>
        <w:tc>
          <w:tcPr>
            <w:tcW w:w="1103" w:type="dxa"/>
            <w:vAlign w:val="center"/>
          </w:tcPr>
          <w:p w14:paraId="1AD5AA52" w14:textId="1037FF14" w:rsidR="00BA1E39" w:rsidRPr="00006E23" w:rsidRDefault="00BA1E39" w:rsidP="003256EA">
            <w:pPr>
              <w:pStyle w:val="ad"/>
              <w:jc w:val="center"/>
            </w:pPr>
            <w:r w:rsidRPr="00DA085A">
              <w:t>-41,0%</w:t>
            </w:r>
          </w:p>
        </w:tc>
        <w:tc>
          <w:tcPr>
            <w:tcW w:w="1545" w:type="dxa"/>
            <w:vAlign w:val="center"/>
          </w:tcPr>
          <w:p w14:paraId="11F3C603" w14:textId="4F4157EA" w:rsidR="00BA1E39" w:rsidRPr="00006E23" w:rsidRDefault="00BA1E39" w:rsidP="003256EA">
            <w:pPr>
              <w:pStyle w:val="ad"/>
              <w:jc w:val="center"/>
            </w:pPr>
            <w:r w:rsidRPr="00DA085A">
              <w:t>-29,6%</w:t>
            </w:r>
          </w:p>
        </w:tc>
        <w:tc>
          <w:tcPr>
            <w:tcW w:w="1188" w:type="dxa"/>
            <w:vAlign w:val="center"/>
          </w:tcPr>
          <w:p w14:paraId="500019BC" w14:textId="18D687F3" w:rsidR="00BA1E39" w:rsidRPr="00006E23" w:rsidRDefault="00BA1E39" w:rsidP="003256EA">
            <w:pPr>
              <w:pStyle w:val="ad"/>
              <w:jc w:val="center"/>
            </w:pPr>
            <w:r w:rsidRPr="00DA085A">
              <w:t>-38,1%</w:t>
            </w:r>
          </w:p>
        </w:tc>
        <w:tc>
          <w:tcPr>
            <w:tcW w:w="750" w:type="dxa"/>
            <w:vAlign w:val="center"/>
          </w:tcPr>
          <w:p w14:paraId="2EE8276D" w14:textId="0E294A88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103" w:type="dxa"/>
            <w:vAlign w:val="center"/>
          </w:tcPr>
          <w:p w14:paraId="1B3D4A2E" w14:textId="611CFA67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545" w:type="dxa"/>
            <w:vAlign w:val="center"/>
          </w:tcPr>
          <w:p w14:paraId="1953886D" w14:textId="2FBF27B2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204" w:type="dxa"/>
            <w:vAlign w:val="center"/>
          </w:tcPr>
          <w:p w14:paraId="34A57C8A" w14:textId="5362AF2E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</w:tr>
      <w:tr w:rsidR="00BA1E39" w14:paraId="798C14FE" w14:textId="77777777" w:rsidTr="003256EA">
        <w:trPr>
          <w:trHeight w:val="420"/>
        </w:trPr>
        <w:tc>
          <w:tcPr>
            <w:tcW w:w="2007" w:type="dxa"/>
            <w:vAlign w:val="center"/>
          </w:tcPr>
          <w:p w14:paraId="6E927BA0" w14:textId="70E9CB24" w:rsidR="00BA1E39" w:rsidRPr="002620E4" w:rsidRDefault="00BA1E39" w:rsidP="003256EA">
            <w:pPr>
              <w:pStyle w:val="ad"/>
              <w:jc w:val="center"/>
            </w:pPr>
            <w:r>
              <w:t>Образование</w:t>
            </w:r>
          </w:p>
        </w:tc>
        <w:tc>
          <w:tcPr>
            <w:tcW w:w="754" w:type="dxa"/>
            <w:vAlign w:val="center"/>
          </w:tcPr>
          <w:p w14:paraId="049D93E7" w14:textId="792A23E1" w:rsidR="00BA1E39" w:rsidRPr="00006E23" w:rsidRDefault="00BA1E39" w:rsidP="003256EA">
            <w:pPr>
              <w:pStyle w:val="ad"/>
              <w:jc w:val="center"/>
            </w:pPr>
            <w:r w:rsidRPr="00DA085A">
              <w:t>1</w:t>
            </w:r>
          </w:p>
        </w:tc>
        <w:tc>
          <w:tcPr>
            <w:tcW w:w="1103" w:type="dxa"/>
            <w:vAlign w:val="center"/>
          </w:tcPr>
          <w:p w14:paraId="2C3FB240" w14:textId="60AF6E31" w:rsidR="00BA1E39" w:rsidRPr="00006E23" w:rsidRDefault="00BA1E39" w:rsidP="003256EA">
            <w:pPr>
              <w:pStyle w:val="ad"/>
              <w:jc w:val="center"/>
            </w:pPr>
            <w:r w:rsidRPr="00DA085A">
              <w:t>-89,9%</w:t>
            </w:r>
          </w:p>
        </w:tc>
        <w:tc>
          <w:tcPr>
            <w:tcW w:w="1545" w:type="dxa"/>
            <w:vAlign w:val="center"/>
          </w:tcPr>
          <w:p w14:paraId="22A616F8" w14:textId="45232697" w:rsidR="00BA1E39" w:rsidRPr="00006E23" w:rsidRDefault="00BA1E39" w:rsidP="003256EA">
            <w:pPr>
              <w:pStyle w:val="ad"/>
              <w:jc w:val="center"/>
            </w:pPr>
            <w:r w:rsidRPr="00DA085A">
              <w:t>-89,9%</w:t>
            </w:r>
          </w:p>
        </w:tc>
        <w:tc>
          <w:tcPr>
            <w:tcW w:w="1188" w:type="dxa"/>
            <w:vAlign w:val="center"/>
          </w:tcPr>
          <w:p w14:paraId="58CBFA24" w14:textId="708C520F" w:rsidR="00BA1E39" w:rsidRPr="00006E23" w:rsidRDefault="00BA1E39" w:rsidP="003256EA">
            <w:pPr>
              <w:pStyle w:val="ad"/>
              <w:jc w:val="center"/>
            </w:pPr>
            <w:r w:rsidRPr="00DA085A">
              <w:t>-89,9%</w:t>
            </w:r>
          </w:p>
        </w:tc>
        <w:tc>
          <w:tcPr>
            <w:tcW w:w="750" w:type="dxa"/>
            <w:vAlign w:val="center"/>
          </w:tcPr>
          <w:p w14:paraId="24480CF3" w14:textId="2160D5EE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103" w:type="dxa"/>
            <w:vAlign w:val="center"/>
          </w:tcPr>
          <w:p w14:paraId="7B257FE5" w14:textId="1AFBC48F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545" w:type="dxa"/>
            <w:vAlign w:val="center"/>
          </w:tcPr>
          <w:p w14:paraId="68A8682E" w14:textId="067A6AD3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  <w:tc>
          <w:tcPr>
            <w:tcW w:w="1204" w:type="dxa"/>
            <w:vAlign w:val="center"/>
          </w:tcPr>
          <w:p w14:paraId="1FB18D72" w14:textId="2C60EB55" w:rsidR="00BA1E39" w:rsidRPr="00FB3C60" w:rsidRDefault="00FB3C60" w:rsidP="003256EA">
            <w:pPr>
              <w:pStyle w:val="ad"/>
              <w:jc w:val="center"/>
            </w:pPr>
            <w:r w:rsidRPr="00FB3C60">
              <w:t>-</w:t>
            </w:r>
          </w:p>
        </w:tc>
      </w:tr>
    </w:tbl>
    <w:p w14:paraId="6724E3F4" w14:textId="027FDA58" w:rsidR="00411507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3D6559BB" w14:textId="7BB7DF27" w:rsidR="00FB3C60" w:rsidRDefault="00B5191A" w:rsidP="00FB3C60">
      <w:r>
        <w:lastRenderedPageBreak/>
        <w:t>Во всех отраслях</w:t>
      </w:r>
      <w:r w:rsidR="003B489D">
        <w:t xml:space="preserve">, по которым в таблице 12 дана статистика доходности акций </w:t>
      </w:r>
      <w:r w:rsidR="003B489D">
        <w:rPr>
          <w:lang w:val="en-US"/>
        </w:rPr>
        <w:t>deSPAC</w:t>
      </w:r>
      <w:r w:rsidR="003B489D">
        <w:t>,</w:t>
      </w:r>
      <w:r>
        <w:t xml:space="preserve"> наблюдается отрицательная годовая</w:t>
      </w:r>
      <w:r w:rsidR="00A35269">
        <w:t xml:space="preserve"> и трехлетняя доходности </w:t>
      </w:r>
      <w:r w:rsidR="00A35269">
        <w:rPr>
          <w:lang w:val="en-US"/>
        </w:rPr>
        <w:t>deSPAC</w:t>
      </w:r>
      <w:r w:rsidR="00A35269">
        <w:t xml:space="preserve">. </w:t>
      </w:r>
      <w:r w:rsidR="00106A17">
        <w:t xml:space="preserve">Прочерки в трехлетних доходностях означают, что с 2015 по 2021 </w:t>
      </w:r>
      <w:r w:rsidR="008A5586">
        <w:t xml:space="preserve">еще не было компаний, чьи акции торговались бы не меньше 3 лет. </w:t>
      </w:r>
      <w:r w:rsidR="0071672E">
        <w:t xml:space="preserve">Среди </w:t>
      </w:r>
      <w:r w:rsidR="0071672E">
        <w:rPr>
          <w:lang w:val="en-US"/>
        </w:rPr>
        <w:t>deSPAC</w:t>
      </w:r>
      <w:r w:rsidR="0071672E">
        <w:t xml:space="preserve"> был лишь </w:t>
      </w:r>
      <w:r w:rsidR="00C95829">
        <w:t>один проект в сфере образования, годовая до</w:t>
      </w:r>
      <w:r w:rsidR="005D45A8">
        <w:t>ходность</w:t>
      </w:r>
      <w:r w:rsidR="00BB3291">
        <w:t xml:space="preserve"> его акций</w:t>
      </w:r>
      <w:r w:rsidR="005D45A8">
        <w:t xml:space="preserve"> </w:t>
      </w:r>
      <w:r w:rsidR="00BB3291">
        <w:t xml:space="preserve">является одной из наименьших в выборке (-89,9%). </w:t>
      </w:r>
      <w:r w:rsidR="00ED4C44">
        <w:t xml:space="preserve">Наиболее результативными с точки зрения высоких значений доходности оказались отрасли тяжелой промышленности и нециклических товаров, их </w:t>
      </w:r>
      <w:r w:rsidR="00937620">
        <w:t>средневзвешенные</w:t>
      </w:r>
      <w:r w:rsidR="00ED4C44">
        <w:t xml:space="preserve"> оценки и вовсе </w:t>
      </w:r>
      <w:r w:rsidR="00937620">
        <w:t xml:space="preserve">оказались выше 0. </w:t>
      </w:r>
      <w:r w:rsidR="008D24B7">
        <w:t xml:space="preserve">В более долгосрочной перспективе, то есть </w:t>
      </w:r>
      <w:r w:rsidR="002F16A5">
        <w:t xml:space="preserve">на промежутке 3 лет, </w:t>
      </w:r>
      <w:r w:rsidR="008F7846">
        <w:t>в бо́льшем числе отраслей акции торгуются выше ц</w:t>
      </w:r>
      <w:r w:rsidR="0079601A">
        <w:t>ены закрытия в день завершения сделки поглощения.</w:t>
      </w:r>
    </w:p>
    <w:p w14:paraId="7397D372" w14:textId="1A2277D1" w:rsidR="00D61731" w:rsidRDefault="00A43741" w:rsidP="00D61731">
      <w:pPr>
        <w:pStyle w:val="3"/>
      </w:pPr>
      <w:bookmarkStart w:id="50" w:name="_Toc102050314"/>
      <w:bookmarkStart w:id="51" w:name="_Toc102050686"/>
      <w:r>
        <w:t xml:space="preserve">2.3.2. </w:t>
      </w:r>
      <w:r w:rsidR="00D61731">
        <w:t xml:space="preserve">Сравнение доходности </w:t>
      </w:r>
      <w:r w:rsidR="00D80F52">
        <w:t xml:space="preserve">инвестиций в </w:t>
      </w:r>
      <w:r w:rsidR="00D80F52">
        <w:rPr>
          <w:lang w:val="en-US"/>
        </w:rPr>
        <w:t>SPAC</w:t>
      </w:r>
      <w:r w:rsidR="00D80F52" w:rsidRPr="00D80F52">
        <w:t xml:space="preserve"> </w:t>
      </w:r>
      <w:r w:rsidR="00D80F52">
        <w:t xml:space="preserve">и </w:t>
      </w:r>
      <w:r>
        <w:t xml:space="preserve">доходности инвестиций в </w:t>
      </w:r>
      <w:r w:rsidR="00D80F52">
        <w:t xml:space="preserve">традиционное </w:t>
      </w:r>
      <w:r w:rsidR="00D80F52">
        <w:rPr>
          <w:lang w:val="en-US"/>
        </w:rPr>
        <w:t>IPO</w:t>
      </w:r>
      <w:bookmarkEnd w:id="50"/>
      <w:bookmarkEnd w:id="51"/>
    </w:p>
    <w:p w14:paraId="0EED80F4" w14:textId="4521DBC9" w:rsidR="001E711D" w:rsidRDefault="001340AF" w:rsidP="00D37899">
      <w:r>
        <w:t xml:space="preserve">В данном пункте будет приведен сравнительный анализ результативности инвестиций в </w:t>
      </w:r>
      <w:r>
        <w:rPr>
          <w:lang w:val="en-US"/>
        </w:rPr>
        <w:t>SPAC</w:t>
      </w:r>
      <w:r>
        <w:t xml:space="preserve"> и традиционное </w:t>
      </w:r>
      <w:r>
        <w:rPr>
          <w:lang w:val="en-US"/>
        </w:rPr>
        <w:t>IPO</w:t>
      </w:r>
      <w:r>
        <w:t xml:space="preserve"> </w:t>
      </w:r>
      <w:r w:rsidR="0060723A">
        <w:t xml:space="preserve">с целью подтверждения или опровержения гипотез </w:t>
      </w:r>
      <w:r w:rsidR="0060723A">
        <w:rPr>
          <w:lang w:val="en-US"/>
        </w:rPr>
        <w:t>H</w:t>
      </w:r>
      <w:r w:rsidR="0060723A" w:rsidRPr="0060723A">
        <w:t xml:space="preserve">1 </w:t>
      </w:r>
      <w:r w:rsidR="0060723A">
        <w:t xml:space="preserve">и </w:t>
      </w:r>
      <w:r w:rsidR="0060723A">
        <w:rPr>
          <w:lang w:val="en-US"/>
        </w:rPr>
        <w:t>H</w:t>
      </w:r>
      <w:r w:rsidR="0088533E">
        <w:t>2</w:t>
      </w:r>
      <w:r w:rsidR="0060723A">
        <w:t>.</w:t>
      </w:r>
      <w:r w:rsidR="00D37899">
        <w:t xml:space="preserve"> </w:t>
      </w:r>
      <w:r w:rsidR="000E5554">
        <w:t xml:space="preserve">Для расчета </w:t>
      </w:r>
      <w:r w:rsidR="00EF33D5">
        <w:t>избыточных</w:t>
      </w:r>
      <w:r w:rsidR="000E5554">
        <w:t xml:space="preserve"> доходностей использовалась формула (</w:t>
      </w:r>
      <w:r w:rsidR="0024593E">
        <w:t>12</w:t>
      </w:r>
      <w:r w:rsidR="000E5554">
        <w:t>).</w:t>
      </w:r>
    </w:p>
    <w:p w14:paraId="19E570DC" w14:textId="499DBE1E" w:rsidR="008A08D1" w:rsidRPr="0082493F" w:rsidRDefault="00D37899" w:rsidP="00D37899">
      <w:r>
        <w:t>Далее в таблиц</w:t>
      </w:r>
      <w:r w:rsidR="00646342">
        <w:t>е 13</w:t>
      </w:r>
      <w:r>
        <w:t xml:space="preserve"> </w:t>
      </w:r>
      <w:r w:rsidR="00A32B25">
        <w:t>п</w:t>
      </w:r>
      <w:r w:rsidR="00621FC7">
        <w:t xml:space="preserve">омимо оценочных характеристик будут представлены показатели значимости: </w:t>
      </w:r>
      <w:r w:rsidR="00621FC7">
        <w:rPr>
          <w:lang w:val="en-US"/>
        </w:rPr>
        <w:t>t</w:t>
      </w:r>
      <w:r w:rsidR="00621FC7" w:rsidRPr="00621FC7">
        <w:t>-</w:t>
      </w:r>
      <w:r w:rsidR="00621FC7">
        <w:t xml:space="preserve">критерий и </w:t>
      </w:r>
      <w:r w:rsidR="00621FC7">
        <w:rPr>
          <w:lang w:val="en-US"/>
        </w:rPr>
        <w:t>P</w:t>
      </w:r>
      <w:r w:rsidR="00621FC7" w:rsidRPr="00621FC7">
        <w:t>-</w:t>
      </w:r>
      <w:r w:rsidR="00621FC7">
        <w:rPr>
          <w:lang w:val="en-US"/>
        </w:rPr>
        <w:t>value</w:t>
      </w:r>
      <w:r w:rsidR="00621FC7">
        <w:t xml:space="preserve">. Оценка значимости </w:t>
      </w:r>
      <w:r w:rsidR="000124DB">
        <w:t>необходим</w:t>
      </w:r>
      <w:r w:rsidR="00B75819">
        <w:t>а</w:t>
      </w:r>
      <w:r w:rsidR="000124DB">
        <w:t xml:space="preserve"> для статистического подтверждения </w:t>
      </w:r>
      <w:r w:rsidR="00B75819">
        <w:t xml:space="preserve">значения </w:t>
      </w:r>
      <w:r w:rsidR="00EF33D5">
        <w:t>избыточной</w:t>
      </w:r>
      <w:r w:rsidR="00B75819">
        <w:t xml:space="preserve"> доходности</w:t>
      </w:r>
      <w:r w:rsidR="000124DB">
        <w:t xml:space="preserve">. </w:t>
      </w:r>
      <w:r w:rsidR="007A5C68">
        <w:t xml:space="preserve">Основная гипотеза формулировалась следующим образом: </w:t>
      </w:r>
      <w:r w:rsidR="00CA65AC">
        <w:t>«</w:t>
      </w:r>
      <w:r w:rsidR="00EF33D5">
        <w:t>Избыточная</w:t>
      </w:r>
      <w:r w:rsidR="00E54CBF">
        <w:t xml:space="preserve"> доходность </w:t>
      </w:r>
      <w:r w:rsidR="00DE5E40">
        <w:t>равна 0 (</w:t>
      </w:r>
      <w:r w:rsidR="000B1DA2">
        <w:t>доходность акций</w:t>
      </w:r>
      <w:r w:rsidR="00CA58A7">
        <w:t xml:space="preserve"> </w:t>
      </w:r>
      <w:r w:rsidR="00CA58A7">
        <w:rPr>
          <w:lang w:val="en-US"/>
        </w:rPr>
        <w:t>SPAC</w:t>
      </w:r>
      <w:r w:rsidR="00F048C5" w:rsidRPr="00F048C5">
        <w:t>/</w:t>
      </w:r>
      <w:r w:rsidR="00F048C5">
        <w:rPr>
          <w:lang w:val="en-US"/>
        </w:rPr>
        <w:t>deSPAC</w:t>
      </w:r>
      <w:r w:rsidR="00F048C5">
        <w:t xml:space="preserve"> на промежутке 1 год</w:t>
      </w:r>
      <w:r w:rsidR="00F048C5" w:rsidRPr="00F048C5">
        <w:t xml:space="preserve">/ </w:t>
      </w:r>
      <w:r w:rsidR="00F048C5">
        <w:rPr>
          <w:lang w:val="en-US"/>
        </w:rPr>
        <w:t>deSPAC</w:t>
      </w:r>
      <w:r w:rsidR="00F048C5">
        <w:t xml:space="preserve"> на промежутке </w:t>
      </w:r>
      <w:r w:rsidR="00F048C5" w:rsidRPr="00F048C5">
        <w:t>3</w:t>
      </w:r>
      <w:r w:rsidR="00F048C5">
        <w:t xml:space="preserve"> года</w:t>
      </w:r>
      <w:r w:rsidR="00CA58A7">
        <w:t xml:space="preserve"> </w:t>
      </w:r>
      <w:r w:rsidR="000B1DA2">
        <w:t xml:space="preserve">равна доходности инвестиций в </w:t>
      </w:r>
      <w:r w:rsidR="000B1DA2">
        <w:rPr>
          <w:lang w:val="en-US"/>
        </w:rPr>
        <w:t>IPO</w:t>
      </w:r>
      <w:r w:rsidR="004F7B5F">
        <w:t xml:space="preserve">)». Альтернативная гипотеза при этом </w:t>
      </w:r>
      <w:r w:rsidR="00F048C5">
        <w:t>формулировалась так: «</w:t>
      </w:r>
      <w:r w:rsidR="00EF33D5">
        <w:t>Избыточная</w:t>
      </w:r>
      <w:r w:rsidR="000B1DA2">
        <w:t xml:space="preserve"> доходность меньше 0 (доходность акций </w:t>
      </w:r>
      <w:r w:rsidR="000B1DA2">
        <w:rPr>
          <w:lang w:val="en-US"/>
        </w:rPr>
        <w:t>SPAC</w:t>
      </w:r>
      <w:r w:rsidR="000B1DA2" w:rsidRPr="00F048C5">
        <w:t>/</w:t>
      </w:r>
      <w:r w:rsidR="000B1DA2">
        <w:rPr>
          <w:lang w:val="en-US"/>
        </w:rPr>
        <w:t>deSPAC</w:t>
      </w:r>
      <w:r w:rsidR="000B1DA2">
        <w:t xml:space="preserve"> на промежутке 1 год</w:t>
      </w:r>
      <w:r w:rsidR="000B1DA2" w:rsidRPr="00F048C5">
        <w:t xml:space="preserve">/ </w:t>
      </w:r>
      <w:r w:rsidR="000B1DA2">
        <w:rPr>
          <w:lang w:val="en-US"/>
        </w:rPr>
        <w:t>deSPAC</w:t>
      </w:r>
      <w:r w:rsidR="000B1DA2">
        <w:t xml:space="preserve"> на промежутке </w:t>
      </w:r>
      <w:r w:rsidR="000B1DA2" w:rsidRPr="00F048C5">
        <w:t>3</w:t>
      </w:r>
      <w:r w:rsidR="000B1DA2">
        <w:t xml:space="preserve"> года ниже доходности инвестиций в </w:t>
      </w:r>
      <w:r w:rsidR="000B1DA2">
        <w:rPr>
          <w:lang w:val="en-US"/>
        </w:rPr>
        <w:t>IPO</w:t>
      </w:r>
      <w:r w:rsidR="000B1DA2">
        <w:t>)»</w:t>
      </w:r>
      <w:r w:rsidR="004F7B5F">
        <w:t>.</w:t>
      </w:r>
      <w:r w:rsidR="000B1DA2">
        <w:t xml:space="preserve"> </w:t>
      </w:r>
      <w:r w:rsidR="00AE6459">
        <w:t>Далее в работе с</w:t>
      </w:r>
      <w:r w:rsidR="00D50066">
        <w:t>имволы</w:t>
      </w:r>
      <w:r w:rsidR="00611A90">
        <w:t xml:space="preserve"> *, **, *** обозначают статистическую значимость на 10%, 5% и 1% уровнях значимости.</w:t>
      </w:r>
      <w:r w:rsidR="0082493F">
        <w:t xml:space="preserve"> В таблице 13 представлены результаты расчетов </w:t>
      </w:r>
      <w:r w:rsidR="00E65313">
        <w:t>избыточных</w:t>
      </w:r>
      <w:r w:rsidR="0082493F">
        <w:t xml:space="preserve"> доходностей для акций </w:t>
      </w:r>
      <w:r w:rsidR="0082493F">
        <w:rPr>
          <w:lang w:val="en-US"/>
        </w:rPr>
        <w:t>SPAC</w:t>
      </w:r>
      <w:r w:rsidR="00804F4D">
        <w:t xml:space="preserve"> (доходность в годовом выражении)</w:t>
      </w:r>
      <w:r w:rsidR="0082493F">
        <w:t xml:space="preserve">, </w:t>
      </w:r>
      <w:r w:rsidR="0082493F">
        <w:rPr>
          <w:lang w:val="en-US"/>
        </w:rPr>
        <w:t>deSPAC</w:t>
      </w:r>
      <w:r w:rsidR="00804F4D">
        <w:t xml:space="preserve"> (период 1 год и 3 года).</w:t>
      </w:r>
    </w:p>
    <w:p w14:paraId="0F1BD57D" w14:textId="3C8CA593" w:rsidR="000B3EDB" w:rsidRDefault="00E65313" w:rsidP="00E92077">
      <w:pPr>
        <w:pStyle w:val="a"/>
      </w:pPr>
      <w:r>
        <w:t>Избыточные</w:t>
      </w:r>
      <w:r w:rsidR="0098339B">
        <w:t xml:space="preserve"> доходности</w:t>
      </w:r>
      <w:r>
        <w:t xml:space="preserve"> акций </w:t>
      </w:r>
      <w:r>
        <w:rPr>
          <w:lang w:val="en-US"/>
        </w:rPr>
        <w:t>SPAC</w:t>
      </w:r>
      <w:r>
        <w:t xml:space="preserve"> и </w:t>
      </w:r>
      <w:r>
        <w:rPr>
          <w:lang w:val="en-US"/>
        </w:rPr>
        <w:t>de</w:t>
      </w:r>
      <w:r w:rsidRPr="00E65313">
        <w:t>-</w:t>
      </w:r>
      <w:r>
        <w:rPr>
          <w:lang w:val="en-US"/>
        </w:rPr>
        <w:t>SPAC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B75A9" w14:paraId="0C98C3D6" w14:textId="77777777" w:rsidTr="007B75A9">
        <w:tc>
          <w:tcPr>
            <w:tcW w:w="1869" w:type="dxa"/>
          </w:tcPr>
          <w:p w14:paraId="0641A0D6" w14:textId="4A859CEB" w:rsidR="007B75A9" w:rsidRPr="007B75A9" w:rsidRDefault="007B75A9" w:rsidP="007B75A9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869" w:type="dxa"/>
          </w:tcPr>
          <w:p w14:paraId="1EC3D6AF" w14:textId="16004136" w:rsidR="007B75A9" w:rsidRPr="00124FB1" w:rsidRDefault="00124FB1" w:rsidP="007B75A9">
            <w:pPr>
              <w:pStyle w:val="ad"/>
              <w:jc w:val="center"/>
              <w:rPr>
                <w:b/>
                <w:bCs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AR</m:t>
                    </m:r>
                  </m:e>
                </m:bar>
              </m:oMath>
            </m:oMathPara>
          </w:p>
        </w:tc>
        <w:tc>
          <w:tcPr>
            <w:tcW w:w="1869" w:type="dxa"/>
          </w:tcPr>
          <w:p w14:paraId="5A0FC01B" w14:textId="785F831B" w:rsidR="007B75A9" w:rsidRPr="007B75A9" w:rsidRDefault="007B75A9" w:rsidP="007B75A9">
            <w:pPr>
              <w:pStyle w:val="ad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%AR &lt; 0</w:t>
            </w:r>
          </w:p>
        </w:tc>
        <w:tc>
          <w:tcPr>
            <w:tcW w:w="1869" w:type="dxa"/>
          </w:tcPr>
          <w:p w14:paraId="29499F0E" w14:textId="72D9158E" w:rsidR="007B75A9" w:rsidRPr="007B75A9" w:rsidRDefault="007B75A9" w:rsidP="007B75A9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t-</w:t>
            </w:r>
            <w:r>
              <w:rPr>
                <w:b/>
                <w:bCs/>
              </w:rPr>
              <w:t>критерий</w:t>
            </w:r>
          </w:p>
        </w:tc>
        <w:tc>
          <w:tcPr>
            <w:tcW w:w="1869" w:type="dxa"/>
          </w:tcPr>
          <w:p w14:paraId="0867AE5C" w14:textId="011F7A16" w:rsidR="007B75A9" w:rsidRPr="007B75A9" w:rsidRDefault="007B75A9" w:rsidP="007B75A9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P-value</w:t>
            </w:r>
          </w:p>
        </w:tc>
      </w:tr>
      <w:tr w:rsidR="00800F94" w14:paraId="59E7039D" w14:textId="77777777" w:rsidTr="007B75A9">
        <w:tc>
          <w:tcPr>
            <w:tcW w:w="1869" w:type="dxa"/>
          </w:tcPr>
          <w:p w14:paraId="5B9D95FF" w14:textId="3233391E" w:rsidR="00800F94" w:rsidRPr="007B75A9" w:rsidRDefault="00800F94" w:rsidP="00800F94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SPAC</w:t>
            </w:r>
          </w:p>
        </w:tc>
        <w:tc>
          <w:tcPr>
            <w:tcW w:w="1869" w:type="dxa"/>
          </w:tcPr>
          <w:p w14:paraId="47904CC0" w14:textId="25FAC922" w:rsidR="00800F94" w:rsidRDefault="00800F94" w:rsidP="00800F94">
            <w:pPr>
              <w:pStyle w:val="ad"/>
              <w:jc w:val="center"/>
            </w:pPr>
            <w:r w:rsidRPr="00881696">
              <w:t>-11,8%</w:t>
            </w:r>
          </w:p>
        </w:tc>
        <w:tc>
          <w:tcPr>
            <w:tcW w:w="1869" w:type="dxa"/>
          </w:tcPr>
          <w:p w14:paraId="05DD37EC" w14:textId="2102D866" w:rsidR="00800F94" w:rsidRDefault="00800F94" w:rsidP="00800F94">
            <w:pPr>
              <w:pStyle w:val="ad"/>
              <w:jc w:val="center"/>
            </w:pPr>
            <w:r w:rsidRPr="00881696">
              <w:t>73,8%</w:t>
            </w:r>
          </w:p>
        </w:tc>
        <w:tc>
          <w:tcPr>
            <w:tcW w:w="1869" w:type="dxa"/>
          </w:tcPr>
          <w:p w14:paraId="12B707DE" w14:textId="445A74FB" w:rsidR="00800F94" w:rsidRDefault="00800F94" w:rsidP="00800F94">
            <w:pPr>
              <w:pStyle w:val="ad"/>
              <w:jc w:val="center"/>
            </w:pPr>
            <w:r w:rsidRPr="00881696">
              <w:t>-4,213</w:t>
            </w:r>
            <w:r>
              <w:t>***</w:t>
            </w:r>
          </w:p>
        </w:tc>
        <w:tc>
          <w:tcPr>
            <w:tcW w:w="1869" w:type="dxa"/>
          </w:tcPr>
          <w:p w14:paraId="12B58CCB" w14:textId="25BDF9C3" w:rsidR="00800F94" w:rsidRDefault="00800F94" w:rsidP="00800F94">
            <w:pPr>
              <w:pStyle w:val="ad"/>
              <w:jc w:val="center"/>
            </w:pPr>
            <w:r w:rsidRPr="00881696">
              <w:t>0</w:t>
            </w:r>
            <w:r>
              <w:t>,0000</w:t>
            </w:r>
          </w:p>
        </w:tc>
      </w:tr>
      <w:tr w:rsidR="00800F94" w14:paraId="6930F21C" w14:textId="77777777" w:rsidTr="007B75A9">
        <w:tc>
          <w:tcPr>
            <w:tcW w:w="1869" w:type="dxa"/>
          </w:tcPr>
          <w:p w14:paraId="0E827CE6" w14:textId="78F401D8" w:rsidR="00800F94" w:rsidRPr="007B75A9" w:rsidRDefault="00800F94" w:rsidP="00800F94">
            <w:pPr>
              <w:pStyle w:val="ad"/>
            </w:pPr>
            <w:r>
              <w:rPr>
                <w:lang w:val="en-US"/>
              </w:rPr>
              <w:t xml:space="preserve">deSPAC 1 </w:t>
            </w:r>
            <w:r>
              <w:t>год</w:t>
            </w:r>
          </w:p>
        </w:tc>
        <w:tc>
          <w:tcPr>
            <w:tcW w:w="1869" w:type="dxa"/>
          </w:tcPr>
          <w:p w14:paraId="3EFE3562" w14:textId="0A389439" w:rsidR="00800F94" w:rsidRDefault="00800F94" w:rsidP="00800F94">
            <w:pPr>
              <w:pStyle w:val="ad"/>
              <w:jc w:val="center"/>
            </w:pPr>
            <w:r w:rsidRPr="00881696">
              <w:t>-44,2%</w:t>
            </w:r>
          </w:p>
        </w:tc>
        <w:tc>
          <w:tcPr>
            <w:tcW w:w="1869" w:type="dxa"/>
          </w:tcPr>
          <w:p w14:paraId="3952C26D" w14:textId="379B100C" w:rsidR="00800F94" w:rsidRDefault="00800F94" w:rsidP="00800F94">
            <w:pPr>
              <w:pStyle w:val="ad"/>
              <w:jc w:val="center"/>
            </w:pPr>
            <w:r w:rsidRPr="00881696">
              <w:t>74,8%</w:t>
            </w:r>
          </w:p>
        </w:tc>
        <w:tc>
          <w:tcPr>
            <w:tcW w:w="1869" w:type="dxa"/>
          </w:tcPr>
          <w:p w14:paraId="36F99090" w14:textId="4AF7D6A9" w:rsidR="00800F94" w:rsidRDefault="00800F94" w:rsidP="00800F94">
            <w:pPr>
              <w:pStyle w:val="ad"/>
              <w:jc w:val="center"/>
            </w:pPr>
            <w:r w:rsidRPr="00881696">
              <w:t>-6,227</w:t>
            </w:r>
            <w:r>
              <w:t>***</w:t>
            </w:r>
          </w:p>
        </w:tc>
        <w:tc>
          <w:tcPr>
            <w:tcW w:w="1869" w:type="dxa"/>
          </w:tcPr>
          <w:p w14:paraId="1F2BAA4C" w14:textId="69F9EC22" w:rsidR="00800F94" w:rsidRDefault="00800F94" w:rsidP="00800F94">
            <w:pPr>
              <w:pStyle w:val="ad"/>
              <w:jc w:val="center"/>
            </w:pPr>
            <w:r w:rsidRPr="00881696">
              <w:t>0</w:t>
            </w:r>
            <w:r>
              <w:t>,0000</w:t>
            </w:r>
          </w:p>
        </w:tc>
      </w:tr>
      <w:tr w:rsidR="00800F94" w14:paraId="077ACEFD" w14:textId="77777777" w:rsidTr="007B75A9">
        <w:tc>
          <w:tcPr>
            <w:tcW w:w="1869" w:type="dxa"/>
          </w:tcPr>
          <w:p w14:paraId="15C50779" w14:textId="43F7B5FA" w:rsidR="00800F94" w:rsidRPr="007B75A9" w:rsidRDefault="00800F94" w:rsidP="00800F94">
            <w:pPr>
              <w:pStyle w:val="ad"/>
            </w:pPr>
            <w:r>
              <w:rPr>
                <w:lang w:val="en-US"/>
              </w:rPr>
              <w:t xml:space="preserve">deSPAC 3 </w:t>
            </w:r>
            <w:r>
              <w:t>года</w:t>
            </w:r>
          </w:p>
        </w:tc>
        <w:tc>
          <w:tcPr>
            <w:tcW w:w="1869" w:type="dxa"/>
          </w:tcPr>
          <w:p w14:paraId="42BC64A1" w14:textId="68CBF407" w:rsidR="00800F94" w:rsidRDefault="00800F94" w:rsidP="00800F94">
            <w:pPr>
              <w:pStyle w:val="ad"/>
              <w:jc w:val="center"/>
            </w:pPr>
            <w:r w:rsidRPr="00881696">
              <w:t>-26,2%</w:t>
            </w:r>
          </w:p>
        </w:tc>
        <w:tc>
          <w:tcPr>
            <w:tcW w:w="1869" w:type="dxa"/>
          </w:tcPr>
          <w:p w14:paraId="506D4CC1" w14:textId="735DA355" w:rsidR="00800F94" w:rsidRDefault="00800F94" w:rsidP="00800F94">
            <w:pPr>
              <w:pStyle w:val="ad"/>
              <w:jc w:val="center"/>
            </w:pPr>
            <w:r w:rsidRPr="00881696">
              <w:t>67,7%</w:t>
            </w:r>
          </w:p>
        </w:tc>
        <w:tc>
          <w:tcPr>
            <w:tcW w:w="1869" w:type="dxa"/>
          </w:tcPr>
          <w:p w14:paraId="0C2660E8" w14:textId="252E0C54" w:rsidR="00800F94" w:rsidRDefault="00800F94" w:rsidP="00800F94">
            <w:pPr>
              <w:pStyle w:val="ad"/>
              <w:jc w:val="center"/>
            </w:pPr>
            <w:r w:rsidRPr="00881696">
              <w:t>-1,863</w:t>
            </w:r>
            <w:r>
              <w:t>**</w:t>
            </w:r>
          </w:p>
        </w:tc>
        <w:tc>
          <w:tcPr>
            <w:tcW w:w="1869" w:type="dxa"/>
          </w:tcPr>
          <w:p w14:paraId="37606120" w14:textId="14264B7D" w:rsidR="00800F94" w:rsidRDefault="00800F94" w:rsidP="00800F94">
            <w:pPr>
              <w:pStyle w:val="ad"/>
              <w:jc w:val="center"/>
            </w:pPr>
            <w:r w:rsidRPr="00881696">
              <w:t>0,0361</w:t>
            </w:r>
          </w:p>
        </w:tc>
      </w:tr>
    </w:tbl>
    <w:p w14:paraId="299D9201" w14:textId="19DA1E36" w:rsidR="00833B42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4033E498" w14:textId="5EF942F3" w:rsidR="005C7000" w:rsidRDefault="003F7D11" w:rsidP="005C7000">
      <w:r>
        <w:lastRenderedPageBreak/>
        <w:t xml:space="preserve">Средняя </w:t>
      </w:r>
      <w:r w:rsidR="00CE3CA2">
        <w:t>избыточная</w:t>
      </w:r>
      <w:r w:rsidR="003F25DF">
        <w:t xml:space="preserve"> доходность акций </w:t>
      </w:r>
      <w:r w:rsidR="003F25DF">
        <w:rPr>
          <w:lang w:val="en-US"/>
        </w:rPr>
        <w:t>SPAC</w:t>
      </w:r>
      <w:r w:rsidR="003F25DF">
        <w:t xml:space="preserve"> составила -11,8%</w:t>
      </w:r>
      <w:r w:rsidR="00732D36">
        <w:t>. Оценка является значимой на 1% уровне значимости</w:t>
      </w:r>
      <w:r w:rsidR="00252202">
        <w:t xml:space="preserve">. Этот результат позволяет </w:t>
      </w:r>
      <w:r w:rsidR="00E0052B">
        <w:t xml:space="preserve">опровергнуть гипотезу </w:t>
      </w:r>
      <w:r w:rsidR="00E0052B">
        <w:rPr>
          <w:lang w:val="en-US"/>
        </w:rPr>
        <w:t>H</w:t>
      </w:r>
      <w:r w:rsidR="00E0052B" w:rsidRPr="00E0052B">
        <w:t>1</w:t>
      </w:r>
      <w:r w:rsidR="00E0052B">
        <w:t xml:space="preserve"> о том, что доходность акций </w:t>
      </w:r>
      <w:r w:rsidR="00E0052B">
        <w:rPr>
          <w:lang w:val="en-US"/>
        </w:rPr>
        <w:t>SPAC</w:t>
      </w:r>
      <w:r w:rsidR="00E0052B">
        <w:t xml:space="preserve"> выше доходности </w:t>
      </w:r>
      <w:r w:rsidR="00E0052B">
        <w:rPr>
          <w:lang w:val="en-US"/>
        </w:rPr>
        <w:t>IPO</w:t>
      </w:r>
      <w:r w:rsidR="00E0052B">
        <w:t xml:space="preserve">. </w:t>
      </w:r>
      <w:r w:rsidR="0076009E">
        <w:t xml:space="preserve">Несмотря на то, что данная работа сфокусирована на понятии результативность, которое, в свою очередь, </w:t>
      </w:r>
      <w:r w:rsidR="00FF4AD5">
        <w:t xml:space="preserve">центрируется вокруг доходности, нельзя не упомянуть низкий риск инвестиций в </w:t>
      </w:r>
      <w:r w:rsidR="00FF4AD5">
        <w:rPr>
          <w:lang w:val="en-US"/>
        </w:rPr>
        <w:t>SPAC</w:t>
      </w:r>
      <w:r w:rsidR="00FF4AD5">
        <w:t xml:space="preserve">. Минимальная доходность </w:t>
      </w:r>
      <w:r w:rsidR="00E84D0A">
        <w:t xml:space="preserve">акций </w:t>
      </w:r>
      <w:r w:rsidR="00E84D0A">
        <w:rPr>
          <w:lang w:val="en-US"/>
        </w:rPr>
        <w:t>SPAC</w:t>
      </w:r>
      <w:r w:rsidR="00E84D0A">
        <w:t xml:space="preserve"> до поглощения </w:t>
      </w:r>
      <w:r w:rsidR="00FF4AD5">
        <w:t>в выборке составляла</w:t>
      </w:r>
      <w:r w:rsidR="00E84D0A">
        <w:t xml:space="preserve"> 0,09%</w:t>
      </w:r>
      <w:r w:rsidR="00BB4DA4">
        <w:t xml:space="preserve">, когда среди бенчмарков встречались такие </w:t>
      </w:r>
      <w:r w:rsidR="00BB4DA4">
        <w:rPr>
          <w:lang w:val="en-US"/>
        </w:rPr>
        <w:t>IPO</w:t>
      </w:r>
      <w:r w:rsidR="00BB4DA4">
        <w:t>, чья доходность стремилась к -100%.</w:t>
      </w:r>
      <w:r w:rsidR="00470EE2">
        <w:t xml:space="preserve"> В дальнейшем необходимо исследовать проблематику риска инвестиций в </w:t>
      </w:r>
      <w:r w:rsidR="00470EE2">
        <w:rPr>
          <w:lang w:val="en-US"/>
        </w:rPr>
        <w:t>SPAC</w:t>
      </w:r>
      <w:r w:rsidR="00470EE2">
        <w:t xml:space="preserve">, где в качестве бенчмарка можно взять показатель </w:t>
      </w:r>
      <w:r w:rsidR="00470EE2">
        <w:rPr>
          <w:lang w:val="en-US"/>
        </w:rPr>
        <w:t>Value</w:t>
      </w:r>
      <w:r w:rsidR="00470EE2" w:rsidRPr="00470EE2">
        <w:t>-</w:t>
      </w:r>
      <w:r w:rsidR="00470EE2">
        <w:rPr>
          <w:lang w:val="en-US"/>
        </w:rPr>
        <w:t>at</w:t>
      </w:r>
      <w:r w:rsidR="00470EE2" w:rsidRPr="00470EE2">
        <w:t>-</w:t>
      </w:r>
      <w:r w:rsidR="00470EE2">
        <w:rPr>
          <w:lang w:val="en-US"/>
        </w:rPr>
        <w:t>risk</w:t>
      </w:r>
      <w:r w:rsidR="00470EE2" w:rsidRPr="00470EE2">
        <w:t xml:space="preserve"> </w:t>
      </w:r>
      <w:r w:rsidR="00470EE2">
        <w:t xml:space="preserve">для оценки риска инвестиций в классическое </w:t>
      </w:r>
      <w:r w:rsidR="00470EE2">
        <w:rPr>
          <w:lang w:val="en-US"/>
        </w:rPr>
        <w:t>IPO</w:t>
      </w:r>
      <w:r w:rsidR="00470EE2">
        <w:t>.</w:t>
      </w:r>
    </w:p>
    <w:p w14:paraId="0463A568" w14:textId="2A6FDED3" w:rsidR="00470EE2" w:rsidRPr="006636DC" w:rsidRDefault="003E6352" w:rsidP="005C7000">
      <w:r>
        <w:t xml:space="preserve">Средняя </w:t>
      </w:r>
      <w:r w:rsidR="00CE3CA2">
        <w:t>избыточная</w:t>
      </w:r>
      <w:r>
        <w:t xml:space="preserve"> доходность акций </w:t>
      </w:r>
      <w:r>
        <w:rPr>
          <w:lang w:val="en-US"/>
        </w:rPr>
        <w:t>deSPAC</w:t>
      </w:r>
      <w:r>
        <w:t xml:space="preserve"> на промежутке 1 года </w:t>
      </w:r>
      <w:r w:rsidR="006B1092">
        <w:t xml:space="preserve">составила -44,2%, оценка значима на 1% уровне значимости. Средняя </w:t>
      </w:r>
      <w:r w:rsidR="00CE3CA2">
        <w:t>избыточная</w:t>
      </w:r>
      <w:r w:rsidR="006B1092">
        <w:t xml:space="preserve"> доходность акций </w:t>
      </w:r>
      <w:r w:rsidR="009C6441">
        <w:rPr>
          <w:lang w:val="en-US"/>
        </w:rPr>
        <w:t>deSPAC</w:t>
      </w:r>
      <w:r w:rsidR="009C6441">
        <w:t xml:space="preserve"> на промежутке 3 лет составила </w:t>
      </w:r>
      <w:r w:rsidR="000F7911">
        <w:t>-26,2%</w:t>
      </w:r>
      <w:r w:rsidR="00067C11">
        <w:t xml:space="preserve">, оценка значима на 5% уровне значимости. На основании результатов </w:t>
      </w:r>
      <w:r w:rsidR="006636DC">
        <w:t xml:space="preserve">гипотеза </w:t>
      </w:r>
      <w:r w:rsidR="006636DC">
        <w:rPr>
          <w:lang w:val="en-US"/>
        </w:rPr>
        <w:t>H</w:t>
      </w:r>
      <w:r w:rsidR="0088533E">
        <w:t>2</w:t>
      </w:r>
      <w:r w:rsidR="006636DC">
        <w:t xml:space="preserve"> о низкой результативности инвестиций в </w:t>
      </w:r>
      <w:r w:rsidR="006636DC">
        <w:rPr>
          <w:lang w:val="en-US"/>
        </w:rPr>
        <w:t>deSPAC</w:t>
      </w:r>
      <w:r w:rsidR="006636DC">
        <w:t xml:space="preserve"> принимается. Заметно, что с течением времени отставание доходности акций </w:t>
      </w:r>
      <w:r w:rsidR="006636DC">
        <w:rPr>
          <w:lang w:val="en-US"/>
        </w:rPr>
        <w:t>SPAC</w:t>
      </w:r>
      <w:r w:rsidR="006636DC">
        <w:t xml:space="preserve"> от доходности традиционного </w:t>
      </w:r>
      <w:r w:rsidR="006636DC">
        <w:rPr>
          <w:lang w:val="en-US"/>
        </w:rPr>
        <w:t>IPO</w:t>
      </w:r>
      <w:r w:rsidR="006636DC">
        <w:t xml:space="preserve"> сокращается</w:t>
      </w:r>
      <w:r w:rsidR="000B2D6D">
        <w:t>. В будущем необходимо проверить аналогичные показатели на промежутке в 5 лет</w:t>
      </w:r>
      <w:r w:rsidR="00E1123B">
        <w:t xml:space="preserve"> (объем текущей выборки для анализа такого показателя на данный момент недостаточен).</w:t>
      </w:r>
    </w:p>
    <w:p w14:paraId="49E7DDCA" w14:textId="788AE0BB" w:rsidR="00806447" w:rsidRDefault="00A43741" w:rsidP="00D65705">
      <w:pPr>
        <w:pStyle w:val="3"/>
      </w:pPr>
      <w:bookmarkStart w:id="52" w:name="_Toc102050315"/>
      <w:bookmarkStart w:id="53" w:name="_Toc102050687"/>
      <w:r>
        <w:t xml:space="preserve">2.3.3. </w:t>
      </w:r>
      <w:r w:rsidR="00D65705">
        <w:t>Варранты</w:t>
      </w:r>
      <w:bookmarkEnd w:id="52"/>
      <w:bookmarkEnd w:id="53"/>
    </w:p>
    <w:p w14:paraId="65486A41" w14:textId="0690344E" w:rsidR="000F5D87" w:rsidRDefault="00123C5D" w:rsidP="000F5D87">
      <w:r>
        <w:t>Ниже</w:t>
      </w:r>
      <w:r w:rsidR="00D65705">
        <w:t xml:space="preserve"> представлена аналитика доходности </w:t>
      </w:r>
      <w:r w:rsidR="006961C5">
        <w:t>варрантов</w:t>
      </w:r>
      <w:r w:rsidR="008726D5">
        <w:t xml:space="preserve"> и портфеля акций и</w:t>
      </w:r>
      <w:r w:rsidR="008726D5" w:rsidRPr="008726D5">
        <w:t xml:space="preserve"> </w:t>
      </w:r>
      <w:r w:rsidR="008726D5">
        <w:t>варрантов</w:t>
      </w:r>
      <w:r w:rsidR="00A83F76">
        <w:t xml:space="preserve"> </w:t>
      </w:r>
      <w:r w:rsidR="00A83F76">
        <w:rPr>
          <w:lang w:val="en-US"/>
        </w:rPr>
        <w:t>SPAC</w:t>
      </w:r>
      <w:r>
        <w:t>, реплицирующий состав юнита</w:t>
      </w:r>
      <w:r w:rsidR="00A83F76">
        <w:t xml:space="preserve"> при </w:t>
      </w:r>
      <w:r w:rsidR="00A83F76">
        <w:rPr>
          <w:lang w:val="en-US"/>
        </w:rPr>
        <w:t>IPO</w:t>
      </w:r>
      <w:r w:rsidR="00A83F76">
        <w:t xml:space="preserve"> того или иного </w:t>
      </w:r>
      <w:r w:rsidR="00A83F76">
        <w:rPr>
          <w:lang w:val="en-US"/>
        </w:rPr>
        <w:t>SPAC</w:t>
      </w:r>
      <w:r w:rsidR="008726D5" w:rsidRPr="008726D5">
        <w:t xml:space="preserve">. </w:t>
      </w:r>
      <w:r w:rsidR="00212808">
        <w:t xml:space="preserve">Также результаты вычисления позволят ответить на вопрос, почему </w:t>
      </w:r>
      <w:r w:rsidR="0008180C">
        <w:t>стратегия по исполнению варрантов не принесет бо́льшую доходность инвестору. Для расчета доходности варрантов использовалась формула (1</w:t>
      </w:r>
      <w:r w:rsidR="0024593E">
        <w:t>3</w:t>
      </w:r>
      <w:r w:rsidR="0008180C">
        <w:t xml:space="preserve">), для </w:t>
      </w:r>
      <w:r w:rsidR="00153181">
        <w:t xml:space="preserve">расчета </w:t>
      </w:r>
      <w:r w:rsidR="00CE3CA2">
        <w:t>избыточных</w:t>
      </w:r>
      <w:r w:rsidR="00153181">
        <w:t xml:space="preserve"> доходностей</w:t>
      </w:r>
      <w:r w:rsidR="0008180C">
        <w:t xml:space="preserve"> – формула (1</w:t>
      </w:r>
      <w:r w:rsidR="008D34EE">
        <w:t>2</w:t>
      </w:r>
      <w:r w:rsidR="0008180C">
        <w:t>).</w:t>
      </w:r>
    </w:p>
    <w:p w14:paraId="192570D5" w14:textId="557E1FA0" w:rsidR="00AD528A" w:rsidRDefault="00E172A1" w:rsidP="00AD528A">
      <w:pPr>
        <w:pStyle w:val="a"/>
      </w:pPr>
      <w:r>
        <w:t xml:space="preserve">Годовая </w:t>
      </w:r>
      <w:r w:rsidR="000E34A2">
        <w:t>д</w:t>
      </w:r>
      <w:r w:rsidR="00F35E8A">
        <w:t xml:space="preserve">оходность варрантов </w:t>
      </w:r>
      <w:r w:rsidR="00F35E8A">
        <w:rPr>
          <w:lang w:val="en-US"/>
        </w:rPr>
        <w:t>deSPAC</w:t>
      </w:r>
      <w:r w:rsidR="00F35E8A">
        <w:t xml:space="preserve"> по годам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052B0" w14:paraId="0B675B50" w14:textId="77777777" w:rsidTr="000052B0">
        <w:tc>
          <w:tcPr>
            <w:tcW w:w="1869" w:type="dxa"/>
            <w:vAlign w:val="center"/>
          </w:tcPr>
          <w:p w14:paraId="78A953A7" w14:textId="262A200E" w:rsidR="000052B0" w:rsidRPr="000052B0" w:rsidRDefault="000052B0" w:rsidP="000052B0">
            <w:pPr>
              <w:pStyle w:val="ad"/>
              <w:jc w:val="center"/>
              <w:rPr>
                <w:b/>
                <w:bCs/>
              </w:rPr>
            </w:pPr>
            <w:r w:rsidRPr="000052B0">
              <w:rPr>
                <w:b/>
                <w:bCs/>
              </w:rPr>
              <w:t xml:space="preserve">Год </w:t>
            </w:r>
            <w:r w:rsidR="0096336E">
              <w:rPr>
                <w:b/>
                <w:bCs/>
              </w:rPr>
              <w:t>завершения сделки</w:t>
            </w:r>
          </w:p>
        </w:tc>
        <w:tc>
          <w:tcPr>
            <w:tcW w:w="1869" w:type="dxa"/>
            <w:vAlign w:val="center"/>
          </w:tcPr>
          <w:p w14:paraId="12FB1BD1" w14:textId="36F5DB6B" w:rsidR="000052B0" w:rsidRPr="000052B0" w:rsidRDefault="000052B0" w:rsidP="000052B0">
            <w:pPr>
              <w:pStyle w:val="ad"/>
              <w:jc w:val="center"/>
              <w:rPr>
                <w:b/>
                <w:bCs/>
              </w:rPr>
            </w:pPr>
            <w:r w:rsidRPr="000052B0">
              <w:rPr>
                <w:b/>
                <w:bCs/>
              </w:rPr>
              <w:t>Счет</w:t>
            </w:r>
          </w:p>
        </w:tc>
        <w:tc>
          <w:tcPr>
            <w:tcW w:w="1869" w:type="dxa"/>
            <w:vAlign w:val="center"/>
          </w:tcPr>
          <w:p w14:paraId="4666D500" w14:textId="10EF60B4" w:rsidR="000052B0" w:rsidRPr="000052B0" w:rsidRDefault="000052B0" w:rsidP="000052B0">
            <w:pPr>
              <w:pStyle w:val="ad"/>
              <w:jc w:val="center"/>
              <w:rPr>
                <w:b/>
                <w:bCs/>
              </w:rPr>
            </w:pPr>
            <w:r w:rsidRPr="000052B0">
              <w:rPr>
                <w:b/>
                <w:bCs/>
              </w:rPr>
              <w:t>Среднее</w:t>
            </w:r>
          </w:p>
        </w:tc>
        <w:tc>
          <w:tcPr>
            <w:tcW w:w="1869" w:type="dxa"/>
            <w:vAlign w:val="center"/>
          </w:tcPr>
          <w:p w14:paraId="7206440D" w14:textId="374527E6" w:rsidR="000052B0" w:rsidRPr="000052B0" w:rsidRDefault="00AD3839" w:rsidP="000052B0">
            <w:pPr>
              <w:pStyle w:val="ad"/>
              <w:jc w:val="center"/>
              <w:rPr>
                <w:b/>
                <w:bCs/>
              </w:rPr>
            </w:pPr>
            <w:r w:rsidRPr="00AD3839">
              <w:rPr>
                <w:b/>
                <w:bCs/>
              </w:rPr>
              <w:t>Взвешенная средняя</w:t>
            </w:r>
          </w:p>
        </w:tc>
        <w:tc>
          <w:tcPr>
            <w:tcW w:w="1869" w:type="dxa"/>
            <w:vAlign w:val="center"/>
          </w:tcPr>
          <w:p w14:paraId="756DABDE" w14:textId="05224D98" w:rsidR="000052B0" w:rsidRPr="000052B0" w:rsidRDefault="000052B0" w:rsidP="000052B0">
            <w:pPr>
              <w:pStyle w:val="ad"/>
              <w:jc w:val="center"/>
              <w:rPr>
                <w:b/>
                <w:bCs/>
              </w:rPr>
            </w:pPr>
            <w:r w:rsidRPr="000052B0">
              <w:rPr>
                <w:b/>
                <w:bCs/>
              </w:rPr>
              <w:t>Медиана</w:t>
            </w:r>
          </w:p>
        </w:tc>
      </w:tr>
      <w:tr w:rsidR="00E261D2" w14:paraId="5B7799E8" w14:textId="77777777" w:rsidTr="00E261D2">
        <w:tc>
          <w:tcPr>
            <w:tcW w:w="1869" w:type="dxa"/>
            <w:vAlign w:val="center"/>
          </w:tcPr>
          <w:p w14:paraId="1726C2B0" w14:textId="10078621" w:rsidR="00E261D2" w:rsidRDefault="00E261D2" w:rsidP="00E261D2">
            <w:pPr>
              <w:pStyle w:val="ad"/>
              <w:jc w:val="center"/>
            </w:pPr>
            <w:r w:rsidRPr="00404392">
              <w:t>2017</w:t>
            </w:r>
          </w:p>
        </w:tc>
        <w:tc>
          <w:tcPr>
            <w:tcW w:w="1869" w:type="dxa"/>
          </w:tcPr>
          <w:p w14:paraId="45079D5F" w14:textId="05D6CC5C" w:rsidR="00E261D2" w:rsidRDefault="00E261D2" w:rsidP="00E261D2">
            <w:pPr>
              <w:pStyle w:val="ad"/>
              <w:jc w:val="center"/>
            </w:pPr>
            <w:r w:rsidRPr="006C3D85">
              <w:t>2</w:t>
            </w:r>
          </w:p>
        </w:tc>
        <w:tc>
          <w:tcPr>
            <w:tcW w:w="1869" w:type="dxa"/>
            <w:vAlign w:val="center"/>
          </w:tcPr>
          <w:p w14:paraId="502D31A2" w14:textId="408CA052" w:rsidR="00E261D2" w:rsidRDefault="00E261D2" w:rsidP="00E261D2">
            <w:pPr>
              <w:pStyle w:val="ad"/>
              <w:jc w:val="center"/>
            </w:pPr>
            <w:r w:rsidRPr="006C3D85">
              <w:t>1,31%</w:t>
            </w:r>
          </w:p>
        </w:tc>
        <w:tc>
          <w:tcPr>
            <w:tcW w:w="1869" w:type="dxa"/>
            <w:vAlign w:val="center"/>
          </w:tcPr>
          <w:p w14:paraId="70D5F1CF" w14:textId="105E1984" w:rsidR="00E261D2" w:rsidRDefault="00E261D2" w:rsidP="00E261D2">
            <w:pPr>
              <w:pStyle w:val="ad"/>
              <w:jc w:val="center"/>
            </w:pPr>
            <w:r w:rsidRPr="006C3D85">
              <w:t>1,31%</w:t>
            </w:r>
          </w:p>
        </w:tc>
        <w:tc>
          <w:tcPr>
            <w:tcW w:w="1869" w:type="dxa"/>
            <w:vAlign w:val="center"/>
          </w:tcPr>
          <w:p w14:paraId="5AAA89DC" w14:textId="41771E26" w:rsidR="00E261D2" w:rsidRDefault="00E261D2" w:rsidP="00E261D2">
            <w:pPr>
              <w:pStyle w:val="ad"/>
              <w:jc w:val="center"/>
            </w:pPr>
            <w:r w:rsidRPr="006C3D85">
              <w:t>1,31%</w:t>
            </w:r>
          </w:p>
        </w:tc>
      </w:tr>
      <w:tr w:rsidR="00E261D2" w14:paraId="2DB897A6" w14:textId="77777777" w:rsidTr="00E261D2">
        <w:tc>
          <w:tcPr>
            <w:tcW w:w="1869" w:type="dxa"/>
            <w:vAlign w:val="center"/>
          </w:tcPr>
          <w:p w14:paraId="16584315" w14:textId="147913C8" w:rsidR="00E261D2" w:rsidRDefault="00E261D2" w:rsidP="00E261D2">
            <w:pPr>
              <w:pStyle w:val="ad"/>
              <w:jc w:val="center"/>
            </w:pPr>
            <w:r w:rsidRPr="00404392">
              <w:t>2018</w:t>
            </w:r>
          </w:p>
        </w:tc>
        <w:tc>
          <w:tcPr>
            <w:tcW w:w="1869" w:type="dxa"/>
          </w:tcPr>
          <w:p w14:paraId="53124263" w14:textId="6D97BCEF" w:rsidR="00E261D2" w:rsidRDefault="00E261D2" w:rsidP="00E261D2">
            <w:pPr>
              <w:pStyle w:val="ad"/>
              <w:jc w:val="center"/>
            </w:pPr>
            <w:r w:rsidRPr="006C3D85">
              <w:t>7</w:t>
            </w:r>
          </w:p>
        </w:tc>
        <w:tc>
          <w:tcPr>
            <w:tcW w:w="1869" w:type="dxa"/>
            <w:vAlign w:val="center"/>
          </w:tcPr>
          <w:p w14:paraId="7E89ADEC" w14:textId="10BE674B" w:rsidR="00E261D2" w:rsidRDefault="00E261D2" w:rsidP="00E261D2">
            <w:pPr>
              <w:pStyle w:val="ad"/>
              <w:jc w:val="center"/>
            </w:pPr>
            <w:r w:rsidRPr="006C3D85">
              <w:t>-24,4%</w:t>
            </w:r>
          </w:p>
        </w:tc>
        <w:tc>
          <w:tcPr>
            <w:tcW w:w="1869" w:type="dxa"/>
            <w:vAlign w:val="center"/>
          </w:tcPr>
          <w:p w14:paraId="02E22E66" w14:textId="12018E80" w:rsidR="00E261D2" w:rsidRDefault="00E261D2" w:rsidP="00E261D2">
            <w:pPr>
              <w:pStyle w:val="ad"/>
              <w:jc w:val="center"/>
            </w:pPr>
            <w:r w:rsidRPr="006C3D85">
              <w:t>-8,0%</w:t>
            </w:r>
          </w:p>
        </w:tc>
        <w:tc>
          <w:tcPr>
            <w:tcW w:w="1869" w:type="dxa"/>
            <w:vAlign w:val="center"/>
          </w:tcPr>
          <w:p w14:paraId="3A1AB5AE" w14:textId="6F54DFCC" w:rsidR="00E261D2" w:rsidRDefault="00E261D2" w:rsidP="00E261D2">
            <w:pPr>
              <w:pStyle w:val="ad"/>
              <w:jc w:val="center"/>
            </w:pPr>
            <w:r w:rsidRPr="006C3D85">
              <w:t>-36,4%</w:t>
            </w:r>
          </w:p>
        </w:tc>
      </w:tr>
      <w:tr w:rsidR="00E261D2" w14:paraId="0A70458F" w14:textId="77777777" w:rsidTr="00E261D2">
        <w:tc>
          <w:tcPr>
            <w:tcW w:w="1869" w:type="dxa"/>
            <w:vAlign w:val="center"/>
          </w:tcPr>
          <w:p w14:paraId="1D9E9811" w14:textId="1D8E1C4E" w:rsidR="00E261D2" w:rsidRDefault="00E261D2" w:rsidP="00E261D2">
            <w:pPr>
              <w:pStyle w:val="ad"/>
              <w:jc w:val="center"/>
            </w:pPr>
            <w:r w:rsidRPr="00404392">
              <w:t>2019</w:t>
            </w:r>
          </w:p>
        </w:tc>
        <w:tc>
          <w:tcPr>
            <w:tcW w:w="1869" w:type="dxa"/>
          </w:tcPr>
          <w:p w14:paraId="683C9911" w14:textId="61135B85" w:rsidR="00E261D2" w:rsidRDefault="00E261D2" w:rsidP="00E261D2">
            <w:pPr>
              <w:pStyle w:val="ad"/>
              <w:jc w:val="center"/>
            </w:pPr>
            <w:r w:rsidRPr="006C3D85">
              <w:t>6</w:t>
            </w:r>
          </w:p>
        </w:tc>
        <w:tc>
          <w:tcPr>
            <w:tcW w:w="1869" w:type="dxa"/>
            <w:vAlign w:val="center"/>
          </w:tcPr>
          <w:p w14:paraId="77C919A8" w14:textId="3DCD2B85" w:rsidR="00E261D2" w:rsidRDefault="00E261D2" w:rsidP="00E261D2">
            <w:pPr>
              <w:pStyle w:val="ad"/>
              <w:jc w:val="center"/>
            </w:pPr>
            <w:r w:rsidRPr="006C3D85">
              <w:t>-45,5%</w:t>
            </w:r>
          </w:p>
        </w:tc>
        <w:tc>
          <w:tcPr>
            <w:tcW w:w="1869" w:type="dxa"/>
            <w:vAlign w:val="center"/>
          </w:tcPr>
          <w:p w14:paraId="78EA453A" w14:textId="659B710F" w:rsidR="00E261D2" w:rsidRDefault="00E261D2" w:rsidP="00E261D2">
            <w:pPr>
              <w:pStyle w:val="ad"/>
              <w:jc w:val="center"/>
            </w:pPr>
            <w:r w:rsidRPr="006C3D85">
              <w:t>-63,6%</w:t>
            </w:r>
          </w:p>
        </w:tc>
        <w:tc>
          <w:tcPr>
            <w:tcW w:w="1869" w:type="dxa"/>
            <w:vAlign w:val="center"/>
          </w:tcPr>
          <w:p w14:paraId="4E6EC45F" w14:textId="0694A41F" w:rsidR="00E261D2" w:rsidRDefault="00E261D2" w:rsidP="00E261D2">
            <w:pPr>
              <w:pStyle w:val="ad"/>
              <w:jc w:val="center"/>
            </w:pPr>
            <w:r w:rsidRPr="006C3D85">
              <w:t>-54,7%</w:t>
            </w:r>
          </w:p>
        </w:tc>
      </w:tr>
      <w:tr w:rsidR="00E261D2" w14:paraId="00C84106" w14:textId="77777777" w:rsidTr="00E261D2">
        <w:tc>
          <w:tcPr>
            <w:tcW w:w="1869" w:type="dxa"/>
            <w:vAlign w:val="center"/>
          </w:tcPr>
          <w:p w14:paraId="102938A6" w14:textId="276DA8C6" w:rsidR="00E261D2" w:rsidRDefault="00E261D2" w:rsidP="00E261D2">
            <w:pPr>
              <w:pStyle w:val="ad"/>
              <w:jc w:val="center"/>
            </w:pPr>
            <w:r w:rsidRPr="00404392">
              <w:t>2020</w:t>
            </w:r>
          </w:p>
        </w:tc>
        <w:tc>
          <w:tcPr>
            <w:tcW w:w="1869" w:type="dxa"/>
          </w:tcPr>
          <w:p w14:paraId="186EE68A" w14:textId="46CAA648" w:rsidR="00E261D2" w:rsidRDefault="00E261D2" w:rsidP="00E261D2">
            <w:pPr>
              <w:pStyle w:val="ad"/>
              <w:jc w:val="center"/>
            </w:pPr>
            <w:r w:rsidRPr="006C3D85">
              <w:t>28</w:t>
            </w:r>
          </w:p>
        </w:tc>
        <w:tc>
          <w:tcPr>
            <w:tcW w:w="1869" w:type="dxa"/>
            <w:vAlign w:val="center"/>
          </w:tcPr>
          <w:p w14:paraId="718EF261" w14:textId="003E19F8" w:rsidR="00E261D2" w:rsidRDefault="00E261D2" w:rsidP="00E261D2">
            <w:pPr>
              <w:pStyle w:val="ad"/>
              <w:jc w:val="center"/>
            </w:pPr>
            <w:r w:rsidRPr="006C3D85">
              <w:t>-10,3%</w:t>
            </w:r>
          </w:p>
        </w:tc>
        <w:tc>
          <w:tcPr>
            <w:tcW w:w="1869" w:type="dxa"/>
            <w:vAlign w:val="center"/>
          </w:tcPr>
          <w:p w14:paraId="13F56090" w14:textId="126FE649" w:rsidR="00E261D2" w:rsidRDefault="00E261D2" w:rsidP="00E261D2">
            <w:pPr>
              <w:pStyle w:val="ad"/>
              <w:jc w:val="center"/>
            </w:pPr>
            <w:r w:rsidRPr="006C3D85">
              <w:t>-1,6%</w:t>
            </w:r>
          </w:p>
        </w:tc>
        <w:tc>
          <w:tcPr>
            <w:tcW w:w="1869" w:type="dxa"/>
            <w:vAlign w:val="center"/>
          </w:tcPr>
          <w:p w14:paraId="47862863" w14:textId="2770C09E" w:rsidR="00E261D2" w:rsidRDefault="00E261D2" w:rsidP="00E261D2">
            <w:pPr>
              <w:pStyle w:val="ad"/>
              <w:jc w:val="center"/>
            </w:pPr>
            <w:r w:rsidRPr="006C3D85">
              <w:t>-33,0%</w:t>
            </w:r>
          </w:p>
        </w:tc>
      </w:tr>
      <w:tr w:rsidR="00E261D2" w14:paraId="271B9170" w14:textId="77777777" w:rsidTr="00E261D2">
        <w:tc>
          <w:tcPr>
            <w:tcW w:w="1869" w:type="dxa"/>
            <w:vAlign w:val="center"/>
          </w:tcPr>
          <w:p w14:paraId="1D733B9A" w14:textId="6D0386A2" w:rsidR="00E261D2" w:rsidRDefault="00E261D2" w:rsidP="00E261D2">
            <w:pPr>
              <w:pStyle w:val="ad"/>
              <w:jc w:val="center"/>
            </w:pPr>
            <w:r w:rsidRPr="00404392">
              <w:t>2021</w:t>
            </w:r>
          </w:p>
        </w:tc>
        <w:tc>
          <w:tcPr>
            <w:tcW w:w="1869" w:type="dxa"/>
          </w:tcPr>
          <w:p w14:paraId="68C2542B" w14:textId="57868E06" w:rsidR="00E261D2" w:rsidRDefault="00E261D2" w:rsidP="00E261D2">
            <w:pPr>
              <w:pStyle w:val="ad"/>
              <w:jc w:val="center"/>
            </w:pPr>
            <w:r w:rsidRPr="006C3D85">
              <w:t>14</w:t>
            </w:r>
          </w:p>
        </w:tc>
        <w:tc>
          <w:tcPr>
            <w:tcW w:w="1869" w:type="dxa"/>
            <w:vAlign w:val="center"/>
          </w:tcPr>
          <w:p w14:paraId="0223D712" w14:textId="7AB7531B" w:rsidR="00E261D2" w:rsidRDefault="00E261D2" w:rsidP="00E261D2">
            <w:pPr>
              <w:pStyle w:val="ad"/>
              <w:jc w:val="center"/>
            </w:pPr>
            <w:r w:rsidRPr="006C3D85">
              <w:t>-68,7%</w:t>
            </w:r>
          </w:p>
        </w:tc>
        <w:tc>
          <w:tcPr>
            <w:tcW w:w="1869" w:type="dxa"/>
            <w:vAlign w:val="center"/>
          </w:tcPr>
          <w:p w14:paraId="33FE7673" w14:textId="17380C19" w:rsidR="00E261D2" w:rsidRDefault="00E261D2" w:rsidP="00E261D2">
            <w:pPr>
              <w:pStyle w:val="ad"/>
              <w:jc w:val="center"/>
            </w:pPr>
            <w:r w:rsidRPr="006C3D85">
              <w:t>-69,8%</w:t>
            </w:r>
          </w:p>
        </w:tc>
        <w:tc>
          <w:tcPr>
            <w:tcW w:w="1869" w:type="dxa"/>
            <w:vAlign w:val="center"/>
          </w:tcPr>
          <w:p w14:paraId="4412FA5D" w14:textId="731B5C24" w:rsidR="00E261D2" w:rsidRDefault="00E261D2" w:rsidP="00E261D2">
            <w:pPr>
              <w:pStyle w:val="ad"/>
              <w:jc w:val="center"/>
            </w:pPr>
            <w:r w:rsidRPr="006C3D85">
              <w:t>-83,6%</w:t>
            </w:r>
          </w:p>
        </w:tc>
      </w:tr>
      <w:tr w:rsidR="00E261D2" w14:paraId="52A5A5C3" w14:textId="77777777" w:rsidTr="00E261D2">
        <w:tc>
          <w:tcPr>
            <w:tcW w:w="1869" w:type="dxa"/>
            <w:vAlign w:val="center"/>
          </w:tcPr>
          <w:p w14:paraId="756DBAFF" w14:textId="2B7CC9B1" w:rsidR="00E261D2" w:rsidRPr="00F148EA" w:rsidRDefault="00E261D2" w:rsidP="00E261D2">
            <w:pPr>
              <w:pStyle w:val="ad"/>
              <w:jc w:val="center"/>
              <w:rPr>
                <w:b/>
                <w:bCs/>
              </w:rPr>
            </w:pPr>
            <w:r w:rsidRPr="00F148EA">
              <w:rPr>
                <w:b/>
                <w:bCs/>
              </w:rPr>
              <w:t>Итог</w:t>
            </w:r>
          </w:p>
        </w:tc>
        <w:tc>
          <w:tcPr>
            <w:tcW w:w="1869" w:type="dxa"/>
          </w:tcPr>
          <w:p w14:paraId="0DABCAF1" w14:textId="72E72189" w:rsidR="00E261D2" w:rsidRPr="00404392" w:rsidRDefault="006E25AC" w:rsidP="00E261D2">
            <w:pPr>
              <w:pStyle w:val="ad"/>
              <w:jc w:val="center"/>
            </w:pPr>
            <w:r>
              <w:t>57</w:t>
            </w:r>
          </w:p>
        </w:tc>
        <w:tc>
          <w:tcPr>
            <w:tcW w:w="1869" w:type="dxa"/>
            <w:vAlign w:val="center"/>
          </w:tcPr>
          <w:p w14:paraId="12952E3C" w14:textId="2336DAC7" w:rsidR="00E261D2" w:rsidRPr="00404392" w:rsidRDefault="006E25AC" w:rsidP="00E261D2">
            <w:pPr>
              <w:pStyle w:val="ad"/>
              <w:jc w:val="center"/>
            </w:pPr>
            <w:r>
              <w:t>-29,7</w:t>
            </w:r>
            <w:r w:rsidR="00E261D2" w:rsidRPr="006C3D85">
              <w:t>%</w:t>
            </w:r>
          </w:p>
        </w:tc>
        <w:tc>
          <w:tcPr>
            <w:tcW w:w="1869" w:type="dxa"/>
            <w:vAlign w:val="center"/>
          </w:tcPr>
          <w:p w14:paraId="001B6D7F" w14:textId="2BDD64EA" w:rsidR="00E261D2" w:rsidRPr="00404392" w:rsidRDefault="006E25AC" w:rsidP="00E261D2">
            <w:pPr>
              <w:pStyle w:val="ad"/>
              <w:jc w:val="center"/>
            </w:pPr>
            <w:r>
              <w:t>-29,3</w:t>
            </w:r>
            <w:r w:rsidR="00E261D2" w:rsidRPr="006C3D85">
              <w:t>%</w:t>
            </w:r>
          </w:p>
        </w:tc>
        <w:tc>
          <w:tcPr>
            <w:tcW w:w="1869" w:type="dxa"/>
            <w:vAlign w:val="center"/>
          </w:tcPr>
          <w:p w14:paraId="37444F5E" w14:textId="160B3ECE" w:rsidR="00E261D2" w:rsidRPr="00404392" w:rsidRDefault="006E25AC" w:rsidP="00E261D2">
            <w:pPr>
              <w:pStyle w:val="ad"/>
              <w:jc w:val="center"/>
            </w:pPr>
            <w:r>
              <w:t>-</w:t>
            </w:r>
            <w:r w:rsidR="00833B4B">
              <w:t>46,6</w:t>
            </w:r>
            <w:r w:rsidR="00E261D2" w:rsidRPr="006C3D85">
              <w:t>%</w:t>
            </w:r>
          </w:p>
        </w:tc>
      </w:tr>
    </w:tbl>
    <w:p w14:paraId="070F7287" w14:textId="31F7FD35" w:rsidR="00F35E8A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lastRenderedPageBreak/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10B1B497" w14:textId="4DBF488A" w:rsidR="008B2474" w:rsidRDefault="00811C64" w:rsidP="00AD3839">
      <w:r>
        <w:t>Результаты в таблице 1</w:t>
      </w:r>
      <w:r w:rsidR="00B66D0C">
        <w:t>4</w:t>
      </w:r>
      <w:r>
        <w:t xml:space="preserve"> говорят </w:t>
      </w:r>
      <w:r w:rsidR="00325527">
        <w:t xml:space="preserve">о высокой вариативности данных по доходностям </w:t>
      </w:r>
      <w:r w:rsidR="00325527">
        <w:rPr>
          <w:lang w:val="en-US"/>
        </w:rPr>
        <w:t>deSPAC</w:t>
      </w:r>
      <w:r w:rsidR="0065103A">
        <w:t xml:space="preserve"> даже после удалени</w:t>
      </w:r>
      <w:r w:rsidR="006E25AC">
        <w:t>я выбросов</w:t>
      </w:r>
      <w:r w:rsidR="00325527">
        <w:t>.</w:t>
      </w:r>
      <w:r w:rsidR="0065103A">
        <w:t xml:space="preserve"> </w:t>
      </w:r>
      <w:r w:rsidR="00833B4B">
        <w:t xml:space="preserve">Несмотря на относительную близость среднеарифметической и средневзвешенной оценок, медианные оценки сильно </w:t>
      </w:r>
      <w:r w:rsidR="00435C0E">
        <w:t>занижены</w:t>
      </w:r>
      <w:r w:rsidR="000E25D3">
        <w:t xml:space="preserve">. </w:t>
      </w:r>
      <w:r w:rsidR="007337D9">
        <w:t>В отношении доходно</w:t>
      </w:r>
      <w:r w:rsidR="002B5DBE">
        <w:t xml:space="preserve">сти варрантов не наблюдается определенный тренд. Варранты </w:t>
      </w:r>
      <w:r w:rsidR="002B5DBE">
        <w:rPr>
          <w:lang w:val="en-US"/>
        </w:rPr>
        <w:t>deSPAC</w:t>
      </w:r>
      <w:r w:rsidR="002B5DBE">
        <w:t>, завершивших слияние в первые месяцы 2021 года, показывают наименьшую доходность за всё анализиру</w:t>
      </w:r>
      <w:r w:rsidR="00AF0D7B">
        <w:t xml:space="preserve">емое время, однако </w:t>
      </w:r>
      <w:r w:rsidR="0077236F">
        <w:t>пока этот показатель не имеет глубокой обоснованности, поскольку выборка в 2021 году ограничена лишь январем и февралем</w:t>
      </w:r>
      <w:r w:rsidR="00AF0D7B">
        <w:t>.</w:t>
      </w:r>
    </w:p>
    <w:p w14:paraId="493579F5" w14:textId="1F8719AF" w:rsidR="006A331D" w:rsidRDefault="006A331D" w:rsidP="00AD3839">
      <w:r>
        <w:t xml:space="preserve">В таблице 15 </w:t>
      </w:r>
      <w:r w:rsidR="008137F2">
        <w:t xml:space="preserve">представлены результаты анализа результативности инвестиций в варранты, а именно оценки </w:t>
      </w:r>
      <w:r w:rsidR="00CE3CA2">
        <w:t>избыточных</w:t>
      </w:r>
      <w:r w:rsidR="008137F2">
        <w:t xml:space="preserve"> доходностей при разных бенчмарках, </w:t>
      </w:r>
      <w:r w:rsidR="00AE6459">
        <w:t>а также критерии значимости этих оценок.</w:t>
      </w:r>
    </w:p>
    <w:p w14:paraId="469197C3" w14:textId="24D57405" w:rsidR="00A63F8C" w:rsidRDefault="00CE3CA2" w:rsidP="00A63F8C">
      <w:pPr>
        <w:pStyle w:val="a"/>
      </w:pPr>
      <w:r>
        <w:t>Избыточные</w:t>
      </w:r>
      <w:r w:rsidR="00AE6459">
        <w:t xml:space="preserve"> </w:t>
      </w:r>
      <w:r w:rsidR="007F641F">
        <w:t xml:space="preserve">годовые </w:t>
      </w:r>
      <w:r w:rsidR="00AE6459">
        <w:t xml:space="preserve">доходности варрантов </w:t>
      </w:r>
      <w:r w:rsidR="00B45745">
        <w:rPr>
          <w:lang w:val="en-US"/>
        </w:rPr>
        <w:t>deSPAC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1FA4" w14:paraId="6AD8B319" w14:textId="77777777" w:rsidTr="008B0EA7">
        <w:tc>
          <w:tcPr>
            <w:tcW w:w="3115" w:type="dxa"/>
            <w:vMerge w:val="restart"/>
            <w:vAlign w:val="center"/>
          </w:tcPr>
          <w:p w14:paraId="38DC019B" w14:textId="1D445F40" w:rsidR="00261FA4" w:rsidRPr="008B0EA7" w:rsidRDefault="008B0EA7" w:rsidP="008B0EA7">
            <w:pPr>
              <w:pStyle w:val="ad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6230" w:type="dxa"/>
            <w:gridSpan w:val="2"/>
            <w:vAlign w:val="center"/>
          </w:tcPr>
          <w:p w14:paraId="1F35B7CB" w14:textId="37E948A5" w:rsidR="00261FA4" w:rsidRPr="00A75A2D" w:rsidRDefault="00A75A2D" w:rsidP="008B0EA7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Бенчмарк</w:t>
            </w:r>
          </w:p>
        </w:tc>
      </w:tr>
      <w:tr w:rsidR="00261FA4" w14:paraId="31FB4886" w14:textId="77777777" w:rsidTr="008B0EA7">
        <w:tc>
          <w:tcPr>
            <w:tcW w:w="3115" w:type="dxa"/>
            <w:vMerge/>
            <w:vAlign w:val="center"/>
          </w:tcPr>
          <w:p w14:paraId="165BA372" w14:textId="77777777" w:rsidR="00261FA4" w:rsidRDefault="00261FA4" w:rsidP="008B0EA7">
            <w:pPr>
              <w:pStyle w:val="ad"/>
              <w:jc w:val="center"/>
            </w:pPr>
          </w:p>
        </w:tc>
        <w:tc>
          <w:tcPr>
            <w:tcW w:w="3115" w:type="dxa"/>
            <w:vAlign w:val="center"/>
          </w:tcPr>
          <w:p w14:paraId="549A0C7A" w14:textId="4EDFE40E" w:rsidR="00261FA4" w:rsidRPr="00A75A2D" w:rsidRDefault="00A75A2D" w:rsidP="008B0EA7">
            <w:pPr>
              <w:pStyle w:val="ad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Акции </w:t>
            </w:r>
            <w:r>
              <w:rPr>
                <w:b/>
                <w:bCs/>
                <w:lang w:val="en-US"/>
              </w:rPr>
              <w:t>SPAC</w:t>
            </w:r>
          </w:p>
        </w:tc>
        <w:tc>
          <w:tcPr>
            <w:tcW w:w="3115" w:type="dxa"/>
            <w:vAlign w:val="center"/>
          </w:tcPr>
          <w:p w14:paraId="34DD89C6" w14:textId="71F78227" w:rsidR="00261FA4" w:rsidRPr="008B0EA7" w:rsidRDefault="008B0EA7" w:rsidP="008B0EA7">
            <w:pPr>
              <w:pStyle w:val="ad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IPO</w:t>
            </w:r>
          </w:p>
        </w:tc>
      </w:tr>
      <w:tr w:rsidR="00B56CD7" w14:paraId="75D85F75" w14:textId="77777777" w:rsidTr="00BC64D8">
        <w:tc>
          <w:tcPr>
            <w:tcW w:w="3115" w:type="dxa"/>
          </w:tcPr>
          <w:p w14:paraId="1019FD1F" w14:textId="0D2A34F7" w:rsidR="00B56CD7" w:rsidRPr="00124FB1" w:rsidRDefault="00124FB1" w:rsidP="00B56CD7">
            <w:pPr>
              <w:pStyle w:val="ad"/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AR</m:t>
                    </m:r>
                  </m:e>
                </m:bar>
              </m:oMath>
            </m:oMathPara>
          </w:p>
        </w:tc>
        <w:tc>
          <w:tcPr>
            <w:tcW w:w="3115" w:type="dxa"/>
          </w:tcPr>
          <w:p w14:paraId="501049D4" w14:textId="66CA5076" w:rsidR="00B56CD7" w:rsidRDefault="00B56CD7" w:rsidP="00B56CD7">
            <w:pPr>
              <w:pStyle w:val="ad"/>
              <w:jc w:val="center"/>
            </w:pPr>
            <w:r w:rsidRPr="002E2E13">
              <w:t>16,9%</w:t>
            </w:r>
          </w:p>
        </w:tc>
        <w:tc>
          <w:tcPr>
            <w:tcW w:w="3115" w:type="dxa"/>
          </w:tcPr>
          <w:p w14:paraId="1BED335E" w14:textId="7A7DB7B9" w:rsidR="00B56CD7" w:rsidRDefault="00B56CD7" w:rsidP="00B56CD7">
            <w:pPr>
              <w:pStyle w:val="ad"/>
              <w:jc w:val="center"/>
            </w:pPr>
            <w:r w:rsidRPr="002E2E13">
              <w:t>-17,3%</w:t>
            </w:r>
          </w:p>
        </w:tc>
      </w:tr>
      <w:tr w:rsidR="00B56CD7" w14:paraId="62C51462" w14:textId="77777777" w:rsidTr="00BC64D8">
        <w:tc>
          <w:tcPr>
            <w:tcW w:w="3115" w:type="dxa"/>
          </w:tcPr>
          <w:p w14:paraId="08D30232" w14:textId="4D6185F3" w:rsidR="00B56CD7" w:rsidRDefault="00B56CD7" w:rsidP="00B56CD7">
            <w:pPr>
              <w:pStyle w:val="ad"/>
            </w:pPr>
            <w:r w:rsidRPr="0063081A">
              <w:t xml:space="preserve">%AR </w:t>
            </w:r>
            <w:proofErr w:type="gramStart"/>
            <w:r w:rsidRPr="0063081A">
              <w:t>&lt; 0</w:t>
            </w:r>
            <w:proofErr w:type="gramEnd"/>
          </w:p>
        </w:tc>
        <w:tc>
          <w:tcPr>
            <w:tcW w:w="3115" w:type="dxa"/>
          </w:tcPr>
          <w:p w14:paraId="2207E0DA" w14:textId="43FE33E3" w:rsidR="00B56CD7" w:rsidRDefault="00B56CD7" w:rsidP="00B56CD7">
            <w:pPr>
              <w:pStyle w:val="ad"/>
              <w:jc w:val="center"/>
            </w:pPr>
            <w:r w:rsidRPr="002E2E13">
              <w:t>36,8%</w:t>
            </w:r>
          </w:p>
        </w:tc>
        <w:tc>
          <w:tcPr>
            <w:tcW w:w="3115" w:type="dxa"/>
          </w:tcPr>
          <w:p w14:paraId="2349D6E0" w14:textId="0A1952BA" w:rsidR="00B56CD7" w:rsidRDefault="00B56CD7" w:rsidP="00B56CD7">
            <w:pPr>
              <w:pStyle w:val="ad"/>
              <w:jc w:val="center"/>
            </w:pPr>
            <w:r w:rsidRPr="002E2E13">
              <w:t>64,9%</w:t>
            </w:r>
          </w:p>
        </w:tc>
      </w:tr>
      <w:tr w:rsidR="00B56CD7" w14:paraId="4E963505" w14:textId="77777777" w:rsidTr="00BC64D8">
        <w:tc>
          <w:tcPr>
            <w:tcW w:w="3115" w:type="dxa"/>
          </w:tcPr>
          <w:p w14:paraId="3DABD89B" w14:textId="32A42923" w:rsidR="00B56CD7" w:rsidRPr="00B56CD7" w:rsidRDefault="00B56CD7" w:rsidP="00B56CD7">
            <w:pPr>
              <w:pStyle w:val="ad"/>
            </w:pPr>
            <w:r w:rsidRPr="0063081A">
              <w:t>t</w:t>
            </w:r>
            <w:r>
              <w:rPr>
                <w:lang w:val="en-US"/>
              </w:rPr>
              <w:t>-</w:t>
            </w:r>
            <w:r>
              <w:t>критерий</w:t>
            </w:r>
          </w:p>
        </w:tc>
        <w:tc>
          <w:tcPr>
            <w:tcW w:w="3115" w:type="dxa"/>
          </w:tcPr>
          <w:p w14:paraId="04A18675" w14:textId="58121034" w:rsidR="00B56CD7" w:rsidRDefault="00B56CD7" w:rsidP="00B56CD7">
            <w:pPr>
              <w:pStyle w:val="ad"/>
              <w:jc w:val="center"/>
            </w:pPr>
            <w:r w:rsidRPr="002E2E13">
              <w:t>3,8115</w:t>
            </w:r>
            <w:r w:rsidR="001A4AB5">
              <w:t>***</w:t>
            </w:r>
          </w:p>
        </w:tc>
        <w:tc>
          <w:tcPr>
            <w:tcW w:w="3115" w:type="dxa"/>
          </w:tcPr>
          <w:p w14:paraId="43AFE94E" w14:textId="6F01AFF7" w:rsidR="00B56CD7" w:rsidRDefault="00B56CD7" w:rsidP="00B56CD7">
            <w:pPr>
              <w:pStyle w:val="ad"/>
              <w:jc w:val="center"/>
            </w:pPr>
            <w:r w:rsidRPr="002E2E13">
              <w:t>-2,0646</w:t>
            </w:r>
            <w:r w:rsidR="001A4AB5">
              <w:t>**</w:t>
            </w:r>
          </w:p>
        </w:tc>
      </w:tr>
      <w:tr w:rsidR="00B56CD7" w14:paraId="6F106C16" w14:textId="77777777" w:rsidTr="00BC64D8">
        <w:tc>
          <w:tcPr>
            <w:tcW w:w="3115" w:type="dxa"/>
          </w:tcPr>
          <w:p w14:paraId="737CD8EE" w14:textId="46A67F05" w:rsidR="00B56CD7" w:rsidRDefault="00B56CD7" w:rsidP="00B56CD7">
            <w:pPr>
              <w:pStyle w:val="ad"/>
            </w:pPr>
            <w:r w:rsidRPr="0063081A">
              <w:t>P-</w:t>
            </w:r>
            <w:proofErr w:type="spellStart"/>
            <w:r w:rsidRPr="0063081A">
              <w:t>value</w:t>
            </w:r>
            <w:proofErr w:type="spellEnd"/>
          </w:p>
        </w:tc>
        <w:tc>
          <w:tcPr>
            <w:tcW w:w="3115" w:type="dxa"/>
          </w:tcPr>
          <w:p w14:paraId="179B13AE" w14:textId="552D73D6" w:rsidR="00B56CD7" w:rsidRDefault="00B56CD7" w:rsidP="00B56CD7">
            <w:pPr>
              <w:pStyle w:val="ad"/>
              <w:jc w:val="center"/>
            </w:pPr>
            <w:r w:rsidRPr="002E2E13">
              <w:t>0,0002</w:t>
            </w:r>
          </w:p>
        </w:tc>
        <w:tc>
          <w:tcPr>
            <w:tcW w:w="3115" w:type="dxa"/>
          </w:tcPr>
          <w:p w14:paraId="334EBF5F" w14:textId="4BC1C1DE" w:rsidR="00B56CD7" w:rsidRDefault="00B56CD7" w:rsidP="00B56CD7">
            <w:pPr>
              <w:pStyle w:val="ad"/>
              <w:jc w:val="center"/>
            </w:pPr>
            <w:r w:rsidRPr="002E2E13">
              <w:t>0,0218</w:t>
            </w:r>
          </w:p>
        </w:tc>
      </w:tr>
    </w:tbl>
    <w:p w14:paraId="42A38EA7" w14:textId="7FE10208" w:rsidR="00A02035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6C3304B0" w14:textId="55BAAE77" w:rsidR="00C839BE" w:rsidRPr="00B97D29" w:rsidRDefault="00E638D6" w:rsidP="00C839BE">
      <w:r>
        <w:t>В среднем</w:t>
      </w:r>
      <w:r w:rsidR="007F641F">
        <w:t xml:space="preserve"> годовая</w:t>
      </w:r>
      <w:r>
        <w:t xml:space="preserve"> доходность варрантов </w:t>
      </w:r>
      <w:r w:rsidR="00835392">
        <w:rPr>
          <w:lang w:val="en-US"/>
        </w:rPr>
        <w:t>deSPAC</w:t>
      </w:r>
      <w:r w:rsidR="00835392">
        <w:t xml:space="preserve"> </w:t>
      </w:r>
      <w:r>
        <w:t xml:space="preserve">опережает </w:t>
      </w:r>
      <w:r w:rsidR="00835392">
        <w:t xml:space="preserve">доходность акций </w:t>
      </w:r>
      <w:r w:rsidR="00835392">
        <w:rPr>
          <w:lang w:val="en-US"/>
        </w:rPr>
        <w:t>deSPAC</w:t>
      </w:r>
      <w:r w:rsidR="00C53544">
        <w:t xml:space="preserve"> на 16,9 процентных пунктов, данная оценка значима на 1% уровне значимости. В выборке </w:t>
      </w:r>
      <w:r w:rsidR="00193B48">
        <w:t xml:space="preserve">чуть больше трети наблюдений продемонстрировали обратную ситуацию, когда </w:t>
      </w:r>
      <w:r w:rsidR="004F16FB">
        <w:t>избыточная</w:t>
      </w:r>
      <w:r w:rsidR="00193B48">
        <w:t xml:space="preserve"> доходность становится отрицательной. </w:t>
      </w:r>
      <w:r w:rsidR="00745731">
        <w:t xml:space="preserve">Средняя </w:t>
      </w:r>
      <w:r w:rsidR="004F16FB">
        <w:t>избыточная</w:t>
      </w:r>
      <w:r w:rsidR="00745731">
        <w:t xml:space="preserve"> доходность варрантов </w:t>
      </w:r>
      <w:r w:rsidR="00745731">
        <w:rPr>
          <w:lang w:val="en-US"/>
        </w:rPr>
        <w:t>SPAC</w:t>
      </w:r>
      <w:r w:rsidR="00745731">
        <w:t xml:space="preserve"> в случае, когда бенчмарком являются инвестиции в </w:t>
      </w:r>
      <w:r w:rsidR="00745731">
        <w:rPr>
          <w:lang w:val="en-US"/>
        </w:rPr>
        <w:t>IPO</w:t>
      </w:r>
      <w:r w:rsidR="00745731">
        <w:t xml:space="preserve">, </w:t>
      </w:r>
      <w:r w:rsidR="004965A7">
        <w:t>составила -17,3%</w:t>
      </w:r>
      <w:r w:rsidR="00B97D29">
        <w:t xml:space="preserve">, то есть доходность варрантов отстает от доходности инвестиций в </w:t>
      </w:r>
      <w:r w:rsidR="00B97D29">
        <w:rPr>
          <w:lang w:val="en-US"/>
        </w:rPr>
        <w:t>IPO</w:t>
      </w:r>
      <w:r w:rsidR="00B97D29">
        <w:t xml:space="preserve">. </w:t>
      </w:r>
      <w:r w:rsidR="007F641F">
        <w:t xml:space="preserve">Оценка значима на 5% уровне значимости. </w:t>
      </w:r>
      <w:r w:rsidR="00B97D29">
        <w:t xml:space="preserve">Таким образом, гипотеза </w:t>
      </w:r>
      <w:r w:rsidR="00B97D29">
        <w:rPr>
          <w:lang w:val="en-US"/>
        </w:rPr>
        <w:t>H</w:t>
      </w:r>
      <w:r w:rsidR="00A102AF" w:rsidRPr="00532E58">
        <w:t>3</w:t>
      </w:r>
      <w:r w:rsidR="00B97D29">
        <w:t xml:space="preserve"> опровергнута.</w:t>
      </w:r>
    </w:p>
    <w:p w14:paraId="395BEEC4" w14:textId="271BB019" w:rsidR="008500A6" w:rsidRDefault="008500A6" w:rsidP="00C839BE">
      <w:r>
        <w:t>Ниже в таблице 1</w:t>
      </w:r>
      <w:r w:rsidR="00E14F2D">
        <w:t xml:space="preserve">6 </w:t>
      </w:r>
      <w:r>
        <w:t>представлена статистика по тем</w:t>
      </w:r>
      <w:r w:rsidR="001B1544">
        <w:t xml:space="preserve"> варрантам, в которых внутренняя ценность варранта была выше его рыночной. </w:t>
      </w:r>
      <w:r w:rsidR="0066580E">
        <w:t>В таком случае предполага</w:t>
      </w:r>
      <w:r w:rsidR="00247A5F">
        <w:t>ем, что инвестору нужно варрант.</w:t>
      </w:r>
      <w:r w:rsidR="003A51DE">
        <w:t xml:space="preserve"> В практически абсолютном большинстве случаев варрант можно реализовать через 30 дней по завершения сделки о поглощении, цена страйк также практически во всех случаях равна </w:t>
      </w:r>
      <w:r w:rsidR="003A51DE" w:rsidRPr="003A51DE">
        <w:t>$</w:t>
      </w:r>
      <w:r w:rsidR="003A51DE">
        <w:t>11,5.</w:t>
      </w:r>
      <w:r w:rsidR="0056013D">
        <w:t xml:space="preserve"> </w:t>
      </w:r>
      <w:r w:rsidR="0056013D">
        <w:rPr>
          <w:lang w:val="en-US"/>
        </w:rPr>
        <w:t>N –</w:t>
      </w:r>
      <w:r w:rsidR="0056013D">
        <w:t xml:space="preserve"> объем выборки.</w:t>
      </w:r>
    </w:p>
    <w:p w14:paraId="3D25582D" w14:textId="77777777" w:rsidR="00E8694F" w:rsidRDefault="00E8694F" w:rsidP="00C839BE"/>
    <w:p w14:paraId="139C8F2D" w14:textId="77777777" w:rsidR="00E8694F" w:rsidRPr="0056013D" w:rsidRDefault="00E8694F" w:rsidP="00C839BE"/>
    <w:p w14:paraId="1B4B6C2C" w14:textId="790EC599" w:rsidR="00454A88" w:rsidRDefault="008500A6" w:rsidP="00DE7DF8">
      <w:pPr>
        <w:pStyle w:val="a"/>
      </w:pPr>
      <w:r>
        <w:lastRenderedPageBreak/>
        <w:t>Исполнение варрантов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733A" w14:paraId="6293F6D4" w14:textId="77777777" w:rsidTr="007D5CF4">
        <w:tc>
          <w:tcPr>
            <w:tcW w:w="4672" w:type="dxa"/>
          </w:tcPr>
          <w:p w14:paraId="1E896523" w14:textId="70D9A17A" w:rsidR="00A8733A" w:rsidRPr="00906BE2" w:rsidRDefault="003A51DE" w:rsidP="00247A5F">
            <w:pPr>
              <w:pStyle w:val="ad"/>
            </w:pPr>
            <w:r w:rsidRPr="003A51DE">
              <w:t xml:space="preserve">% варрантов к исполнению </w:t>
            </w:r>
            <w:r>
              <w:t>через 30 дней после завершения сделки</w:t>
            </w:r>
            <w:r w:rsidR="00906BE2">
              <w:t xml:space="preserve"> (</w:t>
            </w:r>
            <w:r w:rsidR="00906BE2">
              <w:rPr>
                <w:lang w:val="en-US"/>
              </w:rPr>
              <w:t>N</w:t>
            </w:r>
            <w:r w:rsidR="00906BE2" w:rsidRPr="00906BE2">
              <w:t>=229)</w:t>
            </w:r>
          </w:p>
        </w:tc>
        <w:tc>
          <w:tcPr>
            <w:tcW w:w="4673" w:type="dxa"/>
            <w:vAlign w:val="center"/>
          </w:tcPr>
          <w:p w14:paraId="17F9BB52" w14:textId="2B543ED0" w:rsidR="00A8733A" w:rsidRDefault="007D5CF4" w:rsidP="007D5CF4">
            <w:pPr>
              <w:pStyle w:val="ad"/>
              <w:jc w:val="center"/>
            </w:pPr>
            <w:r>
              <w:t>5,5%</w:t>
            </w:r>
          </w:p>
        </w:tc>
      </w:tr>
      <w:tr w:rsidR="00A8733A" w14:paraId="10BA2586" w14:textId="77777777" w:rsidTr="004D068B">
        <w:tc>
          <w:tcPr>
            <w:tcW w:w="4672" w:type="dxa"/>
            <w:tcBorders>
              <w:bottom w:val="single" w:sz="4" w:space="0" w:color="auto"/>
            </w:tcBorders>
          </w:tcPr>
          <w:p w14:paraId="61710C23" w14:textId="6129BAAB" w:rsidR="00A8733A" w:rsidRDefault="00906BE2" w:rsidP="00247A5F">
            <w:pPr>
              <w:pStyle w:val="ad"/>
            </w:pPr>
            <w:r w:rsidRPr="003A51DE">
              <w:t xml:space="preserve">% варрантов к исполнению </w:t>
            </w:r>
            <w:r>
              <w:t>через год после завершения сделки (</w:t>
            </w:r>
            <w:r>
              <w:rPr>
                <w:lang w:val="en-US"/>
              </w:rPr>
              <w:t>N</w:t>
            </w:r>
            <w:r w:rsidRPr="00906BE2">
              <w:t>=</w:t>
            </w:r>
            <w:r>
              <w:t>61</w:t>
            </w:r>
            <w:r w:rsidRPr="00906BE2">
              <w:t>)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8EB94D9" w14:textId="7EB84CEC" w:rsidR="00A8733A" w:rsidRDefault="007D5CF4" w:rsidP="007D5CF4">
            <w:pPr>
              <w:pStyle w:val="ad"/>
              <w:jc w:val="center"/>
            </w:pPr>
            <w:r>
              <w:t>1,6%</w:t>
            </w:r>
          </w:p>
        </w:tc>
      </w:tr>
    </w:tbl>
    <w:p w14:paraId="5CF23889" w14:textId="31A06F74" w:rsidR="00247A5F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6AB3F147" w14:textId="69EC4546" w:rsidR="007D5CF4" w:rsidRDefault="00E07270" w:rsidP="007D5CF4">
      <w:r>
        <w:t xml:space="preserve">Можно заметить, что лишь у 5,5% </w:t>
      </w:r>
      <w:r>
        <w:rPr>
          <w:lang w:val="en-US"/>
        </w:rPr>
        <w:t>deSPAC</w:t>
      </w:r>
      <w:r w:rsidR="002D1F86">
        <w:t xml:space="preserve"> инвесто</w:t>
      </w:r>
      <w:r w:rsidR="00C8461C">
        <w:t>рам</w:t>
      </w:r>
      <w:r>
        <w:t xml:space="preserve"> было «выгодно» </w:t>
      </w:r>
      <w:r w:rsidR="002D1F86">
        <w:t>исполнить варранты</w:t>
      </w:r>
      <w:r w:rsidR="00C8461C">
        <w:t xml:space="preserve"> через 30 дней после сделки. Пропорция уменьшается с течением времени</w:t>
      </w:r>
      <w:r w:rsidR="002D137B">
        <w:t xml:space="preserve">, через год </w:t>
      </w:r>
      <w:r w:rsidR="008E79B4">
        <w:t xml:space="preserve">только у 1,6% </w:t>
      </w:r>
      <w:r w:rsidR="008E79B4">
        <w:rPr>
          <w:lang w:val="en-US"/>
        </w:rPr>
        <w:t>deSPAC</w:t>
      </w:r>
      <w:r w:rsidR="008E79B4">
        <w:t xml:space="preserve"> «выгоднее» было исполнить варрант.</w:t>
      </w:r>
      <w:r w:rsidR="007D2660">
        <w:t xml:space="preserve"> Однако здесь нельзя забывать о стратегии инвестора: акции и варранты покупаются по цене</w:t>
      </w:r>
      <w:r w:rsidR="00DB4BDD">
        <w:t xml:space="preserve"> закрытия в день завершения поглощения. </w:t>
      </w:r>
      <w:r w:rsidR="00602FA0">
        <w:t xml:space="preserve">Доходность при исполнении варранта в таком </w:t>
      </w:r>
      <w:r w:rsidR="0061292F">
        <w:t>случае не будет превышать доходность при простой продаже варранта, так как при исполнении в расчете доходности мы учитываем</w:t>
      </w:r>
      <w:r w:rsidR="009A231B">
        <w:t xml:space="preserve"> акции, купленные по цене </w:t>
      </w:r>
      <w:r w:rsidR="009A231B" w:rsidRPr="009A231B">
        <w:t>$11,5</w:t>
      </w:r>
      <w:r w:rsidR="009A231B">
        <w:t xml:space="preserve">, и цену «опциона», которую инвестор заплатил </w:t>
      </w:r>
      <w:r w:rsidR="000800B8">
        <w:t xml:space="preserve">в день завершения сделки. Таким образом, стратеги </w:t>
      </w:r>
      <w:r w:rsidR="000800B8">
        <w:rPr>
          <w:lang w:val="en-US"/>
        </w:rPr>
        <w:t>buy</w:t>
      </w:r>
      <w:r w:rsidR="000800B8" w:rsidRPr="000800B8">
        <w:t>-</w:t>
      </w:r>
      <w:r w:rsidR="000800B8">
        <w:rPr>
          <w:lang w:val="en-US"/>
        </w:rPr>
        <w:t>and</w:t>
      </w:r>
      <w:r w:rsidR="000800B8" w:rsidRPr="000800B8">
        <w:t>-</w:t>
      </w:r>
      <w:r w:rsidR="000800B8">
        <w:rPr>
          <w:lang w:val="en-US"/>
        </w:rPr>
        <w:t>hold</w:t>
      </w:r>
      <w:r w:rsidR="000800B8" w:rsidRPr="000800B8">
        <w:t xml:space="preserve"> </w:t>
      </w:r>
      <w:r w:rsidR="000800B8">
        <w:t>для варрантов является более результативной.</w:t>
      </w:r>
    </w:p>
    <w:p w14:paraId="2FA8B951" w14:textId="12CD0A6E" w:rsidR="004D068B" w:rsidRDefault="00A43741" w:rsidP="006F24DC">
      <w:pPr>
        <w:pStyle w:val="3"/>
      </w:pPr>
      <w:bookmarkStart w:id="54" w:name="_Toc102050316"/>
      <w:bookmarkStart w:id="55" w:name="_Toc102050688"/>
      <w:r>
        <w:t xml:space="preserve">2.3.4. </w:t>
      </w:r>
      <w:r w:rsidR="006F24DC">
        <w:t>Независимые переменные в регрессии</w:t>
      </w:r>
      <w:bookmarkEnd w:id="54"/>
      <w:bookmarkEnd w:id="55"/>
    </w:p>
    <w:p w14:paraId="022E7598" w14:textId="29580729" w:rsidR="006F24DC" w:rsidRDefault="00A768C9" w:rsidP="006F24DC">
      <w:r>
        <w:t xml:space="preserve">Ниже </w:t>
      </w:r>
      <w:r w:rsidR="00F24247">
        <w:t xml:space="preserve">в таблице 17 </w:t>
      </w:r>
      <w:r>
        <w:t>дана описательная статистика независимых переменных в модели (15)</w:t>
      </w:r>
      <w:r w:rsidR="00813C6E">
        <w:t>, зави</w:t>
      </w:r>
      <w:r w:rsidR="00DC468B">
        <w:t xml:space="preserve">симой переменной является годовая доходность акций </w:t>
      </w:r>
      <w:r w:rsidR="00DC468B">
        <w:rPr>
          <w:lang w:val="en-US"/>
        </w:rPr>
        <w:t>deSPAC</w:t>
      </w:r>
      <w:r>
        <w:t xml:space="preserve">. </w:t>
      </w:r>
      <w:r w:rsidR="00E12CA1">
        <w:t xml:space="preserve">По переменным </w:t>
      </w:r>
      <w:r w:rsidR="00DC117D">
        <w:rPr>
          <w:lang w:val="en-US"/>
        </w:rPr>
        <w:t>Months</w:t>
      </w:r>
      <w:r w:rsidR="00DC117D" w:rsidRPr="00DC117D">
        <w:t xml:space="preserve"> </w:t>
      </w:r>
      <w:r w:rsidR="00DC117D">
        <w:t xml:space="preserve">и </w:t>
      </w:r>
      <w:proofErr w:type="spellStart"/>
      <w:r w:rsidR="00DC117D">
        <w:rPr>
          <w:lang w:val="en-US"/>
        </w:rPr>
        <w:t>IPOproceeds</w:t>
      </w:r>
      <w:proofErr w:type="spellEnd"/>
      <w:r w:rsidR="00DC117D" w:rsidRPr="00DC117D">
        <w:t xml:space="preserve"> </w:t>
      </w:r>
      <w:r w:rsidR="00DC117D">
        <w:t xml:space="preserve">были аномальные наблюдения. В частности, среди некоторых </w:t>
      </w:r>
      <w:r w:rsidR="00973BF2">
        <w:rPr>
          <w:lang w:val="en-US"/>
        </w:rPr>
        <w:t>SPAC</w:t>
      </w:r>
      <w:r w:rsidR="00AD64E1">
        <w:t xml:space="preserve"> присутствуют те компании, которые искали таргет на протяжении </w:t>
      </w:r>
      <w:r w:rsidR="006E6744">
        <w:t xml:space="preserve">больше 4 лет, то есть </w:t>
      </w:r>
      <w:r w:rsidR="00F256DC">
        <w:t>Комиссии по ценным бумагам США</w:t>
      </w:r>
      <w:r w:rsidR="00F256DC" w:rsidRPr="00F256DC">
        <w:t xml:space="preserve"> </w:t>
      </w:r>
      <w:r w:rsidR="00F256DC">
        <w:t xml:space="preserve">несколько раз разрешала компаниям продлевать срок поиска таргета </w:t>
      </w:r>
      <w:r w:rsidR="00264C7E">
        <w:t>и</w:t>
      </w:r>
      <w:r w:rsidR="00264C7E" w:rsidRPr="00264C7E">
        <w:t>/</w:t>
      </w:r>
      <w:r w:rsidR="00F256DC">
        <w:t xml:space="preserve">или срок </w:t>
      </w:r>
      <w:r w:rsidR="00264C7E">
        <w:t>для осуществления сделки.</w:t>
      </w:r>
      <w:r w:rsidR="00593989">
        <w:t xml:space="preserve"> Такие компании не были учтены в модели и описательной статистике.</w:t>
      </w:r>
    </w:p>
    <w:p w14:paraId="36FF0577" w14:textId="230E271A" w:rsidR="0085024D" w:rsidRDefault="0085024D" w:rsidP="0085024D">
      <w:pPr>
        <w:pStyle w:val="a"/>
      </w:pPr>
      <w:r>
        <w:t>Описательная статистика независимых переменных модели (15)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1"/>
        <w:gridCol w:w="1623"/>
        <w:gridCol w:w="1119"/>
        <w:gridCol w:w="1624"/>
        <w:gridCol w:w="1305"/>
        <w:gridCol w:w="1393"/>
      </w:tblGrid>
      <w:tr w:rsidR="002E4D05" w14:paraId="722386A1" w14:textId="12B3DD6C" w:rsidTr="00C16723">
        <w:tc>
          <w:tcPr>
            <w:tcW w:w="2281" w:type="dxa"/>
          </w:tcPr>
          <w:p w14:paraId="75123921" w14:textId="31AB7AC3" w:rsidR="002E4D05" w:rsidRPr="002E4D05" w:rsidRDefault="002E4D05" w:rsidP="002E4D05">
            <w:pPr>
              <w:pStyle w:val="ad"/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Переменная</w:t>
            </w:r>
          </w:p>
        </w:tc>
        <w:tc>
          <w:tcPr>
            <w:tcW w:w="1623" w:type="dxa"/>
          </w:tcPr>
          <w:p w14:paraId="572698BA" w14:textId="5AD8E379" w:rsidR="002E4D05" w:rsidRPr="002E4D05" w:rsidRDefault="002E4D05" w:rsidP="002E4D05">
            <w:pPr>
              <w:pStyle w:val="ad"/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Обозначение</w:t>
            </w:r>
          </w:p>
        </w:tc>
        <w:tc>
          <w:tcPr>
            <w:tcW w:w="1119" w:type="dxa"/>
          </w:tcPr>
          <w:p w14:paraId="7EBE0D94" w14:textId="783ADC98" w:rsidR="002E4D05" w:rsidRPr="002E4D05" w:rsidRDefault="002E4D05" w:rsidP="002E4D05">
            <w:pPr>
              <w:pStyle w:val="ad"/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Среднее</w:t>
            </w:r>
          </w:p>
        </w:tc>
        <w:tc>
          <w:tcPr>
            <w:tcW w:w="1624" w:type="dxa"/>
          </w:tcPr>
          <w:p w14:paraId="5C1BEA30" w14:textId="3D04C020" w:rsidR="002E4D05" w:rsidRPr="002E4D05" w:rsidRDefault="002E4D05" w:rsidP="002E4D05">
            <w:pPr>
              <w:pStyle w:val="ad"/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Стандартное отклонение</w:t>
            </w:r>
          </w:p>
        </w:tc>
        <w:tc>
          <w:tcPr>
            <w:tcW w:w="1305" w:type="dxa"/>
          </w:tcPr>
          <w:p w14:paraId="35F4245B" w14:textId="77FD3FE9" w:rsidR="002E4D05" w:rsidRPr="002E4D05" w:rsidRDefault="002E4D05" w:rsidP="002E4D05">
            <w:pPr>
              <w:pStyle w:val="ad"/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Минимум</w:t>
            </w:r>
          </w:p>
        </w:tc>
        <w:tc>
          <w:tcPr>
            <w:tcW w:w="1393" w:type="dxa"/>
          </w:tcPr>
          <w:p w14:paraId="19423E38" w14:textId="73805A18" w:rsidR="002E4D05" w:rsidRPr="002E4D05" w:rsidRDefault="002E4D05" w:rsidP="002E4D05">
            <w:pPr>
              <w:pStyle w:val="ad"/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Максимум</w:t>
            </w:r>
          </w:p>
        </w:tc>
      </w:tr>
      <w:tr w:rsidR="002E4D05" w14:paraId="6F0B10EA" w14:textId="13B7892A" w:rsidTr="00C16723">
        <w:tc>
          <w:tcPr>
            <w:tcW w:w="2281" w:type="dxa"/>
          </w:tcPr>
          <w:p w14:paraId="57F0CAF1" w14:textId="688B35B3" w:rsidR="002E4D05" w:rsidRDefault="005251EA" w:rsidP="002E4D05">
            <w:pPr>
              <w:pStyle w:val="ad"/>
            </w:pPr>
            <w:r>
              <w:t>Коэффициент выкупа</w:t>
            </w:r>
          </w:p>
        </w:tc>
        <w:tc>
          <w:tcPr>
            <w:tcW w:w="1623" w:type="dxa"/>
          </w:tcPr>
          <w:p w14:paraId="4BA67483" w14:textId="418343DC" w:rsidR="002E4D05" w:rsidRPr="005251EA" w:rsidRDefault="005251EA" w:rsidP="002E4D05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Redemption</w:t>
            </w:r>
          </w:p>
        </w:tc>
        <w:tc>
          <w:tcPr>
            <w:tcW w:w="1119" w:type="dxa"/>
          </w:tcPr>
          <w:p w14:paraId="4BD0B42F" w14:textId="6B2FC916" w:rsidR="002E4D05" w:rsidRPr="00C170E0" w:rsidRDefault="00C170E0" w:rsidP="003D370E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36,9%</w:t>
            </w:r>
          </w:p>
        </w:tc>
        <w:tc>
          <w:tcPr>
            <w:tcW w:w="1624" w:type="dxa"/>
          </w:tcPr>
          <w:p w14:paraId="209D4CD0" w14:textId="28A94200" w:rsidR="002E4D05" w:rsidRPr="00C170E0" w:rsidRDefault="00C170E0" w:rsidP="003D370E">
            <w:pPr>
              <w:pStyle w:val="ad"/>
              <w:jc w:val="center"/>
            </w:pPr>
            <w:r>
              <w:rPr>
                <w:lang w:val="en-US"/>
              </w:rPr>
              <w:t>36,</w:t>
            </w:r>
            <w:r w:rsidR="009227ED">
              <w:t>2%</w:t>
            </w:r>
          </w:p>
        </w:tc>
        <w:tc>
          <w:tcPr>
            <w:tcW w:w="1305" w:type="dxa"/>
          </w:tcPr>
          <w:p w14:paraId="4D9883F4" w14:textId="76C6BB1F" w:rsidR="002E4D05" w:rsidRDefault="009227ED" w:rsidP="003D370E">
            <w:pPr>
              <w:pStyle w:val="ad"/>
              <w:jc w:val="center"/>
            </w:pPr>
            <w:r>
              <w:t>0%</w:t>
            </w:r>
          </w:p>
        </w:tc>
        <w:tc>
          <w:tcPr>
            <w:tcW w:w="1393" w:type="dxa"/>
          </w:tcPr>
          <w:p w14:paraId="0315CE01" w14:textId="4AA5E36E" w:rsidR="002E4D05" w:rsidRDefault="009227ED" w:rsidP="003D370E">
            <w:pPr>
              <w:pStyle w:val="ad"/>
              <w:jc w:val="center"/>
            </w:pPr>
            <w:r>
              <w:t>100%</w:t>
            </w:r>
          </w:p>
        </w:tc>
      </w:tr>
      <w:tr w:rsidR="002E4D05" w14:paraId="48B3BD14" w14:textId="4E4FF121" w:rsidTr="00C16723">
        <w:tc>
          <w:tcPr>
            <w:tcW w:w="2281" w:type="dxa"/>
          </w:tcPr>
          <w:p w14:paraId="1694C2B8" w14:textId="1D514A50" w:rsidR="002E4D05" w:rsidRPr="002C577C" w:rsidRDefault="006E1F55" w:rsidP="002E4D05">
            <w:pPr>
              <w:pStyle w:val="ad"/>
            </w:pPr>
            <w:r>
              <w:t xml:space="preserve">Поступления с </w:t>
            </w:r>
            <w:r>
              <w:rPr>
                <w:lang w:val="en-US"/>
              </w:rPr>
              <w:t>IPO</w:t>
            </w:r>
            <w:r w:rsidR="002C577C">
              <w:t xml:space="preserve">, </w:t>
            </w:r>
            <w:r w:rsidR="002C577C">
              <w:rPr>
                <w:lang w:val="en-US"/>
              </w:rPr>
              <w:t xml:space="preserve">$ </w:t>
            </w:r>
            <w:r w:rsidR="002C577C">
              <w:t>млн</w:t>
            </w:r>
          </w:p>
        </w:tc>
        <w:tc>
          <w:tcPr>
            <w:tcW w:w="1623" w:type="dxa"/>
          </w:tcPr>
          <w:p w14:paraId="63FEBAEC" w14:textId="685C404B" w:rsidR="002E4D05" w:rsidRPr="006E1F55" w:rsidRDefault="006E1F55" w:rsidP="002E4D05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IPO proceeds</w:t>
            </w:r>
          </w:p>
        </w:tc>
        <w:tc>
          <w:tcPr>
            <w:tcW w:w="1119" w:type="dxa"/>
          </w:tcPr>
          <w:p w14:paraId="3E55E4C6" w14:textId="2E25AF3E" w:rsidR="0096387B" w:rsidRDefault="0096387B" w:rsidP="003D370E">
            <w:pPr>
              <w:pStyle w:val="ad"/>
              <w:jc w:val="center"/>
            </w:pPr>
            <w:r>
              <w:t>236,</w:t>
            </w:r>
            <w:r w:rsidR="006718F1">
              <w:t>2</w:t>
            </w:r>
          </w:p>
        </w:tc>
        <w:tc>
          <w:tcPr>
            <w:tcW w:w="1624" w:type="dxa"/>
          </w:tcPr>
          <w:p w14:paraId="00364F22" w14:textId="616A46B0" w:rsidR="002E4D05" w:rsidRDefault="006718F1" w:rsidP="003D370E">
            <w:pPr>
              <w:pStyle w:val="ad"/>
              <w:jc w:val="center"/>
            </w:pPr>
            <w:r>
              <w:t>154</w:t>
            </w:r>
            <w:r w:rsidR="004E56CB">
              <w:t>,9</w:t>
            </w:r>
          </w:p>
        </w:tc>
        <w:tc>
          <w:tcPr>
            <w:tcW w:w="1305" w:type="dxa"/>
          </w:tcPr>
          <w:p w14:paraId="3E867E9A" w14:textId="49AB162D" w:rsidR="002E4D05" w:rsidRDefault="004E56CB" w:rsidP="003D370E">
            <w:pPr>
              <w:pStyle w:val="ad"/>
              <w:jc w:val="center"/>
            </w:pPr>
            <w:r>
              <w:t>13,0</w:t>
            </w:r>
          </w:p>
        </w:tc>
        <w:tc>
          <w:tcPr>
            <w:tcW w:w="1393" w:type="dxa"/>
          </w:tcPr>
          <w:p w14:paraId="6BE258E6" w14:textId="392F5C1F" w:rsidR="002E4D05" w:rsidRDefault="004E56CB" w:rsidP="003D370E">
            <w:pPr>
              <w:pStyle w:val="ad"/>
              <w:jc w:val="center"/>
            </w:pPr>
            <w:r>
              <w:t>650,0</w:t>
            </w:r>
          </w:p>
        </w:tc>
      </w:tr>
    </w:tbl>
    <w:p w14:paraId="25CAF313" w14:textId="77777777" w:rsidR="003D370E" w:rsidRDefault="003D370E" w:rsidP="00C16723">
      <w:pPr>
        <w:jc w:val="right"/>
        <w:rPr>
          <w:b/>
          <w:bCs/>
        </w:rPr>
      </w:pPr>
    </w:p>
    <w:p w14:paraId="124DE81B" w14:textId="77777777" w:rsidR="003D370E" w:rsidRDefault="003D370E" w:rsidP="00C16723">
      <w:pPr>
        <w:jc w:val="right"/>
        <w:rPr>
          <w:b/>
          <w:bCs/>
        </w:rPr>
      </w:pPr>
    </w:p>
    <w:p w14:paraId="3C420B9B" w14:textId="75DBF4DE" w:rsidR="00C16723" w:rsidRPr="00C16723" w:rsidRDefault="00C16723" w:rsidP="00C16723">
      <w:pPr>
        <w:jc w:val="right"/>
      </w:pPr>
      <w:r>
        <w:rPr>
          <w:b/>
          <w:bCs/>
        </w:rPr>
        <w:lastRenderedPageBreak/>
        <w:t xml:space="preserve">Таблица 17. </w:t>
      </w:r>
      <w:r>
        <w:t>Описательная статистика независимых переменных модели (15) (продолжение)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1"/>
        <w:gridCol w:w="1623"/>
        <w:gridCol w:w="1119"/>
        <w:gridCol w:w="1624"/>
        <w:gridCol w:w="1305"/>
        <w:gridCol w:w="1393"/>
      </w:tblGrid>
      <w:tr w:rsidR="00C16723" w14:paraId="39735100" w14:textId="77777777" w:rsidTr="00C16723">
        <w:tc>
          <w:tcPr>
            <w:tcW w:w="2281" w:type="dxa"/>
          </w:tcPr>
          <w:p w14:paraId="1C5D069C" w14:textId="70D53773" w:rsidR="00C16723" w:rsidRDefault="00C16723" w:rsidP="00C16723">
            <w:pPr>
              <w:pStyle w:val="ad"/>
              <w:jc w:val="center"/>
            </w:pPr>
            <w:r w:rsidRPr="002E4D05">
              <w:rPr>
                <w:b/>
                <w:bCs/>
              </w:rPr>
              <w:t>Переменная</w:t>
            </w:r>
          </w:p>
        </w:tc>
        <w:tc>
          <w:tcPr>
            <w:tcW w:w="1623" w:type="dxa"/>
          </w:tcPr>
          <w:p w14:paraId="37D34F1C" w14:textId="3EBD1F87" w:rsidR="00C16723" w:rsidRDefault="00C16723" w:rsidP="00C16723">
            <w:pPr>
              <w:pStyle w:val="ad"/>
              <w:jc w:val="center"/>
              <w:rPr>
                <w:lang w:val="en-US"/>
              </w:rPr>
            </w:pPr>
            <w:r w:rsidRPr="002E4D05">
              <w:rPr>
                <w:b/>
                <w:bCs/>
              </w:rPr>
              <w:t>Обозначение</w:t>
            </w:r>
          </w:p>
        </w:tc>
        <w:tc>
          <w:tcPr>
            <w:tcW w:w="1119" w:type="dxa"/>
          </w:tcPr>
          <w:p w14:paraId="408EC71A" w14:textId="786F557B" w:rsidR="00C16723" w:rsidRDefault="00C16723" w:rsidP="00C16723">
            <w:pPr>
              <w:pStyle w:val="ad"/>
              <w:jc w:val="center"/>
            </w:pPr>
            <w:r w:rsidRPr="002E4D05">
              <w:rPr>
                <w:b/>
                <w:bCs/>
              </w:rPr>
              <w:t>Среднее</w:t>
            </w:r>
          </w:p>
        </w:tc>
        <w:tc>
          <w:tcPr>
            <w:tcW w:w="1624" w:type="dxa"/>
          </w:tcPr>
          <w:p w14:paraId="407919CB" w14:textId="622F4EE9" w:rsidR="00C16723" w:rsidRDefault="00C16723" w:rsidP="00C16723">
            <w:pPr>
              <w:pStyle w:val="ad"/>
              <w:jc w:val="center"/>
            </w:pPr>
            <w:r w:rsidRPr="002E4D05">
              <w:rPr>
                <w:b/>
                <w:bCs/>
              </w:rPr>
              <w:t>Стандартное отклонение</w:t>
            </w:r>
          </w:p>
        </w:tc>
        <w:tc>
          <w:tcPr>
            <w:tcW w:w="1305" w:type="dxa"/>
          </w:tcPr>
          <w:p w14:paraId="00DF696D" w14:textId="4BF32AF8" w:rsidR="00C16723" w:rsidRDefault="00C16723" w:rsidP="00C16723">
            <w:pPr>
              <w:pStyle w:val="ad"/>
              <w:jc w:val="center"/>
            </w:pPr>
            <w:r w:rsidRPr="002E4D05">
              <w:rPr>
                <w:b/>
                <w:bCs/>
              </w:rPr>
              <w:t>Минимум</w:t>
            </w:r>
          </w:p>
        </w:tc>
        <w:tc>
          <w:tcPr>
            <w:tcW w:w="1393" w:type="dxa"/>
          </w:tcPr>
          <w:p w14:paraId="15DC248F" w14:textId="4AC43C44" w:rsidR="00C16723" w:rsidRDefault="00C16723" w:rsidP="00C16723">
            <w:pPr>
              <w:pStyle w:val="ad"/>
              <w:jc w:val="center"/>
            </w:pPr>
            <w:r w:rsidRPr="002E4D05">
              <w:rPr>
                <w:b/>
                <w:bCs/>
              </w:rPr>
              <w:t>Максимум</w:t>
            </w:r>
          </w:p>
        </w:tc>
      </w:tr>
      <w:tr w:rsidR="003D370E" w14:paraId="366FF367" w14:textId="77777777" w:rsidTr="00C16723">
        <w:tc>
          <w:tcPr>
            <w:tcW w:w="2281" w:type="dxa"/>
          </w:tcPr>
          <w:p w14:paraId="4D5EAA29" w14:textId="63D5BED8" w:rsidR="003D370E" w:rsidRPr="002E4D05" w:rsidRDefault="003D370E" w:rsidP="003D370E">
            <w:pPr>
              <w:pStyle w:val="ad"/>
              <w:rPr>
                <w:b/>
                <w:bCs/>
              </w:rPr>
            </w:pPr>
            <w:r w:rsidRPr="00716C0E">
              <w:t>Число месяцев между датой IPO SPAC и завершением сделки</w:t>
            </w:r>
          </w:p>
        </w:tc>
        <w:tc>
          <w:tcPr>
            <w:tcW w:w="1623" w:type="dxa"/>
          </w:tcPr>
          <w:p w14:paraId="43B2B6D8" w14:textId="1A075504" w:rsidR="003D370E" w:rsidRPr="002E4D05" w:rsidRDefault="003D370E" w:rsidP="003D370E">
            <w:pPr>
              <w:pStyle w:val="ad"/>
              <w:rPr>
                <w:b/>
                <w:bCs/>
              </w:rPr>
            </w:pPr>
            <w:proofErr w:type="spellStart"/>
            <w:r w:rsidRPr="00716C0E">
              <w:t>Months</w:t>
            </w:r>
            <w:proofErr w:type="spellEnd"/>
          </w:p>
        </w:tc>
        <w:tc>
          <w:tcPr>
            <w:tcW w:w="1119" w:type="dxa"/>
          </w:tcPr>
          <w:p w14:paraId="3A1D4F0A" w14:textId="26552730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19,3</w:t>
            </w:r>
          </w:p>
        </w:tc>
        <w:tc>
          <w:tcPr>
            <w:tcW w:w="1624" w:type="dxa"/>
          </w:tcPr>
          <w:p w14:paraId="116E12EB" w14:textId="2BCD20C6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8,6</w:t>
            </w:r>
          </w:p>
        </w:tc>
        <w:tc>
          <w:tcPr>
            <w:tcW w:w="1305" w:type="dxa"/>
          </w:tcPr>
          <w:p w14:paraId="46D88482" w14:textId="776F1894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5</w:t>
            </w:r>
          </w:p>
        </w:tc>
        <w:tc>
          <w:tcPr>
            <w:tcW w:w="1393" w:type="dxa"/>
          </w:tcPr>
          <w:p w14:paraId="7B603F79" w14:textId="7C0EDEFF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36</w:t>
            </w:r>
          </w:p>
        </w:tc>
      </w:tr>
      <w:tr w:rsidR="003D370E" w14:paraId="17F37A1D" w14:textId="77777777" w:rsidTr="00C16723">
        <w:tc>
          <w:tcPr>
            <w:tcW w:w="2281" w:type="dxa"/>
          </w:tcPr>
          <w:p w14:paraId="0E20590B" w14:textId="618DD8F1" w:rsidR="003D370E" w:rsidRPr="002E4D05" w:rsidRDefault="003D370E" w:rsidP="003D370E">
            <w:pPr>
              <w:pStyle w:val="ad"/>
              <w:rPr>
                <w:b/>
                <w:bCs/>
              </w:rPr>
            </w:pPr>
            <w:r w:rsidRPr="00716C0E">
              <w:t>Доля варранта в юните</w:t>
            </w:r>
          </w:p>
        </w:tc>
        <w:tc>
          <w:tcPr>
            <w:tcW w:w="1623" w:type="dxa"/>
          </w:tcPr>
          <w:p w14:paraId="0A04BCCA" w14:textId="19C87C94" w:rsidR="003D370E" w:rsidRPr="002E4D05" w:rsidRDefault="003D370E" w:rsidP="003D370E">
            <w:pPr>
              <w:pStyle w:val="ad"/>
              <w:rPr>
                <w:b/>
                <w:bCs/>
              </w:rPr>
            </w:pPr>
            <w:proofErr w:type="spellStart"/>
            <w:r w:rsidRPr="00716C0E">
              <w:t>WTunit</w:t>
            </w:r>
            <w:proofErr w:type="spellEnd"/>
          </w:p>
        </w:tc>
        <w:tc>
          <w:tcPr>
            <w:tcW w:w="1119" w:type="dxa"/>
          </w:tcPr>
          <w:p w14:paraId="72CB3C6D" w14:textId="3B600A3D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0,52</w:t>
            </w:r>
          </w:p>
        </w:tc>
        <w:tc>
          <w:tcPr>
            <w:tcW w:w="1624" w:type="dxa"/>
          </w:tcPr>
          <w:p w14:paraId="79DA1C24" w14:textId="6E75A325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0,25</w:t>
            </w:r>
          </w:p>
        </w:tc>
        <w:tc>
          <w:tcPr>
            <w:tcW w:w="1305" w:type="dxa"/>
          </w:tcPr>
          <w:p w14:paraId="3F7680F2" w14:textId="3200AC3E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0,05</w:t>
            </w:r>
          </w:p>
        </w:tc>
        <w:tc>
          <w:tcPr>
            <w:tcW w:w="1393" w:type="dxa"/>
          </w:tcPr>
          <w:p w14:paraId="403DA519" w14:textId="5EDC8C48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1</w:t>
            </w:r>
          </w:p>
        </w:tc>
      </w:tr>
      <w:tr w:rsidR="003D370E" w14:paraId="48074F0E" w14:textId="77777777" w:rsidTr="00C16723">
        <w:tc>
          <w:tcPr>
            <w:tcW w:w="2281" w:type="dxa"/>
          </w:tcPr>
          <w:p w14:paraId="69D079BA" w14:textId="4DFE841E" w:rsidR="003D370E" w:rsidRPr="002E4D05" w:rsidRDefault="003D370E" w:rsidP="003D370E">
            <w:pPr>
              <w:pStyle w:val="ad"/>
              <w:rPr>
                <w:b/>
                <w:bCs/>
              </w:rPr>
            </w:pPr>
            <w:r w:rsidRPr="00716C0E">
              <w:t>Число менеджеров SPAC</w:t>
            </w:r>
          </w:p>
        </w:tc>
        <w:tc>
          <w:tcPr>
            <w:tcW w:w="1623" w:type="dxa"/>
          </w:tcPr>
          <w:p w14:paraId="7DDAC050" w14:textId="381F4432" w:rsidR="003D370E" w:rsidRPr="002E4D05" w:rsidRDefault="003D370E" w:rsidP="003D370E">
            <w:pPr>
              <w:pStyle w:val="ad"/>
              <w:rPr>
                <w:b/>
                <w:bCs/>
              </w:rPr>
            </w:pPr>
            <w:r w:rsidRPr="00716C0E">
              <w:t>Team</w:t>
            </w:r>
          </w:p>
        </w:tc>
        <w:tc>
          <w:tcPr>
            <w:tcW w:w="1119" w:type="dxa"/>
          </w:tcPr>
          <w:p w14:paraId="4C10C4E8" w14:textId="22880F14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6,8</w:t>
            </w:r>
          </w:p>
        </w:tc>
        <w:tc>
          <w:tcPr>
            <w:tcW w:w="1624" w:type="dxa"/>
          </w:tcPr>
          <w:p w14:paraId="3A5EDE42" w14:textId="58B72EBB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1,9</w:t>
            </w:r>
          </w:p>
        </w:tc>
        <w:tc>
          <w:tcPr>
            <w:tcW w:w="1305" w:type="dxa"/>
          </w:tcPr>
          <w:p w14:paraId="64816BFB" w14:textId="0688AC2E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4</w:t>
            </w:r>
          </w:p>
        </w:tc>
        <w:tc>
          <w:tcPr>
            <w:tcW w:w="1393" w:type="dxa"/>
          </w:tcPr>
          <w:p w14:paraId="54186C80" w14:textId="444217EF" w:rsidR="003D370E" w:rsidRPr="002E4D05" w:rsidRDefault="003D370E" w:rsidP="003D370E">
            <w:pPr>
              <w:pStyle w:val="ad"/>
              <w:jc w:val="center"/>
              <w:rPr>
                <w:b/>
                <w:bCs/>
              </w:rPr>
            </w:pPr>
            <w:r w:rsidRPr="00716C0E">
              <w:t>17</w:t>
            </w:r>
          </w:p>
        </w:tc>
      </w:tr>
      <w:tr w:rsidR="002E4D05" w14:paraId="479A05B8" w14:textId="0669FFE3" w:rsidTr="00C16723">
        <w:tc>
          <w:tcPr>
            <w:tcW w:w="2281" w:type="dxa"/>
          </w:tcPr>
          <w:p w14:paraId="3B31A5F9" w14:textId="63010592" w:rsidR="002E4D05" w:rsidRDefault="00F4089F" w:rsidP="002E4D05">
            <w:pPr>
              <w:pStyle w:val="ad"/>
            </w:pPr>
            <w:r>
              <w:t>Число андеррайтеров</w:t>
            </w:r>
          </w:p>
        </w:tc>
        <w:tc>
          <w:tcPr>
            <w:tcW w:w="1623" w:type="dxa"/>
          </w:tcPr>
          <w:p w14:paraId="7AB92765" w14:textId="67E121A7" w:rsidR="002E4D05" w:rsidRPr="00F4089F" w:rsidRDefault="00F4089F" w:rsidP="002E4D05">
            <w:pPr>
              <w:pStyle w:val="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UndNumber</w:t>
            </w:r>
            <w:proofErr w:type="spellEnd"/>
          </w:p>
        </w:tc>
        <w:tc>
          <w:tcPr>
            <w:tcW w:w="1119" w:type="dxa"/>
          </w:tcPr>
          <w:p w14:paraId="2C293F6F" w14:textId="3D8CF03A" w:rsidR="002E4D05" w:rsidRDefault="00F035D2" w:rsidP="003D370E">
            <w:pPr>
              <w:pStyle w:val="ad"/>
              <w:jc w:val="center"/>
            </w:pPr>
            <w:r>
              <w:t>1,5</w:t>
            </w:r>
          </w:p>
        </w:tc>
        <w:tc>
          <w:tcPr>
            <w:tcW w:w="1624" w:type="dxa"/>
          </w:tcPr>
          <w:p w14:paraId="457354F9" w14:textId="79545702" w:rsidR="002E4D05" w:rsidRDefault="001830DA" w:rsidP="003D370E">
            <w:pPr>
              <w:pStyle w:val="ad"/>
              <w:jc w:val="center"/>
            </w:pPr>
            <w:r>
              <w:t>0,8</w:t>
            </w:r>
          </w:p>
        </w:tc>
        <w:tc>
          <w:tcPr>
            <w:tcW w:w="1305" w:type="dxa"/>
          </w:tcPr>
          <w:p w14:paraId="748FB184" w14:textId="339ACEE7" w:rsidR="002E4D05" w:rsidRDefault="001830DA" w:rsidP="003D370E">
            <w:pPr>
              <w:pStyle w:val="ad"/>
              <w:jc w:val="center"/>
            </w:pPr>
            <w:r>
              <w:t>1</w:t>
            </w:r>
          </w:p>
        </w:tc>
        <w:tc>
          <w:tcPr>
            <w:tcW w:w="1393" w:type="dxa"/>
          </w:tcPr>
          <w:p w14:paraId="2B8A66A2" w14:textId="55005267" w:rsidR="002E4D05" w:rsidRDefault="001830DA" w:rsidP="003D370E">
            <w:pPr>
              <w:pStyle w:val="ad"/>
              <w:jc w:val="center"/>
            </w:pPr>
            <w:r>
              <w:t>6</w:t>
            </w:r>
          </w:p>
        </w:tc>
      </w:tr>
      <w:tr w:rsidR="002E4D05" w14:paraId="768B3C3D" w14:textId="0A112A04" w:rsidTr="00C16723">
        <w:tc>
          <w:tcPr>
            <w:tcW w:w="2281" w:type="dxa"/>
          </w:tcPr>
          <w:p w14:paraId="7ADA4BEA" w14:textId="7DFD80F3" w:rsidR="002E4D05" w:rsidRPr="00DC490D" w:rsidRDefault="00DC490D" w:rsidP="002E4D05">
            <w:pPr>
              <w:pStyle w:val="ad"/>
            </w:pPr>
            <w:r>
              <w:t>Процентная комиссия андеррайтеров</w:t>
            </w:r>
          </w:p>
        </w:tc>
        <w:tc>
          <w:tcPr>
            <w:tcW w:w="1623" w:type="dxa"/>
          </w:tcPr>
          <w:p w14:paraId="239F5BAD" w14:textId="368C0907" w:rsidR="002E4D05" w:rsidRPr="00DC490D" w:rsidRDefault="00DC490D" w:rsidP="002E4D05">
            <w:pPr>
              <w:pStyle w:val="ad"/>
            </w:pPr>
            <w:proofErr w:type="spellStart"/>
            <w:r>
              <w:rPr>
                <w:lang w:val="en-US"/>
              </w:rPr>
              <w:t>UndFee</w:t>
            </w:r>
            <w:proofErr w:type="spellEnd"/>
          </w:p>
        </w:tc>
        <w:tc>
          <w:tcPr>
            <w:tcW w:w="1119" w:type="dxa"/>
          </w:tcPr>
          <w:p w14:paraId="338CC581" w14:textId="091100F6" w:rsidR="002E4D05" w:rsidRDefault="001830DA" w:rsidP="003D370E">
            <w:pPr>
              <w:pStyle w:val="ad"/>
              <w:jc w:val="center"/>
            </w:pPr>
            <w:r>
              <w:t>4,7%</w:t>
            </w:r>
          </w:p>
        </w:tc>
        <w:tc>
          <w:tcPr>
            <w:tcW w:w="1624" w:type="dxa"/>
          </w:tcPr>
          <w:p w14:paraId="3A81AE8B" w14:textId="11CBE2C5" w:rsidR="002E4D05" w:rsidRDefault="001830DA" w:rsidP="003D370E">
            <w:pPr>
              <w:pStyle w:val="ad"/>
              <w:jc w:val="center"/>
            </w:pPr>
            <w:r>
              <w:t>1,6%</w:t>
            </w:r>
          </w:p>
        </w:tc>
        <w:tc>
          <w:tcPr>
            <w:tcW w:w="1305" w:type="dxa"/>
          </w:tcPr>
          <w:p w14:paraId="1C11EBAE" w14:textId="6E1B1DF0" w:rsidR="002E4D05" w:rsidRDefault="00CA2D35" w:rsidP="003D370E">
            <w:pPr>
              <w:pStyle w:val="ad"/>
              <w:jc w:val="center"/>
            </w:pPr>
            <w:r>
              <w:t>0,7%</w:t>
            </w:r>
          </w:p>
        </w:tc>
        <w:tc>
          <w:tcPr>
            <w:tcW w:w="1393" w:type="dxa"/>
          </w:tcPr>
          <w:p w14:paraId="4F85A1F6" w14:textId="54E1992D" w:rsidR="002E4D05" w:rsidRDefault="00CA2D35" w:rsidP="003D370E">
            <w:pPr>
              <w:pStyle w:val="ad"/>
              <w:jc w:val="center"/>
            </w:pPr>
            <w:r>
              <w:t>7,8%</w:t>
            </w:r>
          </w:p>
        </w:tc>
      </w:tr>
      <w:tr w:rsidR="002E4D05" w14:paraId="6BC7FEC2" w14:textId="775489C0" w:rsidTr="00C16723">
        <w:tc>
          <w:tcPr>
            <w:tcW w:w="2281" w:type="dxa"/>
          </w:tcPr>
          <w:p w14:paraId="607F7C4B" w14:textId="22431352" w:rsidR="002E4D05" w:rsidRPr="0019075C" w:rsidRDefault="0019075C" w:rsidP="002E4D05">
            <w:pPr>
              <w:pStyle w:val="ad"/>
            </w:pPr>
            <w:r>
              <w:t xml:space="preserve">Принадлежность к топ-10 андеррайтеров </w:t>
            </w:r>
            <w:r>
              <w:rPr>
                <w:lang w:val="en-US"/>
              </w:rPr>
              <w:t>SPAC</w:t>
            </w:r>
          </w:p>
        </w:tc>
        <w:tc>
          <w:tcPr>
            <w:tcW w:w="1623" w:type="dxa"/>
          </w:tcPr>
          <w:p w14:paraId="15D0299B" w14:textId="174AEF4D" w:rsidR="002E4D05" w:rsidRPr="0019075C" w:rsidRDefault="0019075C" w:rsidP="002E4D05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Top10und</w:t>
            </w:r>
          </w:p>
        </w:tc>
        <w:tc>
          <w:tcPr>
            <w:tcW w:w="1119" w:type="dxa"/>
          </w:tcPr>
          <w:p w14:paraId="6DD8E969" w14:textId="200C0DBF" w:rsidR="002E4D05" w:rsidRDefault="00CA2D35" w:rsidP="003D370E">
            <w:pPr>
              <w:pStyle w:val="ad"/>
              <w:jc w:val="center"/>
            </w:pPr>
            <w:r>
              <w:t>0,6</w:t>
            </w:r>
          </w:p>
        </w:tc>
        <w:tc>
          <w:tcPr>
            <w:tcW w:w="1624" w:type="dxa"/>
          </w:tcPr>
          <w:p w14:paraId="357F53A3" w14:textId="4905AB37" w:rsidR="002E4D05" w:rsidRDefault="00CA2D35" w:rsidP="003D370E">
            <w:pPr>
              <w:pStyle w:val="ad"/>
              <w:jc w:val="center"/>
            </w:pPr>
            <w:r>
              <w:t>0,4</w:t>
            </w:r>
            <w:r w:rsidR="004D4C04">
              <w:t>5</w:t>
            </w:r>
          </w:p>
        </w:tc>
        <w:tc>
          <w:tcPr>
            <w:tcW w:w="1305" w:type="dxa"/>
          </w:tcPr>
          <w:p w14:paraId="70B85CAB" w14:textId="79863099" w:rsidR="002E4D05" w:rsidRDefault="004D4C04" w:rsidP="003D370E">
            <w:pPr>
              <w:pStyle w:val="ad"/>
              <w:jc w:val="center"/>
            </w:pPr>
            <w:r>
              <w:t>0</w:t>
            </w:r>
          </w:p>
        </w:tc>
        <w:tc>
          <w:tcPr>
            <w:tcW w:w="1393" w:type="dxa"/>
          </w:tcPr>
          <w:p w14:paraId="013570BB" w14:textId="2C0352B2" w:rsidR="002E4D05" w:rsidRDefault="004D4C04" w:rsidP="003D370E">
            <w:pPr>
              <w:pStyle w:val="ad"/>
              <w:jc w:val="center"/>
            </w:pPr>
            <w:r>
              <w:t>1</w:t>
            </w:r>
          </w:p>
        </w:tc>
      </w:tr>
      <w:tr w:rsidR="0019075C" w14:paraId="453FEC20" w14:textId="77777777" w:rsidTr="00C16723">
        <w:tc>
          <w:tcPr>
            <w:tcW w:w="2281" w:type="dxa"/>
          </w:tcPr>
          <w:p w14:paraId="182B5FAE" w14:textId="4718641D" w:rsidR="0019075C" w:rsidRPr="0019075C" w:rsidRDefault="0019075C" w:rsidP="002E4D05">
            <w:pPr>
              <w:pStyle w:val="ad"/>
              <w:rPr>
                <w:lang w:val="en-US"/>
              </w:rPr>
            </w:pPr>
            <w:r>
              <w:t>Сфокусированность на отрасли</w:t>
            </w:r>
          </w:p>
        </w:tc>
        <w:tc>
          <w:tcPr>
            <w:tcW w:w="1623" w:type="dxa"/>
          </w:tcPr>
          <w:p w14:paraId="530260C4" w14:textId="4A85AEDD" w:rsidR="0019075C" w:rsidRDefault="0019075C" w:rsidP="002E4D05">
            <w:pPr>
              <w:pStyle w:val="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IndFocus</w:t>
            </w:r>
            <w:proofErr w:type="spellEnd"/>
          </w:p>
        </w:tc>
        <w:tc>
          <w:tcPr>
            <w:tcW w:w="1119" w:type="dxa"/>
          </w:tcPr>
          <w:p w14:paraId="1D470EC8" w14:textId="0DBF8C64" w:rsidR="0019075C" w:rsidRDefault="004D4C04" w:rsidP="003D370E">
            <w:pPr>
              <w:pStyle w:val="ad"/>
              <w:jc w:val="center"/>
            </w:pPr>
            <w:r>
              <w:t>0,57</w:t>
            </w:r>
          </w:p>
        </w:tc>
        <w:tc>
          <w:tcPr>
            <w:tcW w:w="1624" w:type="dxa"/>
          </w:tcPr>
          <w:p w14:paraId="4A0EBE63" w14:textId="2BACAD6E" w:rsidR="0019075C" w:rsidRDefault="004D4C04" w:rsidP="003D370E">
            <w:pPr>
              <w:pStyle w:val="ad"/>
              <w:jc w:val="center"/>
            </w:pPr>
            <w:r>
              <w:t>0,5</w:t>
            </w:r>
          </w:p>
        </w:tc>
        <w:tc>
          <w:tcPr>
            <w:tcW w:w="1305" w:type="dxa"/>
          </w:tcPr>
          <w:p w14:paraId="32AAAA7E" w14:textId="1A862AAE" w:rsidR="0019075C" w:rsidRDefault="004D4C04" w:rsidP="003D370E">
            <w:pPr>
              <w:pStyle w:val="ad"/>
              <w:jc w:val="center"/>
            </w:pPr>
            <w:r>
              <w:t>0</w:t>
            </w:r>
          </w:p>
        </w:tc>
        <w:tc>
          <w:tcPr>
            <w:tcW w:w="1393" w:type="dxa"/>
          </w:tcPr>
          <w:p w14:paraId="585B6509" w14:textId="28202742" w:rsidR="0019075C" w:rsidRDefault="004D4C04" w:rsidP="003D370E">
            <w:pPr>
              <w:pStyle w:val="ad"/>
              <w:jc w:val="center"/>
            </w:pPr>
            <w:r>
              <w:t>1</w:t>
            </w:r>
          </w:p>
        </w:tc>
      </w:tr>
    </w:tbl>
    <w:p w14:paraId="7A5B1CF6" w14:textId="37E067BE" w:rsidR="00593989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731B6AA5" w14:textId="31A304C6" w:rsidR="008D4A54" w:rsidRPr="007F2507" w:rsidRDefault="00005B93" w:rsidP="008D4A54">
      <w:r>
        <w:t xml:space="preserve">Средний коэффициент выкупа акций акционерами составил почти 37%, при этом существовали те </w:t>
      </w:r>
      <w:r>
        <w:rPr>
          <w:lang w:val="en-US"/>
        </w:rPr>
        <w:t>SPAC</w:t>
      </w:r>
      <w:r>
        <w:t>, в которых н</w:t>
      </w:r>
      <w:r w:rsidR="008C2CB9">
        <w:t>и один акционер не предъявил акции к выкупу, а в некоторых инвесторами были выкуплены все акции.</w:t>
      </w:r>
      <w:r w:rsidR="00F30E09">
        <w:t xml:space="preserve"> В среднем, </w:t>
      </w:r>
      <w:r w:rsidR="00F30E09">
        <w:rPr>
          <w:lang w:val="en-US"/>
        </w:rPr>
        <w:t>SPAC</w:t>
      </w:r>
      <w:r w:rsidR="00F30E09">
        <w:t xml:space="preserve"> привлекает 239 </w:t>
      </w:r>
      <w:r w:rsidR="00F30E09" w:rsidRPr="00E848CE">
        <w:t>$</w:t>
      </w:r>
      <w:r w:rsidR="00F30E09">
        <w:t xml:space="preserve"> млн </w:t>
      </w:r>
      <w:r w:rsidR="00E848CE">
        <w:t xml:space="preserve">в ходе </w:t>
      </w:r>
      <w:r w:rsidR="00E848CE">
        <w:rPr>
          <w:lang w:val="en-US"/>
        </w:rPr>
        <w:t>IPO</w:t>
      </w:r>
      <w:r w:rsidR="00E848CE">
        <w:t xml:space="preserve">, однако некоторые некрупные </w:t>
      </w:r>
      <w:r w:rsidR="00E848CE">
        <w:rPr>
          <w:lang w:val="en-US"/>
        </w:rPr>
        <w:t>SPAC</w:t>
      </w:r>
      <w:r w:rsidR="00E848CE">
        <w:t xml:space="preserve"> привлекают меньше </w:t>
      </w:r>
      <w:r w:rsidR="00472A8D">
        <w:t xml:space="preserve">20 </w:t>
      </w:r>
      <w:r w:rsidR="00472A8D" w:rsidRPr="00472A8D">
        <w:t xml:space="preserve">$ </w:t>
      </w:r>
      <w:r w:rsidR="00472A8D">
        <w:t xml:space="preserve">млн. В среднем, те </w:t>
      </w:r>
      <w:r w:rsidR="00472A8D">
        <w:rPr>
          <w:lang w:val="en-US"/>
        </w:rPr>
        <w:t>SPAC</w:t>
      </w:r>
      <w:r w:rsidR="00472A8D">
        <w:t xml:space="preserve">, </w:t>
      </w:r>
      <w:r w:rsidR="00525A6F">
        <w:t xml:space="preserve">у которых уже прошел год после поглощения, искали таргет и завершали сделку в течение 19 месяцев. </w:t>
      </w:r>
      <w:r w:rsidR="00AC3AAB">
        <w:t xml:space="preserve">Одному </w:t>
      </w:r>
      <w:r w:rsidR="00AC3AAB">
        <w:rPr>
          <w:lang w:val="en-US"/>
        </w:rPr>
        <w:t>SPAC</w:t>
      </w:r>
      <w:r w:rsidR="00AC3AAB">
        <w:t xml:space="preserve"> удалось продлить время до ликвидации до 3 лет. Средняя дол</w:t>
      </w:r>
      <w:r w:rsidR="00B96AFA">
        <w:t>я</w:t>
      </w:r>
      <w:r w:rsidR="00AC3AAB">
        <w:t xml:space="preserve"> варранта </w:t>
      </w:r>
      <w:r w:rsidR="00BE1961">
        <w:t xml:space="preserve">в юните составил 0,5, </w:t>
      </w:r>
      <w:r w:rsidR="00C74385">
        <w:t xml:space="preserve">то есть для того, чтобы инвестор мог продать варрант, ему необходимо приобрести 2 юнита, чтобы быть владельцем одного целого варранта. </w:t>
      </w:r>
      <w:r w:rsidR="00FC42DA">
        <w:t xml:space="preserve">У 17% </w:t>
      </w:r>
      <w:r w:rsidR="00FC42DA">
        <w:rPr>
          <w:lang w:val="en-US"/>
        </w:rPr>
        <w:t>SPAC</w:t>
      </w:r>
      <w:r w:rsidR="00FC42DA">
        <w:t xml:space="preserve"> в выборке один юнит содержал ровно один варрант. </w:t>
      </w:r>
      <w:r w:rsidR="00725F22">
        <w:t xml:space="preserve">В среднем, в команде менеджмента </w:t>
      </w:r>
      <w:r w:rsidR="00725F22">
        <w:rPr>
          <w:lang w:val="en-US"/>
        </w:rPr>
        <w:t>SPAC</w:t>
      </w:r>
      <w:r w:rsidR="00725F22">
        <w:t xml:space="preserve"> присутству</w:t>
      </w:r>
      <w:r w:rsidR="005C1F9B">
        <w:t>ю</w:t>
      </w:r>
      <w:r w:rsidR="00725F22">
        <w:t xml:space="preserve">т почти 7 человек. </w:t>
      </w:r>
      <w:r w:rsidR="00C64D6C">
        <w:t xml:space="preserve">При этом, в синдикате </w:t>
      </w:r>
      <w:r w:rsidR="00C64D6C">
        <w:lastRenderedPageBreak/>
        <w:t xml:space="preserve">андеррайтеров, сопровождающих сделки </w:t>
      </w:r>
      <w:r w:rsidR="00C64D6C">
        <w:rPr>
          <w:lang w:val="en-US"/>
        </w:rPr>
        <w:t>SPAC</w:t>
      </w:r>
      <w:r w:rsidR="00C64D6C">
        <w:t xml:space="preserve">, в среднем </w:t>
      </w:r>
      <w:r w:rsidR="005C1F9B">
        <w:t xml:space="preserve">насчитывается 1,5 инвестиционных банка. В выборке максимальное число андеррайтеров составило 6 банков. </w:t>
      </w:r>
      <w:r w:rsidR="00DA4B98">
        <w:t xml:space="preserve">Средняя процентная комиссия андеррайтера составила 4,7% от поступлений с </w:t>
      </w:r>
      <w:r w:rsidR="00DA4B98">
        <w:rPr>
          <w:lang w:val="en-US"/>
        </w:rPr>
        <w:t>IPO</w:t>
      </w:r>
      <w:r w:rsidR="00DA4B98">
        <w:t xml:space="preserve">. При этом, </w:t>
      </w:r>
      <w:r w:rsidR="00FD55E5">
        <w:t xml:space="preserve">чуть </w:t>
      </w:r>
      <w:r w:rsidR="0014180A">
        <w:t>больше,</w:t>
      </w:r>
      <w:r w:rsidR="00FD55E5">
        <w:t xml:space="preserve"> чем у половины компаний комисси</w:t>
      </w:r>
      <w:r w:rsidR="00D840FF">
        <w:t>онные расходы составили 5,5%</w:t>
      </w:r>
      <w:r w:rsidR="005B3782">
        <w:t xml:space="preserve"> (см. Приложение 1)</w:t>
      </w:r>
      <w:r w:rsidR="00D840FF">
        <w:t xml:space="preserve">. </w:t>
      </w:r>
      <w:r w:rsidR="0014180A">
        <w:t xml:space="preserve">В синдикате андеррайтеров 60% </w:t>
      </w:r>
      <w:r w:rsidR="0014180A">
        <w:rPr>
          <w:lang w:val="en-US"/>
        </w:rPr>
        <w:t>SPAC</w:t>
      </w:r>
      <w:r w:rsidR="0014180A">
        <w:t xml:space="preserve"> присутствовал хотя бы 1 инвестиционный банк, входящий в список топ-10 андеррайтеров по сделкам </w:t>
      </w:r>
      <w:r w:rsidR="0014180A">
        <w:rPr>
          <w:lang w:val="en-US"/>
        </w:rPr>
        <w:t>SPAC</w:t>
      </w:r>
      <w:r w:rsidR="0014180A">
        <w:t>.</w:t>
      </w:r>
    </w:p>
    <w:p w14:paraId="2776615A" w14:textId="654EE769" w:rsidR="00624C0D" w:rsidRDefault="00A43741" w:rsidP="00624C0D">
      <w:pPr>
        <w:pStyle w:val="2"/>
      </w:pPr>
      <w:bookmarkStart w:id="56" w:name="_Toc102050317"/>
      <w:bookmarkStart w:id="57" w:name="_Toc102050689"/>
      <w:r>
        <w:t xml:space="preserve">2.4. </w:t>
      </w:r>
      <w:r w:rsidR="00624C0D">
        <w:t xml:space="preserve">Метод </w:t>
      </w:r>
      <w:r w:rsidR="00624C0D">
        <w:rPr>
          <w:lang w:val="en-US"/>
        </w:rPr>
        <w:t>BHAR</w:t>
      </w:r>
      <w:bookmarkEnd w:id="56"/>
      <w:bookmarkEnd w:id="57"/>
    </w:p>
    <w:p w14:paraId="74654A32" w14:textId="6EC4A500" w:rsidR="00624C0D" w:rsidRDefault="000F24D4" w:rsidP="00624C0D">
      <w:r>
        <w:t>Метод</w:t>
      </w:r>
      <w:r w:rsidRPr="005440AA">
        <w:t xml:space="preserve"> </w:t>
      </w:r>
      <w:r>
        <w:rPr>
          <w:lang w:val="en-US"/>
        </w:rPr>
        <w:t>event</w:t>
      </w:r>
      <w:r w:rsidRPr="005440AA">
        <w:t>-</w:t>
      </w:r>
      <w:r>
        <w:rPr>
          <w:lang w:val="en-US"/>
        </w:rPr>
        <w:t>study</w:t>
      </w:r>
      <w:r w:rsidRPr="005440AA">
        <w:t xml:space="preserve"> </w:t>
      </w:r>
      <w:r w:rsidR="00707066" w:rsidRPr="005440AA">
        <w:t>«</w:t>
      </w:r>
      <w:r w:rsidR="00707066">
        <w:rPr>
          <w:lang w:val="en-US"/>
        </w:rPr>
        <w:t>Buy</w:t>
      </w:r>
      <w:r w:rsidR="00707066" w:rsidRPr="005440AA">
        <w:t>-</w:t>
      </w:r>
      <w:r w:rsidR="00707066">
        <w:rPr>
          <w:lang w:val="en-US"/>
        </w:rPr>
        <w:t>and</w:t>
      </w:r>
      <w:r w:rsidR="00707066" w:rsidRPr="005440AA">
        <w:t>-</w:t>
      </w:r>
      <w:r w:rsidR="00707066">
        <w:rPr>
          <w:lang w:val="en-US"/>
        </w:rPr>
        <w:t>hold</w:t>
      </w:r>
      <w:r w:rsidR="00707066" w:rsidRPr="005440AA">
        <w:t xml:space="preserve"> </w:t>
      </w:r>
      <w:r w:rsidR="00707066">
        <w:rPr>
          <w:lang w:val="en-US"/>
        </w:rPr>
        <w:t>abnormal</w:t>
      </w:r>
      <w:r w:rsidR="00707066" w:rsidRPr="005440AA">
        <w:t xml:space="preserve"> </w:t>
      </w:r>
      <w:r w:rsidR="00707066">
        <w:rPr>
          <w:lang w:val="en-US"/>
        </w:rPr>
        <w:t>return</w:t>
      </w:r>
      <w:r w:rsidR="00707066" w:rsidRPr="005440AA">
        <w:t xml:space="preserve">» </w:t>
      </w:r>
      <w:r w:rsidR="00707066">
        <w:t>был</w:t>
      </w:r>
      <w:r w:rsidR="00707066" w:rsidRPr="005440AA">
        <w:t xml:space="preserve"> </w:t>
      </w:r>
      <w:r w:rsidR="00707066">
        <w:t>использован</w:t>
      </w:r>
      <w:r w:rsidR="0048432E" w:rsidRPr="005440AA">
        <w:t xml:space="preserve"> </w:t>
      </w:r>
      <w:r w:rsidR="0048432E">
        <w:t>для</w:t>
      </w:r>
      <w:r w:rsidR="0048432E" w:rsidRPr="005440AA">
        <w:t xml:space="preserve"> </w:t>
      </w:r>
      <w:r w:rsidR="0048432E">
        <w:t>оценки</w:t>
      </w:r>
      <w:r w:rsidR="0048432E" w:rsidRPr="005440AA">
        <w:t xml:space="preserve"> </w:t>
      </w:r>
      <w:r w:rsidR="005440AA">
        <w:t>средней сверхдоходности</w:t>
      </w:r>
      <w:r w:rsidR="00B7306F">
        <w:t xml:space="preserve"> акций </w:t>
      </w:r>
      <w:r w:rsidR="00B7306F">
        <w:rPr>
          <w:lang w:val="en-US"/>
        </w:rPr>
        <w:t>deSPAC</w:t>
      </w:r>
      <w:r w:rsidR="0048432E" w:rsidRPr="005440AA">
        <w:t xml:space="preserve">. </w:t>
      </w:r>
      <w:r w:rsidR="00116228">
        <w:t xml:space="preserve">Сверхдоходности «покупай-и-держи» были рассчитаны по формуле (14), в качестве бенчмарка </w:t>
      </w:r>
      <w:r w:rsidR="0084330B">
        <w:t xml:space="preserve">брался средневзвешенный рыночный индекс </w:t>
      </w:r>
      <w:r w:rsidR="00073F07">
        <w:rPr>
          <w:lang w:val="en-US"/>
        </w:rPr>
        <w:t>CRSP</w:t>
      </w:r>
      <w:r w:rsidR="0084330B">
        <w:t xml:space="preserve">. </w:t>
      </w:r>
      <w:r w:rsidR="00285FA6">
        <w:t xml:space="preserve">В качестве окна события были выбраны периоды в 1 год и 3 года после даты завершения сделки </w:t>
      </w:r>
      <w:r w:rsidR="00502644">
        <w:t xml:space="preserve">поглощения таргета. </w:t>
      </w:r>
      <w:r w:rsidR="00A97EC5">
        <w:t xml:space="preserve">Анализируемая выборка состояла из 131 компании. </w:t>
      </w:r>
      <w:r w:rsidR="003C57C3">
        <w:t xml:space="preserve">Значимость оценок </w:t>
      </w:r>
      <w:r w:rsidR="003C57C3">
        <w:rPr>
          <w:lang w:val="en-US"/>
        </w:rPr>
        <w:t>BHAR</w:t>
      </w:r>
      <w:r w:rsidR="003C57C3">
        <w:t xml:space="preserve"> проверялась через </w:t>
      </w:r>
      <w:r w:rsidR="003C57C3">
        <w:rPr>
          <w:lang w:val="en-US"/>
        </w:rPr>
        <w:t>t</w:t>
      </w:r>
      <w:r w:rsidR="003C57C3" w:rsidRPr="003C57C3">
        <w:t>-</w:t>
      </w:r>
      <w:r w:rsidR="003C57C3">
        <w:t>критерий Стьюдента.</w:t>
      </w:r>
    </w:p>
    <w:p w14:paraId="43E715FA" w14:textId="6CC77D94" w:rsidR="003C57C3" w:rsidRDefault="0070297D" w:rsidP="0070297D">
      <w:pPr>
        <w:pStyle w:val="a"/>
      </w:pPr>
      <w:r>
        <w:rPr>
          <w:lang w:val="en-US"/>
        </w:rPr>
        <w:t>BHAR</w:t>
      </w:r>
      <w:r w:rsidR="00A56862">
        <w:t xml:space="preserve"> акций </w:t>
      </w:r>
      <w:r w:rsidR="00A56862">
        <w:rPr>
          <w:lang w:val="en-US"/>
        </w:rPr>
        <w:t>deSPAC</w:t>
      </w:r>
      <w:r w:rsidR="001814AF">
        <w:rPr>
          <w:rStyle w:val="af5"/>
          <w:lang w:val="en-US"/>
        </w:rPr>
        <w:footnoteReference w:id="39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5F75" w14:paraId="3A5E5ED3" w14:textId="77777777" w:rsidTr="002A5F75">
        <w:tc>
          <w:tcPr>
            <w:tcW w:w="2336" w:type="dxa"/>
          </w:tcPr>
          <w:p w14:paraId="4848F63B" w14:textId="5BBAE199" w:rsidR="002A5F75" w:rsidRPr="00215616" w:rsidRDefault="00215616" w:rsidP="00215616">
            <w:pPr>
              <w:pStyle w:val="ad"/>
              <w:jc w:val="center"/>
              <w:rPr>
                <w:b/>
                <w:bCs/>
              </w:rPr>
            </w:pPr>
            <w:r w:rsidRPr="00215616">
              <w:rPr>
                <w:b/>
                <w:bCs/>
              </w:rPr>
              <w:t>Период</w:t>
            </w:r>
          </w:p>
        </w:tc>
        <w:tc>
          <w:tcPr>
            <w:tcW w:w="2336" w:type="dxa"/>
          </w:tcPr>
          <w:p w14:paraId="321B05FC" w14:textId="05A0481B" w:rsidR="002A5F75" w:rsidRPr="00215616" w:rsidRDefault="002811F6" w:rsidP="00215616">
            <w:pPr>
              <w:pStyle w:val="ad"/>
              <w:jc w:val="center"/>
              <w:rPr>
                <w:b/>
                <w:bCs/>
              </w:rPr>
            </w:pPr>
            <w:r w:rsidRPr="00215616">
              <w:rPr>
                <w:b/>
                <w:bCs/>
              </w:rPr>
              <w:t>Среднее</w:t>
            </w:r>
          </w:p>
        </w:tc>
        <w:tc>
          <w:tcPr>
            <w:tcW w:w="2336" w:type="dxa"/>
          </w:tcPr>
          <w:p w14:paraId="51C15223" w14:textId="70FAD500" w:rsidR="002A5F75" w:rsidRPr="00215616" w:rsidRDefault="002811F6" w:rsidP="00215616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215616">
              <w:rPr>
                <w:b/>
                <w:bCs/>
                <w:lang w:val="en-US"/>
              </w:rPr>
              <w:t>t</w:t>
            </w:r>
          </w:p>
        </w:tc>
        <w:tc>
          <w:tcPr>
            <w:tcW w:w="2337" w:type="dxa"/>
          </w:tcPr>
          <w:p w14:paraId="0078EE66" w14:textId="5586CBDC" w:rsidR="002A5F75" w:rsidRPr="00215616" w:rsidRDefault="002811F6" w:rsidP="00215616">
            <w:pPr>
              <w:pStyle w:val="ad"/>
              <w:jc w:val="center"/>
              <w:rPr>
                <w:b/>
                <w:bCs/>
              </w:rPr>
            </w:pPr>
            <w:r w:rsidRPr="00215616">
              <w:rPr>
                <w:b/>
                <w:bCs/>
                <w:lang w:val="en-US"/>
              </w:rPr>
              <w:t>P-value</w:t>
            </w:r>
          </w:p>
        </w:tc>
      </w:tr>
      <w:tr w:rsidR="002A5F75" w14:paraId="3AE50F8A" w14:textId="77777777" w:rsidTr="002A5F75">
        <w:tc>
          <w:tcPr>
            <w:tcW w:w="2336" w:type="dxa"/>
          </w:tcPr>
          <w:p w14:paraId="51689F17" w14:textId="25F8A8BD" w:rsidR="002A5F75" w:rsidRDefault="00215616" w:rsidP="007449C1">
            <w:pPr>
              <w:pStyle w:val="ad"/>
              <w:jc w:val="center"/>
            </w:pPr>
            <w:r>
              <w:t>1 год</w:t>
            </w:r>
          </w:p>
        </w:tc>
        <w:tc>
          <w:tcPr>
            <w:tcW w:w="2336" w:type="dxa"/>
          </w:tcPr>
          <w:p w14:paraId="35AC23E0" w14:textId="60A563DC" w:rsidR="002A5F75" w:rsidRDefault="00942F3D" w:rsidP="007449C1">
            <w:pPr>
              <w:pStyle w:val="ad"/>
              <w:jc w:val="center"/>
            </w:pPr>
            <w:r>
              <w:t>-56,4%</w:t>
            </w:r>
          </w:p>
        </w:tc>
        <w:tc>
          <w:tcPr>
            <w:tcW w:w="2336" w:type="dxa"/>
          </w:tcPr>
          <w:p w14:paraId="27E91F25" w14:textId="7AE3972D" w:rsidR="002A5F75" w:rsidRDefault="00942F3D" w:rsidP="007449C1">
            <w:pPr>
              <w:pStyle w:val="ad"/>
              <w:jc w:val="center"/>
            </w:pPr>
            <w:r>
              <w:t>-14,914</w:t>
            </w:r>
            <w:r w:rsidR="007449C1">
              <w:t>***</w:t>
            </w:r>
          </w:p>
        </w:tc>
        <w:tc>
          <w:tcPr>
            <w:tcW w:w="2337" w:type="dxa"/>
          </w:tcPr>
          <w:p w14:paraId="355C8EF5" w14:textId="5D2DED36" w:rsidR="002A5F75" w:rsidRDefault="00942F3D" w:rsidP="007449C1">
            <w:pPr>
              <w:pStyle w:val="ad"/>
              <w:jc w:val="center"/>
            </w:pPr>
            <w:r>
              <w:t>0,000</w:t>
            </w:r>
          </w:p>
        </w:tc>
      </w:tr>
      <w:tr w:rsidR="002A5F75" w14:paraId="7859CF06" w14:textId="77777777" w:rsidTr="002A5F75">
        <w:tc>
          <w:tcPr>
            <w:tcW w:w="2336" w:type="dxa"/>
          </w:tcPr>
          <w:p w14:paraId="0092065D" w14:textId="6A1AF30A" w:rsidR="002A5F75" w:rsidRDefault="00215616" w:rsidP="007449C1">
            <w:pPr>
              <w:pStyle w:val="ad"/>
              <w:jc w:val="center"/>
            </w:pPr>
            <w:r>
              <w:t>3 года</w:t>
            </w:r>
          </w:p>
        </w:tc>
        <w:tc>
          <w:tcPr>
            <w:tcW w:w="2336" w:type="dxa"/>
          </w:tcPr>
          <w:p w14:paraId="7D0AE078" w14:textId="01A111FE" w:rsidR="002A5F75" w:rsidRDefault="007449C1" w:rsidP="007449C1">
            <w:pPr>
              <w:pStyle w:val="ad"/>
              <w:jc w:val="center"/>
            </w:pPr>
            <w:r>
              <w:t>-82,7%</w:t>
            </w:r>
          </w:p>
        </w:tc>
        <w:tc>
          <w:tcPr>
            <w:tcW w:w="2336" w:type="dxa"/>
          </w:tcPr>
          <w:p w14:paraId="25524EC3" w14:textId="5914379F" w:rsidR="002A5F75" w:rsidRDefault="007449C1" w:rsidP="007449C1">
            <w:pPr>
              <w:pStyle w:val="ad"/>
              <w:jc w:val="center"/>
            </w:pPr>
            <w:r>
              <w:t>-7,434***</w:t>
            </w:r>
          </w:p>
        </w:tc>
        <w:tc>
          <w:tcPr>
            <w:tcW w:w="2337" w:type="dxa"/>
          </w:tcPr>
          <w:p w14:paraId="61A454E5" w14:textId="23FF1110" w:rsidR="002A5F75" w:rsidRDefault="00942F3D" w:rsidP="007449C1">
            <w:pPr>
              <w:pStyle w:val="ad"/>
              <w:jc w:val="center"/>
            </w:pPr>
            <w:r>
              <w:t>0,000</w:t>
            </w:r>
          </w:p>
        </w:tc>
      </w:tr>
    </w:tbl>
    <w:p w14:paraId="0D3C4DCE" w14:textId="14845C55" w:rsidR="0070297D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03BD9FEC" w14:textId="0069064C" w:rsidR="008F401B" w:rsidRDefault="00C843E8" w:rsidP="008F401B">
      <w:r>
        <w:t>Результаты</w:t>
      </w:r>
      <w:r w:rsidR="00BE0F74">
        <w:t xml:space="preserve"> в</w:t>
      </w:r>
      <w:r>
        <w:t xml:space="preserve"> таблиц</w:t>
      </w:r>
      <w:r w:rsidR="00BE0F74">
        <w:t>е</w:t>
      </w:r>
      <w:r>
        <w:t xml:space="preserve"> </w:t>
      </w:r>
      <w:r w:rsidR="008F7101" w:rsidRPr="008F7101">
        <w:t>18</w:t>
      </w:r>
      <w:r>
        <w:t xml:space="preserve"> </w:t>
      </w:r>
      <w:r w:rsidR="00BE0F74">
        <w:t xml:space="preserve">свидетельствуют о значительном отставании доходности акций </w:t>
      </w:r>
      <w:r w:rsidR="00BE0F74">
        <w:rPr>
          <w:lang w:val="en-US"/>
        </w:rPr>
        <w:t>SPAC</w:t>
      </w:r>
      <w:r w:rsidR="00BE0F74">
        <w:t xml:space="preserve"> от рынка</w:t>
      </w:r>
      <w:r w:rsidR="00AA4C88">
        <w:t xml:space="preserve">: средняя долгосрочная сверхдоходность </w:t>
      </w:r>
      <w:r w:rsidR="00502644">
        <w:t xml:space="preserve">на годовом периоде составила -56,4%, на трёхгодовом периоде показатель принял значение в -82,7%. </w:t>
      </w:r>
      <w:r w:rsidR="003B468E">
        <w:t>Оценки являются сильно значимыми. Таким образом, событие «</w:t>
      </w:r>
      <w:r w:rsidR="000861FE">
        <w:t xml:space="preserve">поглощение таргета» оказывает негативное влияние на долгосрочную результативность </w:t>
      </w:r>
      <w:r w:rsidR="000861FE">
        <w:rPr>
          <w:lang w:val="en-US"/>
        </w:rPr>
        <w:t>SPAC</w:t>
      </w:r>
      <w:r w:rsidR="006B3F40">
        <w:t xml:space="preserve">, тем самым гипотеза </w:t>
      </w:r>
      <w:r w:rsidR="006B3F40">
        <w:rPr>
          <w:lang w:val="en-US"/>
        </w:rPr>
        <w:t>H</w:t>
      </w:r>
      <w:r w:rsidR="0094136D" w:rsidRPr="0094136D">
        <w:t>4</w:t>
      </w:r>
      <w:r w:rsidR="006B3F40">
        <w:t xml:space="preserve"> </w:t>
      </w:r>
      <w:r w:rsidR="001B5882">
        <w:t>подтверждается.</w:t>
      </w:r>
    </w:p>
    <w:p w14:paraId="143C0F96" w14:textId="7D6B264F" w:rsidR="001B5882" w:rsidRDefault="00A43741" w:rsidP="001B5882">
      <w:pPr>
        <w:pStyle w:val="2"/>
      </w:pPr>
      <w:bookmarkStart w:id="58" w:name="_Toc102050318"/>
      <w:bookmarkStart w:id="59" w:name="_Toc102050690"/>
      <w:r>
        <w:t xml:space="preserve">2.5. </w:t>
      </w:r>
      <w:r w:rsidR="001B5882">
        <w:t>Регрессионный анализ</w:t>
      </w:r>
      <w:bookmarkEnd w:id="58"/>
      <w:bookmarkEnd w:id="59"/>
    </w:p>
    <w:p w14:paraId="11AD382C" w14:textId="7B800FC0" w:rsidR="001B5882" w:rsidRDefault="00C85606" w:rsidP="001B5882">
      <w:r>
        <w:t>Заключительном этапом работы стало исследование факторов</w:t>
      </w:r>
      <w:r w:rsidR="00B02E10">
        <w:t xml:space="preserve">, взаимосвязанных с доходностью </w:t>
      </w:r>
      <w:r w:rsidR="00B02E10">
        <w:rPr>
          <w:lang w:val="en-US"/>
        </w:rPr>
        <w:t>deSPAC</w:t>
      </w:r>
      <w:r w:rsidR="00B02E10">
        <w:t xml:space="preserve">. Для этого был проведен регрессионный анализ, </w:t>
      </w:r>
      <w:r w:rsidR="00993FDC">
        <w:t xml:space="preserve">в качестве модели </w:t>
      </w:r>
      <w:r w:rsidR="00F71010">
        <w:t>было сформировано уравнение</w:t>
      </w:r>
      <w:r w:rsidR="00993FDC">
        <w:t xml:space="preserve"> (15)</w:t>
      </w:r>
      <w:r w:rsidR="00C97416">
        <w:t xml:space="preserve">, в котором в качестве зависимой переменной выступила годовая доходность акций </w:t>
      </w:r>
      <w:r w:rsidR="00C97416">
        <w:rPr>
          <w:lang w:val="en-US"/>
        </w:rPr>
        <w:t>deSPAC</w:t>
      </w:r>
      <w:r w:rsidR="00C97416">
        <w:t>.</w:t>
      </w:r>
    </w:p>
    <w:p w14:paraId="29E200DB" w14:textId="77777777" w:rsidR="00CA2461" w:rsidRPr="00C97416" w:rsidRDefault="00CA2461" w:rsidP="001B5882"/>
    <w:p w14:paraId="0E78D23B" w14:textId="10D52369" w:rsidR="00F71010" w:rsidRDefault="0087621B" w:rsidP="0087621B">
      <w:pPr>
        <w:pStyle w:val="a"/>
      </w:pPr>
      <w:r>
        <w:lastRenderedPageBreak/>
        <w:t>Результаты регрессионного моделирования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0276" w14:paraId="6362FCFE" w14:textId="77777777" w:rsidTr="00750276">
        <w:trPr>
          <w:gridAfter w:val="2"/>
          <w:wAfter w:w="4673" w:type="dxa"/>
        </w:trPr>
        <w:tc>
          <w:tcPr>
            <w:tcW w:w="2336" w:type="dxa"/>
          </w:tcPr>
          <w:p w14:paraId="7151DA6E" w14:textId="0134FC43" w:rsidR="00750276" w:rsidRPr="000C2ADC" w:rsidRDefault="00750276" w:rsidP="000C2ADC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0C2ADC">
              <w:rPr>
                <w:b/>
                <w:bCs/>
                <w:lang w:val="en-US"/>
              </w:rPr>
              <w:t>N</w:t>
            </w:r>
          </w:p>
        </w:tc>
        <w:tc>
          <w:tcPr>
            <w:tcW w:w="2336" w:type="dxa"/>
          </w:tcPr>
          <w:p w14:paraId="6C35AE76" w14:textId="62B63494" w:rsidR="00750276" w:rsidRPr="00BE0894" w:rsidRDefault="00BE0894" w:rsidP="0087621B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750276" w14:paraId="10F2C11C" w14:textId="77777777" w:rsidTr="00750276">
        <w:trPr>
          <w:gridAfter w:val="2"/>
          <w:wAfter w:w="4673" w:type="dxa"/>
        </w:trPr>
        <w:tc>
          <w:tcPr>
            <w:tcW w:w="2336" w:type="dxa"/>
          </w:tcPr>
          <w:p w14:paraId="67907C8E" w14:textId="43E6E8D3" w:rsidR="00750276" w:rsidRPr="000C2ADC" w:rsidRDefault="00BE0894" w:rsidP="000C2ADC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0C2ADC">
              <w:rPr>
                <w:b/>
                <w:bCs/>
                <w:lang w:val="en-US"/>
              </w:rPr>
              <w:t>Prob &gt; F</w:t>
            </w:r>
          </w:p>
        </w:tc>
        <w:tc>
          <w:tcPr>
            <w:tcW w:w="2336" w:type="dxa"/>
          </w:tcPr>
          <w:p w14:paraId="2D073D16" w14:textId="362F27DA" w:rsidR="00750276" w:rsidRPr="00BE0894" w:rsidRDefault="00BE0894" w:rsidP="0087621B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F7BDF">
              <w:rPr>
                <w:lang w:val="en-US"/>
              </w:rPr>
              <w:t>,</w:t>
            </w:r>
            <w:r>
              <w:rPr>
                <w:lang w:val="en-US"/>
              </w:rPr>
              <w:t>0001</w:t>
            </w:r>
          </w:p>
        </w:tc>
      </w:tr>
      <w:tr w:rsidR="00750276" w14:paraId="2FA4A977" w14:textId="77777777" w:rsidTr="00750276">
        <w:trPr>
          <w:gridAfter w:val="2"/>
          <w:wAfter w:w="4673" w:type="dxa"/>
        </w:trPr>
        <w:tc>
          <w:tcPr>
            <w:tcW w:w="2336" w:type="dxa"/>
          </w:tcPr>
          <w:p w14:paraId="4BE713CE" w14:textId="01F00AA4" w:rsidR="00750276" w:rsidRPr="000C2ADC" w:rsidRDefault="000C2ADC" w:rsidP="000C2ADC">
            <w:pPr>
              <w:pStyle w:val="ad"/>
              <w:jc w:val="center"/>
              <w:rPr>
                <w:b/>
                <w:bCs/>
                <w:vertAlign w:val="superscript"/>
                <w:lang w:val="en-US"/>
              </w:rPr>
            </w:pPr>
            <w:r w:rsidRPr="000C2ADC">
              <w:rPr>
                <w:b/>
                <w:bCs/>
                <w:lang w:val="en-US"/>
              </w:rPr>
              <w:t>Adj R</w:t>
            </w:r>
            <w:r w:rsidRPr="000C2ADC">
              <w:rPr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2336" w:type="dxa"/>
          </w:tcPr>
          <w:p w14:paraId="7AEFAE5C" w14:textId="5B6970F6" w:rsidR="00750276" w:rsidRPr="000C2ADC" w:rsidRDefault="000C2ADC" w:rsidP="0087621B">
            <w:pPr>
              <w:pStyle w:val="ad"/>
            </w:pPr>
            <w:r>
              <w:rPr>
                <w:lang w:val="en-US"/>
              </w:rPr>
              <w:t>0</w:t>
            </w:r>
            <w:r>
              <w:t>,1919</w:t>
            </w:r>
          </w:p>
        </w:tc>
      </w:tr>
      <w:tr w:rsidR="00750276" w14:paraId="00E69910" w14:textId="77777777" w:rsidTr="00750276">
        <w:tc>
          <w:tcPr>
            <w:tcW w:w="2336" w:type="dxa"/>
          </w:tcPr>
          <w:p w14:paraId="5B05FE0A" w14:textId="6E36C622" w:rsidR="00750276" w:rsidRPr="00E21AD2" w:rsidRDefault="000C2ADC" w:rsidP="00E21AD2">
            <w:pPr>
              <w:pStyle w:val="ad"/>
              <w:jc w:val="center"/>
              <w:rPr>
                <w:b/>
                <w:bCs/>
              </w:rPr>
            </w:pPr>
            <w:r w:rsidRPr="00E21AD2">
              <w:rPr>
                <w:b/>
                <w:bCs/>
              </w:rPr>
              <w:t>Переменная</w:t>
            </w:r>
          </w:p>
        </w:tc>
        <w:tc>
          <w:tcPr>
            <w:tcW w:w="2336" w:type="dxa"/>
          </w:tcPr>
          <w:p w14:paraId="0FEFAE3C" w14:textId="548A0509" w:rsidR="00750276" w:rsidRPr="00E21AD2" w:rsidRDefault="000C2ADC" w:rsidP="00E21AD2">
            <w:pPr>
              <w:pStyle w:val="ad"/>
              <w:jc w:val="center"/>
              <w:rPr>
                <w:b/>
                <w:bCs/>
              </w:rPr>
            </w:pPr>
            <w:r w:rsidRPr="00E21AD2">
              <w:rPr>
                <w:b/>
                <w:bCs/>
              </w:rPr>
              <w:t>Коэффициент</w:t>
            </w:r>
          </w:p>
        </w:tc>
        <w:tc>
          <w:tcPr>
            <w:tcW w:w="2336" w:type="dxa"/>
          </w:tcPr>
          <w:p w14:paraId="78FBFD26" w14:textId="33F1B8BE" w:rsidR="00750276" w:rsidRPr="00E21AD2" w:rsidRDefault="00C36566" w:rsidP="00E21AD2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AD2">
              <w:rPr>
                <w:b/>
                <w:bCs/>
                <w:lang w:val="en-US"/>
              </w:rPr>
              <w:t>t</w:t>
            </w:r>
          </w:p>
        </w:tc>
        <w:tc>
          <w:tcPr>
            <w:tcW w:w="2337" w:type="dxa"/>
          </w:tcPr>
          <w:p w14:paraId="762B9456" w14:textId="404BB3D7" w:rsidR="00750276" w:rsidRPr="00E21AD2" w:rsidRDefault="00E21AD2" w:rsidP="00E21AD2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AD2">
              <w:rPr>
                <w:b/>
                <w:bCs/>
                <w:lang w:val="en-US"/>
              </w:rPr>
              <w:t>P-value</w:t>
            </w:r>
          </w:p>
        </w:tc>
      </w:tr>
      <w:tr w:rsidR="00750276" w14:paraId="30814908" w14:textId="77777777" w:rsidTr="00750276">
        <w:tc>
          <w:tcPr>
            <w:tcW w:w="2336" w:type="dxa"/>
          </w:tcPr>
          <w:p w14:paraId="298AAAFE" w14:textId="52B5EE47" w:rsidR="00750276" w:rsidRPr="00A85842" w:rsidRDefault="00A85842" w:rsidP="0087621B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Redemption</w:t>
            </w:r>
          </w:p>
        </w:tc>
        <w:tc>
          <w:tcPr>
            <w:tcW w:w="2336" w:type="dxa"/>
          </w:tcPr>
          <w:p w14:paraId="47CEA43F" w14:textId="04E7AFB7" w:rsidR="00750276" w:rsidRPr="006B6EAA" w:rsidRDefault="006B6EAA" w:rsidP="002B45DC">
            <w:pPr>
              <w:pStyle w:val="ad"/>
              <w:jc w:val="center"/>
            </w:pPr>
            <w:r>
              <w:rPr>
                <w:lang w:val="en-US"/>
              </w:rPr>
              <w:t>-0</w:t>
            </w:r>
            <w:r>
              <w:t>,354</w:t>
            </w:r>
          </w:p>
        </w:tc>
        <w:tc>
          <w:tcPr>
            <w:tcW w:w="2336" w:type="dxa"/>
          </w:tcPr>
          <w:p w14:paraId="5D7FDF49" w14:textId="4704557D" w:rsidR="00750276" w:rsidRDefault="00EC20B5" w:rsidP="002B45DC">
            <w:pPr>
              <w:pStyle w:val="ad"/>
              <w:jc w:val="center"/>
            </w:pPr>
            <w:r>
              <w:t>-3,05</w:t>
            </w:r>
            <w:r w:rsidR="002178C2">
              <w:t>***</w:t>
            </w:r>
          </w:p>
        </w:tc>
        <w:tc>
          <w:tcPr>
            <w:tcW w:w="2337" w:type="dxa"/>
          </w:tcPr>
          <w:p w14:paraId="0DA5E650" w14:textId="4A898D6D" w:rsidR="00750276" w:rsidRDefault="00E4775E" w:rsidP="002B45DC">
            <w:pPr>
              <w:pStyle w:val="ad"/>
              <w:jc w:val="center"/>
            </w:pPr>
            <w:r>
              <w:t>0,003</w:t>
            </w:r>
          </w:p>
        </w:tc>
      </w:tr>
      <w:tr w:rsidR="00750276" w14:paraId="40F2136D" w14:textId="77777777" w:rsidTr="00750276">
        <w:tc>
          <w:tcPr>
            <w:tcW w:w="2336" w:type="dxa"/>
          </w:tcPr>
          <w:p w14:paraId="6ADB73B2" w14:textId="6CCBB6F5" w:rsidR="00750276" w:rsidRPr="00A85842" w:rsidRDefault="00A85842" w:rsidP="0087621B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Months</w:t>
            </w:r>
          </w:p>
        </w:tc>
        <w:tc>
          <w:tcPr>
            <w:tcW w:w="2336" w:type="dxa"/>
          </w:tcPr>
          <w:p w14:paraId="7FF271EA" w14:textId="0F6C1F6E" w:rsidR="00750276" w:rsidRDefault="006B6EAA" w:rsidP="002B45DC">
            <w:pPr>
              <w:pStyle w:val="ad"/>
              <w:jc w:val="center"/>
            </w:pPr>
            <w:r>
              <w:t>-0,0</w:t>
            </w:r>
            <w:r w:rsidR="00D73898">
              <w:t>09</w:t>
            </w:r>
          </w:p>
        </w:tc>
        <w:tc>
          <w:tcPr>
            <w:tcW w:w="2336" w:type="dxa"/>
          </w:tcPr>
          <w:p w14:paraId="130920C3" w14:textId="0C506E76" w:rsidR="00750276" w:rsidRDefault="00EC20B5" w:rsidP="002B45DC">
            <w:pPr>
              <w:pStyle w:val="ad"/>
              <w:jc w:val="center"/>
            </w:pPr>
            <w:r>
              <w:t>-1,91</w:t>
            </w:r>
            <w:r w:rsidR="002178C2">
              <w:t>*</w:t>
            </w:r>
          </w:p>
        </w:tc>
        <w:tc>
          <w:tcPr>
            <w:tcW w:w="2337" w:type="dxa"/>
          </w:tcPr>
          <w:p w14:paraId="603A8AF7" w14:textId="7AC328FB" w:rsidR="00750276" w:rsidRDefault="00E4775E" w:rsidP="002B45DC">
            <w:pPr>
              <w:pStyle w:val="ad"/>
              <w:jc w:val="center"/>
            </w:pPr>
            <w:r>
              <w:t>0,059</w:t>
            </w:r>
          </w:p>
        </w:tc>
      </w:tr>
      <w:tr w:rsidR="001A1EBF" w14:paraId="46DADB6B" w14:textId="77777777" w:rsidTr="00750276">
        <w:tc>
          <w:tcPr>
            <w:tcW w:w="2336" w:type="dxa"/>
          </w:tcPr>
          <w:p w14:paraId="29702A89" w14:textId="061F2C72" w:rsidR="001A1EBF" w:rsidRDefault="001A1EBF" w:rsidP="001A1EBF">
            <w:pPr>
              <w:pStyle w:val="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IPOproceeds</w:t>
            </w:r>
            <w:proofErr w:type="spellEnd"/>
          </w:p>
        </w:tc>
        <w:tc>
          <w:tcPr>
            <w:tcW w:w="2336" w:type="dxa"/>
          </w:tcPr>
          <w:p w14:paraId="4F1CA2C9" w14:textId="74F8D0CD" w:rsidR="001A1EBF" w:rsidRDefault="001A1EBF" w:rsidP="001A1EBF">
            <w:pPr>
              <w:pStyle w:val="ad"/>
              <w:jc w:val="center"/>
            </w:pPr>
            <w:r>
              <w:t>0,001</w:t>
            </w:r>
          </w:p>
        </w:tc>
        <w:tc>
          <w:tcPr>
            <w:tcW w:w="2336" w:type="dxa"/>
          </w:tcPr>
          <w:p w14:paraId="189DCAC5" w14:textId="086F3BF1" w:rsidR="001A1EBF" w:rsidRDefault="001A1EBF" w:rsidP="001A1EBF">
            <w:pPr>
              <w:pStyle w:val="ad"/>
              <w:jc w:val="center"/>
            </w:pPr>
            <w:r>
              <w:t>1,78*</w:t>
            </w:r>
          </w:p>
        </w:tc>
        <w:tc>
          <w:tcPr>
            <w:tcW w:w="2337" w:type="dxa"/>
          </w:tcPr>
          <w:p w14:paraId="7878A18F" w14:textId="2E5B3C95" w:rsidR="001A1EBF" w:rsidRDefault="001A1EBF" w:rsidP="001A1EBF">
            <w:pPr>
              <w:pStyle w:val="ad"/>
              <w:jc w:val="center"/>
            </w:pPr>
            <w:r>
              <w:t>0,077</w:t>
            </w:r>
          </w:p>
        </w:tc>
      </w:tr>
      <w:tr w:rsidR="001A1EBF" w14:paraId="72239107" w14:textId="77777777" w:rsidTr="00750276">
        <w:tc>
          <w:tcPr>
            <w:tcW w:w="2336" w:type="dxa"/>
          </w:tcPr>
          <w:p w14:paraId="5E9D7618" w14:textId="7D2FE429" w:rsidR="001A1EBF" w:rsidRDefault="001A1EBF" w:rsidP="001A1EBF">
            <w:pPr>
              <w:pStyle w:val="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WTunit</w:t>
            </w:r>
            <w:proofErr w:type="spellEnd"/>
          </w:p>
        </w:tc>
        <w:tc>
          <w:tcPr>
            <w:tcW w:w="2336" w:type="dxa"/>
          </w:tcPr>
          <w:p w14:paraId="59C8720D" w14:textId="3150F667" w:rsidR="001A1EBF" w:rsidRDefault="001A1EBF" w:rsidP="001A1EBF">
            <w:pPr>
              <w:pStyle w:val="ad"/>
              <w:jc w:val="center"/>
            </w:pPr>
            <w:r>
              <w:t>0,389</w:t>
            </w:r>
          </w:p>
        </w:tc>
        <w:tc>
          <w:tcPr>
            <w:tcW w:w="2336" w:type="dxa"/>
          </w:tcPr>
          <w:p w14:paraId="79CC35CF" w14:textId="0A098A7D" w:rsidR="001A1EBF" w:rsidRDefault="001A1EBF" w:rsidP="001A1EBF">
            <w:pPr>
              <w:pStyle w:val="ad"/>
              <w:jc w:val="center"/>
            </w:pPr>
            <w:r>
              <w:t>2,2**</w:t>
            </w:r>
          </w:p>
        </w:tc>
        <w:tc>
          <w:tcPr>
            <w:tcW w:w="2337" w:type="dxa"/>
          </w:tcPr>
          <w:p w14:paraId="2A394547" w14:textId="2B129250" w:rsidR="001A1EBF" w:rsidRDefault="001A1EBF" w:rsidP="001A1EBF">
            <w:pPr>
              <w:pStyle w:val="ad"/>
              <w:jc w:val="center"/>
            </w:pPr>
            <w:r>
              <w:t>0,03</w:t>
            </w:r>
          </w:p>
        </w:tc>
      </w:tr>
      <w:tr w:rsidR="001A1EBF" w14:paraId="443A12D6" w14:textId="77777777" w:rsidTr="00750276">
        <w:tc>
          <w:tcPr>
            <w:tcW w:w="2336" w:type="dxa"/>
          </w:tcPr>
          <w:p w14:paraId="4C82F664" w14:textId="0283C3AF" w:rsidR="001A1EBF" w:rsidRDefault="001A1EBF" w:rsidP="001A1EB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2336" w:type="dxa"/>
          </w:tcPr>
          <w:p w14:paraId="573349BF" w14:textId="13F6C208" w:rsidR="001A1EBF" w:rsidRDefault="001A1EBF" w:rsidP="001A1EBF">
            <w:pPr>
              <w:pStyle w:val="ad"/>
              <w:jc w:val="center"/>
            </w:pPr>
            <w:r>
              <w:t>-0,29</w:t>
            </w:r>
          </w:p>
        </w:tc>
        <w:tc>
          <w:tcPr>
            <w:tcW w:w="2336" w:type="dxa"/>
          </w:tcPr>
          <w:p w14:paraId="65A1020C" w14:textId="7C7E5BE3" w:rsidR="001A1EBF" w:rsidRDefault="001A1EBF" w:rsidP="001A1EBF">
            <w:pPr>
              <w:pStyle w:val="ad"/>
              <w:jc w:val="center"/>
            </w:pPr>
            <w:r>
              <w:t>-1,45</w:t>
            </w:r>
          </w:p>
        </w:tc>
        <w:tc>
          <w:tcPr>
            <w:tcW w:w="2337" w:type="dxa"/>
          </w:tcPr>
          <w:p w14:paraId="6CD86225" w14:textId="1698000A" w:rsidR="001A1EBF" w:rsidRDefault="001A1EBF" w:rsidP="001A1EBF">
            <w:pPr>
              <w:pStyle w:val="ad"/>
              <w:jc w:val="center"/>
            </w:pPr>
            <w:r>
              <w:t>0,15</w:t>
            </w:r>
          </w:p>
        </w:tc>
      </w:tr>
      <w:tr w:rsidR="001A1EBF" w14:paraId="3F41E9DA" w14:textId="77777777" w:rsidTr="00750276">
        <w:tc>
          <w:tcPr>
            <w:tcW w:w="2336" w:type="dxa"/>
          </w:tcPr>
          <w:p w14:paraId="3D2A7D91" w14:textId="60463AC0" w:rsidR="001A1EBF" w:rsidRDefault="001A1EBF" w:rsidP="001A1EBF">
            <w:pPr>
              <w:pStyle w:val="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UndNumber</w:t>
            </w:r>
            <w:proofErr w:type="spellEnd"/>
          </w:p>
        </w:tc>
        <w:tc>
          <w:tcPr>
            <w:tcW w:w="2336" w:type="dxa"/>
          </w:tcPr>
          <w:p w14:paraId="221FE9D0" w14:textId="0148BDA8" w:rsidR="001A1EBF" w:rsidRDefault="001A1EBF" w:rsidP="001A1EBF">
            <w:pPr>
              <w:pStyle w:val="ad"/>
              <w:jc w:val="center"/>
            </w:pPr>
            <w:r>
              <w:t>0,1</w:t>
            </w:r>
          </w:p>
        </w:tc>
        <w:tc>
          <w:tcPr>
            <w:tcW w:w="2336" w:type="dxa"/>
          </w:tcPr>
          <w:p w14:paraId="3D5984A3" w14:textId="5EA08AB4" w:rsidR="001A1EBF" w:rsidRDefault="001A1EBF" w:rsidP="001A1EBF">
            <w:pPr>
              <w:pStyle w:val="ad"/>
              <w:jc w:val="center"/>
            </w:pPr>
            <w:r>
              <w:t>1,91*</w:t>
            </w:r>
          </w:p>
        </w:tc>
        <w:tc>
          <w:tcPr>
            <w:tcW w:w="2337" w:type="dxa"/>
          </w:tcPr>
          <w:p w14:paraId="2E424445" w14:textId="4FF60FD4" w:rsidR="001A1EBF" w:rsidRDefault="001A1EBF" w:rsidP="001A1EBF">
            <w:pPr>
              <w:pStyle w:val="ad"/>
              <w:jc w:val="center"/>
            </w:pPr>
            <w:r>
              <w:t>0,059</w:t>
            </w:r>
          </w:p>
        </w:tc>
      </w:tr>
      <w:tr w:rsidR="001A1EBF" w14:paraId="227B4893" w14:textId="77777777" w:rsidTr="00750276">
        <w:tc>
          <w:tcPr>
            <w:tcW w:w="2336" w:type="dxa"/>
          </w:tcPr>
          <w:p w14:paraId="79847FAF" w14:textId="2DCA27A9" w:rsidR="001A1EBF" w:rsidRDefault="001A1EBF" w:rsidP="001A1EBF">
            <w:pPr>
              <w:pStyle w:val="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UndFee</w:t>
            </w:r>
            <w:proofErr w:type="spellEnd"/>
          </w:p>
        </w:tc>
        <w:tc>
          <w:tcPr>
            <w:tcW w:w="2336" w:type="dxa"/>
          </w:tcPr>
          <w:p w14:paraId="6B234CF7" w14:textId="3F604A99" w:rsidR="001A1EBF" w:rsidRDefault="001A1EBF" w:rsidP="001A1EBF">
            <w:pPr>
              <w:pStyle w:val="ad"/>
              <w:jc w:val="center"/>
            </w:pPr>
            <w:r>
              <w:t>-0,018</w:t>
            </w:r>
          </w:p>
        </w:tc>
        <w:tc>
          <w:tcPr>
            <w:tcW w:w="2336" w:type="dxa"/>
          </w:tcPr>
          <w:p w14:paraId="444C8B41" w14:textId="6C1A9F01" w:rsidR="001A1EBF" w:rsidRDefault="001A1EBF" w:rsidP="001A1EBF">
            <w:pPr>
              <w:pStyle w:val="ad"/>
              <w:jc w:val="center"/>
            </w:pPr>
            <w:r>
              <w:t>0,67</w:t>
            </w:r>
          </w:p>
        </w:tc>
        <w:tc>
          <w:tcPr>
            <w:tcW w:w="2337" w:type="dxa"/>
          </w:tcPr>
          <w:p w14:paraId="47870944" w14:textId="5452D7E2" w:rsidR="001A1EBF" w:rsidRDefault="001A1EBF" w:rsidP="001A1EBF">
            <w:pPr>
              <w:pStyle w:val="ad"/>
              <w:jc w:val="center"/>
            </w:pPr>
            <w:r>
              <w:t>0,506</w:t>
            </w:r>
          </w:p>
        </w:tc>
      </w:tr>
      <w:tr w:rsidR="001A1EBF" w14:paraId="0354AE3F" w14:textId="77777777" w:rsidTr="00750276">
        <w:tc>
          <w:tcPr>
            <w:tcW w:w="2336" w:type="dxa"/>
          </w:tcPr>
          <w:p w14:paraId="66453E42" w14:textId="0930CFF2" w:rsidR="001A1EBF" w:rsidRDefault="001A1EBF" w:rsidP="001A1EB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Top10und</w:t>
            </w:r>
          </w:p>
        </w:tc>
        <w:tc>
          <w:tcPr>
            <w:tcW w:w="2336" w:type="dxa"/>
          </w:tcPr>
          <w:p w14:paraId="09725859" w14:textId="30A63E66" w:rsidR="001A1EBF" w:rsidRDefault="001A1EBF" w:rsidP="001A1EBF">
            <w:pPr>
              <w:pStyle w:val="ad"/>
              <w:jc w:val="center"/>
            </w:pPr>
            <w:r>
              <w:t>-0,002</w:t>
            </w:r>
          </w:p>
        </w:tc>
        <w:tc>
          <w:tcPr>
            <w:tcW w:w="2336" w:type="dxa"/>
          </w:tcPr>
          <w:p w14:paraId="02B4172B" w14:textId="74B48D78" w:rsidR="001A1EBF" w:rsidRDefault="001A1EBF" w:rsidP="001A1EBF">
            <w:pPr>
              <w:pStyle w:val="ad"/>
              <w:jc w:val="center"/>
            </w:pPr>
            <w:r>
              <w:t>-0,02</w:t>
            </w:r>
          </w:p>
        </w:tc>
        <w:tc>
          <w:tcPr>
            <w:tcW w:w="2337" w:type="dxa"/>
          </w:tcPr>
          <w:p w14:paraId="51E96F03" w14:textId="4DA41A32" w:rsidR="001A1EBF" w:rsidRDefault="001A1EBF" w:rsidP="001A1EBF">
            <w:pPr>
              <w:pStyle w:val="ad"/>
              <w:jc w:val="center"/>
            </w:pPr>
            <w:r>
              <w:t>0,987</w:t>
            </w:r>
          </w:p>
        </w:tc>
      </w:tr>
      <w:tr w:rsidR="001A1EBF" w14:paraId="4BF421D3" w14:textId="77777777" w:rsidTr="00750276">
        <w:tc>
          <w:tcPr>
            <w:tcW w:w="2336" w:type="dxa"/>
          </w:tcPr>
          <w:p w14:paraId="6F89FA2F" w14:textId="2B8DD5B2" w:rsidR="001A1EBF" w:rsidRDefault="001A1EBF" w:rsidP="001A1EBF">
            <w:pPr>
              <w:pStyle w:val="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IndFocus</w:t>
            </w:r>
            <w:proofErr w:type="spellEnd"/>
          </w:p>
        </w:tc>
        <w:tc>
          <w:tcPr>
            <w:tcW w:w="2336" w:type="dxa"/>
          </w:tcPr>
          <w:p w14:paraId="1B4FCE85" w14:textId="7B4BC5DB" w:rsidR="001A1EBF" w:rsidRDefault="001A1EBF" w:rsidP="001A1EBF">
            <w:pPr>
              <w:pStyle w:val="ad"/>
              <w:jc w:val="center"/>
            </w:pPr>
            <w:r>
              <w:t>-0,029</w:t>
            </w:r>
          </w:p>
        </w:tc>
        <w:tc>
          <w:tcPr>
            <w:tcW w:w="2336" w:type="dxa"/>
          </w:tcPr>
          <w:p w14:paraId="5FB27817" w14:textId="24F26B9B" w:rsidR="001A1EBF" w:rsidRDefault="001A1EBF" w:rsidP="001A1EBF">
            <w:pPr>
              <w:pStyle w:val="ad"/>
              <w:jc w:val="center"/>
            </w:pPr>
            <w:r>
              <w:t>-0,37</w:t>
            </w:r>
          </w:p>
        </w:tc>
        <w:tc>
          <w:tcPr>
            <w:tcW w:w="2337" w:type="dxa"/>
          </w:tcPr>
          <w:p w14:paraId="5CB5F7E6" w14:textId="0316D555" w:rsidR="001A1EBF" w:rsidRDefault="001A1EBF" w:rsidP="001A1EBF">
            <w:pPr>
              <w:pStyle w:val="ad"/>
              <w:jc w:val="center"/>
            </w:pPr>
            <w:r>
              <w:t>0,713</w:t>
            </w:r>
          </w:p>
        </w:tc>
      </w:tr>
      <w:tr w:rsidR="001A1EBF" w14:paraId="0AAADA52" w14:textId="77777777" w:rsidTr="00750276">
        <w:tc>
          <w:tcPr>
            <w:tcW w:w="2336" w:type="dxa"/>
          </w:tcPr>
          <w:p w14:paraId="4990C3A4" w14:textId="1E02BDF3" w:rsidR="001A1EBF" w:rsidRDefault="001A1EBF" w:rsidP="001A1EB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cons</w:t>
            </w:r>
          </w:p>
        </w:tc>
        <w:tc>
          <w:tcPr>
            <w:tcW w:w="2336" w:type="dxa"/>
          </w:tcPr>
          <w:p w14:paraId="51AE4A8F" w14:textId="6A3DE33A" w:rsidR="001A1EBF" w:rsidRDefault="001A1EBF" w:rsidP="001A1EBF">
            <w:pPr>
              <w:pStyle w:val="ad"/>
              <w:jc w:val="center"/>
            </w:pPr>
            <w:r>
              <w:t>-0,272</w:t>
            </w:r>
          </w:p>
        </w:tc>
        <w:tc>
          <w:tcPr>
            <w:tcW w:w="2336" w:type="dxa"/>
          </w:tcPr>
          <w:p w14:paraId="266F43F1" w14:textId="634311A4" w:rsidR="001A1EBF" w:rsidRDefault="001A1EBF" w:rsidP="001A1EBF">
            <w:pPr>
              <w:pStyle w:val="ad"/>
              <w:jc w:val="center"/>
            </w:pPr>
            <w:r>
              <w:t>-1,2</w:t>
            </w:r>
          </w:p>
        </w:tc>
        <w:tc>
          <w:tcPr>
            <w:tcW w:w="2337" w:type="dxa"/>
          </w:tcPr>
          <w:p w14:paraId="158E2EEC" w14:textId="1F08BE29" w:rsidR="001A1EBF" w:rsidRDefault="001A1EBF" w:rsidP="001A1EBF">
            <w:pPr>
              <w:pStyle w:val="ad"/>
              <w:jc w:val="center"/>
            </w:pPr>
            <w:r>
              <w:t>0,231</w:t>
            </w:r>
          </w:p>
        </w:tc>
      </w:tr>
    </w:tbl>
    <w:p w14:paraId="5A8D25AB" w14:textId="55D5C6C3" w:rsidR="0087621B" w:rsidRPr="00667866" w:rsidRDefault="00667866" w:rsidP="00667866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56E25A68" w14:textId="5AD8D4CF" w:rsidR="00D06622" w:rsidRDefault="00D06622" w:rsidP="00D06622">
      <w:r>
        <w:t>Модель является значимой по критерию Фишера</w:t>
      </w:r>
      <w:r w:rsidR="00012FF7">
        <w:t>, скорректированный коэффициент детерминации</w:t>
      </w:r>
      <w:r w:rsidR="009A49BF">
        <w:t xml:space="preserve"> состав</w:t>
      </w:r>
      <w:r w:rsidR="009464DC">
        <w:t xml:space="preserve">ил 0,19. </w:t>
      </w:r>
      <w:r w:rsidR="00D62E07">
        <w:t>В рамках данной работы будем считать, что переменная является значимой</w:t>
      </w:r>
      <w:r w:rsidR="00BE4AD3">
        <w:t xml:space="preserve"> </w:t>
      </w:r>
      <w:r w:rsidR="00904FC1">
        <w:t xml:space="preserve">при </w:t>
      </w:r>
      <w:r w:rsidR="00904FC1">
        <w:rPr>
          <w:lang w:val="en-US"/>
        </w:rPr>
        <w:t>P</w:t>
      </w:r>
      <w:r w:rsidR="00904FC1" w:rsidRPr="00904FC1">
        <w:t>-</w:t>
      </w:r>
      <w:r w:rsidR="00904FC1">
        <w:rPr>
          <w:lang w:val="en-US"/>
        </w:rPr>
        <w:t>value</w:t>
      </w:r>
      <w:r w:rsidR="00904FC1" w:rsidRPr="00904FC1">
        <w:t xml:space="preserve"> </w:t>
      </w:r>
      <w:proofErr w:type="gramStart"/>
      <w:r w:rsidR="00904FC1" w:rsidRPr="00904FC1">
        <w:t>&lt; 0</w:t>
      </w:r>
      <w:proofErr w:type="gramEnd"/>
      <w:r w:rsidR="00904FC1" w:rsidRPr="00904FC1">
        <w:t>,1</w:t>
      </w:r>
      <w:r w:rsidR="00434D6A">
        <w:t>.</w:t>
      </w:r>
    </w:p>
    <w:p w14:paraId="35D35979" w14:textId="382E6240" w:rsidR="00C020F9" w:rsidRPr="0098130D" w:rsidRDefault="00C020F9" w:rsidP="00D06622">
      <w:r>
        <w:t xml:space="preserve">Переменная </w:t>
      </w:r>
      <w:r>
        <w:rPr>
          <w:lang w:val="en-US"/>
        </w:rPr>
        <w:t>Redemption</w:t>
      </w:r>
      <w:r w:rsidR="0098130D">
        <w:t xml:space="preserve">, обозначающая количество предъявленных инвесторами </w:t>
      </w:r>
      <w:proofErr w:type="spellStart"/>
      <w:r w:rsidR="0098130D">
        <w:t>акуий</w:t>
      </w:r>
      <w:proofErr w:type="spellEnd"/>
      <w:r w:rsidR="0098130D">
        <w:t xml:space="preserve"> к выкупу к общему числу акций,</w:t>
      </w:r>
      <w:r w:rsidRPr="00592042">
        <w:t xml:space="preserve"> </w:t>
      </w:r>
      <w:r w:rsidR="00592042">
        <w:t xml:space="preserve">статистически значима на 1% уровне значимости, </w:t>
      </w:r>
      <w:r w:rsidR="0089705B">
        <w:t xml:space="preserve">отрицательный коэффициент перед переменной говорит </w:t>
      </w:r>
      <w:r w:rsidR="004A5493">
        <w:t xml:space="preserve">об обратной взаимосвязи коэффициента выкупа и </w:t>
      </w:r>
      <w:r w:rsidR="0079224B">
        <w:t>годовой доходности</w:t>
      </w:r>
      <w:r w:rsidR="006D742F">
        <w:t xml:space="preserve"> акций</w:t>
      </w:r>
      <w:r w:rsidR="0079224B">
        <w:t xml:space="preserve"> </w:t>
      </w:r>
      <w:r w:rsidR="0079224B">
        <w:rPr>
          <w:lang w:val="en-US"/>
        </w:rPr>
        <w:t>deSPAC</w:t>
      </w:r>
      <w:r w:rsidR="006D742F">
        <w:t xml:space="preserve">: при увеличении </w:t>
      </w:r>
      <w:r w:rsidR="000453D1">
        <w:rPr>
          <w:lang w:val="en-US"/>
        </w:rPr>
        <w:t>redemption</w:t>
      </w:r>
      <w:r w:rsidR="000453D1" w:rsidRPr="000453D1">
        <w:t xml:space="preserve"> </w:t>
      </w:r>
      <w:r w:rsidR="000453D1">
        <w:rPr>
          <w:lang w:val="en-US"/>
        </w:rPr>
        <w:t>rate</w:t>
      </w:r>
      <w:r w:rsidR="000453D1" w:rsidRPr="000453D1">
        <w:t xml:space="preserve"> </w:t>
      </w:r>
      <w:r w:rsidR="000453D1">
        <w:t xml:space="preserve">на </w:t>
      </w:r>
      <w:r w:rsidR="00202034">
        <w:t>0,01</w:t>
      </w:r>
      <w:r w:rsidR="000453D1">
        <w:t xml:space="preserve"> доходность </w:t>
      </w:r>
      <w:r w:rsidR="000453D1">
        <w:rPr>
          <w:lang w:val="en-US"/>
        </w:rPr>
        <w:t>deSPAC</w:t>
      </w:r>
      <w:r w:rsidR="000453D1">
        <w:t xml:space="preserve"> уменьшается на </w:t>
      </w:r>
      <w:r w:rsidR="004047CF">
        <w:t>3,5 процентных пункта</w:t>
      </w:r>
      <w:r w:rsidR="000453D1">
        <w:t xml:space="preserve">. </w:t>
      </w:r>
      <w:r w:rsidR="00D03D0F">
        <w:t xml:space="preserve">На основании данных результатов принимаем гипотезу </w:t>
      </w:r>
      <w:r w:rsidR="00D03D0F">
        <w:rPr>
          <w:lang w:val="en-US"/>
        </w:rPr>
        <w:t>H</w:t>
      </w:r>
      <w:r w:rsidR="007053AC" w:rsidRPr="00532E58">
        <w:t>5</w:t>
      </w:r>
      <w:r w:rsidR="00D03D0F" w:rsidRPr="0098130D">
        <w:t>.</w:t>
      </w:r>
    </w:p>
    <w:p w14:paraId="5896C1EA" w14:textId="7FB51916" w:rsidR="00D03D0F" w:rsidRDefault="0098130D" w:rsidP="00D06622">
      <w:r>
        <w:t>Пер</w:t>
      </w:r>
      <w:r w:rsidR="0017583A">
        <w:t xml:space="preserve">еменная </w:t>
      </w:r>
      <w:r w:rsidR="0017583A">
        <w:rPr>
          <w:lang w:val="en-US"/>
        </w:rPr>
        <w:t>Months</w:t>
      </w:r>
      <w:r w:rsidR="0017583A">
        <w:t xml:space="preserve">, обозначающая </w:t>
      </w:r>
      <w:r w:rsidR="00276AB3">
        <w:t xml:space="preserve">число месяцев </w:t>
      </w:r>
      <w:r w:rsidR="00EE2A88">
        <w:t xml:space="preserve">между </w:t>
      </w:r>
      <w:r w:rsidR="00EE2A88">
        <w:rPr>
          <w:lang w:val="en-US"/>
        </w:rPr>
        <w:t>IPO</w:t>
      </w:r>
      <w:r w:rsidR="00EE2A88">
        <w:t xml:space="preserve"> </w:t>
      </w:r>
      <w:r w:rsidR="00EE2A88">
        <w:rPr>
          <w:lang w:val="en-US"/>
        </w:rPr>
        <w:t>SPAC</w:t>
      </w:r>
      <w:r w:rsidR="00EE2A88">
        <w:t xml:space="preserve"> и поглощением таргета, является статистически значимой </w:t>
      </w:r>
      <w:r w:rsidR="00C6714B">
        <w:t>на 10% уровне значимости.</w:t>
      </w:r>
      <w:r w:rsidR="00040134">
        <w:t xml:space="preserve"> Связь данного фактора с годовой доходностью акций </w:t>
      </w:r>
      <w:r w:rsidR="00040134">
        <w:rPr>
          <w:lang w:val="en-US"/>
        </w:rPr>
        <w:t>deSPAC</w:t>
      </w:r>
      <w:r w:rsidR="00040134">
        <w:t xml:space="preserve"> также является </w:t>
      </w:r>
      <w:r w:rsidR="00A93B99">
        <w:t>обратной</w:t>
      </w:r>
      <w:r w:rsidR="00C209B9">
        <w:t>: при увеличении времени поиска таргета и осуществления сделки на 1 месяц доходно</w:t>
      </w:r>
      <w:r w:rsidR="00E90013">
        <w:t>сть падает на 0,</w:t>
      </w:r>
      <w:r w:rsidR="00877E5F">
        <w:t xml:space="preserve">9 процентных пунктов. Таким образом, гипотеза </w:t>
      </w:r>
      <w:r w:rsidR="00877E5F">
        <w:rPr>
          <w:lang w:val="en-US"/>
        </w:rPr>
        <w:t>H</w:t>
      </w:r>
      <w:r w:rsidR="000A17CC">
        <w:t>6</w:t>
      </w:r>
      <w:r w:rsidR="00877E5F">
        <w:t xml:space="preserve"> подтверждается.</w:t>
      </w:r>
    </w:p>
    <w:p w14:paraId="7C173819" w14:textId="31AF4FC8" w:rsidR="00201406" w:rsidRDefault="00737DC9" w:rsidP="00D06622">
      <w:r>
        <w:t xml:space="preserve">Число андеррайтеров в синдикате </w:t>
      </w:r>
      <w:r w:rsidR="00DF5956">
        <w:t>(</w:t>
      </w:r>
      <w:proofErr w:type="spellStart"/>
      <w:r w:rsidR="00DF5956">
        <w:rPr>
          <w:lang w:val="en-US"/>
        </w:rPr>
        <w:t>UndNumber</w:t>
      </w:r>
      <w:proofErr w:type="spellEnd"/>
      <w:r w:rsidR="00DF5956" w:rsidRPr="00DF5956">
        <w:t xml:space="preserve">) </w:t>
      </w:r>
      <w:r w:rsidR="00B20F38">
        <w:t xml:space="preserve">является статистически значимой переменной на 10% уровне значимости. </w:t>
      </w:r>
      <w:r w:rsidR="00AA35CB">
        <w:t xml:space="preserve">Связь является </w:t>
      </w:r>
      <w:r w:rsidR="00197E07">
        <w:t>прямой</w:t>
      </w:r>
      <w:r w:rsidR="00434D6A">
        <w:t xml:space="preserve">: при увеличении </w:t>
      </w:r>
      <w:r w:rsidR="00FF3ECF">
        <w:t xml:space="preserve">числа андеррайтеров на 1 годовая доходность </w:t>
      </w:r>
      <w:r w:rsidR="00FF3ECF">
        <w:rPr>
          <w:lang w:val="en-US"/>
        </w:rPr>
        <w:t>deSPAC</w:t>
      </w:r>
      <w:r w:rsidR="00FF3ECF">
        <w:t xml:space="preserve"> </w:t>
      </w:r>
      <w:r w:rsidR="005E6BCD">
        <w:t>растет на 10</w:t>
      </w:r>
      <w:r w:rsidR="00457918">
        <w:t xml:space="preserve"> процентных пунктов. Эти результаты позволяют подтвердить гипотезу </w:t>
      </w:r>
      <w:r w:rsidR="00457918">
        <w:rPr>
          <w:lang w:val="en-US"/>
        </w:rPr>
        <w:t>H</w:t>
      </w:r>
      <w:r w:rsidR="005A5FF6">
        <w:t>9</w:t>
      </w:r>
      <w:r w:rsidR="00457918">
        <w:t>.</w:t>
      </w:r>
    </w:p>
    <w:p w14:paraId="145CC358" w14:textId="02A0F7F6" w:rsidR="00C67171" w:rsidRPr="00C67171" w:rsidRDefault="004D17D6" w:rsidP="00C67171">
      <w:r>
        <w:lastRenderedPageBreak/>
        <w:t xml:space="preserve">Переменная </w:t>
      </w:r>
      <w:r w:rsidR="00217C0C">
        <w:rPr>
          <w:lang w:val="en-US"/>
        </w:rPr>
        <w:t>Top</w:t>
      </w:r>
      <w:r w:rsidR="00217C0C" w:rsidRPr="00217C0C">
        <w:t>10</w:t>
      </w:r>
      <w:r w:rsidR="00217C0C">
        <w:rPr>
          <w:lang w:val="en-US"/>
        </w:rPr>
        <w:t>und</w:t>
      </w:r>
      <w:r w:rsidR="00217C0C" w:rsidRPr="00217C0C">
        <w:t xml:space="preserve"> (</w:t>
      </w:r>
      <w:r w:rsidR="00217C0C">
        <w:t xml:space="preserve">принадлежность андеррайтеров к топ-10 андеррайтеров </w:t>
      </w:r>
      <w:r w:rsidR="00217C0C">
        <w:rPr>
          <w:lang w:val="en-US"/>
        </w:rPr>
        <w:t>SPAC</w:t>
      </w:r>
      <w:r w:rsidR="00217C0C">
        <w:t>) не является значимой</w:t>
      </w:r>
      <w:r w:rsidR="00C67171">
        <w:t>. Соответственно, гипотез</w:t>
      </w:r>
      <w:r w:rsidR="00F25B33">
        <w:t>у</w:t>
      </w:r>
      <w:r w:rsidR="00C67171">
        <w:t xml:space="preserve"> </w:t>
      </w:r>
      <w:r w:rsidR="00C67171">
        <w:rPr>
          <w:lang w:val="en-US"/>
        </w:rPr>
        <w:t>H</w:t>
      </w:r>
      <w:r w:rsidR="005A5FF6">
        <w:t>10</w:t>
      </w:r>
      <w:r w:rsidR="00C67171">
        <w:t xml:space="preserve"> </w:t>
      </w:r>
      <w:r w:rsidR="00F25B33">
        <w:t>нельзя ни принять, ни опровергнуть</w:t>
      </w:r>
      <w:r w:rsidR="00C67171">
        <w:t>.</w:t>
      </w:r>
    </w:p>
    <w:p w14:paraId="467A6C49" w14:textId="0AF9AF0B" w:rsidR="00C83767" w:rsidRDefault="00C83767" w:rsidP="00D06622">
      <w:r>
        <w:t xml:space="preserve">Переменные </w:t>
      </w:r>
      <w:r>
        <w:rPr>
          <w:lang w:val="en-US"/>
        </w:rPr>
        <w:t>Team</w:t>
      </w:r>
      <w:r w:rsidRPr="00C83767">
        <w:t xml:space="preserve"> (</w:t>
      </w:r>
      <w:r>
        <w:t xml:space="preserve">количество менеджеров </w:t>
      </w:r>
      <w:r>
        <w:rPr>
          <w:lang w:val="en-US"/>
        </w:rPr>
        <w:t>SPAC</w:t>
      </w:r>
      <w:r>
        <w:t>)</w:t>
      </w:r>
      <w:r w:rsidR="00C67171">
        <w:t xml:space="preserve"> и </w:t>
      </w:r>
      <w:proofErr w:type="spellStart"/>
      <w:r w:rsidR="000F149A">
        <w:rPr>
          <w:lang w:val="en-US"/>
        </w:rPr>
        <w:t>UndFee</w:t>
      </w:r>
      <w:proofErr w:type="spellEnd"/>
      <w:r w:rsidR="000F149A" w:rsidRPr="000F149A">
        <w:t xml:space="preserve"> (</w:t>
      </w:r>
      <w:r w:rsidR="000F149A">
        <w:t xml:space="preserve">процентная комиссия андеррайтеров) </w:t>
      </w:r>
      <w:r w:rsidR="00AB3F7E">
        <w:t xml:space="preserve">также </w:t>
      </w:r>
      <w:r w:rsidR="000F149A">
        <w:t>не являются з</w:t>
      </w:r>
      <w:r w:rsidR="00166998">
        <w:t xml:space="preserve">начимыми, поэтому гипотезы </w:t>
      </w:r>
      <w:r w:rsidR="00166998">
        <w:rPr>
          <w:lang w:val="en-US"/>
        </w:rPr>
        <w:t>H</w:t>
      </w:r>
      <w:r w:rsidR="000A17CC">
        <w:t>7</w:t>
      </w:r>
      <w:r w:rsidR="00630529" w:rsidRPr="00630529">
        <w:t xml:space="preserve"> </w:t>
      </w:r>
      <w:r w:rsidR="00630529">
        <w:t>и</w:t>
      </w:r>
      <w:r w:rsidR="00166998">
        <w:t xml:space="preserve"> </w:t>
      </w:r>
      <w:r w:rsidR="00630529">
        <w:rPr>
          <w:lang w:val="en-US"/>
        </w:rPr>
        <w:t>H</w:t>
      </w:r>
      <w:r w:rsidR="005A5FF6">
        <w:t>8</w:t>
      </w:r>
      <w:r w:rsidR="00166998">
        <w:t xml:space="preserve"> нельзя ни принять, ни о</w:t>
      </w:r>
      <w:r w:rsidR="00BA2838">
        <w:t xml:space="preserve">провергнуть. </w:t>
      </w:r>
      <w:r w:rsidR="00934925">
        <w:t xml:space="preserve">На результаты </w:t>
      </w:r>
      <w:r w:rsidR="004115B7">
        <w:t xml:space="preserve">мог повлиять тот факт, что </w:t>
      </w:r>
      <w:r w:rsidR="008018EA">
        <w:t xml:space="preserve">в </w:t>
      </w:r>
      <w:r w:rsidR="008018EA">
        <w:rPr>
          <w:lang w:val="en-US"/>
        </w:rPr>
        <w:t>SPAC</w:t>
      </w:r>
      <w:r w:rsidR="008018EA">
        <w:t xml:space="preserve"> слишком часто число менеджеров составляет от 5 до 7 человек, </w:t>
      </w:r>
      <w:r w:rsidR="00C32264">
        <w:t xml:space="preserve">что влияет на незначимость результатов. </w:t>
      </w:r>
      <w:r w:rsidR="00407AD2">
        <w:t>Возможно,</w:t>
      </w:r>
      <w:r w:rsidR="00C32264">
        <w:t xml:space="preserve"> с ростом объема выборки </w:t>
      </w:r>
      <w:r w:rsidR="00407AD2">
        <w:t xml:space="preserve">переменная может стать значимой. Аналогичная ситуация происходит и с комиссией андеррайтеров: </w:t>
      </w:r>
      <w:r w:rsidR="00926C6E">
        <w:t xml:space="preserve">больше половины </w:t>
      </w:r>
      <w:r w:rsidR="007A0D48">
        <w:t xml:space="preserve">значений в выборке равны 5,5%. </w:t>
      </w:r>
      <w:r w:rsidR="003A69CC">
        <w:t xml:space="preserve">Однако здесь увеличение объема выборки возможно не приведет к значимости результатов. Дело в том, </w:t>
      </w:r>
      <w:r w:rsidR="00B23DE1">
        <w:t>что,</w:t>
      </w:r>
      <w:r w:rsidR="003A69CC">
        <w:t xml:space="preserve"> как и </w:t>
      </w:r>
      <w:r w:rsidR="00B23DE1">
        <w:t xml:space="preserve">цена </w:t>
      </w:r>
      <w:r w:rsidR="00B23DE1" w:rsidRPr="00B23DE1">
        <w:t>$10</w:t>
      </w:r>
      <w:r w:rsidR="00B23DE1">
        <w:t xml:space="preserve"> за юнит, комиссия андеррайтеров в 5,5% становится неким неформальным правилам ведения бизнеса со </w:t>
      </w:r>
      <w:r w:rsidR="00B23DE1">
        <w:rPr>
          <w:lang w:val="en-US"/>
        </w:rPr>
        <w:t>SPAC</w:t>
      </w:r>
      <w:r w:rsidR="00B23DE1">
        <w:t xml:space="preserve">. Поэтому весьма вероятно, что связь между </w:t>
      </w:r>
      <w:r w:rsidR="00735867">
        <w:t xml:space="preserve">доходностью акций </w:t>
      </w:r>
      <w:r w:rsidR="00735867">
        <w:rPr>
          <w:lang w:val="en-US"/>
        </w:rPr>
        <w:t>deSPAC</w:t>
      </w:r>
      <w:r w:rsidR="00735867">
        <w:t xml:space="preserve"> и платой андеррайтерам может и вовсе отсутствовать.</w:t>
      </w:r>
    </w:p>
    <w:p w14:paraId="16AC2AF4" w14:textId="7F676B9A" w:rsidR="005F42B9" w:rsidRDefault="002B45DC" w:rsidP="005F42B9">
      <w:r>
        <w:t xml:space="preserve">Среди контрольных переменных </w:t>
      </w:r>
      <w:r w:rsidR="00197E07">
        <w:t>прямую</w:t>
      </w:r>
      <w:r>
        <w:t xml:space="preserve"> взаимосвязь с годовой доходностью </w:t>
      </w:r>
      <w:r>
        <w:rPr>
          <w:lang w:val="en-US"/>
        </w:rPr>
        <w:t>deSPAC</w:t>
      </w:r>
      <w:r>
        <w:t xml:space="preserve"> имеет величина поступлений с </w:t>
      </w:r>
      <w:r>
        <w:rPr>
          <w:lang w:val="en-US"/>
        </w:rPr>
        <w:t>IPO</w:t>
      </w:r>
      <w:r>
        <w:t xml:space="preserve"> (переменная значима на 10% уровне значимости). </w:t>
      </w:r>
      <w:r w:rsidR="00237247">
        <w:t xml:space="preserve">При увеличении поступлений на 1 </w:t>
      </w:r>
      <w:r w:rsidR="00237247" w:rsidRPr="00733269">
        <w:t xml:space="preserve">$ </w:t>
      </w:r>
      <w:r w:rsidR="00237247">
        <w:t xml:space="preserve">млн, доходность </w:t>
      </w:r>
      <w:r w:rsidR="00237247">
        <w:rPr>
          <w:lang w:val="en-US"/>
        </w:rPr>
        <w:t>deSPAC</w:t>
      </w:r>
      <w:r w:rsidR="00237247">
        <w:t xml:space="preserve"> растет </w:t>
      </w:r>
      <w:r w:rsidR="00733269">
        <w:t xml:space="preserve">на 0,1 процентный пункт. Любопытным результатом регрессионного анализа является наличие </w:t>
      </w:r>
      <w:r w:rsidR="00197E07">
        <w:t>прямой</w:t>
      </w:r>
      <w:r w:rsidR="00733269">
        <w:t xml:space="preserve"> взаимосвязи </w:t>
      </w:r>
      <w:r w:rsidR="00095881">
        <w:t xml:space="preserve">доходности и доли варранта в юните. Однако, интерпретировать полученную взаимосвязь сложно. С одной стороны, если менеджерами </w:t>
      </w:r>
      <w:r w:rsidR="00095881">
        <w:rPr>
          <w:lang w:val="en-US"/>
        </w:rPr>
        <w:t>SPAC</w:t>
      </w:r>
      <w:r w:rsidR="00095881">
        <w:t xml:space="preserve"> было принято решение размещать юниты с </w:t>
      </w:r>
      <w:r w:rsidR="005D4EF9">
        <w:t>высокой долей варрантов</w:t>
      </w:r>
      <w:r w:rsidR="0031708B">
        <w:t>, это значит, что они уверены в успешности</w:t>
      </w:r>
      <w:r w:rsidR="00F20F59">
        <w:t xml:space="preserve"> сделки и в «качестве» приобретаемого таргета. С другой стороны, это имеет малое отношение к стратегии </w:t>
      </w:r>
      <w:r w:rsidR="00F20F59">
        <w:rPr>
          <w:lang w:val="en-US"/>
        </w:rPr>
        <w:t>deSPAC</w:t>
      </w:r>
      <w:r w:rsidR="00F20F59">
        <w:t xml:space="preserve">, когда инвестор покупает акции </w:t>
      </w:r>
      <w:r w:rsidR="00AB511B">
        <w:t>в день завершения поглощения.</w:t>
      </w:r>
      <w:r w:rsidR="005F42B9">
        <w:t xml:space="preserve"> Наконец, акции </w:t>
      </w:r>
      <w:r w:rsidR="005F42B9">
        <w:rPr>
          <w:lang w:val="en-US"/>
        </w:rPr>
        <w:t>deSPAC</w:t>
      </w:r>
      <w:r w:rsidR="005F42B9">
        <w:t xml:space="preserve">, сфокусированные на определенных отраслях до поглощения, не показывают более высокую доходность, чем </w:t>
      </w:r>
      <w:r w:rsidR="00C46D94">
        <w:t xml:space="preserve">акции </w:t>
      </w:r>
      <w:r w:rsidR="00C46D94">
        <w:rPr>
          <w:lang w:val="en-US"/>
        </w:rPr>
        <w:t>SPAC</w:t>
      </w:r>
      <w:r w:rsidR="00C46D94">
        <w:t xml:space="preserve"> без фокуса.</w:t>
      </w:r>
    </w:p>
    <w:p w14:paraId="64988737" w14:textId="328948E8" w:rsidR="00C46D94" w:rsidRDefault="00C46D94" w:rsidP="005F42B9">
      <w:r>
        <w:t xml:space="preserve">Корреляционный анализ переменных можно найти в </w:t>
      </w:r>
      <w:r w:rsidR="00E4097B">
        <w:t>П</w:t>
      </w:r>
      <w:r>
        <w:t>рило</w:t>
      </w:r>
      <w:r w:rsidR="00B93C47">
        <w:t xml:space="preserve">жении </w:t>
      </w:r>
      <w:r w:rsidR="00E4097B">
        <w:t>2</w:t>
      </w:r>
      <w:r w:rsidR="00B93C47">
        <w:t xml:space="preserve">. Для проверки валидности результатов была проведена диагностика модели, а именно тесты </w:t>
      </w:r>
      <w:r w:rsidR="006E49FF">
        <w:t xml:space="preserve">на мультиколлинеарность и гетероскедастичность в остатках. </w:t>
      </w:r>
      <w:r w:rsidR="0021438E">
        <w:t>Тест</w:t>
      </w:r>
      <w:r w:rsidR="00240A6D" w:rsidRPr="00286B3E">
        <w:t xml:space="preserve"> </w:t>
      </w:r>
      <w:r w:rsidR="00B7452A">
        <w:rPr>
          <w:lang w:val="en-US"/>
        </w:rPr>
        <w:t>VIF</w:t>
      </w:r>
      <w:r w:rsidR="00B7452A" w:rsidRPr="00286B3E">
        <w:t xml:space="preserve"> </w:t>
      </w:r>
      <w:r w:rsidR="00B7452A">
        <w:t xml:space="preserve">показал </w:t>
      </w:r>
      <w:r w:rsidR="00E01077">
        <w:t>отсутствие</w:t>
      </w:r>
      <w:r w:rsidR="00B7452A">
        <w:t xml:space="preserve"> мультиколлинеарности в модели. Тест на гетероскедастичность</w:t>
      </w:r>
      <w:r w:rsidR="00286B3E">
        <w:t xml:space="preserve"> показ</w:t>
      </w:r>
      <w:r w:rsidR="00AB1811">
        <w:t>ал наличие постоянной дисперсии в остатках, то отсутствие гетероскедастичности.</w:t>
      </w:r>
      <w:r w:rsidR="00E4701A">
        <w:t xml:space="preserve"> С результат</w:t>
      </w:r>
      <w:r w:rsidR="00CD48A3">
        <w:t>а</w:t>
      </w:r>
      <w:r w:rsidR="00E4701A">
        <w:t xml:space="preserve">ми тестов можно ознакомиться в </w:t>
      </w:r>
      <w:r w:rsidR="00E4097B">
        <w:t>П</w:t>
      </w:r>
      <w:r w:rsidR="00E4701A">
        <w:t>риложени</w:t>
      </w:r>
      <w:r w:rsidR="00E4097B">
        <w:t>ях 3 и 4.</w:t>
      </w:r>
    </w:p>
    <w:p w14:paraId="103BAD2C" w14:textId="3EB9B856" w:rsidR="0072690A" w:rsidRDefault="0072690A" w:rsidP="0072690A">
      <w:pPr>
        <w:pStyle w:val="2"/>
      </w:pPr>
      <w:bookmarkStart w:id="60" w:name="_Toc102050319"/>
      <w:bookmarkStart w:id="61" w:name="_Toc102050691"/>
      <w:r>
        <w:t>Выводы по второй главе</w:t>
      </w:r>
      <w:bookmarkEnd w:id="60"/>
      <w:bookmarkEnd w:id="61"/>
    </w:p>
    <w:p w14:paraId="6B7A08C8" w14:textId="2548D304" w:rsidR="0072690A" w:rsidRDefault="007F2507" w:rsidP="0072690A">
      <w:r>
        <w:t xml:space="preserve">Вторая глава была посвящена эмпирическому исследованию результативности </w:t>
      </w:r>
      <w:r w:rsidR="00AC0D40">
        <w:t xml:space="preserve">инвестиций в </w:t>
      </w:r>
      <w:r w:rsidR="00AC0D40">
        <w:rPr>
          <w:lang w:val="en-US"/>
        </w:rPr>
        <w:t>SPAC</w:t>
      </w:r>
      <w:r w:rsidR="00AC0D40">
        <w:t>.</w:t>
      </w:r>
      <w:r w:rsidR="00101E45">
        <w:t xml:space="preserve"> В данном разделе была проанализирована доходность акций и </w:t>
      </w:r>
      <w:r w:rsidR="00101E45">
        <w:lastRenderedPageBreak/>
        <w:t xml:space="preserve">варрантов </w:t>
      </w:r>
      <w:r w:rsidR="00101E45">
        <w:rPr>
          <w:lang w:val="en-US"/>
        </w:rPr>
        <w:t>SPAC</w:t>
      </w:r>
      <w:r w:rsidR="00101E45">
        <w:t xml:space="preserve"> </w:t>
      </w:r>
      <w:r w:rsidR="00C9117D">
        <w:t xml:space="preserve">в различных разрезах, </w:t>
      </w:r>
      <w:r w:rsidR="007D53F9">
        <w:t xml:space="preserve">а также была приведена сравнительная характеристика </w:t>
      </w:r>
      <w:r w:rsidR="0030057B">
        <w:t xml:space="preserve">доходностей инвестиций в </w:t>
      </w:r>
      <w:r w:rsidR="0030057B">
        <w:rPr>
          <w:lang w:val="en-US"/>
        </w:rPr>
        <w:t>SPAC</w:t>
      </w:r>
      <w:r w:rsidR="0030057B">
        <w:t xml:space="preserve"> и классическое </w:t>
      </w:r>
      <w:r w:rsidR="0030057B">
        <w:rPr>
          <w:lang w:val="en-US"/>
        </w:rPr>
        <w:t>IPO</w:t>
      </w:r>
      <w:r w:rsidR="0030057B">
        <w:t xml:space="preserve">. Помимо этого, в работе был применен метод </w:t>
      </w:r>
      <w:r w:rsidR="0030057B">
        <w:rPr>
          <w:lang w:val="en-US"/>
        </w:rPr>
        <w:t>BHAR</w:t>
      </w:r>
      <w:r w:rsidR="0030057B">
        <w:t xml:space="preserve"> для оценки </w:t>
      </w:r>
      <w:r w:rsidR="000C21A6">
        <w:t xml:space="preserve">отрицательного характера избыточной доходности инвестиций в </w:t>
      </w:r>
      <w:r w:rsidR="000C21A6">
        <w:rPr>
          <w:lang w:val="en-US"/>
        </w:rPr>
        <w:t>deSPAC</w:t>
      </w:r>
      <w:r w:rsidR="0030057B">
        <w:t>, а также были определены факторы резул</w:t>
      </w:r>
      <w:r w:rsidR="009D48B0">
        <w:t xml:space="preserve">ьтативности компаний по </w:t>
      </w:r>
      <w:r w:rsidR="00FA7E3E">
        <w:t>приобретению специального назначения.</w:t>
      </w:r>
    </w:p>
    <w:p w14:paraId="77E1B87E" w14:textId="77777777" w:rsidR="009F618E" w:rsidRDefault="005C2667" w:rsidP="009F618E">
      <w:r>
        <w:t xml:space="preserve">Одним из главных выводов эмпирического исследования стала низкая результативность инвестиций в </w:t>
      </w:r>
      <w:r>
        <w:rPr>
          <w:lang w:val="en-US"/>
        </w:rPr>
        <w:t>SPAC</w:t>
      </w:r>
      <w:r>
        <w:t xml:space="preserve"> как в период до поглощения, так </w:t>
      </w:r>
      <w:r w:rsidR="00E97B4B">
        <w:t>и после приобретения компании-таргета.</w:t>
      </w:r>
      <w:r w:rsidR="00181C3E">
        <w:t xml:space="preserve"> Средняя доходность акций </w:t>
      </w:r>
      <w:r w:rsidR="00181C3E">
        <w:rPr>
          <w:lang w:val="en-US"/>
        </w:rPr>
        <w:t>SPAC</w:t>
      </w:r>
      <w:r w:rsidR="00181C3E">
        <w:t xml:space="preserve"> ниже </w:t>
      </w:r>
      <w:r w:rsidR="00FA0D8A">
        <w:t xml:space="preserve">средней доходности акций компаний, выбравших в качестве способа размещения на бирже традиционное </w:t>
      </w:r>
      <w:r w:rsidR="00FA0D8A">
        <w:rPr>
          <w:lang w:val="en-US"/>
        </w:rPr>
        <w:t>IPO</w:t>
      </w:r>
      <w:r w:rsidR="00FA0D8A">
        <w:t xml:space="preserve">. </w:t>
      </w:r>
      <w:r w:rsidR="00D6576A">
        <w:t xml:space="preserve">Причина низкой результативности в период </w:t>
      </w:r>
      <w:r w:rsidR="00D6576A">
        <w:rPr>
          <w:lang w:val="en-US"/>
        </w:rPr>
        <w:t>SPAC</w:t>
      </w:r>
      <w:r w:rsidR="00D6576A">
        <w:t xml:space="preserve"> может заключаться в том</w:t>
      </w:r>
      <w:r w:rsidR="00E84021">
        <w:t xml:space="preserve">, что на данном этапе </w:t>
      </w:r>
      <w:r w:rsidR="00FD7D88">
        <w:t xml:space="preserve">компания действительно является «пустышкой»: </w:t>
      </w:r>
      <w:r w:rsidR="004E3B20">
        <w:t>фирмы не осуществляют инвестиции, не производят товары и услуги</w:t>
      </w:r>
      <w:r w:rsidR="00E44CF6">
        <w:t xml:space="preserve"> и </w:t>
      </w:r>
      <w:r w:rsidR="002D1E91">
        <w:t>не публ</w:t>
      </w:r>
      <w:r w:rsidR="008246EF">
        <w:t>икую годовые отчеты о финансовых результатах</w:t>
      </w:r>
      <w:r w:rsidR="009B6845">
        <w:t xml:space="preserve">. </w:t>
      </w:r>
      <w:r w:rsidR="007B09B9">
        <w:t xml:space="preserve">Инвесторы, вкладывающие деньги в традиционное </w:t>
      </w:r>
      <w:r w:rsidR="007B09B9">
        <w:rPr>
          <w:lang w:val="en-US"/>
        </w:rPr>
        <w:t>IPO</w:t>
      </w:r>
      <w:r w:rsidR="007B09B9">
        <w:t>, анализируют перспективы бизнеса</w:t>
      </w:r>
      <w:r w:rsidR="00637D8D">
        <w:t xml:space="preserve"> и показатели финансовой отчетности</w:t>
      </w:r>
      <w:r w:rsidR="00CC3B76">
        <w:t xml:space="preserve">, ввиду чего возникает спрос на акции новичков на бирже. </w:t>
      </w:r>
      <w:r w:rsidR="009428A7">
        <w:t xml:space="preserve">Основным драйвером ценности инвестиций в </w:t>
      </w:r>
      <w:r w:rsidR="009428A7">
        <w:rPr>
          <w:lang w:val="en-US"/>
        </w:rPr>
        <w:t>SPAC</w:t>
      </w:r>
      <w:r w:rsidR="009428A7">
        <w:t xml:space="preserve"> является ожидание </w:t>
      </w:r>
      <w:r w:rsidR="00143B44">
        <w:t xml:space="preserve">сделки поглощения, ради чего </w:t>
      </w:r>
      <w:r w:rsidR="00143B44">
        <w:rPr>
          <w:lang w:val="en-US"/>
        </w:rPr>
        <w:t>SPAC</w:t>
      </w:r>
      <w:r w:rsidR="00143B44">
        <w:t xml:space="preserve"> и создаются, но это не может </w:t>
      </w:r>
      <w:r w:rsidR="00D61452">
        <w:t xml:space="preserve">способствовать сильному разгону ценных бумаг. </w:t>
      </w:r>
      <w:r w:rsidR="009F618E">
        <w:t xml:space="preserve">В ситуации низкой результативности акций </w:t>
      </w:r>
      <w:r w:rsidR="009F618E">
        <w:rPr>
          <w:lang w:val="en-US"/>
        </w:rPr>
        <w:t>SPAC</w:t>
      </w:r>
      <w:r w:rsidR="009F618E">
        <w:t xml:space="preserve"> до поглощения стоит отметить тот факт, что при этом минимальная доходность таких инвестиций составит 0%, поскольку инвестор может предъявить акции к выкупу. Это говорит о низком риске таких инвестиций, тем самым они могут подойти для консервативных инвесторов.</w:t>
      </w:r>
    </w:p>
    <w:p w14:paraId="4661C3CC" w14:textId="296FA1C7" w:rsidR="008B789E" w:rsidRDefault="001E3870" w:rsidP="0072690A">
      <w:r>
        <w:t xml:space="preserve">Что же касается низкой результативности </w:t>
      </w:r>
      <w:r w:rsidR="008435BA">
        <w:t xml:space="preserve">акций </w:t>
      </w:r>
      <w:r w:rsidR="008435BA">
        <w:rPr>
          <w:lang w:val="en-US"/>
        </w:rPr>
        <w:t>deSPAC</w:t>
      </w:r>
      <w:r w:rsidR="008435BA">
        <w:t xml:space="preserve">, то здесь причиной может выступать природа </w:t>
      </w:r>
      <w:r w:rsidR="001E3835">
        <w:t xml:space="preserve">поглощаемых компаний. Как правило, такими компаниями выступают </w:t>
      </w:r>
      <w:r w:rsidR="00FA0AA9">
        <w:t>молодые стартапы,</w:t>
      </w:r>
      <w:r w:rsidR="001E3835">
        <w:t xml:space="preserve"> ищущие быстрый способ финансирования. </w:t>
      </w:r>
      <w:r w:rsidR="00FA0AA9">
        <w:t xml:space="preserve">Но такие компании </w:t>
      </w:r>
      <w:r w:rsidR="00EF1B3B">
        <w:t>не показывают</w:t>
      </w:r>
      <w:r w:rsidR="006E2B72">
        <w:t xml:space="preserve"> высоких результатов</w:t>
      </w:r>
      <w:r w:rsidR="00D16042">
        <w:t xml:space="preserve">, ввиду чего инвесторы </w:t>
      </w:r>
      <w:r w:rsidR="008E3E81">
        <w:t>продают акции</w:t>
      </w:r>
      <w:r w:rsidR="00483207">
        <w:t xml:space="preserve"> </w:t>
      </w:r>
      <w:r w:rsidR="00483207">
        <w:rPr>
          <w:lang w:val="en-US"/>
        </w:rPr>
        <w:t>deSPAC</w:t>
      </w:r>
      <w:r w:rsidR="00483207">
        <w:t>.</w:t>
      </w:r>
      <w:r w:rsidR="00DA0EE8">
        <w:t xml:space="preserve"> </w:t>
      </w:r>
      <w:r w:rsidR="00AA3305">
        <w:t xml:space="preserve">Низкую результативность инвестиций в </w:t>
      </w:r>
      <w:r w:rsidR="00AA3305">
        <w:rPr>
          <w:lang w:val="en-US"/>
        </w:rPr>
        <w:t>deSPAC</w:t>
      </w:r>
      <w:r w:rsidR="00AA3305">
        <w:t xml:space="preserve"> подтверждает </w:t>
      </w:r>
      <w:r w:rsidR="008D2091">
        <w:t>результат</w:t>
      </w:r>
      <w:r w:rsidR="00944A36">
        <w:t xml:space="preserve">ы метода </w:t>
      </w:r>
      <w:r w:rsidR="00944A36">
        <w:rPr>
          <w:lang w:val="en-US"/>
        </w:rPr>
        <w:t>BHAR</w:t>
      </w:r>
      <w:r w:rsidR="00A13670">
        <w:t xml:space="preserve">. </w:t>
      </w:r>
    </w:p>
    <w:p w14:paraId="4A979653" w14:textId="77426070" w:rsidR="002D4513" w:rsidRDefault="00B1584E" w:rsidP="0072690A">
      <w:r>
        <w:t xml:space="preserve">Основными факторами результативности </w:t>
      </w:r>
      <w:r w:rsidR="00FC2BC9">
        <w:t xml:space="preserve">инвестиций в </w:t>
      </w:r>
      <w:r w:rsidR="00FC2BC9">
        <w:rPr>
          <w:lang w:val="en-US"/>
        </w:rPr>
        <w:t>deSPAC</w:t>
      </w:r>
      <w:r w:rsidR="00FC2BC9">
        <w:t xml:space="preserve"> </w:t>
      </w:r>
      <w:r w:rsidR="001F0BC7">
        <w:t xml:space="preserve">являются </w:t>
      </w:r>
      <w:r w:rsidR="006C155B">
        <w:t>то, как активно инвесторы предъявляют свои акции к выкупу</w:t>
      </w:r>
      <w:r w:rsidR="00DD6DE2">
        <w:t xml:space="preserve">, </w:t>
      </w:r>
      <w:r w:rsidR="00B81315">
        <w:t xml:space="preserve">сколько </w:t>
      </w:r>
      <w:r w:rsidR="00B81315">
        <w:rPr>
          <w:lang w:val="en-US"/>
        </w:rPr>
        <w:t>SPAC</w:t>
      </w:r>
      <w:r w:rsidR="00B81315">
        <w:t xml:space="preserve"> искал таргет</w:t>
      </w:r>
      <w:r w:rsidR="00CE204C">
        <w:t xml:space="preserve"> и какое число андеррайтеров сопровождают сделку. Тем самым, подтвердились гипотезы </w:t>
      </w:r>
      <w:r w:rsidR="00CE204C">
        <w:rPr>
          <w:lang w:val="en-US"/>
        </w:rPr>
        <w:t>H</w:t>
      </w:r>
      <w:r w:rsidR="007053AC">
        <w:t>5</w:t>
      </w:r>
      <w:r w:rsidR="00CE204C">
        <w:t xml:space="preserve">, </w:t>
      </w:r>
      <w:r w:rsidR="00634933">
        <w:rPr>
          <w:lang w:val="en-US"/>
        </w:rPr>
        <w:t>H</w:t>
      </w:r>
      <w:r w:rsidR="000A17CC">
        <w:t>6</w:t>
      </w:r>
      <w:r w:rsidR="00CE204C">
        <w:t>,</w:t>
      </w:r>
      <w:r w:rsidR="00B06909">
        <w:t xml:space="preserve"> </w:t>
      </w:r>
      <w:r w:rsidR="00634933">
        <w:rPr>
          <w:lang w:val="en-US"/>
        </w:rPr>
        <w:t>H</w:t>
      </w:r>
      <w:r w:rsidR="005A5FF6">
        <w:t>9</w:t>
      </w:r>
      <w:r w:rsidR="00B06909">
        <w:t xml:space="preserve">. Для увеличения объясняющей силы модели в дальнейшем </w:t>
      </w:r>
      <w:r w:rsidR="00115A3C">
        <w:t xml:space="preserve">следует учесть характеристики спонсоров, основывающих </w:t>
      </w:r>
      <w:r w:rsidR="00115A3C">
        <w:rPr>
          <w:lang w:val="en-US"/>
        </w:rPr>
        <w:t>SPAC</w:t>
      </w:r>
      <w:r w:rsidR="00115A3C">
        <w:t xml:space="preserve"> в самом начале или предоставляющие </w:t>
      </w:r>
      <w:r w:rsidR="00115A3C">
        <w:rPr>
          <w:lang w:val="en-US"/>
        </w:rPr>
        <w:t>PIPE</w:t>
      </w:r>
      <w:r w:rsidR="00115A3C">
        <w:t>-финансирование, а также ха</w:t>
      </w:r>
      <w:r w:rsidR="0047730B">
        <w:t>рактеристики поглощаемых компаний.</w:t>
      </w:r>
    </w:p>
    <w:p w14:paraId="6AAE375B" w14:textId="36C75F18" w:rsidR="00F0095C" w:rsidRDefault="00333D85" w:rsidP="00F0095C">
      <w:pPr>
        <w:pStyle w:val="1"/>
      </w:pPr>
      <w:bookmarkStart w:id="62" w:name="_Toc102050320"/>
      <w:bookmarkStart w:id="63" w:name="_Toc102050692"/>
      <w:r>
        <w:lastRenderedPageBreak/>
        <w:t>Заключение</w:t>
      </w:r>
      <w:bookmarkEnd w:id="62"/>
      <w:bookmarkEnd w:id="63"/>
    </w:p>
    <w:p w14:paraId="73C5D6DD" w14:textId="2397DC02" w:rsidR="00333D85" w:rsidRDefault="00AA15A1" w:rsidP="00333D85">
      <w:r>
        <w:t>О</w:t>
      </w:r>
      <w:r w:rsidR="00395916">
        <w:t>братимся к цели исследования: определение результа</w:t>
      </w:r>
      <w:r w:rsidR="00BA6617">
        <w:t xml:space="preserve">тивности инвестиций в </w:t>
      </w:r>
      <w:r w:rsidR="00BA6617">
        <w:rPr>
          <w:lang w:val="en-US"/>
        </w:rPr>
        <w:t>SPAC</w:t>
      </w:r>
      <w:r w:rsidR="00BA6617">
        <w:t>.</w:t>
      </w:r>
      <w:r w:rsidR="00C04931">
        <w:t xml:space="preserve"> Анализ проводился но основе американских </w:t>
      </w:r>
      <w:r w:rsidR="00C04931">
        <w:rPr>
          <w:lang w:val="en-US"/>
        </w:rPr>
        <w:t>SPAC</w:t>
      </w:r>
      <w:r w:rsidR="00C04931">
        <w:t xml:space="preserve">, размещавшихся на бирже </w:t>
      </w:r>
      <w:r w:rsidR="009800B1">
        <w:t xml:space="preserve">в период с 2015 по 2021 </w:t>
      </w:r>
      <w:r w:rsidR="00F554BC">
        <w:t xml:space="preserve">год. </w:t>
      </w:r>
      <w:r w:rsidR="007B448A">
        <w:t>Для измерения результативности инвестиций</w:t>
      </w:r>
      <w:r w:rsidR="007C45DF">
        <w:t xml:space="preserve"> в ценные бумаги </w:t>
      </w:r>
      <w:r w:rsidR="007C45DF">
        <w:rPr>
          <w:lang w:val="en-US"/>
        </w:rPr>
        <w:t>SPAC</w:t>
      </w:r>
      <w:r w:rsidR="007B448A">
        <w:t xml:space="preserve"> </w:t>
      </w:r>
      <w:r w:rsidR="005B0A0E">
        <w:t>был использован метод избыточной доходности</w:t>
      </w:r>
      <w:r w:rsidR="00D7521E">
        <w:t xml:space="preserve">, где в качестве бенчмарка выступали инвестиции в традиционное </w:t>
      </w:r>
      <w:r w:rsidR="00D7521E">
        <w:rPr>
          <w:lang w:val="en-US"/>
        </w:rPr>
        <w:t>IPO</w:t>
      </w:r>
      <w:r w:rsidR="00D7521E">
        <w:t xml:space="preserve"> и рынок. </w:t>
      </w:r>
      <w:r w:rsidR="007C45DF">
        <w:t>Для определения факторов результативности</w:t>
      </w:r>
      <w:r w:rsidR="00F45D80">
        <w:t xml:space="preserve"> таких</w:t>
      </w:r>
      <w:r w:rsidR="007C45DF">
        <w:t xml:space="preserve"> инвестиций</w:t>
      </w:r>
      <w:r w:rsidR="00BA6617">
        <w:t xml:space="preserve"> </w:t>
      </w:r>
      <w:r w:rsidR="00F45D80">
        <w:t>было использовано регрессионное моделирование.</w:t>
      </w:r>
    </w:p>
    <w:p w14:paraId="6F11623B" w14:textId="7AD968AE" w:rsidR="00C27018" w:rsidRDefault="00C27018" w:rsidP="00333D85">
      <w:r>
        <w:t xml:space="preserve">На основании полученных </w:t>
      </w:r>
      <w:r w:rsidR="003B0DA8">
        <w:t xml:space="preserve">результатов был сделан вывод, что инвестиции в </w:t>
      </w:r>
      <w:r w:rsidR="003B0DA8">
        <w:rPr>
          <w:lang w:val="en-US"/>
        </w:rPr>
        <w:t>SPAC</w:t>
      </w:r>
      <w:r w:rsidR="003B0DA8">
        <w:t xml:space="preserve"> показывают низкую результативность </w:t>
      </w:r>
      <w:r w:rsidR="001E0A69">
        <w:t xml:space="preserve">как до поглощения, так и после </w:t>
      </w:r>
      <w:r w:rsidR="002623FD">
        <w:t xml:space="preserve">завершения сделки о приобретении таргета. </w:t>
      </w:r>
      <w:r w:rsidR="00EE3553">
        <w:t xml:space="preserve">В период </w:t>
      </w:r>
      <w:r w:rsidR="00EE3553">
        <w:rPr>
          <w:lang w:val="en-US"/>
        </w:rPr>
        <w:t>SPAC</w:t>
      </w:r>
      <w:r w:rsidR="00EE3553">
        <w:t xml:space="preserve"> ценные бумаги «компаний-пустышек» </w:t>
      </w:r>
      <w:r w:rsidR="003D246B">
        <w:t xml:space="preserve">демонстрируют низкие ценовые колебания и растут после объявлений о возможном поглощении. </w:t>
      </w:r>
      <w:r w:rsidR="00D16201">
        <w:t>Ввиду отсутствия каких-либо драйверов роста</w:t>
      </w:r>
      <w:r w:rsidR="00C57AF2">
        <w:t xml:space="preserve"> в период поиска</w:t>
      </w:r>
      <w:r w:rsidR="00D16201">
        <w:t xml:space="preserve">, доходность </w:t>
      </w:r>
      <w:r w:rsidR="00A4319E">
        <w:t xml:space="preserve">ценных бумаг </w:t>
      </w:r>
      <w:r w:rsidR="00D16201">
        <w:rPr>
          <w:lang w:val="en-US"/>
        </w:rPr>
        <w:t>SPAC</w:t>
      </w:r>
      <w:r w:rsidR="00D16201">
        <w:t xml:space="preserve"> до поглощения уступает доходности акций компаний на </w:t>
      </w:r>
      <w:r w:rsidR="00D16201">
        <w:rPr>
          <w:lang w:val="en-US"/>
        </w:rPr>
        <w:t>IPO</w:t>
      </w:r>
      <w:r w:rsidR="00C57AF2">
        <w:t xml:space="preserve"> на 7 процентных пунктов</w:t>
      </w:r>
      <w:r w:rsidR="00A4319E">
        <w:t xml:space="preserve">. Безусловно, варранты и право инвестора предъявить акции к выкупу являются основными </w:t>
      </w:r>
      <w:r w:rsidR="00090530">
        <w:t xml:space="preserve">преимуществами инвестиций в </w:t>
      </w:r>
      <w:r w:rsidR="00090530">
        <w:rPr>
          <w:lang w:val="en-US"/>
        </w:rPr>
        <w:t>SPAC</w:t>
      </w:r>
      <w:r w:rsidR="00090530">
        <w:t xml:space="preserve">, поскольку </w:t>
      </w:r>
      <w:r w:rsidR="00293E69">
        <w:t xml:space="preserve">эти инструменты помогают </w:t>
      </w:r>
      <w:r w:rsidR="009E1619">
        <w:t>минимизировать</w:t>
      </w:r>
      <w:r w:rsidR="00293E69">
        <w:t xml:space="preserve"> риск инвестора</w:t>
      </w:r>
      <w:r w:rsidR="000204C1">
        <w:t>: его минимал</w:t>
      </w:r>
      <w:r w:rsidR="009E1619">
        <w:t xml:space="preserve">ьный убыток </w:t>
      </w:r>
      <w:r w:rsidR="00B44EB6">
        <w:t xml:space="preserve">будет равняться 0 при снижении цены акций и отсутствии варрантов в </w:t>
      </w:r>
      <w:r w:rsidR="00CC6344">
        <w:t>юните. Но поскольку предмето</w:t>
      </w:r>
      <w:r w:rsidR="009C4D2D">
        <w:t>м</w:t>
      </w:r>
      <w:r w:rsidR="00CC6344">
        <w:t xml:space="preserve"> данного исследования является результа</w:t>
      </w:r>
      <w:r w:rsidR="00EB0CDC">
        <w:t xml:space="preserve">тивность инвестиций, а не риск, работа сфокусирована на максимизации доходности инвестора, поэтому инвестиции в </w:t>
      </w:r>
      <w:r w:rsidR="00EB0CDC">
        <w:rPr>
          <w:lang w:val="en-US"/>
        </w:rPr>
        <w:t>IPO</w:t>
      </w:r>
      <w:r w:rsidR="00EB0CDC">
        <w:t xml:space="preserve"> остаются лучше альтернативой. Что же касается </w:t>
      </w:r>
      <w:r w:rsidR="0097160E">
        <w:t xml:space="preserve">периода после поглощения таргета, то </w:t>
      </w:r>
      <w:r w:rsidR="0097160E">
        <w:rPr>
          <w:lang w:val="en-US"/>
        </w:rPr>
        <w:t>deSPAC</w:t>
      </w:r>
      <w:r w:rsidR="0097160E">
        <w:t xml:space="preserve"> демонстрируют еще более низкую результативность, чем в период </w:t>
      </w:r>
      <w:r w:rsidR="0097160E">
        <w:rPr>
          <w:lang w:val="en-US"/>
        </w:rPr>
        <w:t>SPAC</w:t>
      </w:r>
      <w:r w:rsidR="0097160E">
        <w:t>: средняя доходность таких инвестиций отстает</w:t>
      </w:r>
      <w:r w:rsidR="0003574C">
        <w:t xml:space="preserve"> от средней доходности компаний, выше</w:t>
      </w:r>
      <w:r w:rsidR="00086E4F">
        <w:t xml:space="preserve">дших на биржу через традиционное </w:t>
      </w:r>
      <w:r w:rsidR="00086E4F">
        <w:rPr>
          <w:lang w:val="en-US"/>
        </w:rPr>
        <w:t>IPO</w:t>
      </w:r>
      <w:r w:rsidR="00086E4F">
        <w:t>, на 35 процентных пунктов.</w:t>
      </w:r>
      <w:r w:rsidR="00560D13">
        <w:t xml:space="preserve"> </w:t>
      </w:r>
      <w:r w:rsidR="00A35E15">
        <w:t xml:space="preserve">Добавление варрантов в портфель, реплицирующий юнит в период </w:t>
      </w:r>
      <w:r w:rsidR="00A35E15">
        <w:rPr>
          <w:lang w:val="en-US"/>
        </w:rPr>
        <w:t>SPAC</w:t>
      </w:r>
      <w:r w:rsidR="00A35E15">
        <w:t>, снижа</w:t>
      </w:r>
      <w:r w:rsidR="00E525E2">
        <w:t>ет отставание всего до 29 процентных пунктов.</w:t>
      </w:r>
    </w:p>
    <w:p w14:paraId="3A8110F0" w14:textId="2EE5E889" w:rsidR="00C33E23" w:rsidRDefault="00A76912" w:rsidP="00333D85">
      <w:r>
        <w:t xml:space="preserve">В работе были исследованы факторы, воздействующие на результативность акций </w:t>
      </w:r>
      <w:r>
        <w:rPr>
          <w:lang w:val="en-US"/>
        </w:rPr>
        <w:t>deSPAC</w:t>
      </w:r>
      <w:r>
        <w:t xml:space="preserve">. </w:t>
      </w:r>
      <w:r w:rsidR="00C100BA">
        <w:t>Взаимосвязь между доходност</w:t>
      </w:r>
      <w:r w:rsidR="00566375">
        <w:t xml:space="preserve">ью </w:t>
      </w:r>
      <w:r w:rsidR="00EB3BEC">
        <w:t xml:space="preserve">и </w:t>
      </w:r>
      <w:r w:rsidR="00DB0A74">
        <w:t xml:space="preserve">количеством выкупленных акций </w:t>
      </w:r>
      <w:r w:rsidR="00981489">
        <w:t xml:space="preserve">является </w:t>
      </w:r>
      <w:r w:rsidR="00C46005">
        <w:t>обратной</w:t>
      </w:r>
      <w:r w:rsidR="00981489">
        <w:t xml:space="preserve">: </w:t>
      </w:r>
      <w:r w:rsidR="00B5552E">
        <w:t xml:space="preserve">вероятно, активный выкуп акций свидетельствует об отсутствие уверенности в перспективности поглощаемой компании. </w:t>
      </w:r>
      <w:r w:rsidR="00BE7CDF">
        <w:t>Доходность также показывает отрицательную связь и с длительность</w:t>
      </w:r>
      <w:r w:rsidR="000619D8">
        <w:t>ю поиска таргета</w:t>
      </w:r>
      <w:r w:rsidR="00B7507D">
        <w:t xml:space="preserve">: чем дольше </w:t>
      </w:r>
      <w:r w:rsidR="00B7507D">
        <w:rPr>
          <w:lang w:val="en-US"/>
        </w:rPr>
        <w:t>SPAC</w:t>
      </w:r>
      <w:r w:rsidR="00B7507D">
        <w:t xml:space="preserve"> ищет таргет, тем менее требовательными к компании становятся менеджеры </w:t>
      </w:r>
      <w:r w:rsidR="00B7507D">
        <w:rPr>
          <w:lang w:val="en-US"/>
        </w:rPr>
        <w:t>SPAC</w:t>
      </w:r>
      <w:r w:rsidR="00B7507D">
        <w:t>, поскольку в их интересах заве</w:t>
      </w:r>
      <w:r w:rsidR="003B1000">
        <w:t>ршить сделку, чтобы не потерять деньги. Положительное воздействие на доходность</w:t>
      </w:r>
      <w:r w:rsidR="00966D94">
        <w:t xml:space="preserve"> акций</w:t>
      </w:r>
      <w:r w:rsidR="003B1000">
        <w:t xml:space="preserve"> </w:t>
      </w:r>
      <w:r w:rsidR="003B1000">
        <w:rPr>
          <w:lang w:val="en-US"/>
        </w:rPr>
        <w:t>deSPAC</w:t>
      </w:r>
      <w:r w:rsidR="003B1000" w:rsidRPr="003B1000">
        <w:t xml:space="preserve"> </w:t>
      </w:r>
      <w:r w:rsidR="003B1000">
        <w:t>оказывает число андеррайтеров в синдикате</w:t>
      </w:r>
      <w:r w:rsidR="00D55D3B">
        <w:t xml:space="preserve">: чем больше инвестиционных банков участвует в сделке, тем более высокую доходность показывают акции </w:t>
      </w:r>
      <w:r w:rsidR="00D55D3B">
        <w:rPr>
          <w:lang w:val="en-US"/>
        </w:rPr>
        <w:t>deSPAC</w:t>
      </w:r>
      <w:r w:rsidR="00D55D3B">
        <w:t xml:space="preserve">. </w:t>
      </w:r>
      <w:r w:rsidR="00966D94">
        <w:t xml:space="preserve">При этом, в работе не была выявлена связь между доходностью инвестиций в </w:t>
      </w:r>
      <w:r w:rsidR="00966D94">
        <w:rPr>
          <w:lang w:val="en-US"/>
        </w:rPr>
        <w:t>deSPAC</w:t>
      </w:r>
      <w:r w:rsidR="00A66B04">
        <w:t xml:space="preserve"> и </w:t>
      </w:r>
      <w:r w:rsidR="008A0EFA">
        <w:t>число</w:t>
      </w:r>
      <w:r w:rsidR="00F20DA4">
        <w:t>м</w:t>
      </w:r>
      <w:r w:rsidR="008A0EFA">
        <w:t xml:space="preserve"> </w:t>
      </w:r>
      <w:r w:rsidR="008A0EFA">
        <w:lastRenderedPageBreak/>
        <w:t xml:space="preserve">менеджеров </w:t>
      </w:r>
      <w:r w:rsidR="008A0EFA">
        <w:rPr>
          <w:lang w:val="en-US"/>
        </w:rPr>
        <w:t>SPAC</w:t>
      </w:r>
      <w:r w:rsidR="00AB7DE7">
        <w:t xml:space="preserve">, принадлежностью инвестиционных банков к лучшим андеррайтерам в сфере </w:t>
      </w:r>
      <w:r w:rsidR="00E5612E">
        <w:t xml:space="preserve">сделок </w:t>
      </w:r>
      <w:r w:rsidR="00E5612E">
        <w:rPr>
          <w:lang w:val="en-US"/>
        </w:rPr>
        <w:t>SPAC</w:t>
      </w:r>
      <w:r w:rsidR="00E5612E">
        <w:t xml:space="preserve">, </w:t>
      </w:r>
      <w:r w:rsidR="00C33E23">
        <w:t>комиссией андеррайтерам.</w:t>
      </w:r>
    </w:p>
    <w:p w14:paraId="7D21EF85" w14:textId="09C76D11" w:rsidR="0052437B" w:rsidRPr="002552B0" w:rsidRDefault="0094447C" w:rsidP="00333D85">
      <w:r>
        <w:t>Обращаясь</w:t>
      </w:r>
      <w:r w:rsidR="0052437B">
        <w:t xml:space="preserve"> к управленческой проблеме, а именно к </w:t>
      </w:r>
      <w:r>
        <w:t xml:space="preserve">вопросу: «Стоит ли инвестировать в ценные бумаги </w:t>
      </w:r>
      <w:r>
        <w:rPr>
          <w:lang w:val="en-US"/>
        </w:rPr>
        <w:t>SPAC</w:t>
      </w:r>
      <w:r w:rsidR="001D218E">
        <w:t>?</w:t>
      </w:r>
      <w:r>
        <w:t>»</w:t>
      </w:r>
      <w:r w:rsidR="001D218E">
        <w:t>.</w:t>
      </w:r>
      <w:r w:rsidR="007471FC">
        <w:t xml:space="preserve"> </w:t>
      </w:r>
      <w:r w:rsidR="0074460A">
        <w:t>К ответу стоит подойти так же, как и к самому эмпирическому исследовани</w:t>
      </w:r>
      <w:r w:rsidR="00EB7136">
        <w:t xml:space="preserve">ю: стоит разграничить инвестиции в ценные бумаги </w:t>
      </w:r>
      <w:r w:rsidR="00EB7136">
        <w:rPr>
          <w:lang w:val="en-US"/>
        </w:rPr>
        <w:t>SPAC</w:t>
      </w:r>
      <w:r w:rsidR="00EB7136">
        <w:t xml:space="preserve"> и </w:t>
      </w:r>
      <w:r w:rsidR="00EB7136">
        <w:rPr>
          <w:lang w:val="en-US"/>
        </w:rPr>
        <w:t>deSPAC</w:t>
      </w:r>
      <w:r w:rsidR="00EB7136">
        <w:t xml:space="preserve">. </w:t>
      </w:r>
      <w:r w:rsidR="00540142">
        <w:t xml:space="preserve">Инвестиции </w:t>
      </w:r>
      <w:r w:rsidR="00540142">
        <w:rPr>
          <w:lang w:val="en-US"/>
        </w:rPr>
        <w:t>SPAC</w:t>
      </w:r>
      <w:r w:rsidR="00E125B8">
        <w:t xml:space="preserve">, которые только ищут таргет для поглощения, </w:t>
      </w:r>
      <w:r w:rsidR="00540142">
        <w:t xml:space="preserve">являются </w:t>
      </w:r>
      <w:r w:rsidR="00E125B8">
        <w:t>достойной альтернативо</w:t>
      </w:r>
      <w:r w:rsidR="00677269">
        <w:t xml:space="preserve">й инвестиций в </w:t>
      </w:r>
      <w:proofErr w:type="spellStart"/>
      <w:r w:rsidR="00677269">
        <w:t>низкорисковые</w:t>
      </w:r>
      <w:proofErr w:type="spellEnd"/>
      <w:r w:rsidR="00677269">
        <w:t xml:space="preserve"> финансовые инструменты, например </w:t>
      </w:r>
      <w:r w:rsidR="00513213">
        <w:t xml:space="preserve">американские казначейские облигации. Дело в том, что </w:t>
      </w:r>
      <w:r w:rsidR="008B6F74">
        <w:t xml:space="preserve">инвестор </w:t>
      </w:r>
      <w:r w:rsidR="008B6F74">
        <w:rPr>
          <w:lang w:val="en-US"/>
        </w:rPr>
        <w:t>SPAC</w:t>
      </w:r>
      <w:r w:rsidR="008B6F74">
        <w:t xml:space="preserve"> гарантированно получает положительную доходность </w:t>
      </w:r>
      <w:r w:rsidR="008030F3">
        <w:t xml:space="preserve">за счет </w:t>
      </w:r>
      <w:r w:rsidR="0070717F">
        <w:t xml:space="preserve">получения </w:t>
      </w:r>
      <w:r w:rsidR="00AF56F3">
        <w:t xml:space="preserve">варрантов и права предъявления акций к выкупу. </w:t>
      </w:r>
      <w:r w:rsidR="008D17C2">
        <w:t>При этом</w:t>
      </w:r>
      <w:r w:rsidR="00AF56F3">
        <w:t xml:space="preserve"> </w:t>
      </w:r>
      <w:r w:rsidR="00AF5299">
        <w:t xml:space="preserve">инвестиции в </w:t>
      </w:r>
      <w:r w:rsidR="00AF5299">
        <w:rPr>
          <w:lang w:val="en-US"/>
        </w:rPr>
        <w:t>SPAC</w:t>
      </w:r>
      <w:r w:rsidR="00AF5299">
        <w:t xml:space="preserve"> не генерируют такую высокую доходность, как инвестиции в </w:t>
      </w:r>
      <w:r w:rsidR="00AF5299">
        <w:rPr>
          <w:lang w:val="en-US"/>
        </w:rPr>
        <w:t>IPO</w:t>
      </w:r>
      <w:r w:rsidR="00AF5299">
        <w:t xml:space="preserve"> или рыночный индекс</w:t>
      </w:r>
      <w:r w:rsidR="00ED318D">
        <w:t xml:space="preserve"> (доходность </w:t>
      </w:r>
      <w:proofErr w:type="spellStart"/>
      <w:r w:rsidR="00ED318D">
        <w:t>отсатет</w:t>
      </w:r>
      <w:proofErr w:type="spellEnd"/>
      <w:r w:rsidR="00ED318D">
        <w:t xml:space="preserve"> в среднем на 11,8 процентных пунктов)</w:t>
      </w:r>
      <w:r w:rsidR="00AF5299">
        <w:t xml:space="preserve">, </w:t>
      </w:r>
      <w:r w:rsidR="006D445D">
        <w:t>что может стать негативным фактором для агрессивных инвесторов.</w:t>
      </w:r>
      <w:r w:rsidR="00B24CB4">
        <w:t xml:space="preserve"> Инвестиции же в ценные бумаги </w:t>
      </w:r>
      <w:r w:rsidR="00B24CB4">
        <w:rPr>
          <w:lang w:val="en-US"/>
        </w:rPr>
        <w:t>deSPAC</w:t>
      </w:r>
      <w:r w:rsidR="009C04E8">
        <w:t xml:space="preserve"> пока нельзя назвать </w:t>
      </w:r>
      <w:r w:rsidR="00163A7A">
        <w:t>результативными и выгодными для потенциальных инвесторов.</w:t>
      </w:r>
      <w:r w:rsidR="00E9464F">
        <w:t xml:space="preserve"> </w:t>
      </w:r>
      <w:r w:rsidR="00C742EB">
        <w:t>Годовая д</w:t>
      </w:r>
      <w:r w:rsidR="00E9464F">
        <w:t xml:space="preserve">оходность таких инвестиций отстает от </w:t>
      </w:r>
      <w:r w:rsidR="00C742EB">
        <w:t xml:space="preserve">годовой </w:t>
      </w:r>
      <w:r w:rsidR="00E9464F">
        <w:t xml:space="preserve">доходности инвестиций в </w:t>
      </w:r>
      <w:r w:rsidR="00E9464F">
        <w:rPr>
          <w:lang w:val="en-US"/>
        </w:rPr>
        <w:t>IPO</w:t>
      </w:r>
      <w:r w:rsidR="00E9464F">
        <w:t xml:space="preserve"> на 44,2 процентных пункта, от рынка – на </w:t>
      </w:r>
      <w:r w:rsidR="00C742EB">
        <w:t xml:space="preserve">56,4 процентных пункта, на более длительных интервалах </w:t>
      </w:r>
      <w:r w:rsidR="009D356F">
        <w:t xml:space="preserve">разрыв с </w:t>
      </w:r>
      <w:r w:rsidR="009D356F">
        <w:rPr>
          <w:lang w:val="en-US"/>
        </w:rPr>
        <w:t>IPO</w:t>
      </w:r>
      <w:r w:rsidR="009D356F">
        <w:t xml:space="preserve"> хоть и снижается, но отставание от рыночной доходности становится всё более значительным.</w:t>
      </w:r>
      <w:r w:rsidR="00087C6A">
        <w:t xml:space="preserve"> </w:t>
      </w:r>
      <w:r w:rsidR="002552B0">
        <w:t xml:space="preserve">Дело в том, что на данный момент «услугами» </w:t>
      </w:r>
      <w:r w:rsidR="002552B0">
        <w:rPr>
          <w:lang w:val="en-US"/>
        </w:rPr>
        <w:t>SPAC</w:t>
      </w:r>
      <w:r w:rsidR="002552B0">
        <w:t xml:space="preserve"> пользуется </w:t>
      </w:r>
      <w:r w:rsidR="00151EFE">
        <w:t xml:space="preserve">много несформировавшихся </w:t>
      </w:r>
      <w:r w:rsidR="002552B0">
        <w:t>компани</w:t>
      </w:r>
      <w:r w:rsidR="00151EFE">
        <w:t>й</w:t>
      </w:r>
      <w:r w:rsidR="002552B0">
        <w:t>-</w:t>
      </w:r>
      <w:proofErr w:type="spellStart"/>
      <w:r w:rsidR="002552B0">
        <w:t>таргет</w:t>
      </w:r>
      <w:r w:rsidR="00151EFE">
        <w:t>ов</w:t>
      </w:r>
      <w:proofErr w:type="spellEnd"/>
      <w:r w:rsidR="002552B0">
        <w:t xml:space="preserve">, </w:t>
      </w:r>
      <w:r w:rsidR="00151EFE">
        <w:t xml:space="preserve">ввиду чего </w:t>
      </w:r>
      <w:r w:rsidR="00C6657E">
        <w:t xml:space="preserve">их ценность может быть завышена на момент завершения сделки поглощения, тем самым </w:t>
      </w:r>
      <w:r w:rsidR="0027647B">
        <w:t>их долгосрочная результативность становится низкой.</w:t>
      </w:r>
      <w:r w:rsidR="00151EFE">
        <w:t xml:space="preserve"> </w:t>
      </w:r>
    </w:p>
    <w:p w14:paraId="076F444C" w14:textId="7C464FFA" w:rsidR="00304F3F" w:rsidRDefault="00E146EC" w:rsidP="00333D85">
      <w:r>
        <w:t>Данная работа может бы</w:t>
      </w:r>
      <w:r w:rsidR="00942A31">
        <w:t xml:space="preserve">ть </w:t>
      </w:r>
      <w:r w:rsidR="00C26B38">
        <w:t xml:space="preserve">полезна </w:t>
      </w:r>
      <w:r w:rsidR="001E76F8">
        <w:t>для р</w:t>
      </w:r>
      <w:r w:rsidR="00113C97">
        <w:t>я</w:t>
      </w:r>
      <w:r w:rsidR="001E76F8">
        <w:t xml:space="preserve">да заинтересованных сторон. </w:t>
      </w:r>
      <w:r w:rsidR="00272DF0">
        <w:t>Для инвесторов данная работа служит хорошим экскурсом в специализированные компании по целевым слияниям и поглощениям</w:t>
      </w:r>
      <w:r w:rsidR="003550FF">
        <w:t xml:space="preserve"> и инвестиции в такие компании</w:t>
      </w:r>
      <w:r w:rsidR="00DE6F7D">
        <w:t xml:space="preserve">, а также на основании приведенных эмпирических данных инвесторы могут включать акции </w:t>
      </w:r>
      <w:r w:rsidR="00DE6F7D">
        <w:rPr>
          <w:lang w:val="en-US"/>
        </w:rPr>
        <w:t>SPAC</w:t>
      </w:r>
      <w:r w:rsidR="00DE6F7D">
        <w:t xml:space="preserve"> в свои инверсионные портфели.</w:t>
      </w:r>
      <w:r w:rsidR="00487E61">
        <w:t xml:space="preserve"> </w:t>
      </w:r>
      <w:r w:rsidR="00880219">
        <w:t xml:space="preserve">Для российским андеррайтеров </w:t>
      </w:r>
      <w:r w:rsidR="001D6FF8">
        <w:t xml:space="preserve">исследование может пролить свет на новый </w:t>
      </w:r>
      <w:r w:rsidR="00B11659">
        <w:t xml:space="preserve">бизнес-сегмент и особенности работы в нем. Наконец, для государства работа важна с точки зрения вопроса регулирования в области сделок со </w:t>
      </w:r>
      <w:r w:rsidR="00B11659">
        <w:rPr>
          <w:lang w:val="en-US"/>
        </w:rPr>
        <w:t>SPAC</w:t>
      </w:r>
      <w:r w:rsidR="009329D9">
        <w:t>.</w:t>
      </w:r>
    </w:p>
    <w:p w14:paraId="69BC9EB3" w14:textId="09F0EE69" w:rsidR="00890152" w:rsidRDefault="00890152" w:rsidP="00890152">
      <w:pPr>
        <w:pStyle w:val="1"/>
      </w:pPr>
      <w:bookmarkStart w:id="64" w:name="_Toc102050321"/>
      <w:bookmarkStart w:id="65" w:name="_Toc102050693"/>
      <w:r>
        <w:lastRenderedPageBreak/>
        <w:t xml:space="preserve">Список </w:t>
      </w:r>
      <w:r w:rsidR="00637E9A">
        <w:t xml:space="preserve">использованной </w:t>
      </w:r>
      <w:r>
        <w:t>литературы</w:t>
      </w:r>
      <w:bookmarkEnd w:id="64"/>
      <w:bookmarkEnd w:id="65"/>
    </w:p>
    <w:p w14:paraId="69D140CD" w14:textId="77777777" w:rsidR="00837A7E" w:rsidRDefault="00837A7E" w:rsidP="00363B6B">
      <w:pPr>
        <w:pStyle w:val="ae"/>
        <w:numPr>
          <w:ilvl w:val="0"/>
          <w:numId w:val="11"/>
        </w:numPr>
        <w:ind w:left="284" w:hanging="426"/>
      </w:pPr>
      <w:r w:rsidRPr="00FC1614">
        <w:t xml:space="preserve">Аллокация в </w:t>
      </w:r>
      <w:r w:rsidRPr="00FC1614">
        <w:rPr>
          <w:lang w:val="en-US"/>
        </w:rPr>
        <w:t>IPO</w:t>
      </w:r>
      <w:r w:rsidRPr="00FC1614">
        <w:t xml:space="preserve"> [</w:t>
      </w:r>
      <w:r>
        <w:t>Электронный</w:t>
      </w:r>
      <w:r w:rsidRPr="00FC1614">
        <w:t xml:space="preserve"> </w:t>
      </w:r>
      <w:r>
        <w:t>ресурс</w:t>
      </w:r>
      <w:r w:rsidRPr="00FC1614">
        <w:t xml:space="preserve">] // </w:t>
      </w:r>
      <w:proofErr w:type="spellStart"/>
      <w:r>
        <w:t>Финам</w:t>
      </w:r>
      <w:proofErr w:type="spellEnd"/>
      <w:r w:rsidRPr="00FC1614">
        <w:t xml:space="preserve">. — </w:t>
      </w:r>
      <w:r>
        <w:t>Режим</w:t>
      </w:r>
      <w:r w:rsidRPr="00FC1614">
        <w:t xml:space="preserve"> </w:t>
      </w:r>
      <w:r>
        <w:t>доступа</w:t>
      </w:r>
      <w:r w:rsidRPr="00FC1614">
        <w:t xml:space="preserve">: </w:t>
      </w:r>
      <w:r w:rsidRPr="00FC1614">
        <w:rPr>
          <w:lang w:val="en-US"/>
        </w:rPr>
        <w:t>https</w:t>
      </w:r>
      <w:r w:rsidRPr="00FC1614">
        <w:t>://</w:t>
      </w:r>
      <w:r w:rsidRPr="00FC1614">
        <w:rPr>
          <w:lang w:val="en-US"/>
        </w:rPr>
        <w:t>www</w:t>
      </w:r>
      <w:r w:rsidRPr="00FC1614">
        <w:t>.</w:t>
      </w:r>
      <w:proofErr w:type="spellStart"/>
      <w:r w:rsidRPr="00FC1614">
        <w:rPr>
          <w:lang w:val="en-US"/>
        </w:rPr>
        <w:t>finam</w:t>
      </w:r>
      <w:proofErr w:type="spellEnd"/>
      <w:r w:rsidRPr="00FC1614">
        <w:t>.</w:t>
      </w:r>
      <w:proofErr w:type="spellStart"/>
      <w:r w:rsidRPr="00FC1614">
        <w:rPr>
          <w:lang w:val="en-US"/>
        </w:rPr>
        <w:t>ru</w:t>
      </w:r>
      <w:proofErr w:type="spellEnd"/>
      <w:r w:rsidRPr="00FC1614">
        <w:t>/</w:t>
      </w:r>
      <w:r w:rsidRPr="00FC1614">
        <w:rPr>
          <w:lang w:val="en-US"/>
        </w:rPr>
        <w:t>education</w:t>
      </w:r>
      <w:r w:rsidRPr="00FC1614">
        <w:t>/</w:t>
      </w:r>
      <w:proofErr w:type="spellStart"/>
      <w:r w:rsidRPr="00FC1614">
        <w:rPr>
          <w:lang w:val="en-US"/>
        </w:rPr>
        <w:t>likbez</w:t>
      </w:r>
      <w:proofErr w:type="spellEnd"/>
      <w:r w:rsidRPr="00FC1614">
        <w:t>/</w:t>
      </w:r>
      <w:proofErr w:type="spellStart"/>
      <w:r w:rsidRPr="00FC1614">
        <w:rPr>
          <w:lang w:val="en-US"/>
        </w:rPr>
        <w:t>allokaciya</w:t>
      </w:r>
      <w:proofErr w:type="spellEnd"/>
      <w:r w:rsidRPr="00FC1614">
        <w:t>-</w:t>
      </w:r>
      <w:r w:rsidRPr="00FC1614">
        <w:rPr>
          <w:lang w:val="en-US"/>
        </w:rPr>
        <w:t>v</w:t>
      </w:r>
      <w:r w:rsidRPr="00FC1614">
        <w:t>-</w:t>
      </w:r>
      <w:proofErr w:type="spellStart"/>
      <w:r w:rsidRPr="00FC1614">
        <w:rPr>
          <w:lang w:val="en-US"/>
        </w:rPr>
        <w:t>ipo</w:t>
      </w:r>
      <w:proofErr w:type="spellEnd"/>
      <w:r w:rsidRPr="00FC1614">
        <w:t>-</w:t>
      </w:r>
      <w:proofErr w:type="spellStart"/>
      <w:r w:rsidRPr="00FC1614">
        <w:rPr>
          <w:lang w:val="en-US"/>
        </w:rPr>
        <w:t>chto</w:t>
      </w:r>
      <w:proofErr w:type="spellEnd"/>
      <w:r w:rsidRPr="00FC1614">
        <w:t>-</w:t>
      </w:r>
      <w:proofErr w:type="spellStart"/>
      <w:r w:rsidRPr="00FC1614">
        <w:rPr>
          <w:lang w:val="en-US"/>
        </w:rPr>
        <w:t>eto</w:t>
      </w:r>
      <w:proofErr w:type="spellEnd"/>
      <w:r w:rsidRPr="00FC1614">
        <w:t>-</w:t>
      </w:r>
      <w:proofErr w:type="spellStart"/>
      <w:r w:rsidRPr="00FC1614">
        <w:rPr>
          <w:lang w:val="en-US"/>
        </w:rPr>
        <w:t>prostymi</w:t>
      </w:r>
      <w:proofErr w:type="spellEnd"/>
      <w:r w:rsidRPr="00FC1614">
        <w:t>-</w:t>
      </w:r>
      <w:proofErr w:type="spellStart"/>
      <w:r w:rsidRPr="00FC1614">
        <w:rPr>
          <w:lang w:val="en-US"/>
        </w:rPr>
        <w:t>slovami</w:t>
      </w:r>
      <w:proofErr w:type="spellEnd"/>
      <w:r w:rsidRPr="00FC1614">
        <w:t>-20210526-16540/ (</w:t>
      </w:r>
      <w:r>
        <w:t>дата</w:t>
      </w:r>
      <w:r w:rsidRPr="00FC1614">
        <w:t xml:space="preserve"> </w:t>
      </w:r>
      <w:r>
        <w:t>обращения</w:t>
      </w:r>
      <w:r w:rsidRPr="00FC1614">
        <w:t>: 01.02.2022).</w:t>
      </w:r>
    </w:p>
    <w:p w14:paraId="1BAFE0C6" w14:textId="77777777" w:rsidR="00837A7E" w:rsidRDefault="00837A7E" w:rsidP="00750949">
      <w:pPr>
        <w:pStyle w:val="ae"/>
        <w:numPr>
          <w:ilvl w:val="0"/>
          <w:numId w:val="11"/>
        </w:numPr>
        <w:ind w:left="284" w:hanging="426"/>
      </w:pPr>
      <w:r w:rsidRPr="00940B94">
        <w:t xml:space="preserve">База данных </w:t>
      </w:r>
      <w:r>
        <w:rPr>
          <w:lang w:val="en-US"/>
        </w:rPr>
        <w:t>Bloomberg</w:t>
      </w:r>
      <w:r w:rsidRPr="00750949">
        <w:t xml:space="preserve"> </w:t>
      </w:r>
      <w:r>
        <w:rPr>
          <w:lang w:val="en-US"/>
        </w:rPr>
        <w:t>Terminal</w:t>
      </w:r>
      <w:r w:rsidRPr="00940B94">
        <w:t xml:space="preserve"> [Электронный ресурс] // </w:t>
      </w:r>
      <w:r>
        <w:rPr>
          <w:lang w:val="en-US"/>
        </w:rPr>
        <w:t>Bloomberg</w:t>
      </w:r>
      <w:r w:rsidRPr="00750949">
        <w:t xml:space="preserve"> </w:t>
      </w:r>
      <w:r>
        <w:rPr>
          <w:lang w:val="en-US"/>
        </w:rPr>
        <w:t>Terminal</w:t>
      </w:r>
      <w:r w:rsidRPr="00A373BD">
        <w:t>.</w:t>
      </w:r>
      <w:r w:rsidRPr="00940B94">
        <w:t xml:space="preserve"> — Режим доступа: </w:t>
      </w:r>
      <w:r w:rsidRPr="00837A7E">
        <w:t>https://www.bloomberg.com/professional/solution/bloomberg-terminal/</w:t>
      </w:r>
      <w:r w:rsidRPr="00940B94">
        <w:t xml:space="preserve">, закрытый — </w:t>
      </w:r>
      <w:proofErr w:type="spellStart"/>
      <w:r w:rsidRPr="00940B94">
        <w:t>Загл</w:t>
      </w:r>
      <w:proofErr w:type="spellEnd"/>
      <w:r w:rsidRPr="00940B94">
        <w:t>. с экрана. (дата обращения 0</w:t>
      </w:r>
      <w:r w:rsidRPr="00750949">
        <w:t>1</w:t>
      </w:r>
      <w:r w:rsidRPr="00940B94">
        <w:t>.0</w:t>
      </w:r>
      <w:r w:rsidRPr="00750949">
        <w:t>2</w:t>
      </w:r>
      <w:r w:rsidRPr="00940B94">
        <w:t>.2022)</w:t>
      </w:r>
      <w:r w:rsidRPr="00245F13">
        <w:t>.</w:t>
      </w:r>
    </w:p>
    <w:p w14:paraId="454EDFC6" w14:textId="77777777" w:rsidR="00837A7E" w:rsidRDefault="00837A7E" w:rsidP="00245F13">
      <w:pPr>
        <w:pStyle w:val="ae"/>
        <w:numPr>
          <w:ilvl w:val="0"/>
          <w:numId w:val="11"/>
        </w:numPr>
        <w:ind w:left="284" w:hanging="426"/>
      </w:pPr>
      <w:r w:rsidRPr="00940B94">
        <w:t xml:space="preserve">База данных </w:t>
      </w:r>
      <w:r>
        <w:rPr>
          <w:lang w:val="en-US"/>
        </w:rPr>
        <w:t>Boardroom</w:t>
      </w:r>
      <w:r w:rsidRPr="00245F13">
        <w:t xml:space="preserve"> </w:t>
      </w:r>
      <w:r>
        <w:rPr>
          <w:lang w:val="en-US"/>
        </w:rPr>
        <w:t>Alpha</w:t>
      </w:r>
      <w:r w:rsidRPr="00940B94">
        <w:t xml:space="preserve"> [Электронный ресурс] // </w:t>
      </w:r>
      <w:r>
        <w:rPr>
          <w:lang w:val="en-US"/>
        </w:rPr>
        <w:t>Boardroom</w:t>
      </w:r>
      <w:r w:rsidRPr="00245F13">
        <w:t xml:space="preserve"> </w:t>
      </w:r>
      <w:r>
        <w:rPr>
          <w:lang w:val="en-US"/>
        </w:rPr>
        <w:t>Alpha</w:t>
      </w:r>
      <w:r w:rsidRPr="00A373BD">
        <w:t>.</w:t>
      </w:r>
      <w:r w:rsidRPr="00940B94">
        <w:t xml:space="preserve"> — Режим доступа: </w:t>
      </w:r>
      <w:r w:rsidRPr="00245F13">
        <w:t>https://www.boardroomalpha.com/</w:t>
      </w:r>
      <w:r w:rsidRPr="00940B94">
        <w:t xml:space="preserve">, закрытый — </w:t>
      </w:r>
      <w:proofErr w:type="spellStart"/>
      <w:r w:rsidRPr="00940B94">
        <w:t>Загл</w:t>
      </w:r>
      <w:proofErr w:type="spellEnd"/>
      <w:r w:rsidRPr="00940B94">
        <w:t>. с экрана. (дата обращения 0</w:t>
      </w:r>
      <w:r w:rsidRPr="00750949">
        <w:t>1</w:t>
      </w:r>
      <w:r w:rsidRPr="00940B94">
        <w:t>.0</w:t>
      </w:r>
      <w:r w:rsidRPr="00750949">
        <w:t>2</w:t>
      </w:r>
      <w:r w:rsidRPr="00940B94">
        <w:t>.2022)</w:t>
      </w:r>
      <w:r w:rsidRPr="00245F13">
        <w:t>.</w:t>
      </w:r>
    </w:p>
    <w:p w14:paraId="7DEB9295" w14:textId="77777777" w:rsidR="00837A7E" w:rsidRDefault="00837A7E" w:rsidP="00363B6B">
      <w:pPr>
        <w:pStyle w:val="ae"/>
        <w:numPr>
          <w:ilvl w:val="0"/>
          <w:numId w:val="11"/>
        </w:numPr>
        <w:ind w:left="284" w:hanging="426"/>
      </w:pPr>
      <w:r w:rsidRPr="00940B94">
        <w:t xml:space="preserve">База данных </w:t>
      </w:r>
      <w:proofErr w:type="spellStart"/>
      <w:r w:rsidRPr="00940B94">
        <w:t>Refinitiv</w:t>
      </w:r>
      <w:proofErr w:type="spellEnd"/>
      <w:r w:rsidRPr="00940B94">
        <w:t xml:space="preserve"> </w:t>
      </w:r>
      <w:proofErr w:type="spellStart"/>
      <w:r w:rsidRPr="00940B94">
        <w:t>Eikon</w:t>
      </w:r>
      <w:proofErr w:type="spellEnd"/>
      <w:r w:rsidRPr="00940B94">
        <w:t xml:space="preserve"> [Электронный ресурс] // </w:t>
      </w:r>
      <w:proofErr w:type="spellStart"/>
      <w:r w:rsidRPr="00940B94">
        <w:t>Refinitiv</w:t>
      </w:r>
      <w:proofErr w:type="spellEnd"/>
      <w:r w:rsidRPr="00940B94">
        <w:t xml:space="preserve"> </w:t>
      </w:r>
      <w:proofErr w:type="spellStart"/>
      <w:r w:rsidRPr="00940B94">
        <w:t>Eikon</w:t>
      </w:r>
      <w:proofErr w:type="spellEnd"/>
      <w:r w:rsidRPr="00A373BD">
        <w:t>.</w:t>
      </w:r>
      <w:r w:rsidRPr="00940B94">
        <w:t xml:space="preserve"> — Режим доступа: https://go.refinitiv.com, закрытый — </w:t>
      </w:r>
      <w:proofErr w:type="spellStart"/>
      <w:r w:rsidRPr="00940B94">
        <w:t>Загл</w:t>
      </w:r>
      <w:proofErr w:type="spellEnd"/>
      <w:r w:rsidRPr="00940B94">
        <w:t>. с экрана. (дата обращения 0</w:t>
      </w:r>
      <w:r w:rsidRPr="00A373BD">
        <w:t>1</w:t>
      </w:r>
      <w:r w:rsidRPr="00940B94">
        <w:t>.0</w:t>
      </w:r>
      <w:r w:rsidRPr="00A373BD">
        <w:t>2</w:t>
      </w:r>
      <w:r w:rsidRPr="00940B94">
        <w:t>.2022)</w:t>
      </w:r>
      <w:r w:rsidRPr="00A373BD">
        <w:t>.</w:t>
      </w:r>
    </w:p>
    <w:p w14:paraId="51634E4C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>
        <w:t>Путеводитель по выходу на IPO. Руководство по размещению ценных бумаг на бирже</w:t>
      </w:r>
      <w:r w:rsidRPr="004A234C">
        <w:t xml:space="preserve"> </w:t>
      </w:r>
      <w:r>
        <w:t xml:space="preserve">[Электронный ресурс] // </w:t>
      </w:r>
      <w:r>
        <w:rPr>
          <w:lang w:val="en-US"/>
        </w:rPr>
        <w:t>PWC</w:t>
      </w:r>
      <w:r>
        <w:t xml:space="preserve">. — Режим доступа: </w:t>
      </w:r>
      <w:r w:rsidRPr="00761865">
        <w:t>https://www.pwc.ru/en/capital-markets/assets/roadmap-for-an-ipo-rus.pdf</w:t>
      </w:r>
      <w:r>
        <w:t xml:space="preserve"> (дата обращения: </w:t>
      </w:r>
      <w:r w:rsidRPr="002F36B1">
        <w:t>01</w:t>
      </w:r>
      <w:r>
        <w:t>.</w:t>
      </w:r>
      <w:r w:rsidRPr="002F36B1">
        <w:t>02</w:t>
      </w:r>
      <w:r>
        <w:t>.</w:t>
      </w:r>
      <w:r w:rsidRPr="002F36B1">
        <w:t>2022</w:t>
      </w:r>
      <w:r>
        <w:t>).</w:t>
      </w:r>
    </w:p>
    <w:p w14:paraId="69BF904D" w14:textId="77777777" w:rsidR="00837A7E" w:rsidRPr="00A074ED" w:rsidRDefault="00837A7E" w:rsidP="00284358">
      <w:pPr>
        <w:pStyle w:val="ae"/>
        <w:numPr>
          <w:ilvl w:val="0"/>
          <w:numId w:val="11"/>
        </w:numPr>
        <w:ind w:left="284" w:hanging="426"/>
      </w:pPr>
      <w:r>
        <w:t xml:space="preserve">Савосин Д. </w:t>
      </w:r>
      <w:r w:rsidRPr="00271762">
        <w:t>В России внедрят механизм размещения на бирже через SPAC</w:t>
      </w:r>
      <w:r>
        <w:t xml:space="preserve"> // </w:t>
      </w:r>
      <w:proofErr w:type="gramStart"/>
      <w:r>
        <w:rPr>
          <w:lang w:val="en-US"/>
        </w:rPr>
        <w:t>RB</w:t>
      </w:r>
      <w:r w:rsidRPr="00256CD9">
        <w:t>.</w:t>
      </w:r>
      <w:r>
        <w:rPr>
          <w:lang w:val="en-US"/>
        </w:rPr>
        <w:t>RU</w:t>
      </w:r>
      <w:r>
        <w:t xml:space="preserve"> :</w:t>
      </w:r>
      <w:proofErr w:type="gramEnd"/>
      <w:r>
        <w:t xml:space="preserve"> </w:t>
      </w:r>
      <w:proofErr w:type="spellStart"/>
      <w:r>
        <w:t>информ</w:t>
      </w:r>
      <w:proofErr w:type="spellEnd"/>
      <w:r>
        <w:t xml:space="preserve">. агентство. ИА </w:t>
      </w:r>
      <w:r w:rsidRPr="007F63F0">
        <w:t>ООО "РБ.РУ"</w:t>
      </w:r>
      <w:r>
        <w:t xml:space="preserve">, </w:t>
      </w:r>
      <w:proofErr w:type="gramStart"/>
      <w:r w:rsidRPr="004A42E4">
        <w:t>2012</w:t>
      </w:r>
      <w:r>
        <w:t>-</w:t>
      </w:r>
      <w:r w:rsidRPr="004A42E4">
        <w:t>2022</w:t>
      </w:r>
      <w:proofErr w:type="gramEnd"/>
      <w:r>
        <w:t xml:space="preserve">. </w:t>
      </w:r>
      <w:r w:rsidRPr="006B34D8">
        <w:rPr>
          <w:lang w:val="en-US"/>
        </w:rPr>
        <w:t>URL</w:t>
      </w:r>
      <w:r w:rsidRPr="00A074ED">
        <w:t xml:space="preserve">: </w:t>
      </w:r>
      <w:r w:rsidRPr="006B34D8">
        <w:rPr>
          <w:lang w:val="en-US"/>
        </w:rPr>
        <w:t>https</w:t>
      </w:r>
      <w:r w:rsidRPr="00A074ED">
        <w:t>://</w:t>
      </w:r>
      <w:proofErr w:type="spellStart"/>
      <w:r w:rsidRPr="006B34D8">
        <w:rPr>
          <w:lang w:val="en-US"/>
        </w:rPr>
        <w:t>clck</w:t>
      </w:r>
      <w:proofErr w:type="spellEnd"/>
      <w:r w:rsidRPr="00A074ED">
        <w:t>.</w:t>
      </w:r>
      <w:proofErr w:type="spellStart"/>
      <w:r w:rsidRPr="006B34D8">
        <w:rPr>
          <w:lang w:val="en-US"/>
        </w:rPr>
        <w:t>ru</w:t>
      </w:r>
      <w:proofErr w:type="spellEnd"/>
      <w:r w:rsidRPr="00A074ED">
        <w:t>/</w:t>
      </w:r>
      <w:proofErr w:type="spellStart"/>
      <w:r w:rsidRPr="006B34D8">
        <w:rPr>
          <w:lang w:val="en-US"/>
        </w:rPr>
        <w:t>epgbj</w:t>
      </w:r>
      <w:proofErr w:type="spellEnd"/>
      <w:r w:rsidRPr="00A074ED">
        <w:t xml:space="preserve"> (</w:t>
      </w:r>
      <w:r w:rsidRPr="0031581C">
        <w:t>дата</w:t>
      </w:r>
      <w:r w:rsidRPr="00A074ED">
        <w:t xml:space="preserve"> </w:t>
      </w:r>
      <w:r w:rsidRPr="0031581C">
        <w:t>обращения</w:t>
      </w:r>
      <w:r w:rsidRPr="00A074ED">
        <w:t>: 01.02.2022).</w:t>
      </w:r>
    </w:p>
    <w:p w14:paraId="778731A0" w14:textId="77777777" w:rsidR="00837A7E" w:rsidRPr="00E32E99" w:rsidRDefault="00837A7E" w:rsidP="00284358">
      <w:pPr>
        <w:pStyle w:val="ae"/>
        <w:numPr>
          <w:ilvl w:val="0"/>
          <w:numId w:val="11"/>
        </w:numPr>
        <w:ind w:left="284" w:hanging="426"/>
      </w:pPr>
      <w:r w:rsidRPr="00837A7E">
        <w:rPr>
          <w:lang w:val="en-US"/>
        </w:rPr>
        <w:t xml:space="preserve">2021: </w:t>
      </w:r>
      <w:r w:rsidRPr="00207059">
        <w:rPr>
          <w:lang w:val="en-US"/>
        </w:rPr>
        <w:t>A</w:t>
      </w:r>
      <w:r w:rsidRPr="00837A7E">
        <w:rPr>
          <w:lang w:val="en-US"/>
        </w:rPr>
        <w:t xml:space="preserve"> </w:t>
      </w:r>
      <w:r w:rsidRPr="00207059">
        <w:rPr>
          <w:lang w:val="en-US"/>
        </w:rPr>
        <w:t>spectacular</w:t>
      </w:r>
      <w:r w:rsidRPr="00837A7E">
        <w:rPr>
          <w:lang w:val="en-US"/>
        </w:rPr>
        <w:t xml:space="preserve"> </w:t>
      </w:r>
      <w:r w:rsidRPr="00207059">
        <w:rPr>
          <w:lang w:val="en-US"/>
        </w:rPr>
        <w:t>year</w:t>
      </w:r>
      <w:r w:rsidRPr="00837A7E">
        <w:rPr>
          <w:lang w:val="en-US"/>
        </w:rPr>
        <w:t xml:space="preserve"> </w:t>
      </w:r>
      <w:r w:rsidRPr="00207059">
        <w:rPr>
          <w:lang w:val="en-US"/>
        </w:rPr>
        <w:t>for</w:t>
      </w:r>
      <w:r w:rsidRPr="00837A7E">
        <w:rPr>
          <w:lang w:val="en-US"/>
        </w:rPr>
        <w:t xml:space="preserve"> </w:t>
      </w:r>
      <w:r w:rsidRPr="00207059">
        <w:rPr>
          <w:lang w:val="en-US"/>
        </w:rPr>
        <w:t>SPACs</w:t>
      </w:r>
      <w:r w:rsidRPr="00837A7E">
        <w:rPr>
          <w:lang w:val="en-US"/>
        </w:rPr>
        <w:t xml:space="preserve"> [</w:t>
      </w:r>
      <w:r>
        <w:t>Электронный</w:t>
      </w:r>
      <w:r w:rsidRPr="00837A7E">
        <w:rPr>
          <w:lang w:val="en-US"/>
        </w:rPr>
        <w:t xml:space="preserve"> </w:t>
      </w:r>
      <w:r>
        <w:t>ресурс</w:t>
      </w:r>
      <w:r w:rsidRPr="00837A7E">
        <w:rPr>
          <w:lang w:val="en-US"/>
        </w:rPr>
        <w:t xml:space="preserve">] // </w:t>
      </w:r>
      <w:proofErr w:type="spellStart"/>
      <w:r>
        <w:rPr>
          <w:lang w:val="en-US"/>
        </w:rPr>
        <w:t>Whitecase</w:t>
      </w:r>
      <w:proofErr w:type="spellEnd"/>
      <w:r w:rsidRPr="00837A7E">
        <w:rPr>
          <w:lang w:val="en-US"/>
        </w:rPr>
        <w:t xml:space="preserve">. — </w:t>
      </w:r>
      <w:r>
        <w:t>Режим</w:t>
      </w:r>
      <w:r w:rsidRPr="00837A7E">
        <w:rPr>
          <w:lang w:val="en-US"/>
        </w:rPr>
        <w:t xml:space="preserve"> </w:t>
      </w:r>
      <w:r>
        <w:t>доступа</w:t>
      </w:r>
      <w:r w:rsidRPr="00837A7E">
        <w:rPr>
          <w:lang w:val="en-US"/>
        </w:rPr>
        <w:t xml:space="preserve">: </w:t>
      </w:r>
      <w:r w:rsidRPr="002A6868">
        <w:rPr>
          <w:lang w:val="en-US"/>
        </w:rPr>
        <w:t>https</w:t>
      </w:r>
      <w:r w:rsidRPr="00837A7E">
        <w:rPr>
          <w:lang w:val="en-US"/>
        </w:rPr>
        <w:t>://</w:t>
      </w:r>
      <w:r w:rsidRPr="002A6868">
        <w:rPr>
          <w:lang w:val="en-US"/>
        </w:rPr>
        <w:t>mergers</w:t>
      </w:r>
      <w:r w:rsidRPr="00837A7E">
        <w:rPr>
          <w:lang w:val="en-US"/>
        </w:rPr>
        <w:t>.</w:t>
      </w:r>
      <w:r w:rsidRPr="002A6868">
        <w:rPr>
          <w:lang w:val="en-US"/>
        </w:rPr>
        <w:t>whitecase</w:t>
      </w:r>
      <w:r w:rsidRPr="00837A7E">
        <w:rPr>
          <w:lang w:val="en-US"/>
        </w:rPr>
        <w:t>.</w:t>
      </w:r>
      <w:r w:rsidRPr="002A6868">
        <w:rPr>
          <w:lang w:val="en-US"/>
        </w:rPr>
        <w:t>com</w:t>
      </w:r>
      <w:r w:rsidRPr="00837A7E">
        <w:rPr>
          <w:lang w:val="en-US"/>
        </w:rPr>
        <w:t>/</w:t>
      </w:r>
      <w:r w:rsidRPr="002A6868">
        <w:rPr>
          <w:lang w:val="en-US"/>
        </w:rPr>
        <w:t>highlights</w:t>
      </w:r>
      <w:r w:rsidRPr="00837A7E">
        <w:rPr>
          <w:lang w:val="en-US"/>
        </w:rPr>
        <w:t>/2021-</w:t>
      </w:r>
      <w:r w:rsidRPr="002A6868">
        <w:rPr>
          <w:lang w:val="en-US"/>
        </w:rPr>
        <w:t>a</w:t>
      </w:r>
      <w:r w:rsidRPr="00837A7E">
        <w:rPr>
          <w:lang w:val="en-US"/>
        </w:rPr>
        <w:t>-</w:t>
      </w:r>
      <w:r w:rsidRPr="002A6868">
        <w:rPr>
          <w:lang w:val="en-US"/>
        </w:rPr>
        <w:t>spectacular</w:t>
      </w:r>
      <w:r w:rsidRPr="00837A7E">
        <w:rPr>
          <w:lang w:val="en-US"/>
        </w:rPr>
        <w:t>-</w:t>
      </w:r>
      <w:r w:rsidRPr="002A6868">
        <w:rPr>
          <w:lang w:val="en-US"/>
        </w:rPr>
        <w:t>year</w:t>
      </w:r>
      <w:r w:rsidRPr="00837A7E">
        <w:rPr>
          <w:lang w:val="en-US"/>
        </w:rPr>
        <w:t>-</w:t>
      </w:r>
      <w:r w:rsidRPr="002A6868">
        <w:rPr>
          <w:lang w:val="en-US"/>
        </w:rPr>
        <w:t>for</w:t>
      </w:r>
      <w:r w:rsidRPr="00837A7E">
        <w:rPr>
          <w:lang w:val="en-US"/>
        </w:rPr>
        <w:t>-</w:t>
      </w:r>
      <w:r w:rsidRPr="002A6868">
        <w:rPr>
          <w:lang w:val="en-US"/>
        </w:rPr>
        <w:t>spacs</w:t>
      </w:r>
      <w:r w:rsidRPr="00837A7E">
        <w:rPr>
          <w:lang w:val="en-US"/>
        </w:rPr>
        <w:t xml:space="preserve">#! </w:t>
      </w:r>
      <w:r w:rsidRPr="00E32E99">
        <w:t>(</w:t>
      </w:r>
      <w:r>
        <w:t>дата</w:t>
      </w:r>
      <w:r w:rsidRPr="00E32E99">
        <w:t xml:space="preserve"> </w:t>
      </w:r>
      <w:r>
        <w:t>обращения</w:t>
      </w:r>
      <w:r w:rsidRPr="00E32E99">
        <w:t>: 01.02.2022).</w:t>
      </w:r>
    </w:p>
    <w:p w14:paraId="1887B473" w14:textId="77777777" w:rsidR="00837A7E" w:rsidRPr="001B2C32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561D36">
        <w:rPr>
          <w:lang w:val="en-US"/>
        </w:rPr>
        <w:t xml:space="preserve">Álvarez S., González V. M. </w:t>
      </w:r>
      <w:proofErr w:type="spellStart"/>
      <w:proofErr w:type="gramStart"/>
      <w:r w:rsidRPr="00561D36">
        <w:rPr>
          <w:lang w:val="en-US"/>
        </w:rPr>
        <w:t>Signalling</w:t>
      </w:r>
      <w:proofErr w:type="spellEnd"/>
      <w:proofErr w:type="gramEnd"/>
      <w:r w:rsidRPr="00561D36">
        <w:rPr>
          <w:lang w:val="en-US"/>
        </w:rPr>
        <w:t xml:space="preserve"> and the long‐run performance of Spanish initial public offerings (IPOs) //Journal of Business Finance &amp; Accounting. – 2005. – Т. 32. – №. 1‐2. – С. 325-350.</w:t>
      </w:r>
    </w:p>
    <w:p w14:paraId="292253DB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69092B">
        <w:rPr>
          <w:lang w:val="en-US"/>
        </w:rPr>
        <w:t>Brown S. J., Warner J. B. Using daily stock returns: The case of event studies //Journal of financial economics. – 1985. – Т. 14. – №. 1. – С. 3-31.</w:t>
      </w:r>
    </w:p>
    <w:p w14:paraId="24F7B541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>
        <w:rPr>
          <w:lang w:val="en-US"/>
        </w:rPr>
        <w:t>Center for research in security prices, LLC</w:t>
      </w:r>
      <w:r w:rsidRPr="00363B6B">
        <w:rPr>
          <w:lang w:val="en-US"/>
        </w:rPr>
        <w:t xml:space="preserve"> [</w:t>
      </w:r>
      <w:proofErr w:type="spellStart"/>
      <w:r w:rsidRPr="00363B6B">
        <w:rPr>
          <w:lang w:val="en-US"/>
        </w:rPr>
        <w:t>Электронный</w:t>
      </w:r>
      <w:proofErr w:type="spellEnd"/>
      <w:r w:rsidRPr="00363B6B">
        <w:rPr>
          <w:lang w:val="en-US"/>
        </w:rPr>
        <w:t xml:space="preserve"> </w:t>
      </w:r>
      <w:proofErr w:type="spellStart"/>
      <w:r w:rsidRPr="00363B6B">
        <w:rPr>
          <w:lang w:val="en-US"/>
        </w:rPr>
        <w:t>ресурс</w:t>
      </w:r>
      <w:proofErr w:type="spellEnd"/>
      <w:r w:rsidRPr="00363B6B">
        <w:rPr>
          <w:lang w:val="en-US"/>
        </w:rPr>
        <w:t xml:space="preserve">] // </w:t>
      </w:r>
      <w:r>
        <w:rPr>
          <w:lang w:val="en-US"/>
        </w:rPr>
        <w:t>CRSP</w:t>
      </w:r>
      <w:r w:rsidRPr="00363B6B">
        <w:rPr>
          <w:lang w:val="en-US"/>
        </w:rPr>
        <w:t xml:space="preserve">. — </w:t>
      </w:r>
      <w:proofErr w:type="spellStart"/>
      <w:r w:rsidRPr="00363B6B">
        <w:rPr>
          <w:lang w:val="en-US"/>
        </w:rPr>
        <w:t>Режим</w:t>
      </w:r>
      <w:proofErr w:type="spellEnd"/>
      <w:r w:rsidRPr="00363B6B">
        <w:rPr>
          <w:lang w:val="en-US"/>
        </w:rPr>
        <w:t xml:space="preserve"> </w:t>
      </w:r>
      <w:proofErr w:type="spellStart"/>
      <w:r w:rsidRPr="00363B6B">
        <w:rPr>
          <w:lang w:val="en-US"/>
        </w:rPr>
        <w:t>доступа</w:t>
      </w:r>
      <w:proofErr w:type="spellEnd"/>
      <w:r w:rsidRPr="00363B6B">
        <w:rPr>
          <w:lang w:val="en-US"/>
        </w:rPr>
        <w:t xml:space="preserve">: </w:t>
      </w:r>
      <w:r w:rsidRPr="003D5E20">
        <w:rPr>
          <w:lang w:val="en-US"/>
        </w:rPr>
        <w:t>https://www.crsp.org/</w:t>
      </w:r>
      <w:r w:rsidRPr="00363B6B">
        <w:rPr>
          <w:lang w:val="en-US"/>
        </w:rPr>
        <w:t xml:space="preserve"> (</w:t>
      </w:r>
      <w:proofErr w:type="spellStart"/>
      <w:r w:rsidRPr="00363B6B">
        <w:rPr>
          <w:lang w:val="en-US"/>
        </w:rPr>
        <w:t>дата</w:t>
      </w:r>
      <w:proofErr w:type="spellEnd"/>
      <w:r w:rsidRPr="00363B6B">
        <w:rPr>
          <w:lang w:val="en-US"/>
        </w:rPr>
        <w:t xml:space="preserve"> </w:t>
      </w:r>
      <w:proofErr w:type="spellStart"/>
      <w:r w:rsidRPr="00363B6B">
        <w:rPr>
          <w:lang w:val="en-US"/>
        </w:rPr>
        <w:t>обращения</w:t>
      </w:r>
      <w:proofErr w:type="spellEnd"/>
      <w:r w:rsidRPr="00363B6B">
        <w:rPr>
          <w:lang w:val="en-US"/>
        </w:rPr>
        <w:t>: 01.02.2022).</w:t>
      </w:r>
    </w:p>
    <w:p w14:paraId="4DF13709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 w:rsidRPr="00363B6B">
        <w:rPr>
          <w:lang w:val="en-US"/>
        </w:rPr>
        <w:t>Considering an IPO? First, understand the costs [</w:t>
      </w:r>
      <w:r>
        <w:t>Электронный</w:t>
      </w:r>
      <w:r w:rsidRPr="00363B6B">
        <w:rPr>
          <w:lang w:val="en-US"/>
        </w:rPr>
        <w:t xml:space="preserve"> </w:t>
      </w:r>
      <w:r>
        <w:t>ресурс</w:t>
      </w:r>
      <w:r w:rsidRPr="00363B6B">
        <w:rPr>
          <w:lang w:val="en-US"/>
        </w:rPr>
        <w:t xml:space="preserve">] // </w:t>
      </w:r>
      <w:r>
        <w:rPr>
          <w:lang w:val="en-US"/>
        </w:rPr>
        <w:t>PWC</w:t>
      </w:r>
      <w:r w:rsidRPr="00363B6B">
        <w:rPr>
          <w:lang w:val="en-US"/>
        </w:rPr>
        <w:t xml:space="preserve">. — </w:t>
      </w:r>
      <w:r>
        <w:t>Режим</w:t>
      </w:r>
      <w:r w:rsidRPr="00363B6B">
        <w:rPr>
          <w:lang w:val="en-US"/>
        </w:rPr>
        <w:t xml:space="preserve"> </w:t>
      </w:r>
      <w:r>
        <w:t>доступа</w:t>
      </w:r>
      <w:r w:rsidRPr="00363B6B">
        <w:rPr>
          <w:lang w:val="en-US"/>
        </w:rPr>
        <w:t xml:space="preserve">: </w:t>
      </w:r>
      <w:r w:rsidRPr="00AC5B4D">
        <w:rPr>
          <w:lang w:val="en-US"/>
        </w:rPr>
        <w:t>https</w:t>
      </w:r>
      <w:r w:rsidRPr="00363B6B">
        <w:rPr>
          <w:lang w:val="en-US"/>
        </w:rPr>
        <w:t>://</w:t>
      </w:r>
      <w:r w:rsidRPr="00AC5B4D">
        <w:rPr>
          <w:lang w:val="en-US"/>
        </w:rPr>
        <w:t>www</w:t>
      </w:r>
      <w:r w:rsidRPr="00363B6B">
        <w:rPr>
          <w:lang w:val="en-US"/>
        </w:rPr>
        <w:t>.</w:t>
      </w:r>
      <w:r w:rsidRPr="00AC5B4D">
        <w:rPr>
          <w:lang w:val="en-US"/>
        </w:rPr>
        <w:t>pwc</w:t>
      </w:r>
      <w:r w:rsidRPr="00363B6B">
        <w:rPr>
          <w:lang w:val="en-US"/>
        </w:rPr>
        <w:t>.</w:t>
      </w:r>
      <w:r w:rsidRPr="00AC5B4D">
        <w:rPr>
          <w:lang w:val="en-US"/>
        </w:rPr>
        <w:t>com</w:t>
      </w:r>
      <w:r w:rsidRPr="00363B6B">
        <w:rPr>
          <w:lang w:val="en-US"/>
        </w:rPr>
        <w:t>/</w:t>
      </w:r>
      <w:r w:rsidRPr="00AC5B4D">
        <w:rPr>
          <w:lang w:val="en-US"/>
        </w:rPr>
        <w:t>us</w:t>
      </w:r>
      <w:r w:rsidRPr="00363B6B">
        <w:rPr>
          <w:lang w:val="en-US"/>
        </w:rPr>
        <w:t>/</w:t>
      </w:r>
      <w:r w:rsidRPr="00AC5B4D">
        <w:rPr>
          <w:lang w:val="en-US"/>
        </w:rPr>
        <w:t>en</w:t>
      </w:r>
      <w:r w:rsidRPr="00363B6B">
        <w:rPr>
          <w:lang w:val="en-US"/>
        </w:rPr>
        <w:t>/</w:t>
      </w:r>
      <w:r w:rsidRPr="00AC5B4D">
        <w:rPr>
          <w:lang w:val="en-US"/>
        </w:rPr>
        <w:t>services</w:t>
      </w:r>
      <w:r w:rsidRPr="00363B6B">
        <w:rPr>
          <w:lang w:val="en-US"/>
        </w:rPr>
        <w:t>/</w:t>
      </w:r>
      <w:r w:rsidRPr="00AC5B4D">
        <w:rPr>
          <w:lang w:val="en-US"/>
        </w:rPr>
        <w:t>deals</w:t>
      </w:r>
      <w:r w:rsidRPr="00363B6B">
        <w:rPr>
          <w:lang w:val="en-US"/>
        </w:rPr>
        <w:t>/</w:t>
      </w:r>
      <w:r w:rsidRPr="00AC5B4D">
        <w:rPr>
          <w:lang w:val="en-US"/>
        </w:rPr>
        <w:t>library</w:t>
      </w:r>
      <w:r w:rsidRPr="00363B6B">
        <w:rPr>
          <w:lang w:val="en-US"/>
        </w:rPr>
        <w:t>/</w:t>
      </w:r>
      <w:r w:rsidRPr="00AC5B4D">
        <w:rPr>
          <w:lang w:val="en-US"/>
        </w:rPr>
        <w:t>cost</w:t>
      </w:r>
      <w:r w:rsidRPr="00363B6B">
        <w:rPr>
          <w:lang w:val="en-US"/>
        </w:rPr>
        <w:t>-</w:t>
      </w:r>
      <w:r w:rsidRPr="00AC5B4D">
        <w:rPr>
          <w:lang w:val="en-US"/>
        </w:rPr>
        <w:t>of</w:t>
      </w:r>
      <w:r w:rsidRPr="00363B6B">
        <w:rPr>
          <w:lang w:val="en-US"/>
        </w:rPr>
        <w:t>-</w:t>
      </w:r>
      <w:r w:rsidRPr="00AC5B4D">
        <w:rPr>
          <w:lang w:val="en-US"/>
        </w:rPr>
        <w:t>an</w:t>
      </w:r>
      <w:r w:rsidRPr="00363B6B">
        <w:rPr>
          <w:lang w:val="en-US"/>
        </w:rPr>
        <w:t>-</w:t>
      </w:r>
      <w:r w:rsidRPr="00AC5B4D">
        <w:rPr>
          <w:lang w:val="en-US"/>
        </w:rPr>
        <w:t>ipo</w:t>
      </w:r>
      <w:r w:rsidRPr="00363B6B">
        <w:rPr>
          <w:lang w:val="en-US"/>
        </w:rPr>
        <w:t>.</w:t>
      </w:r>
      <w:r w:rsidRPr="00AC5B4D">
        <w:rPr>
          <w:lang w:val="en-US"/>
        </w:rPr>
        <w:t>html</w:t>
      </w:r>
      <w:r w:rsidRPr="00363B6B">
        <w:rPr>
          <w:lang w:val="en-US"/>
        </w:rPr>
        <w:t>#:~:</w:t>
      </w:r>
      <w:r w:rsidRPr="00AC5B4D">
        <w:rPr>
          <w:lang w:val="en-US"/>
        </w:rPr>
        <w:t>text</w:t>
      </w:r>
      <w:r w:rsidRPr="00363B6B">
        <w:rPr>
          <w:lang w:val="en-US"/>
        </w:rPr>
        <w:t>=</w:t>
      </w:r>
      <w:r w:rsidRPr="00AC5B4D">
        <w:rPr>
          <w:lang w:val="en-US"/>
        </w:rPr>
        <w:t>Underwriting</w:t>
      </w:r>
      <w:r w:rsidRPr="00363B6B">
        <w:rPr>
          <w:lang w:val="en-US"/>
        </w:rPr>
        <w:t>%20</w:t>
      </w:r>
      <w:r w:rsidRPr="00AC5B4D">
        <w:rPr>
          <w:lang w:val="en-US"/>
        </w:rPr>
        <w:t>fee</w:t>
      </w:r>
      <w:r w:rsidRPr="00363B6B">
        <w:rPr>
          <w:lang w:val="en-US"/>
        </w:rPr>
        <w:t>,-</w:t>
      </w:r>
      <w:r w:rsidRPr="00AC5B4D">
        <w:rPr>
          <w:lang w:val="en-US"/>
        </w:rPr>
        <w:t>Investment</w:t>
      </w:r>
      <w:r w:rsidRPr="00363B6B">
        <w:rPr>
          <w:lang w:val="en-US"/>
        </w:rPr>
        <w:t>%20</w:t>
      </w:r>
      <w:r w:rsidRPr="00AC5B4D">
        <w:rPr>
          <w:lang w:val="en-US"/>
        </w:rPr>
        <w:t>banks</w:t>
      </w:r>
      <w:r w:rsidRPr="00363B6B">
        <w:rPr>
          <w:lang w:val="en-US"/>
        </w:rPr>
        <w:t>%20</w:t>
      </w:r>
      <w:r w:rsidRPr="00AC5B4D">
        <w:rPr>
          <w:lang w:val="en-US"/>
        </w:rPr>
        <w:t>charge</w:t>
      </w:r>
      <w:r w:rsidRPr="00363B6B">
        <w:rPr>
          <w:lang w:val="en-US"/>
        </w:rPr>
        <w:t>&amp;</w:t>
      </w:r>
      <w:r w:rsidRPr="00AC5B4D">
        <w:rPr>
          <w:lang w:val="en-US"/>
        </w:rPr>
        <w:t>text</w:t>
      </w:r>
      <w:r w:rsidRPr="00363B6B">
        <w:rPr>
          <w:lang w:val="en-US"/>
        </w:rPr>
        <w:t>=</w:t>
      </w:r>
      <w:r w:rsidRPr="00AC5B4D">
        <w:rPr>
          <w:lang w:val="en-US"/>
        </w:rPr>
        <w:t>Underwriting</w:t>
      </w:r>
      <w:r w:rsidRPr="00363B6B">
        <w:rPr>
          <w:lang w:val="en-US"/>
        </w:rPr>
        <w:t>%20</w:t>
      </w:r>
      <w:r w:rsidRPr="00AC5B4D">
        <w:rPr>
          <w:lang w:val="en-US"/>
        </w:rPr>
        <w:t>fees</w:t>
      </w:r>
      <w:r w:rsidRPr="00363B6B">
        <w:rPr>
          <w:lang w:val="en-US"/>
        </w:rPr>
        <w:t>%20</w:t>
      </w:r>
      <w:r w:rsidRPr="00AC5B4D">
        <w:rPr>
          <w:lang w:val="en-US"/>
        </w:rPr>
        <w:t>are</w:t>
      </w:r>
      <w:r w:rsidRPr="00363B6B">
        <w:rPr>
          <w:lang w:val="en-US"/>
        </w:rPr>
        <w:t>%20</w:t>
      </w:r>
      <w:r w:rsidRPr="00AC5B4D">
        <w:rPr>
          <w:lang w:val="en-US"/>
        </w:rPr>
        <w:t>the</w:t>
      </w:r>
      <w:r w:rsidRPr="00363B6B">
        <w:rPr>
          <w:lang w:val="en-US"/>
        </w:rPr>
        <w:t>%20</w:t>
      </w:r>
      <w:r w:rsidRPr="00AC5B4D">
        <w:rPr>
          <w:lang w:val="en-US"/>
        </w:rPr>
        <w:t>largest</w:t>
      </w:r>
      <w:r w:rsidRPr="00363B6B">
        <w:rPr>
          <w:lang w:val="en-US"/>
        </w:rPr>
        <w:t>,7.0%25%20</w:t>
      </w:r>
      <w:r w:rsidRPr="00AC5B4D">
        <w:rPr>
          <w:lang w:val="en-US"/>
        </w:rPr>
        <w:t>of</w:t>
      </w:r>
      <w:r w:rsidRPr="00363B6B">
        <w:rPr>
          <w:lang w:val="en-US"/>
        </w:rPr>
        <w:t>%20</w:t>
      </w:r>
      <w:r w:rsidRPr="00AC5B4D">
        <w:rPr>
          <w:lang w:val="en-US"/>
        </w:rPr>
        <w:t>gross</w:t>
      </w:r>
      <w:r w:rsidRPr="00363B6B">
        <w:rPr>
          <w:lang w:val="en-US"/>
        </w:rPr>
        <w:t>%20</w:t>
      </w:r>
      <w:r w:rsidRPr="00AC5B4D">
        <w:rPr>
          <w:lang w:val="en-US"/>
        </w:rPr>
        <w:t>IPO</w:t>
      </w:r>
      <w:r w:rsidRPr="00363B6B">
        <w:rPr>
          <w:lang w:val="en-US"/>
        </w:rPr>
        <w:t>%20</w:t>
      </w:r>
      <w:r w:rsidRPr="00AC5B4D">
        <w:rPr>
          <w:lang w:val="en-US"/>
        </w:rPr>
        <w:t>proceeds</w:t>
      </w:r>
      <w:r w:rsidRPr="00363B6B">
        <w:rPr>
          <w:lang w:val="en-US"/>
        </w:rPr>
        <w:t xml:space="preserve">. </w:t>
      </w:r>
      <w:r w:rsidRPr="00FC1614">
        <w:t>(</w:t>
      </w:r>
      <w:r>
        <w:t>дата</w:t>
      </w:r>
      <w:r w:rsidRPr="00FC1614">
        <w:t xml:space="preserve"> </w:t>
      </w:r>
      <w:r>
        <w:t>обращения</w:t>
      </w:r>
      <w:r w:rsidRPr="00FC1614">
        <w:t>: 01.02.2022).</w:t>
      </w:r>
    </w:p>
    <w:p w14:paraId="39D9257E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D61633">
        <w:rPr>
          <w:lang w:val="en-US"/>
        </w:rPr>
        <w:t xml:space="preserve">Cumming D., </w:t>
      </w:r>
      <w:proofErr w:type="spellStart"/>
      <w:r w:rsidRPr="00D61633">
        <w:rPr>
          <w:lang w:val="en-US"/>
        </w:rPr>
        <w:t>Haß</w:t>
      </w:r>
      <w:proofErr w:type="spellEnd"/>
      <w:r w:rsidRPr="00D61633">
        <w:rPr>
          <w:lang w:val="en-US"/>
        </w:rPr>
        <w:t xml:space="preserve"> L. H., Schweizer D. The </w:t>
      </w:r>
      <w:proofErr w:type="gramStart"/>
      <w:r w:rsidRPr="00D61633">
        <w:rPr>
          <w:lang w:val="en-US"/>
        </w:rPr>
        <w:t>fast track</w:t>
      </w:r>
      <w:proofErr w:type="gramEnd"/>
      <w:r w:rsidRPr="00D61633">
        <w:rPr>
          <w:lang w:val="en-US"/>
        </w:rPr>
        <w:t xml:space="preserve"> IPO–Success factors for taking firms public with SPACs //Journal of Banking &amp; Finance. – 2014. – Т. 47. – С. 198-213.</w:t>
      </w:r>
    </w:p>
    <w:p w14:paraId="5A8028B7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6A5E59">
        <w:rPr>
          <w:lang w:val="en-US"/>
        </w:rPr>
        <w:lastRenderedPageBreak/>
        <w:t xml:space="preserve">David E. et al. Why SPACs Are Booming, and Is there the </w:t>
      </w:r>
      <w:proofErr w:type="spellStart"/>
      <w:r w:rsidRPr="006A5E59">
        <w:rPr>
          <w:lang w:val="en-US"/>
        </w:rPr>
        <w:t>SPAc</w:t>
      </w:r>
      <w:proofErr w:type="spellEnd"/>
      <w:r w:rsidRPr="006A5E59">
        <w:rPr>
          <w:lang w:val="en-US"/>
        </w:rPr>
        <w:t xml:space="preserve"> bubble? //Review of Business and Economics Studies. – 2021. – №. 2. – С. 38-45.</w:t>
      </w:r>
    </w:p>
    <w:p w14:paraId="01A6DB70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385B47">
        <w:rPr>
          <w:lang w:val="en-US"/>
        </w:rPr>
        <w:t>Dimitrova L. Perverse incentives of special purpose acquisition companies, the “poor man's private equity funds” //Journal of Accounting and Economics. – 2017. – Т. 63. – №. 1. – С. 99-120.</w:t>
      </w:r>
    </w:p>
    <w:p w14:paraId="793CFAD3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spellStart"/>
      <w:r w:rsidRPr="00DD6AEF">
        <w:rPr>
          <w:lang w:val="en-US"/>
        </w:rPr>
        <w:t>Fama</w:t>
      </w:r>
      <w:proofErr w:type="spellEnd"/>
      <w:r w:rsidRPr="00DD6AEF">
        <w:rPr>
          <w:lang w:val="en-US"/>
        </w:rPr>
        <w:t xml:space="preserve"> E. F., French K. R. Common risk factors in the returns on stocks and bonds //Journal of financial economics. – 1993. – Т. 33. – №. 1. – С. 3-56.</w:t>
      </w:r>
    </w:p>
    <w:p w14:paraId="336F7820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>
        <w:rPr>
          <w:lang w:val="en-US"/>
        </w:rPr>
        <w:t xml:space="preserve">Form S-1 </w:t>
      </w:r>
      <w:r w:rsidRPr="00866439">
        <w:rPr>
          <w:lang w:val="en-US"/>
        </w:rPr>
        <w:t xml:space="preserve">Arctos NorthStar Acquisition Corp. </w:t>
      </w:r>
      <w:r>
        <w:t xml:space="preserve">[Электронный ресурс] // </w:t>
      </w:r>
      <w:r>
        <w:rPr>
          <w:lang w:val="en-US"/>
        </w:rPr>
        <w:t>SEC</w:t>
      </w:r>
      <w:r>
        <w:t xml:space="preserve">. — Режим доступа: </w:t>
      </w:r>
      <w:r w:rsidRPr="002F36B1">
        <w:t>https://www.sec.gov/Archives/edgar/data/0001829558/000119312521030709/d58094ds1.htm</w:t>
      </w:r>
      <w:r>
        <w:t xml:space="preserve"> (дата обращения: </w:t>
      </w:r>
      <w:r w:rsidRPr="002F36B1">
        <w:t>01</w:t>
      </w:r>
      <w:r>
        <w:t>.</w:t>
      </w:r>
      <w:r w:rsidRPr="002F36B1">
        <w:t>02</w:t>
      </w:r>
      <w:r>
        <w:t>.</w:t>
      </w:r>
      <w:r w:rsidRPr="002F36B1">
        <w:t>2022</w:t>
      </w:r>
      <w:r>
        <w:t>).</w:t>
      </w:r>
    </w:p>
    <w:p w14:paraId="56603239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>
        <w:rPr>
          <w:lang w:val="en-US"/>
        </w:rPr>
        <w:t>Form</w:t>
      </w:r>
      <w:r w:rsidRPr="004A234C">
        <w:t xml:space="preserve"> </w:t>
      </w:r>
      <w:r>
        <w:rPr>
          <w:lang w:val="en-US"/>
        </w:rPr>
        <w:t>S</w:t>
      </w:r>
      <w:r w:rsidRPr="004A234C">
        <w:t xml:space="preserve">-1 </w:t>
      </w:r>
      <w:r w:rsidRPr="004A234C">
        <w:rPr>
          <w:lang w:val="en-US"/>
        </w:rPr>
        <w:t>Slam</w:t>
      </w:r>
      <w:r w:rsidRPr="004A234C">
        <w:t xml:space="preserve"> </w:t>
      </w:r>
      <w:r w:rsidRPr="004A234C">
        <w:rPr>
          <w:lang w:val="en-US"/>
        </w:rPr>
        <w:t>Corp</w:t>
      </w:r>
      <w:r w:rsidRPr="004A234C">
        <w:t xml:space="preserve">. </w:t>
      </w:r>
      <w:r>
        <w:t xml:space="preserve">[Электронный ресурс] // </w:t>
      </w:r>
      <w:r>
        <w:rPr>
          <w:lang w:val="en-US"/>
        </w:rPr>
        <w:t>SEC</w:t>
      </w:r>
      <w:r>
        <w:t xml:space="preserve">. — Режим доступа: </w:t>
      </w:r>
      <w:r w:rsidRPr="004A234C">
        <w:t>https://www.sec.gov/Archives/edgar/data/0001838162/000119312521028736/d941708ds1.htm</w:t>
      </w:r>
      <w:r>
        <w:t xml:space="preserve"> (дата обращения: </w:t>
      </w:r>
      <w:r w:rsidRPr="002F36B1">
        <w:t>01</w:t>
      </w:r>
      <w:r>
        <w:t>.</w:t>
      </w:r>
      <w:r w:rsidRPr="002F36B1">
        <w:t>02</w:t>
      </w:r>
      <w:r>
        <w:t>.</w:t>
      </w:r>
      <w:r w:rsidRPr="002F36B1">
        <w:t>2022</w:t>
      </w:r>
      <w:r>
        <w:t>).</w:t>
      </w:r>
    </w:p>
    <w:p w14:paraId="4373A34D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 w:rsidRPr="00D5466C">
        <w:t xml:space="preserve">Form S-1 </w:t>
      </w:r>
      <w:proofErr w:type="spellStart"/>
      <w:r w:rsidRPr="00D5466C">
        <w:t>Switchback</w:t>
      </w:r>
      <w:proofErr w:type="spellEnd"/>
      <w:r w:rsidRPr="00D5466C">
        <w:t xml:space="preserve"> II [Электронный ресурс] // SEC. — Режим доступа: https://www.sec.gov/Archives/edgar/data/1829730/000156459021000859/swbku-424b4.htm (дата обращения: 01.02.2022).</w:t>
      </w:r>
    </w:p>
    <w:p w14:paraId="464C9EB5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spellStart"/>
      <w:r w:rsidRPr="00085222">
        <w:rPr>
          <w:lang w:val="en-US"/>
        </w:rPr>
        <w:t>Gahng</w:t>
      </w:r>
      <w:proofErr w:type="spellEnd"/>
      <w:r w:rsidRPr="00085222">
        <w:rPr>
          <w:lang w:val="en-US"/>
        </w:rPr>
        <w:t xml:space="preserve"> M., Ritter J. R., Zhang D. SPACs //Available at SSRN 3775847. – 2021.</w:t>
      </w:r>
    </w:p>
    <w:p w14:paraId="04716883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737ADD">
        <w:rPr>
          <w:lang w:val="en-US"/>
        </w:rPr>
        <w:t>Heyman D. K. From blank check to SPAC: the regulator's response to the market, and the market's response to the regulation //Entrepreneurial Bus. LJ. – 2007. – Т. 2. – С. 531.</w:t>
      </w:r>
    </w:p>
    <w:p w14:paraId="0DC32C81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gramStart"/>
      <w:r w:rsidRPr="008D3472">
        <w:rPr>
          <w:lang w:val="en-US"/>
        </w:rPr>
        <w:t>How</w:t>
      </w:r>
      <w:proofErr w:type="gramEnd"/>
      <w:r w:rsidRPr="008D3472">
        <w:rPr>
          <w:lang w:val="en-US"/>
        </w:rPr>
        <w:t xml:space="preserve"> special purpose acquisition companies (SPACs) work</w:t>
      </w:r>
      <w:r w:rsidRPr="003523D2">
        <w:rPr>
          <w:lang w:val="en-US"/>
        </w:rPr>
        <w:t xml:space="preserve"> </w:t>
      </w:r>
      <w:r w:rsidRPr="00207059">
        <w:rPr>
          <w:lang w:val="en-US"/>
        </w:rPr>
        <w:t>[</w:t>
      </w:r>
      <w:r>
        <w:t>Электронный</w:t>
      </w:r>
      <w:r w:rsidRPr="00207059">
        <w:rPr>
          <w:lang w:val="en-US"/>
        </w:rPr>
        <w:t xml:space="preserve"> </w:t>
      </w:r>
      <w:r>
        <w:t>ресурс</w:t>
      </w:r>
      <w:r w:rsidRPr="00207059">
        <w:rPr>
          <w:lang w:val="en-US"/>
        </w:rPr>
        <w:t xml:space="preserve">] // </w:t>
      </w:r>
      <w:r>
        <w:rPr>
          <w:lang w:val="en-US"/>
        </w:rPr>
        <w:t>PWC</w:t>
      </w:r>
      <w:r w:rsidRPr="00207059">
        <w:rPr>
          <w:lang w:val="en-US"/>
        </w:rPr>
        <w:t xml:space="preserve">. — </w:t>
      </w:r>
      <w:r>
        <w:t>Режим</w:t>
      </w:r>
      <w:r w:rsidRPr="00207059">
        <w:rPr>
          <w:lang w:val="en-US"/>
        </w:rPr>
        <w:t xml:space="preserve"> </w:t>
      </w:r>
      <w:r>
        <w:t>доступа</w:t>
      </w:r>
      <w:r w:rsidRPr="00207059">
        <w:rPr>
          <w:lang w:val="en-US"/>
        </w:rPr>
        <w:t xml:space="preserve">: </w:t>
      </w:r>
      <w:r w:rsidRPr="00133180">
        <w:rPr>
          <w:lang w:val="en-US"/>
        </w:rPr>
        <w:t>https://www.pwc.com/us/en/services/consulting/deals/library/spac-merger.html</w:t>
      </w:r>
      <w:r w:rsidRPr="00207059">
        <w:rPr>
          <w:lang w:val="en-US"/>
        </w:rPr>
        <w:t xml:space="preserve"> (</w:t>
      </w:r>
      <w:r>
        <w:t>дата</w:t>
      </w:r>
      <w:r w:rsidRPr="00207059">
        <w:rPr>
          <w:lang w:val="en-US"/>
        </w:rPr>
        <w:t xml:space="preserve"> </w:t>
      </w:r>
      <w:r>
        <w:t>обращения</w:t>
      </w:r>
      <w:r w:rsidRPr="00207059">
        <w:rPr>
          <w:lang w:val="en-US"/>
        </w:rPr>
        <w:t>: 01.02.2022).</w:t>
      </w:r>
    </w:p>
    <w:p w14:paraId="138F0C36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 w:rsidRPr="00106BF7">
        <w:rPr>
          <w:lang w:val="en-US"/>
        </w:rPr>
        <w:t xml:space="preserve">Investment Banking Issues: Why Do IPOs Get Underpriced? </w:t>
      </w:r>
      <w:r w:rsidRPr="007579F6">
        <w:t>[</w:t>
      </w:r>
      <w:r>
        <w:t>Электронный</w:t>
      </w:r>
      <w:r w:rsidRPr="007579F6">
        <w:t xml:space="preserve"> </w:t>
      </w:r>
      <w:r>
        <w:t>ресурс</w:t>
      </w:r>
      <w:r w:rsidRPr="007579F6">
        <w:t xml:space="preserve">] // </w:t>
      </w:r>
      <w:r>
        <w:rPr>
          <w:lang w:val="en-US"/>
        </w:rPr>
        <w:t>Management</w:t>
      </w:r>
      <w:r w:rsidRPr="00106BF7">
        <w:t xml:space="preserve"> </w:t>
      </w:r>
      <w:r>
        <w:rPr>
          <w:lang w:val="en-US"/>
        </w:rPr>
        <w:t>Study</w:t>
      </w:r>
      <w:r w:rsidRPr="00106BF7">
        <w:t xml:space="preserve"> </w:t>
      </w:r>
      <w:r>
        <w:rPr>
          <w:lang w:val="en-US"/>
        </w:rPr>
        <w:t>Guide</w:t>
      </w:r>
      <w:r w:rsidRPr="007579F6">
        <w:t xml:space="preserve">. — </w:t>
      </w:r>
      <w:r>
        <w:t>Режим</w:t>
      </w:r>
      <w:r w:rsidRPr="007579F6">
        <w:t xml:space="preserve"> </w:t>
      </w:r>
      <w:r>
        <w:t>доступа</w:t>
      </w:r>
      <w:r w:rsidRPr="007579F6">
        <w:t xml:space="preserve">: </w:t>
      </w:r>
      <w:r w:rsidRPr="00106BF7">
        <w:rPr>
          <w:lang w:val="en-US"/>
        </w:rPr>
        <w:t>https</w:t>
      </w:r>
      <w:r w:rsidRPr="00106BF7">
        <w:t>://</w:t>
      </w:r>
      <w:r w:rsidRPr="00106BF7">
        <w:rPr>
          <w:lang w:val="en-US"/>
        </w:rPr>
        <w:t>www</w:t>
      </w:r>
      <w:r w:rsidRPr="00106BF7">
        <w:t>.</w:t>
      </w:r>
      <w:proofErr w:type="spellStart"/>
      <w:r w:rsidRPr="00106BF7">
        <w:rPr>
          <w:lang w:val="en-US"/>
        </w:rPr>
        <w:t>managementstudyguide</w:t>
      </w:r>
      <w:proofErr w:type="spellEnd"/>
      <w:r w:rsidRPr="00106BF7">
        <w:t>.</w:t>
      </w:r>
      <w:r w:rsidRPr="00106BF7">
        <w:rPr>
          <w:lang w:val="en-US"/>
        </w:rPr>
        <w:t>com</w:t>
      </w:r>
      <w:r w:rsidRPr="00106BF7">
        <w:t>/</w:t>
      </w:r>
      <w:r w:rsidRPr="00106BF7">
        <w:rPr>
          <w:lang w:val="en-US"/>
        </w:rPr>
        <w:t>why</w:t>
      </w:r>
      <w:r w:rsidRPr="00106BF7">
        <w:t>-</w:t>
      </w:r>
      <w:r w:rsidRPr="00106BF7">
        <w:rPr>
          <w:lang w:val="en-US"/>
        </w:rPr>
        <w:t>do</w:t>
      </w:r>
      <w:r w:rsidRPr="00106BF7">
        <w:t>-</w:t>
      </w:r>
      <w:proofErr w:type="spellStart"/>
      <w:r w:rsidRPr="00106BF7">
        <w:rPr>
          <w:lang w:val="en-US"/>
        </w:rPr>
        <w:t>ipos</w:t>
      </w:r>
      <w:proofErr w:type="spellEnd"/>
      <w:r w:rsidRPr="00106BF7">
        <w:t>-</w:t>
      </w:r>
      <w:r w:rsidRPr="00106BF7">
        <w:rPr>
          <w:lang w:val="en-US"/>
        </w:rPr>
        <w:t>get</w:t>
      </w:r>
      <w:r w:rsidRPr="00106BF7">
        <w:t>-</w:t>
      </w:r>
      <w:r w:rsidRPr="00106BF7">
        <w:rPr>
          <w:lang w:val="en-US"/>
        </w:rPr>
        <w:t>underpriced</w:t>
      </w:r>
      <w:r w:rsidRPr="00106BF7">
        <w:t>.</w:t>
      </w:r>
      <w:proofErr w:type="spellStart"/>
      <w:r w:rsidRPr="00106BF7">
        <w:rPr>
          <w:lang w:val="en-US"/>
        </w:rPr>
        <w:t>htm</w:t>
      </w:r>
      <w:proofErr w:type="spellEnd"/>
      <w:r w:rsidRPr="007579F6">
        <w:t xml:space="preserve"> </w:t>
      </w:r>
      <w:r w:rsidRPr="00FC1614">
        <w:t>(</w:t>
      </w:r>
      <w:r>
        <w:t>дата</w:t>
      </w:r>
      <w:r w:rsidRPr="00FC1614">
        <w:t xml:space="preserve"> </w:t>
      </w:r>
      <w:r>
        <w:t>обращения</w:t>
      </w:r>
      <w:r w:rsidRPr="00FC1614">
        <w:t>: 01.02.2022).</w:t>
      </w:r>
    </w:p>
    <w:p w14:paraId="71D421B2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spellStart"/>
      <w:r>
        <w:rPr>
          <w:lang w:val="en-US"/>
        </w:rPr>
        <w:t>Kalisvaart</w:t>
      </w:r>
      <w:proofErr w:type="spellEnd"/>
      <w:r>
        <w:rPr>
          <w:lang w:val="en-US"/>
        </w:rPr>
        <w:t xml:space="preserve"> J. </w:t>
      </w:r>
      <w:r w:rsidRPr="00587CD2">
        <w:rPr>
          <w:lang w:val="en-US"/>
        </w:rPr>
        <w:t>Redemption rights at SPACs</w:t>
      </w:r>
      <w:r>
        <w:rPr>
          <w:lang w:val="en-US"/>
        </w:rPr>
        <w:t xml:space="preserve"> //</w:t>
      </w:r>
      <w:r w:rsidRPr="00D54A61">
        <w:rPr>
          <w:lang w:val="en-US"/>
        </w:rPr>
        <w:t>Financial Investigator</w:t>
      </w:r>
      <w:r w:rsidRPr="006A5E59">
        <w:rPr>
          <w:lang w:val="en-US"/>
        </w:rPr>
        <w:t xml:space="preserve">. – 2021. – №. </w:t>
      </w:r>
      <w:r>
        <w:rPr>
          <w:lang w:val="en-US"/>
        </w:rPr>
        <w:t>4</w:t>
      </w:r>
      <w:r w:rsidRPr="006A5E59">
        <w:rPr>
          <w:lang w:val="en-US"/>
        </w:rPr>
        <w:t xml:space="preserve">. – С. </w:t>
      </w:r>
      <w:r>
        <w:rPr>
          <w:lang w:val="en-US"/>
        </w:rPr>
        <w:t>74</w:t>
      </w:r>
      <w:r w:rsidRPr="006A5E59">
        <w:rPr>
          <w:lang w:val="en-US"/>
        </w:rPr>
        <w:t>-</w:t>
      </w:r>
      <w:r>
        <w:rPr>
          <w:lang w:val="en-US"/>
        </w:rPr>
        <w:t>7</w:t>
      </w:r>
      <w:r w:rsidRPr="006A5E59">
        <w:rPr>
          <w:lang w:val="en-US"/>
        </w:rPr>
        <w:t>5.</w:t>
      </w:r>
    </w:p>
    <w:p w14:paraId="721D9EB3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47281A">
        <w:rPr>
          <w:lang w:val="en-US"/>
        </w:rPr>
        <w:t xml:space="preserve">Klausner M., </w:t>
      </w:r>
      <w:proofErr w:type="spellStart"/>
      <w:r w:rsidRPr="0047281A">
        <w:rPr>
          <w:lang w:val="en-US"/>
        </w:rPr>
        <w:t>Ohlrogge</w:t>
      </w:r>
      <w:proofErr w:type="spellEnd"/>
      <w:r w:rsidRPr="0047281A">
        <w:rPr>
          <w:lang w:val="en-US"/>
        </w:rPr>
        <w:t xml:space="preserve"> M., </w:t>
      </w:r>
      <w:proofErr w:type="spellStart"/>
      <w:r w:rsidRPr="0047281A">
        <w:rPr>
          <w:lang w:val="en-US"/>
        </w:rPr>
        <w:t>Ruan</w:t>
      </w:r>
      <w:proofErr w:type="spellEnd"/>
      <w:r w:rsidRPr="0047281A">
        <w:rPr>
          <w:lang w:val="en-US"/>
        </w:rPr>
        <w:t xml:space="preserve"> E. A sober look at SPACs //Yale Journal on Regulation, Forthcoming, Stanford Law and Economics Olin Working Paper. – 2020. – №. 559. – С. 20-48.</w:t>
      </w:r>
    </w:p>
    <w:p w14:paraId="755E2EBD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spellStart"/>
      <w:r w:rsidRPr="003D5BA4">
        <w:rPr>
          <w:lang w:val="en-US"/>
        </w:rPr>
        <w:t>Lakicevic</w:t>
      </w:r>
      <w:proofErr w:type="spellEnd"/>
      <w:r w:rsidRPr="003D5BA4">
        <w:rPr>
          <w:lang w:val="en-US"/>
        </w:rPr>
        <w:t xml:space="preserve"> M. et al. On Mergers, Acquisitions and Liquidation Using Specified Purpose Acquisition Companies (SPACs) //Available at SSRN 2221349. – 2013.</w:t>
      </w:r>
    </w:p>
    <w:p w14:paraId="3933F049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spellStart"/>
      <w:r w:rsidRPr="00E33376">
        <w:rPr>
          <w:lang w:val="en-US"/>
        </w:rPr>
        <w:lastRenderedPageBreak/>
        <w:t>Lakicevic</w:t>
      </w:r>
      <w:proofErr w:type="spellEnd"/>
      <w:r w:rsidRPr="00E33376">
        <w:rPr>
          <w:lang w:val="en-US"/>
        </w:rPr>
        <w:t xml:space="preserve"> M., </w:t>
      </w:r>
      <w:proofErr w:type="spellStart"/>
      <w:r w:rsidRPr="00E33376">
        <w:rPr>
          <w:lang w:val="en-US"/>
        </w:rPr>
        <w:t>Vulanovic</w:t>
      </w:r>
      <w:proofErr w:type="spellEnd"/>
      <w:r w:rsidRPr="00E33376">
        <w:rPr>
          <w:lang w:val="en-US"/>
        </w:rPr>
        <w:t xml:space="preserve"> M. Determinants of mergers: a case of specified purpose acquisition companies (SPACs) //Investment management and financial innovations. – 2011. – №. 8, </w:t>
      </w:r>
      <w:proofErr w:type="spellStart"/>
      <w:r w:rsidRPr="00E33376">
        <w:rPr>
          <w:lang w:val="en-US"/>
        </w:rPr>
        <w:t>Iss</w:t>
      </w:r>
      <w:proofErr w:type="spellEnd"/>
      <w:r w:rsidRPr="00E33376">
        <w:rPr>
          <w:lang w:val="en-US"/>
        </w:rPr>
        <w:t>. 3. – С. 114-120.</w:t>
      </w:r>
    </w:p>
    <w:p w14:paraId="18960274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6D00E5">
        <w:rPr>
          <w:lang w:val="en-US"/>
        </w:rPr>
        <w:t>Largest underwriters of SPAC IPOs worldwide as of September 2021, by number of deals– URL: https://www.statista.com/statistics/1265388/largest-underwriters-of-spac-ipos-worldwide-by-deal-count/ (</w:t>
      </w:r>
      <w:r w:rsidRPr="0012214E">
        <w:t>дата</w:t>
      </w:r>
      <w:r w:rsidRPr="006D00E5">
        <w:rPr>
          <w:lang w:val="en-US"/>
        </w:rPr>
        <w:t xml:space="preserve"> </w:t>
      </w:r>
      <w:r w:rsidRPr="0012214E">
        <w:t>обращения</w:t>
      </w:r>
      <w:r w:rsidRPr="006D00E5">
        <w:rPr>
          <w:lang w:val="en-US"/>
        </w:rPr>
        <w:t>: 01.02.2022).</w:t>
      </w:r>
    </w:p>
    <w:p w14:paraId="4DE8DF20" w14:textId="77777777" w:rsidR="00837A7E" w:rsidRPr="00E32E99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6B34D8">
        <w:rPr>
          <w:lang w:val="en-US"/>
        </w:rPr>
        <w:t xml:space="preserve">Layne R., </w:t>
      </w:r>
      <w:proofErr w:type="spellStart"/>
      <w:r w:rsidRPr="006B34D8">
        <w:rPr>
          <w:lang w:val="en-US"/>
        </w:rPr>
        <w:t>Lenahan</w:t>
      </w:r>
      <w:proofErr w:type="spellEnd"/>
      <w:r w:rsidRPr="006B34D8">
        <w:rPr>
          <w:lang w:val="en-US"/>
        </w:rPr>
        <w:t xml:space="preserve"> B. Special Purpose Acquisition Companies: An Introduction //Harvard Law School Forum on Corporate </w:t>
      </w:r>
      <w:proofErr w:type="gramStart"/>
      <w:r w:rsidRPr="006B34D8">
        <w:rPr>
          <w:lang w:val="en-US"/>
        </w:rPr>
        <w:t>Governance.-</w:t>
      </w:r>
      <w:proofErr w:type="gramEnd"/>
      <w:r w:rsidRPr="006B34D8">
        <w:rPr>
          <w:lang w:val="en-US"/>
        </w:rPr>
        <w:t>2020.-[</w:t>
      </w:r>
      <w:r w:rsidRPr="006B34D8">
        <w:t>Электронный</w:t>
      </w:r>
      <w:r w:rsidRPr="006B34D8">
        <w:rPr>
          <w:lang w:val="en-US"/>
        </w:rPr>
        <w:t xml:space="preserve"> </w:t>
      </w:r>
      <w:r w:rsidRPr="006B34D8">
        <w:t>ресурс</w:t>
      </w:r>
      <w:r w:rsidRPr="006B34D8">
        <w:rPr>
          <w:lang w:val="en-US"/>
        </w:rPr>
        <w:t>].-</w:t>
      </w:r>
      <w:r w:rsidRPr="006B34D8">
        <w:t>Режим</w:t>
      </w:r>
      <w:r w:rsidRPr="006B34D8">
        <w:rPr>
          <w:lang w:val="en-US"/>
        </w:rPr>
        <w:t xml:space="preserve"> </w:t>
      </w:r>
      <w:r w:rsidRPr="006B34D8">
        <w:t>доступа</w:t>
      </w:r>
      <w:r w:rsidRPr="006B34D8">
        <w:rPr>
          <w:lang w:val="en-US"/>
        </w:rPr>
        <w:t xml:space="preserve">: https://corpgov. law. </w:t>
      </w:r>
      <w:proofErr w:type="spellStart"/>
      <w:r w:rsidRPr="006B34D8">
        <w:rPr>
          <w:lang w:val="en-US"/>
        </w:rPr>
        <w:t>harvard</w:t>
      </w:r>
      <w:proofErr w:type="spellEnd"/>
      <w:r w:rsidRPr="006B34D8">
        <w:rPr>
          <w:lang w:val="en-US"/>
        </w:rPr>
        <w:t>. edu/2018/07/06/special-purpose-acquisition-companies-an-introduction (</w:t>
      </w:r>
      <w:r w:rsidRPr="006B34D8">
        <w:t>дата</w:t>
      </w:r>
      <w:r w:rsidRPr="006B34D8">
        <w:rPr>
          <w:lang w:val="en-US"/>
        </w:rPr>
        <w:t xml:space="preserve"> </w:t>
      </w:r>
      <w:r w:rsidRPr="006B34D8">
        <w:t>обращения</w:t>
      </w:r>
      <w:r w:rsidRPr="006B34D8">
        <w:rPr>
          <w:lang w:val="en-US"/>
        </w:rPr>
        <w:t xml:space="preserve"> </w:t>
      </w:r>
      <w:r>
        <w:rPr>
          <w:lang w:val="en-US"/>
        </w:rPr>
        <w:t>01</w:t>
      </w:r>
      <w:r w:rsidRPr="006B34D8">
        <w:rPr>
          <w:lang w:val="en-US"/>
        </w:rPr>
        <w:t>.0</w:t>
      </w:r>
      <w:r>
        <w:rPr>
          <w:lang w:val="en-US"/>
        </w:rPr>
        <w:t>2</w:t>
      </w:r>
      <w:r w:rsidRPr="006B34D8">
        <w:rPr>
          <w:lang w:val="en-US"/>
        </w:rPr>
        <w:t>.</w:t>
      </w:r>
      <w:r>
        <w:rPr>
          <w:lang w:val="en-US"/>
        </w:rPr>
        <w:t xml:space="preserve"> </w:t>
      </w:r>
      <w:r w:rsidRPr="00E32E99">
        <w:rPr>
          <w:lang w:val="en-US"/>
        </w:rPr>
        <w:t>2022). – 2020.</w:t>
      </w:r>
    </w:p>
    <w:p w14:paraId="79C4B74C" w14:textId="77777777" w:rsidR="00837A7E" w:rsidRPr="00E32E99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747A8E">
        <w:rPr>
          <w:lang w:val="en-US"/>
        </w:rPr>
        <w:t xml:space="preserve">Louis </w:t>
      </w:r>
      <w:proofErr w:type="spellStart"/>
      <w:r w:rsidRPr="00747A8E">
        <w:rPr>
          <w:lang w:val="en-US"/>
        </w:rPr>
        <w:t>Lehot</w:t>
      </w:r>
      <w:proofErr w:type="spellEnd"/>
      <w:r w:rsidRPr="00747A8E">
        <w:rPr>
          <w:lang w:val="en-US"/>
        </w:rPr>
        <w:t xml:space="preserve"> Quoted in Crunchbase Discussing SPACs Targeting Young Companies [</w:t>
      </w:r>
      <w:r>
        <w:t>Электронный</w:t>
      </w:r>
      <w:r w:rsidRPr="00747A8E">
        <w:rPr>
          <w:lang w:val="en-US"/>
        </w:rPr>
        <w:t xml:space="preserve"> </w:t>
      </w:r>
      <w:r>
        <w:t>ресурс</w:t>
      </w:r>
      <w:r w:rsidRPr="00747A8E">
        <w:rPr>
          <w:lang w:val="en-US"/>
        </w:rPr>
        <w:t xml:space="preserve">] // </w:t>
      </w:r>
      <w:r>
        <w:rPr>
          <w:lang w:val="en-US"/>
        </w:rPr>
        <w:t>Crunchbase</w:t>
      </w:r>
      <w:r w:rsidRPr="00747A8E">
        <w:rPr>
          <w:lang w:val="en-US"/>
        </w:rPr>
        <w:t xml:space="preserve">. — </w:t>
      </w:r>
      <w:r>
        <w:t>Режим</w:t>
      </w:r>
      <w:r w:rsidRPr="00747A8E">
        <w:rPr>
          <w:lang w:val="en-US"/>
        </w:rPr>
        <w:t xml:space="preserve"> </w:t>
      </w:r>
      <w:r>
        <w:t>доступа</w:t>
      </w:r>
      <w:r w:rsidRPr="00747A8E">
        <w:rPr>
          <w:lang w:val="en-US"/>
        </w:rPr>
        <w:t xml:space="preserve">: https://www.foley.com/en/insights/news/2021/12/foley-partner-louis-lehot-crunchbase-spacs#:~:text=%E2%80%9CThe%20great%20advantage%20of%20a,look%20backward%2C%E2%80%9D%20said%20Lehot. </w:t>
      </w:r>
      <w:r w:rsidRPr="00E32E99">
        <w:rPr>
          <w:lang w:val="en-US"/>
        </w:rPr>
        <w:t>(</w:t>
      </w:r>
      <w:r>
        <w:t>дата</w:t>
      </w:r>
      <w:r w:rsidRPr="00E32E99">
        <w:rPr>
          <w:lang w:val="en-US"/>
        </w:rPr>
        <w:t xml:space="preserve"> </w:t>
      </w:r>
      <w:r>
        <w:t>обращения</w:t>
      </w:r>
      <w:r w:rsidRPr="00E32E99">
        <w:rPr>
          <w:lang w:val="en-US"/>
        </w:rPr>
        <w:t>: 01.02.2022).</w:t>
      </w:r>
    </w:p>
    <w:p w14:paraId="0AB8D54D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81267E">
        <w:rPr>
          <w:lang w:val="en-US"/>
        </w:rPr>
        <w:t>Multinomial Logistic Regression</w:t>
      </w:r>
      <w:r w:rsidRPr="00106BF7">
        <w:rPr>
          <w:lang w:val="en-US"/>
        </w:rPr>
        <w:t xml:space="preserve"> </w:t>
      </w:r>
      <w:r w:rsidRPr="00DA4D61">
        <w:rPr>
          <w:lang w:val="en-US"/>
        </w:rPr>
        <w:t>[</w:t>
      </w:r>
      <w:r>
        <w:t>Электронный</w:t>
      </w:r>
      <w:r w:rsidRPr="00DA4D61">
        <w:rPr>
          <w:lang w:val="en-US"/>
        </w:rPr>
        <w:t xml:space="preserve"> </w:t>
      </w:r>
      <w:r>
        <w:t>ресурс</w:t>
      </w:r>
      <w:r w:rsidRPr="00DA4D61">
        <w:rPr>
          <w:lang w:val="en-US"/>
        </w:rPr>
        <w:t xml:space="preserve">] // </w:t>
      </w:r>
      <w:r w:rsidRPr="0081267E">
        <w:rPr>
          <w:lang w:val="en-US"/>
        </w:rPr>
        <w:t xml:space="preserve">University Information Technology. — </w:t>
      </w:r>
      <w:r>
        <w:t>Режим</w:t>
      </w:r>
      <w:r w:rsidRPr="0081267E">
        <w:rPr>
          <w:lang w:val="en-US"/>
        </w:rPr>
        <w:t xml:space="preserve"> </w:t>
      </w:r>
      <w:r>
        <w:t>доступа</w:t>
      </w:r>
      <w:r w:rsidRPr="0081267E">
        <w:rPr>
          <w:lang w:val="en-US"/>
        </w:rPr>
        <w:t>: https://it.unt.edu/sites/default/files/mlr_jds_aug2011.pdf (</w:t>
      </w:r>
      <w:r>
        <w:t>дата</w:t>
      </w:r>
      <w:r w:rsidRPr="0081267E">
        <w:rPr>
          <w:lang w:val="en-US"/>
        </w:rPr>
        <w:t xml:space="preserve"> </w:t>
      </w:r>
      <w:r>
        <w:t>обращения</w:t>
      </w:r>
      <w:r w:rsidRPr="0081267E">
        <w:rPr>
          <w:lang w:val="en-US"/>
        </w:rPr>
        <w:t>: 01.02.2022).</w:t>
      </w:r>
    </w:p>
    <w:p w14:paraId="6FDB93A8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>
        <w:rPr>
          <w:lang w:val="en-US"/>
        </w:rPr>
        <w:t xml:space="preserve">Patrick Jenkins, </w:t>
      </w:r>
      <w:r w:rsidRPr="0012214E">
        <w:rPr>
          <w:lang w:val="en-US"/>
        </w:rPr>
        <w:t>The twisted logic of reverse listings [</w:t>
      </w:r>
      <w:r>
        <w:t>Электронный</w:t>
      </w:r>
      <w:r w:rsidRPr="0012214E">
        <w:rPr>
          <w:lang w:val="en-US"/>
        </w:rPr>
        <w:t xml:space="preserve"> </w:t>
      </w:r>
      <w:r>
        <w:t>ресурс</w:t>
      </w:r>
      <w:r w:rsidRPr="0012214E">
        <w:rPr>
          <w:lang w:val="en-US"/>
        </w:rPr>
        <w:t xml:space="preserve">] // </w:t>
      </w:r>
      <w:r>
        <w:rPr>
          <w:lang w:val="en-US"/>
        </w:rPr>
        <w:t>Financial Times</w:t>
      </w:r>
      <w:r w:rsidRPr="0012214E">
        <w:rPr>
          <w:lang w:val="en-US"/>
        </w:rPr>
        <w:t xml:space="preserve">. — </w:t>
      </w:r>
      <w:r>
        <w:t>Режим</w:t>
      </w:r>
      <w:r w:rsidRPr="0012214E">
        <w:rPr>
          <w:lang w:val="en-US"/>
        </w:rPr>
        <w:t xml:space="preserve"> </w:t>
      </w:r>
      <w:r>
        <w:t>доступа</w:t>
      </w:r>
      <w:r w:rsidRPr="0012214E">
        <w:rPr>
          <w:lang w:val="en-US"/>
        </w:rPr>
        <w:t>: https://www.ft.com/content/7501e978-2a62-4a5c-bf94-aaacf2ce40f2 (</w:t>
      </w:r>
      <w:r>
        <w:t>дата</w:t>
      </w:r>
      <w:r w:rsidRPr="0012214E">
        <w:rPr>
          <w:lang w:val="en-US"/>
        </w:rPr>
        <w:t xml:space="preserve"> </w:t>
      </w:r>
      <w:r>
        <w:t>обращения</w:t>
      </w:r>
      <w:r w:rsidRPr="0012214E">
        <w:rPr>
          <w:lang w:val="en-US"/>
        </w:rPr>
        <w:t>: 01.02.2022).</w:t>
      </w:r>
    </w:p>
    <w:p w14:paraId="55BC8612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477DD0">
        <w:rPr>
          <w:lang w:val="en-US"/>
        </w:rPr>
        <w:t xml:space="preserve">Paulina </w:t>
      </w:r>
      <w:proofErr w:type="spellStart"/>
      <w:r w:rsidRPr="00477DD0">
        <w:rPr>
          <w:lang w:val="en-US"/>
        </w:rPr>
        <w:t>Likos</w:t>
      </w:r>
      <w:proofErr w:type="spellEnd"/>
      <w:r w:rsidRPr="00477DD0">
        <w:rPr>
          <w:lang w:val="en-US"/>
        </w:rPr>
        <w:t>, How to Buy IPO Stock at Its Offer Price [</w:t>
      </w:r>
      <w:r>
        <w:t>Электронный</w:t>
      </w:r>
      <w:r w:rsidRPr="00477DD0">
        <w:rPr>
          <w:lang w:val="en-US"/>
        </w:rPr>
        <w:t xml:space="preserve"> </w:t>
      </w:r>
      <w:r>
        <w:t>ресурс</w:t>
      </w:r>
      <w:r w:rsidRPr="00477DD0">
        <w:rPr>
          <w:lang w:val="en-US"/>
        </w:rPr>
        <w:t xml:space="preserve">] // </w:t>
      </w:r>
      <w:r>
        <w:rPr>
          <w:lang w:val="en-US"/>
        </w:rPr>
        <w:t>U</w:t>
      </w:r>
      <w:r w:rsidRPr="00477DD0">
        <w:rPr>
          <w:lang w:val="en-US"/>
        </w:rPr>
        <w:t>.</w:t>
      </w:r>
      <w:r>
        <w:rPr>
          <w:lang w:val="en-US"/>
        </w:rPr>
        <w:t>S</w:t>
      </w:r>
      <w:r w:rsidRPr="00477DD0">
        <w:rPr>
          <w:lang w:val="en-US"/>
        </w:rPr>
        <w:t>.</w:t>
      </w:r>
      <w:r>
        <w:rPr>
          <w:lang w:val="en-US"/>
        </w:rPr>
        <w:t xml:space="preserve"> News</w:t>
      </w:r>
      <w:r w:rsidRPr="00477DD0">
        <w:rPr>
          <w:lang w:val="en-US"/>
        </w:rPr>
        <w:t xml:space="preserve">. — </w:t>
      </w:r>
      <w:r>
        <w:t>Режим</w:t>
      </w:r>
      <w:r w:rsidRPr="00477DD0">
        <w:rPr>
          <w:lang w:val="en-US"/>
        </w:rPr>
        <w:t xml:space="preserve"> </w:t>
      </w:r>
      <w:r>
        <w:t>доступа</w:t>
      </w:r>
      <w:r w:rsidRPr="00477DD0">
        <w:rPr>
          <w:lang w:val="en-US"/>
        </w:rPr>
        <w:t>: https://money.usnews.com/investing/investing-101/articles/how-to-buy-ipo-stock-at-its-offer-price (</w:t>
      </w:r>
      <w:r>
        <w:t>дата</w:t>
      </w:r>
      <w:r w:rsidRPr="00477DD0">
        <w:rPr>
          <w:lang w:val="en-US"/>
        </w:rPr>
        <w:t xml:space="preserve"> </w:t>
      </w:r>
      <w:r>
        <w:t>обращения</w:t>
      </w:r>
      <w:r w:rsidRPr="00477DD0">
        <w:rPr>
          <w:lang w:val="en-US"/>
        </w:rPr>
        <w:t>: 01.02.2022).</w:t>
      </w:r>
    </w:p>
    <w:p w14:paraId="3C704C10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3523D2">
        <w:rPr>
          <w:lang w:val="en-US"/>
        </w:rPr>
        <w:t xml:space="preserve">PIPE Transactions: A Growing Source of Private Financing </w:t>
      </w:r>
      <w:r w:rsidRPr="00207059">
        <w:rPr>
          <w:lang w:val="en-US"/>
        </w:rPr>
        <w:t>[</w:t>
      </w:r>
      <w:r>
        <w:t>Электронный</w:t>
      </w:r>
      <w:r w:rsidRPr="00207059">
        <w:rPr>
          <w:lang w:val="en-US"/>
        </w:rPr>
        <w:t xml:space="preserve"> </w:t>
      </w:r>
      <w:r>
        <w:t>ресурс</w:t>
      </w:r>
      <w:r w:rsidRPr="00207059">
        <w:rPr>
          <w:lang w:val="en-US"/>
        </w:rPr>
        <w:t xml:space="preserve">] // </w:t>
      </w:r>
      <w:r>
        <w:rPr>
          <w:lang w:val="en-US"/>
        </w:rPr>
        <w:t>Carpenter Wellington</w:t>
      </w:r>
      <w:r w:rsidRPr="00207059">
        <w:rPr>
          <w:lang w:val="en-US"/>
        </w:rPr>
        <w:t xml:space="preserve">. — </w:t>
      </w:r>
      <w:r>
        <w:t>Режим</w:t>
      </w:r>
      <w:r w:rsidRPr="00207059">
        <w:rPr>
          <w:lang w:val="en-US"/>
        </w:rPr>
        <w:t xml:space="preserve"> </w:t>
      </w:r>
      <w:r>
        <w:t>доступа</w:t>
      </w:r>
      <w:r w:rsidRPr="00207059">
        <w:rPr>
          <w:lang w:val="en-US"/>
        </w:rPr>
        <w:t xml:space="preserve">: </w:t>
      </w:r>
      <w:r w:rsidRPr="003523D2">
        <w:rPr>
          <w:lang w:val="en-US"/>
        </w:rPr>
        <w:t>https://carpenterwellington.com/post/pipe-transactions-growing-source-private-financing/</w:t>
      </w:r>
      <w:r w:rsidRPr="00207059">
        <w:rPr>
          <w:lang w:val="en-US"/>
        </w:rPr>
        <w:t xml:space="preserve"> (</w:t>
      </w:r>
      <w:r>
        <w:t>дата</w:t>
      </w:r>
      <w:r w:rsidRPr="00207059">
        <w:rPr>
          <w:lang w:val="en-US"/>
        </w:rPr>
        <w:t xml:space="preserve"> </w:t>
      </w:r>
      <w:r>
        <w:t>обращения</w:t>
      </w:r>
      <w:r w:rsidRPr="00207059">
        <w:rPr>
          <w:lang w:val="en-US"/>
        </w:rPr>
        <w:t>: 01.02.2022).</w:t>
      </w:r>
    </w:p>
    <w:p w14:paraId="3B22CE64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>
        <w:t xml:space="preserve">PUBLIC LAW </w:t>
      </w:r>
      <w:proofErr w:type="gramStart"/>
      <w:r>
        <w:t>101-429</w:t>
      </w:r>
      <w:proofErr w:type="gramEnd"/>
      <w:r>
        <w:t xml:space="preserve">—OCT. 15, 1990 [Электронный ресурс] // </w:t>
      </w:r>
      <w:proofErr w:type="spellStart"/>
      <w:r>
        <w:rPr>
          <w:lang w:val="en-US"/>
        </w:rPr>
        <w:t>govinfo</w:t>
      </w:r>
      <w:proofErr w:type="spellEnd"/>
      <w:r>
        <w:t xml:space="preserve">. — Режим доступа: </w:t>
      </w:r>
      <w:r w:rsidRPr="00387953">
        <w:t>https://www.govinfo.gov/content/pkg/STATUTE-104/pdf/STATUTE-104-Pg931.pdf</w:t>
      </w:r>
      <w:r>
        <w:t xml:space="preserve"> (дата обращения: </w:t>
      </w:r>
      <w:r w:rsidRPr="002F36B1">
        <w:t>01</w:t>
      </w:r>
      <w:r>
        <w:t>.</w:t>
      </w:r>
      <w:r w:rsidRPr="002F36B1">
        <w:t>02</w:t>
      </w:r>
      <w:r>
        <w:t>.</w:t>
      </w:r>
      <w:r w:rsidRPr="002F36B1">
        <w:t>2022</w:t>
      </w:r>
      <w:r>
        <w:t>).</w:t>
      </w:r>
    </w:p>
    <w:p w14:paraId="41549E3B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E54E17">
        <w:rPr>
          <w:lang w:val="en-US"/>
        </w:rPr>
        <w:t>Ritter J. R., Welch I. A review of IPO activity, pricing, and allocations //The journal of Finance. – 2002. – Т. 57. – №. 4. – С. 1795-1828.</w:t>
      </w:r>
    </w:p>
    <w:p w14:paraId="66471758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spellStart"/>
      <w:r w:rsidRPr="00E40287">
        <w:rPr>
          <w:lang w:val="en-US"/>
        </w:rPr>
        <w:t>Shachmurove</w:t>
      </w:r>
      <w:proofErr w:type="spellEnd"/>
      <w:r w:rsidRPr="00E40287">
        <w:rPr>
          <w:lang w:val="en-US"/>
        </w:rPr>
        <w:t xml:space="preserve"> Y., </w:t>
      </w:r>
      <w:proofErr w:type="spellStart"/>
      <w:r w:rsidRPr="00E40287">
        <w:rPr>
          <w:lang w:val="en-US"/>
        </w:rPr>
        <w:t>Vulanovic</w:t>
      </w:r>
      <w:proofErr w:type="spellEnd"/>
      <w:r w:rsidRPr="00E40287">
        <w:rPr>
          <w:lang w:val="en-US"/>
        </w:rPr>
        <w:t xml:space="preserve"> M. SPAC IPOs. – 2017.</w:t>
      </w:r>
    </w:p>
    <w:p w14:paraId="505789F9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 w:rsidRPr="004B6CB8">
        <w:rPr>
          <w:lang w:val="en-US"/>
        </w:rPr>
        <w:lastRenderedPageBreak/>
        <w:t xml:space="preserve">Sophia </w:t>
      </w:r>
      <w:proofErr w:type="spellStart"/>
      <w:r w:rsidRPr="004B6CB8">
        <w:rPr>
          <w:lang w:val="en-US"/>
        </w:rPr>
        <w:t>Kunthara</w:t>
      </w:r>
      <w:proofErr w:type="spellEnd"/>
      <w:r>
        <w:rPr>
          <w:lang w:val="en-US"/>
        </w:rPr>
        <w:t xml:space="preserve">, </w:t>
      </w:r>
      <w:r w:rsidRPr="004B6CB8">
        <w:rPr>
          <w:lang w:val="en-US"/>
        </w:rPr>
        <w:t>Why Are SPAC Targets So Young?</w:t>
      </w:r>
      <w:r w:rsidRPr="0012214E">
        <w:rPr>
          <w:lang w:val="en-US"/>
        </w:rPr>
        <w:t xml:space="preserve"> </w:t>
      </w:r>
      <w:r w:rsidRPr="004B6CB8">
        <w:t>[</w:t>
      </w:r>
      <w:r>
        <w:t>Электронный</w:t>
      </w:r>
      <w:r w:rsidRPr="004B6CB8">
        <w:t xml:space="preserve"> </w:t>
      </w:r>
      <w:r>
        <w:t>ресурс</w:t>
      </w:r>
      <w:r w:rsidRPr="004B6CB8">
        <w:t xml:space="preserve">] // </w:t>
      </w:r>
      <w:r>
        <w:rPr>
          <w:lang w:val="en-US"/>
        </w:rPr>
        <w:t>Crunchbase</w:t>
      </w:r>
      <w:r w:rsidRPr="004B6CB8">
        <w:t xml:space="preserve">. — </w:t>
      </w:r>
      <w:r>
        <w:t>Режим</w:t>
      </w:r>
      <w:r w:rsidRPr="004B6CB8">
        <w:t xml:space="preserve"> </w:t>
      </w:r>
      <w:r>
        <w:t>доступа</w:t>
      </w:r>
      <w:r w:rsidRPr="004B6CB8">
        <w:t xml:space="preserve">: </w:t>
      </w:r>
      <w:r w:rsidRPr="004B6CB8">
        <w:rPr>
          <w:lang w:val="en-US"/>
        </w:rPr>
        <w:t>https</w:t>
      </w:r>
      <w:r w:rsidRPr="00F55537">
        <w:t>://</w:t>
      </w:r>
      <w:r w:rsidRPr="004B6CB8">
        <w:rPr>
          <w:lang w:val="en-US"/>
        </w:rPr>
        <w:t>news</w:t>
      </w:r>
      <w:r w:rsidRPr="00F55537">
        <w:t>.</w:t>
      </w:r>
      <w:proofErr w:type="spellStart"/>
      <w:r w:rsidRPr="004B6CB8">
        <w:rPr>
          <w:lang w:val="en-US"/>
        </w:rPr>
        <w:t>crunchbase</w:t>
      </w:r>
      <w:proofErr w:type="spellEnd"/>
      <w:r w:rsidRPr="00F55537">
        <w:t>.</w:t>
      </w:r>
      <w:r w:rsidRPr="004B6CB8">
        <w:rPr>
          <w:lang w:val="en-US"/>
        </w:rPr>
        <w:t>com</w:t>
      </w:r>
      <w:r w:rsidRPr="00F55537">
        <w:t>/</w:t>
      </w:r>
      <w:r w:rsidRPr="004B6CB8">
        <w:rPr>
          <w:lang w:val="en-US"/>
        </w:rPr>
        <w:t>news</w:t>
      </w:r>
      <w:r w:rsidRPr="00F55537">
        <w:t>/</w:t>
      </w:r>
      <w:proofErr w:type="spellStart"/>
      <w:r w:rsidRPr="004B6CB8">
        <w:rPr>
          <w:lang w:val="en-US"/>
        </w:rPr>
        <w:t>vc</w:t>
      </w:r>
      <w:proofErr w:type="spellEnd"/>
      <w:r w:rsidRPr="00F55537">
        <w:t>-</w:t>
      </w:r>
      <w:r w:rsidRPr="004B6CB8">
        <w:rPr>
          <w:lang w:val="en-US"/>
        </w:rPr>
        <w:t>backed</w:t>
      </w:r>
      <w:r w:rsidRPr="00F55537">
        <w:t>-</w:t>
      </w:r>
      <w:proofErr w:type="spellStart"/>
      <w:r w:rsidRPr="004B6CB8">
        <w:rPr>
          <w:lang w:val="en-US"/>
        </w:rPr>
        <w:t>spac</w:t>
      </w:r>
      <w:proofErr w:type="spellEnd"/>
      <w:r w:rsidRPr="00F55537">
        <w:t>-</w:t>
      </w:r>
      <w:r w:rsidRPr="004B6CB8">
        <w:rPr>
          <w:lang w:val="en-US"/>
        </w:rPr>
        <w:t>targets</w:t>
      </w:r>
      <w:r w:rsidRPr="00F55537">
        <w:t>-</w:t>
      </w:r>
      <w:r w:rsidRPr="004B6CB8">
        <w:rPr>
          <w:lang w:val="en-US"/>
        </w:rPr>
        <w:t>vs</w:t>
      </w:r>
      <w:r w:rsidRPr="00F55537">
        <w:t>-</w:t>
      </w:r>
      <w:proofErr w:type="spellStart"/>
      <w:r w:rsidRPr="004B6CB8">
        <w:rPr>
          <w:lang w:val="en-US"/>
        </w:rPr>
        <w:t>ipo</w:t>
      </w:r>
      <w:proofErr w:type="spellEnd"/>
      <w:r w:rsidRPr="00F55537">
        <w:t>/</w:t>
      </w:r>
      <w:r w:rsidRPr="004B6CB8">
        <w:t xml:space="preserve"> (</w:t>
      </w:r>
      <w:r>
        <w:t>дата</w:t>
      </w:r>
      <w:r w:rsidRPr="004B6CB8">
        <w:t xml:space="preserve"> </w:t>
      </w:r>
      <w:r>
        <w:t>обращения</w:t>
      </w:r>
      <w:r w:rsidRPr="004B6CB8">
        <w:t>: 01.02.2022).</w:t>
      </w:r>
    </w:p>
    <w:p w14:paraId="4954EABA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 w:rsidRPr="00A074ED">
        <w:t xml:space="preserve">SPAC </w:t>
      </w:r>
      <w:proofErr w:type="spellStart"/>
      <w:r w:rsidRPr="00A074ED">
        <w:t>analytics</w:t>
      </w:r>
      <w:proofErr w:type="spellEnd"/>
      <w:r w:rsidRPr="00A074ED">
        <w:t xml:space="preserve"> – URL: https://www.spacanalytics.com/ (дата обращения: 01.02.2022).</w:t>
      </w:r>
    </w:p>
    <w:p w14:paraId="59BDB02B" w14:textId="77777777" w:rsidR="00837A7E" w:rsidRPr="00E32E99" w:rsidRDefault="00837A7E" w:rsidP="00284358">
      <w:pPr>
        <w:pStyle w:val="ae"/>
        <w:numPr>
          <w:ilvl w:val="0"/>
          <w:numId w:val="11"/>
        </w:numPr>
        <w:ind w:left="284" w:hanging="426"/>
      </w:pPr>
      <w:r>
        <w:rPr>
          <w:lang w:val="en-US"/>
        </w:rPr>
        <w:t>The</w:t>
      </w:r>
      <w:r w:rsidRPr="00E32E99">
        <w:t xml:space="preserve"> </w:t>
      </w:r>
      <w:r>
        <w:rPr>
          <w:lang w:val="en-US"/>
        </w:rPr>
        <w:t>Refinitiv</w:t>
      </w:r>
      <w:r w:rsidRPr="00E32E99">
        <w:t xml:space="preserve"> </w:t>
      </w:r>
      <w:r>
        <w:rPr>
          <w:lang w:val="en-US"/>
        </w:rPr>
        <w:t>Business</w:t>
      </w:r>
      <w:r w:rsidRPr="00E32E99">
        <w:t xml:space="preserve"> </w:t>
      </w:r>
      <w:r>
        <w:rPr>
          <w:lang w:val="en-US"/>
        </w:rPr>
        <w:t>Classification</w:t>
      </w:r>
      <w:r w:rsidRPr="00E32E99">
        <w:t xml:space="preserve"> [</w:t>
      </w:r>
      <w:r>
        <w:t>Электронный</w:t>
      </w:r>
      <w:r w:rsidRPr="00E32E99">
        <w:t xml:space="preserve"> </w:t>
      </w:r>
      <w:r>
        <w:t>ресурс</w:t>
      </w:r>
      <w:r w:rsidRPr="00E32E99">
        <w:t xml:space="preserve">] // </w:t>
      </w:r>
      <w:r>
        <w:rPr>
          <w:lang w:val="en-US"/>
        </w:rPr>
        <w:t>Refinitiv</w:t>
      </w:r>
      <w:r w:rsidRPr="00E32E99">
        <w:t xml:space="preserve">. — </w:t>
      </w:r>
      <w:r>
        <w:t>Режим</w:t>
      </w:r>
      <w:r w:rsidRPr="00E32E99">
        <w:t xml:space="preserve"> </w:t>
      </w:r>
      <w:r>
        <w:t>доступа</w:t>
      </w:r>
      <w:r w:rsidRPr="00E32E99">
        <w:t xml:space="preserve">: </w:t>
      </w:r>
      <w:r w:rsidRPr="00D00DC6">
        <w:rPr>
          <w:lang w:val="en-US"/>
        </w:rPr>
        <w:t>https</w:t>
      </w:r>
      <w:r w:rsidRPr="00E32E99">
        <w:t>://</w:t>
      </w:r>
      <w:r w:rsidRPr="00D00DC6">
        <w:rPr>
          <w:lang w:val="en-US"/>
        </w:rPr>
        <w:t>www</w:t>
      </w:r>
      <w:r w:rsidRPr="00E32E99">
        <w:t>.</w:t>
      </w:r>
      <w:proofErr w:type="spellStart"/>
      <w:r w:rsidRPr="00D00DC6">
        <w:rPr>
          <w:lang w:val="en-US"/>
        </w:rPr>
        <w:t>refinitiv</w:t>
      </w:r>
      <w:proofErr w:type="spellEnd"/>
      <w:r w:rsidRPr="00E32E99">
        <w:t>.</w:t>
      </w:r>
      <w:r w:rsidRPr="00D00DC6">
        <w:rPr>
          <w:lang w:val="en-US"/>
        </w:rPr>
        <w:t>com</w:t>
      </w:r>
      <w:r w:rsidRPr="00E32E99">
        <w:t>/</w:t>
      </w:r>
      <w:r w:rsidRPr="00D00DC6">
        <w:rPr>
          <w:lang w:val="en-US"/>
        </w:rPr>
        <w:t>content</w:t>
      </w:r>
      <w:r w:rsidRPr="00E32E99">
        <w:t>/</w:t>
      </w:r>
      <w:r w:rsidRPr="00D00DC6">
        <w:rPr>
          <w:lang w:val="en-US"/>
        </w:rPr>
        <w:t>dam</w:t>
      </w:r>
      <w:r w:rsidRPr="00E32E99">
        <w:t>/</w:t>
      </w:r>
      <w:r w:rsidRPr="00D00DC6">
        <w:rPr>
          <w:lang w:val="en-US"/>
        </w:rPr>
        <w:t>marketing</w:t>
      </w:r>
      <w:r w:rsidRPr="00E32E99">
        <w:t>/</w:t>
      </w:r>
      <w:proofErr w:type="spellStart"/>
      <w:r w:rsidRPr="00D00DC6">
        <w:rPr>
          <w:lang w:val="en-US"/>
        </w:rPr>
        <w:t>en</w:t>
      </w:r>
      <w:proofErr w:type="spellEnd"/>
      <w:r w:rsidRPr="00E32E99">
        <w:t>_</w:t>
      </w:r>
      <w:r w:rsidRPr="00D00DC6">
        <w:rPr>
          <w:lang w:val="en-US"/>
        </w:rPr>
        <w:t>us</w:t>
      </w:r>
      <w:r w:rsidRPr="00E32E99">
        <w:t>/</w:t>
      </w:r>
      <w:r w:rsidRPr="00D00DC6">
        <w:rPr>
          <w:lang w:val="en-US"/>
        </w:rPr>
        <w:t>documents</w:t>
      </w:r>
      <w:r w:rsidRPr="00E32E99">
        <w:t>/</w:t>
      </w:r>
      <w:r w:rsidRPr="00D00DC6">
        <w:rPr>
          <w:lang w:val="en-US"/>
        </w:rPr>
        <w:t>quick</w:t>
      </w:r>
      <w:r w:rsidRPr="00E32E99">
        <w:t>-</w:t>
      </w:r>
      <w:r w:rsidRPr="00D00DC6">
        <w:rPr>
          <w:lang w:val="en-US"/>
        </w:rPr>
        <w:t>reference</w:t>
      </w:r>
      <w:r w:rsidRPr="00E32E99">
        <w:t>-</w:t>
      </w:r>
      <w:r w:rsidRPr="00D00DC6">
        <w:rPr>
          <w:lang w:val="en-US"/>
        </w:rPr>
        <w:t>guides</w:t>
      </w:r>
      <w:r w:rsidRPr="00E32E99">
        <w:t>/</w:t>
      </w:r>
      <w:proofErr w:type="spellStart"/>
      <w:r w:rsidRPr="00D00DC6">
        <w:rPr>
          <w:lang w:val="en-US"/>
        </w:rPr>
        <w:t>trbc</w:t>
      </w:r>
      <w:proofErr w:type="spellEnd"/>
      <w:r w:rsidRPr="00E32E99">
        <w:t>-</w:t>
      </w:r>
      <w:r w:rsidRPr="00D00DC6">
        <w:rPr>
          <w:lang w:val="en-US"/>
        </w:rPr>
        <w:t>business</w:t>
      </w:r>
      <w:r w:rsidRPr="00E32E99">
        <w:t>-</w:t>
      </w:r>
      <w:r w:rsidRPr="00D00DC6">
        <w:rPr>
          <w:lang w:val="en-US"/>
        </w:rPr>
        <w:t>classification</w:t>
      </w:r>
      <w:r w:rsidRPr="00E32E99">
        <w:t>-</w:t>
      </w:r>
      <w:r w:rsidRPr="00D00DC6">
        <w:rPr>
          <w:lang w:val="en-US"/>
        </w:rPr>
        <w:t>quick</w:t>
      </w:r>
      <w:r w:rsidRPr="00E32E99">
        <w:t>-</w:t>
      </w:r>
      <w:r w:rsidRPr="00D00DC6">
        <w:rPr>
          <w:lang w:val="en-US"/>
        </w:rPr>
        <w:t>guide</w:t>
      </w:r>
      <w:r w:rsidRPr="00E32E99">
        <w:t>.</w:t>
      </w:r>
      <w:r w:rsidRPr="00D00DC6">
        <w:rPr>
          <w:lang w:val="en-US"/>
        </w:rPr>
        <w:t>pdf</w:t>
      </w:r>
      <w:r w:rsidRPr="00E32E99">
        <w:t xml:space="preserve"> (</w:t>
      </w:r>
      <w:r>
        <w:t>дата</w:t>
      </w:r>
      <w:r w:rsidRPr="00E32E99">
        <w:t xml:space="preserve"> </w:t>
      </w:r>
      <w:r>
        <w:t>обращения</w:t>
      </w:r>
      <w:r w:rsidRPr="00E32E99">
        <w:t>: 01.02.2022).</w:t>
      </w:r>
    </w:p>
    <w:p w14:paraId="5D1C5037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DF08DB">
        <w:rPr>
          <w:lang w:val="en-US"/>
        </w:rPr>
        <w:t>The Urge to Reverse Merge [</w:t>
      </w:r>
      <w:r>
        <w:t>Электронный</w:t>
      </w:r>
      <w:r w:rsidRPr="00DF08DB">
        <w:rPr>
          <w:lang w:val="en-US"/>
        </w:rPr>
        <w:t xml:space="preserve"> </w:t>
      </w:r>
      <w:r>
        <w:t>ресурс</w:t>
      </w:r>
      <w:r w:rsidRPr="00DF08DB">
        <w:rPr>
          <w:lang w:val="en-US"/>
        </w:rPr>
        <w:t xml:space="preserve">] // </w:t>
      </w:r>
      <w:r>
        <w:rPr>
          <w:lang w:val="en-US"/>
        </w:rPr>
        <w:t>The</w:t>
      </w:r>
      <w:r w:rsidRPr="00DF08DB">
        <w:rPr>
          <w:lang w:val="en-US"/>
        </w:rPr>
        <w:t xml:space="preserve"> </w:t>
      </w:r>
      <w:r>
        <w:rPr>
          <w:lang w:val="en-US"/>
        </w:rPr>
        <w:t>New</w:t>
      </w:r>
      <w:r w:rsidRPr="00DF08DB">
        <w:rPr>
          <w:lang w:val="en-US"/>
        </w:rPr>
        <w:t xml:space="preserve"> </w:t>
      </w:r>
      <w:r>
        <w:rPr>
          <w:lang w:val="en-US"/>
        </w:rPr>
        <w:t>York</w:t>
      </w:r>
      <w:r w:rsidRPr="00DF08DB">
        <w:rPr>
          <w:lang w:val="en-US"/>
        </w:rPr>
        <w:t xml:space="preserve"> </w:t>
      </w:r>
      <w:r>
        <w:rPr>
          <w:lang w:val="en-US"/>
        </w:rPr>
        <w:t>Times</w:t>
      </w:r>
      <w:r w:rsidRPr="00DF08DB">
        <w:rPr>
          <w:lang w:val="en-US"/>
        </w:rPr>
        <w:t xml:space="preserve">. — </w:t>
      </w:r>
      <w:r>
        <w:t>Режим</w:t>
      </w:r>
      <w:r w:rsidRPr="00DF08DB">
        <w:rPr>
          <w:lang w:val="en-US"/>
        </w:rPr>
        <w:t xml:space="preserve"> </w:t>
      </w:r>
      <w:r>
        <w:t>доступа</w:t>
      </w:r>
      <w:r w:rsidRPr="00DF08DB">
        <w:rPr>
          <w:lang w:val="en-US"/>
        </w:rPr>
        <w:t>: https://www.nytimes.com/2020/08/25/business/dealbook/spac-ipo-boom.html (</w:t>
      </w:r>
      <w:r>
        <w:t>дата</w:t>
      </w:r>
      <w:r w:rsidRPr="00DF08DB">
        <w:rPr>
          <w:lang w:val="en-US"/>
        </w:rPr>
        <w:t xml:space="preserve"> </w:t>
      </w:r>
      <w:r>
        <w:t>обращения</w:t>
      </w:r>
      <w:r w:rsidRPr="00DF08DB">
        <w:rPr>
          <w:lang w:val="en-US"/>
        </w:rPr>
        <w:t>: 01.02.2022).</w:t>
      </w:r>
    </w:p>
    <w:p w14:paraId="223E2BB8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 w:rsidRPr="00C83CE6">
        <w:rPr>
          <w:lang w:val="en-US"/>
        </w:rPr>
        <w:t>Trends</w:t>
      </w:r>
      <w:r w:rsidRPr="007579F6">
        <w:t xml:space="preserve"> </w:t>
      </w:r>
      <w:r w:rsidRPr="00C83CE6">
        <w:rPr>
          <w:lang w:val="en-US"/>
        </w:rPr>
        <w:t>in</w:t>
      </w:r>
      <w:r w:rsidRPr="007579F6">
        <w:t xml:space="preserve"> </w:t>
      </w:r>
      <w:r w:rsidRPr="00C83CE6">
        <w:rPr>
          <w:lang w:val="en-US"/>
        </w:rPr>
        <w:t>IPO</w:t>
      </w:r>
      <w:r w:rsidRPr="007579F6">
        <w:t xml:space="preserve"> </w:t>
      </w:r>
      <w:r w:rsidRPr="00C83CE6">
        <w:rPr>
          <w:lang w:val="en-US"/>
        </w:rPr>
        <w:t>Pops</w:t>
      </w:r>
      <w:r w:rsidRPr="007579F6">
        <w:t xml:space="preserve"> [</w:t>
      </w:r>
      <w:r>
        <w:t>Электронный</w:t>
      </w:r>
      <w:r w:rsidRPr="007579F6">
        <w:t xml:space="preserve"> </w:t>
      </w:r>
      <w:r>
        <w:t>ресурс</w:t>
      </w:r>
      <w:r w:rsidRPr="007579F6">
        <w:t xml:space="preserve">] // </w:t>
      </w:r>
      <w:r>
        <w:rPr>
          <w:lang w:val="en-US"/>
        </w:rPr>
        <w:t>Nasdaq</w:t>
      </w:r>
      <w:r w:rsidRPr="007579F6">
        <w:t xml:space="preserve">. — </w:t>
      </w:r>
      <w:r>
        <w:t>Режим</w:t>
      </w:r>
      <w:r w:rsidRPr="007579F6">
        <w:t xml:space="preserve"> </w:t>
      </w:r>
      <w:r>
        <w:t>доступа</w:t>
      </w:r>
      <w:r w:rsidRPr="007579F6">
        <w:t xml:space="preserve">: </w:t>
      </w:r>
      <w:r w:rsidRPr="007579F6">
        <w:rPr>
          <w:lang w:val="en-US"/>
        </w:rPr>
        <w:t>https</w:t>
      </w:r>
      <w:r w:rsidRPr="007579F6">
        <w:t>://</w:t>
      </w:r>
      <w:r w:rsidRPr="007579F6">
        <w:rPr>
          <w:lang w:val="en-US"/>
        </w:rPr>
        <w:t>www</w:t>
      </w:r>
      <w:r w:rsidRPr="007579F6">
        <w:t>.</w:t>
      </w:r>
      <w:proofErr w:type="spellStart"/>
      <w:r w:rsidRPr="007579F6">
        <w:rPr>
          <w:lang w:val="en-US"/>
        </w:rPr>
        <w:t>nasdaq</w:t>
      </w:r>
      <w:proofErr w:type="spellEnd"/>
      <w:r w:rsidRPr="007579F6">
        <w:t>.</w:t>
      </w:r>
      <w:r w:rsidRPr="007579F6">
        <w:rPr>
          <w:lang w:val="en-US"/>
        </w:rPr>
        <w:t>com</w:t>
      </w:r>
      <w:r w:rsidRPr="007579F6">
        <w:t>/</w:t>
      </w:r>
      <w:r w:rsidRPr="007579F6">
        <w:rPr>
          <w:lang w:val="en-US"/>
        </w:rPr>
        <w:t>articles</w:t>
      </w:r>
      <w:r w:rsidRPr="007579F6">
        <w:t>/</w:t>
      </w:r>
      <w:r w:rsidRPr="007579F6">
        <w:rPr>
          <w:lang w:val="en-US"/>
        </w:rPr>
        <w:t>trends</w:t>
      </w:r>
      <w:r w:rsidRPr="007579F6">
        <w:t>-</w:t>
      </w:r>
      <w:r w:rsidRPr="007579F6">
        <w:rPr>
          <w:lang w:val="en-US"/>
        </w:rPr>
        <w:t>in</w:t>
      </w:r>
      <w:r w:rsidRPr="007579F6">
        <w:t>-</w:t>
      </w:r>
      <w:proofErr w:type="spellStart"/>
      <w:r w:rsidRPr="007579F6">
        <w:rPr>
          <w:lang w:val="en-US"/>
        </w:rPr>
        <w:t>ipo</w:t>
      </w:r>
      <w:proofErr w:type="spellEnd"/>
      <w:r w:rsidRPr="007579F6">
        <w:t>-</w:t>
      </w:r>
      <w:r w:rsidRPr="007579F6">
        <w:rPr>
          <w:lang w:val="en-US"/>
        </w:rPr>
        <w:t>pops</w:t>
      </w:r>
      <w:r w:rsidRPr="007579F6">
        <w:t xml:space="preserve">-2021-03-04 </w:t>
      </w:r>
      <w:r w:rsidRPr="00FC1614">
        <w:t>(</w:t>
      </w:r>
      <w:r>
        <w:t>дата</w:t>
      </w:r>
      <w:r w:rsidRPr="00FC1614">
        <w:t xml:space="preserve"> </w:t>
      </w:r>
      <w:r>
        <w:t>обращения</w:t>
      </w:r>
      <w:r w:rsidRPr="00FC1614">
        <w:t>: 01.02.2022).</w:t>
      </w:r>
    </w:p>
    <w:p w14:paraId="461FEE3C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r w:rsidRPr="00363B6B">
        <w:rPr>
          <w:lang w:val="en-US"/>
        </w:rPr>
        <w:t>Understanding Warrants and Call Options [</w:t>
      </w:r>
      <w:proofErr w:type="spellStart"/>
      <w:r w:rsidRPr="00363B6B">
        <w:rPr>
          <w:lang w:val="en-US"/>
        </w:rPr>
        <w:t>Электронный</w:t>
      </w:r>
      <w:proofErr w:type="spellEnd"/>
      <w:r w:rsidRPr="00363B6B">
        <w:rPr>
          <w:lang w:val="en-US"/>
        </w:rPr>
        <w:t xml:space="preserve"> </w:t>
      </w:r>
      <w:proofErr w:type="spellStart"/>
      <w:r w:rsidRPr="00363B6B">
        <w:rPr>
          <w:lang w:val="en-US"/>
        </w:rPr>
        <w:t>ресурс</w:t>
      </w:r>
      <w:proofErr w:type="spellEnd"/>
      <w:r w:rsidRPr="00363B6B">
        <w:rPr>
          <w:lang w:val="en-US"/>
        </w:rPr>
        <w:t xml:space="preserve">] // Investopedia. — </w:t>
      </w:r>
      <w:proofErr w:type="spellStart"/>
      <w:r w:rsidRPr="00363B6B">
        <w:rPr>
          <w:lang w:val="en-US"/>
        </w:rPr>
        <w:t>Режим</w:t>
      </w:r>
      <w:proofErr w:type="spellEnd"/>
      <w:r w:rsidRPr="00363B6B">
        <w:rPr>
          <w:lang w:val="en-US"/>
        </w:rPr>
        <w:t xml:space="preserve"> </w:t>
      </w:r>
      <w:proofErr w:type="spellStart"/>
      <w:r w:rsidRPr="00363B6B">
        <w:rPr>
          <w:lang w:val="en-US"/>
        </w:rPr>
        <w:t>доступа</w:t>
      </w:r>
      <w:proofErr w:type="spellEnd"/>
      <w:r w:rsidRPr="00363B6B">
        <w:rPr>
          <w:lang w:val="en-US"/>
        </w:rPr>
        <w:t>: https://inlnk.ru/kXmJ6Q (</w:t>
      </w:r>
      <w:proofErr w:type="spellStart"/>
      <w:r w:rsidRPr="00363B6B">
        <w:rPr>
          <w:lang w:val="en-US"/>
        </w:rPr>
        <w:t>дата</w:t>
      </w:r>
      <w:proofErr w:type="spellEnd"/>
      <w:r w:rsidRPr="00363B6B">
        <w:rPr>
          <w:lang w:val="en-US"/>
        </w:rPr>
        <w:t xml:space="preserve"> </w:t>
      </w:r>
      <w:proofErr w:type="spellStart"/>
      <w:r w:rsidRPr="00363B6B">
        <w:rPr>
          <w:lang w:val="en-US"/>
        </w:rPr>
        <w:t>обращения</w:t>
      </w:r>
      <w:proofErr w:type="spellEnd"/>
      <w:r w:rsidRPr="00363B6B">
        <w:rPr>
          <w:lang w:val="en-US"/>
        </w:rPr>
        <w:t>: 01.02.2022).</w:t>
      </w:r>
    </w:p>
    <w:p w14:paraId="52035D12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>
        <w:rPr>
          <w:lang w:val="en-US"/>
        </w:rPr>
        <w:t>Underwriting agreement</w:t>
      </w:r>
      <w:r w:rsidRPr="00394F43">
        <w:rPr>
          <w:lang w:val="en-US"/>
        </w:rPr>
        <w:t xml:space="preserve"> between </w:t>
      </w:r>
      <w:r>
        <w:rPr>
          <w:lang w:val="en-US"/>
        </w:rPr>
        <w:t>Millstream Acquisition Corporation and</w:t>
      </w:r>
      <w:r w:rsidRPr="00394F43">
        <w:rPr>
          <w:lang w:val="en-US"/>
        </w:rPr>
        <w:t xml:space="preserve"> EARLYBIRDCAPITAL, INC.</w:t>
      </w:r>
      <w:r w:rsidRPr="00866439">
        <w:rPr>
          <w:lang w:val="en-US"/>
        </w:rPr>
        <w:t xml:space="preserve"> </w:t>
      </w:r>
      <w:r>
        <w:t xml:space="preserve">[Электронный ресурс] // </w:t>
      </w:r>
      <w:r>
        <w:rPr>
          <w:lang w:val="en-US"/>
        </w:rPr>
        <w:t>Law</w:t>
      </w:r>
      <w:r w:rsidRPr="00B663BE">
        <w:t xml:space="preserve"> </w:t>
      </w:r>
      <w:r>
        <w:rPr>
          <w:lang w:val="en-US"/>
        </w:rPr>
        <w:t>Insider</w:t>
      </w:r>
      <w:r>
        <w:t xml:space="preserve">. — Режим доступа: </w:t>
      </w:r>
      <w:r w:rsidRPr="00B663BE">
        <w:t>https://www.lawinsider.com/contracts/hwHrSZd9hpg</w:t>
      </w:r>
      <w:r>
        <w:t xml:space="preserve"> (дата обращения: </w:t>
      </w:r>
      <w:r w:rsidRPr="002F36B1">
        <w:t>01</w:t>
      </w:r>
      <w:r>
        <w:t>.</w:t>
      </w:r>
      <w:r w:rsidRPr="002F36B1">
        <w:t>02</w:t>
      </w:r>
      <w:r>
        <w:t>.</w:t>
      </w:r>
      <w:r w:rsidRPr="002F36B1">
        <w:t>2022</w:t>
      </w:r>
      <w:r>
        <w:t>).</w:t>
      </w:r>
    </w:p>
    <w:p w14:paraId="66165D3E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</w:pPr>
      <w:r w:rsidRPr="002C501F">
        <w:rPr>
          <w:lang w:val="en-US"/>
        </w:rPr>
        <w:t>Virgin</w:t>
      </w:r>
      <w:r w:rsidRPr="002C501F">
        <w:t xml:space="preserve"> </w:t>
      </w:r>
      <w:r w:rsidRPr="002C501F">
        <w:rPr>
          <w:lang w:val="en-US"/>
        </w:rPr>
        <w:t>Galactic</w:t>
      </w:r>
      <w:r w:rsidRPr="002C501F">
        <w:t xml:space="preserve"> </w:t>
      </w:r>
      <w:r w:rsidRPr="002C501F">
        <w:rPr>
          <w:lang w:val="en-US"/>
        </w:rPr>
        <w:t>Holdings</w:t>
      </w:r>
      <w:r w:rsidRPr="002C501F">
        <w:t xml:space="preserve"> </w:t>
      </w:r>
      <w:r w:rsidRPr="002C501F">
        <w:rPr>
          <w:lang w:val="en-US"/>
        </w:rPr>
        <w:t>Inc</w:t>
      </w:r>
      <w:r w:rsidRPr="002C501F">
        <w:t xml:space="preserve"> (</w:t>
      </w:r>
      <w:r w:rsidRPr="002C501F">
        <w:rPr>
          <w:lang w:val="en-US"/>
        </w:rPr>
        <w:t>SPCE</w:t>
      </w:r>
      <w:r w:rsidRPr="002C501F">
        <w:t xml:space="preserve">) </w:t>
      </w:r>
      <w:r>
        <w:t xml:space="preserve">[Электронный ресурс] // </w:t>
      </w:r>
      <w:r>
        <w:rPr>
          <w:lang w:val="en-US"/>
        </w:rPr>
        <w:t>Investing</w:t>
      </w:r>
      <w:r w:rsidRPr="002C501F">
        <w:t>.</w:t>
      </w:r>
      <w:r>
        <w:rPr>
          <w:lang w:val="en-US"/>
        </w:rPr>
        <w:t>com</w:t>
      </w:r>
      <w:r>
        <w:t xml:space="preserve">. — Режим доступа: </w:t>
      </w:r>
      <w:r w:rsidRPr="002C501F">
        <w:t>https://ru.investing.com/equities/social-capital-hedosophia</w:t>
      </w:r>
      <w:r>
        <w:t xml:space="preserve"> (дата обращения: </w:t>
      </w:r>
      <w:r w:rsidRPr="002F36B1">
        <w:t>01</w:t>
      </w:r>
      <w:r>
        <w:t>.</w:t>
      </w:r>
      <w:r w:rsidRPr="002F36B1">
        <w:t>02</w:t>
      </w:r>
      <w:r>
        <w:t>.</w:t>
      </w:r>
      <w:r w:rsidRPr="002F36B1">
        <w:t>2022</w:t>
      </w:r>
      <w:r>
        <w:t>).</w:t>
      </w:r>
    </w:p>
    <w:p w14:paraId="03040E56" w14:textId="77777777" w:rsidR="00837A7E" w:rsidRDefault="00837A7E" w:rsidP="00284358">
      <w:pPr>
        <w:pStyle w:val="ae"/>
        <w:numPr>
          <w:ilvl w:val="0"/>
          <w:numId w:val="11"/>
        </w:numPr>
        <w:ind w:left="284" w:hanging="426"/>
        <w:rPr>
          <w:lang w:val="en-US"/>
        </w:rPr>
      </w:pPr>
      <w:proofErr w:type="spellStart"/>
      <w:r w:rsidRPr="003818CA">
        <w:rPr>
          <w:lang w:val="en-US"/>
        </w:rPr>
        <w:t>Vulanovic</w:t>
      </w:r>
      <w:proofErr w:type="spellEnd"/>
      <w:r w:rsidRPr="003818CA">
        <w:rPr>
          <w:lang w:val="en-US"/>
        </w:rPr>
        <w:t xml:space="preserve"> M. SPACs: Post-merger survival //Managerial Finance. – 2017.</w:t>
      </w:r>
    </w:p>
    <w:p w14:paraId="184EC89C" w14:textId="1E51C91B" w:rsidR="006F5BA5" w:rsidRDefault="006F5BA5" w:rsidP="006F5BA5">
      <w:pPr>
        <w:pStyle w:val="1"/>
      </w:pPr>
      <w:bookmarkStart w:id="66" w:name="_Toc102050322"/>
      <w:bookmarkStart w:id="67" w:name="_Toc102050694"/>
      <w:r>
        <w:lastRenderedPageBreak/>
        <w:t>Приложения</w:t>
      </w:r>
      <w:bookmarkEnd w:id="66"/>
      <w:bookmarkEnd w:id="67"/>
    </w:p>
    <w:p w14:paraId="16A98D96" w14:textId="19B4E671" w:rsidR="006F5BA5" w:rsidRDefault="006F5BA5" w:rsidP="006F5BA5">
      <w:pPr>
        <w:pStyle w:val="2"/>
      </w:pPr>
      <w:bookmarkStart w:id="68" w:name="_Toc102050323"/>
      <w:bookmarkStart w:id="69" w:name="_Toc102050695"/>
      <w:r>
        <w:t>Приложение 1. Частотные распределения</w:t>
      </w:r>
      <w:bookmarkEnd w:id="68"/>
      <w:bookmarkEnd w:id="69"/>
    </w:p>
    <w:p w14:paraId="6645115B" w14:textId="49AA4253" w:rsidR="00AB33E8" w:rsidRDefault="00F10F1A" w:rsidP="00FB5708">
      <w:pPr>
        <w:pStyle w:val="a8"/>
      </w:pPr>
      <w:r w:rsidRPr="00F10F1A">
        <w:rPr>
          <w:noProof/>
        </w:rPr>
        <w:drawing>
          <wp:inline distT="0" distB="0" distL="0" distR="0" wp14:anchorId="3A1A7A05" wp14:editId="2394EB75">
            <wp:extent cx="4057650" cy="295101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99" cy="29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CA31" w14:textId="48D14758" w:rsidR="00143398" w:rsidRDefault="00143398" w:rsidP="00143398">
      <w:pPr>
        <w:pStyle w:val="a0"/>
      </w:pPr>
      <w:r>
        <w:t xml:space="preserve">Распределение переменной </w:t>
      </w:r>
      <w:r>
        <w:rPr>
          <w:lang w:val="en-US"/>
        </w:rPr>
        <w:t>Team</w:t>
      </w:r>
      <w:r w:rsidR="00667866" w:rsidRPr="00667866">
        <w:t xml:space="preserve"> (Источник: [Составлено автором])</w:t>
      </w:r>
    </w:p>
    <w:p w14:paraId="0113DC6E" w14:textId="3CA960CE" w:rsidR="00143398" w:rsidRDefault="006E372D" w:rsidP="00143398">
      <w:pPr>
        <w:pStyle w:val="a8"/>
        <w:rPr>
          <w:lang w:val="en-US"/>
        </w:rPr>
      </w:pPr>
      <w:r w:rsidRPr="006E372D">
        <w:rPr>
          <w:noProof/>
          <w:lang w:val="en-US"/>
        </w:rPr>
        <w:drawing>
          <wp:inline distT="0" distB="0" distL="0" distR="0" wp14:anchorId="61E36484" wp14:editId="398FECAC">
            <wp:extent cx="4124325" cy="29995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89" cy="30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300ED" w14:textId="792C0BB6" w:rsidR="003F4949" w:rsidRPr="00667866" w:rsidRDefault="006E372D" w:rsidP="006E372D">
      <w:pPr>
        <w:pStyle w:val="a0"/>
        <w:sectPr w:rsidR="003F4949" w:rsidRPr="00667866" w:rsidSect="00F1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Распределение переменной </w:t>
      </w:r>
      <w:proofErr w:type="spellStart"/>
      <w:r>
        <w:rPr>
          <w:lang w:val="en-US"/>
        </w:rPr>
        <w:t>UndFee</w:t>
      </w:r>
      <w:proofErr w:type="spellEnd"/>
      <w:r w:rsidR="00667866" w:rsidRPr="00667866">
        <w:t xml:space="preserve"> (Источник: [Составлено автором])</w:t>
      </w:r>
    </w:p>
    <w:p w14:paraId="3C31A169" w14:textId="10A72C85" w:rsidR="006E372D" w:rsidRDefault="003F4949" w:rsidP="003F4949">
      <w:pPr>
        <w:pStyle w:val="2"/>
      </w:pPr>
      <w:bookmarkStart w:id="70" w:name="_Toc102050324"/>
      <w:bookmarkStart w:id="71" w:name="_Toc102050696"/>
      <w:r>
        <w:lastRenderedPageBreak/>
        <w:t xml:space="preserve">Приложение 2. </w:t>
      </w:r>
      <w:r w:rsidR="003A26A9">
        <w:t>Корреляционный анализ</w:t>
      </w:r>
      <w:bookmarkEnd w:id="70"/>
      <w:bookmarkEnd w:id="71"/>
    </w:p>
    <w:p w14:paraId="04A1EE17" w14:textId="4B0633BB" w:rsidR="003E3A4F" w:rsidRPr="003E3A4F" w:rsidRDefault="00057572" w:rsidP="00057572">
      <w:pPr>
        <w:pStyle w:val="a"/>
      </w:pPr>
      <w:r>
        <w:t>Корреляционная матрица</w:t>
      </w:r>
    </w:p>
    <w:tbl>
      <w:tblPr>
        <w:tblStyle w:val="a9"/>
        <w:tblW w:w="14481" w:type="dxa"/>
        <w:jc w:val="center"/>
        <w:tblLook w:val="04A0" w:firstRow="1" w:lastRow="0" w:firstColumn="1" w:lastColumn="0" w:noHBand="0" w:noVBand="1"/>
      </w:tblPr>
      <w:tblGrid>
        <w:gridCol w:w="1643"/>
        <w:gridCol w:w="1383"/>
        <w:gridCol w:w="1470"/>
        <w:gridCol w:w="1026"/>
        <w:gridCol w:w="1132"/>
        <w:gridCol w:w="1510"/>
        <w:gridCol w:w="1236"/>
        <w:gridCol w:w="1394"/>
        <w:gridCol w:w="1371"/>
        <w:gridCol w:w="1030"/>
        <w:gridCol w:w="1286"/>
      </w:tblGrid>
      <w:tr w:rsidR="009D3E87" w14:paraId="24B7FEC5" w14:textId="7B4888EF" w:rsidTr="001640F3">
        <w:trPr>
          <w:trHeight w:val="981"/>
          <w:jc w:val="center"/>
        </w:trPr>
        <w:tc>
          <w:tcPr>
            <w:tcW w:w="1643" w:type="dxa"/>
          </w:tcPr>
          <w:p w14:paraId="4706F3DB" w14:textId="0271B108" w:rsidR="004B1163" w:rsidRDefault="004B1163" w:rsidP="000E76AF">
            <w:pPr>
              <w:pStyle w:val="ad"/>
              <w:jc w:val="center"/>
            </w:pPr>
            <w:bookmarkStart w:id="72" w:name="_Hlk101791096"/>
          </w:p>
        </w:tc>
        <w:tc>
          <w:tcPr>
            <w:tcW w:w="1383" w:type="dxa"/>
          </w:tcPr>
          <w:p w14:paraId="70C605BA" w14:textId="444F5AB2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63C">
              <w:rPr>
                <w:b/>
                <w:bCs/>
                <w:lang w:val="en-US"/>
              </w:rPr>
              <w:t>BHRC 1 year</w:t>
            </w:r>
          </w:p>
        </w:tc>
        <w:tc>
          <w:tcPr>
            <w:tcW w:w="1470" w:type="dxa"/>
          </w:tcPr>
          <w:p w14:paraId="77D6A35B" w14:textId="16BDAD3E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63C">
              <w:rPr>
                <w:b/>
                <w:bCs/>
                <w:lang w:val="en-US"/>
              </w:rPr>
              <w:t>Redemption</w:t>
            </w:r>
          </w:p>
        </w:tc>
        <w:tc>
          <w:tcPr>
            <w:tcW w:w="1026" w:type="dxa"/>
          </w:tcPr>
          <w:p w14:paraId="0045E4C1" w14:textId="04119652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63C">
              <w:rPr>
                <w:b/>
                <w:bCs/>
                <w:lang w:val="en-US"/>
              </w:rPr>
              <w:t>Months</w:t>
            </w:r>
          </w:p>
        </w:tc>
        <w:tc>
          <w:tcPr>
            <w:tcW w:w="1132" w:type="dxa"/>
          </w:tcPr>
          <w:p w14:paraId="14657BFC" w14:textId="211CF62E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63C">
              <w:rPr>
                <w:b/>
                <w:bCs/>
                <w:lang w:val="en-US"/>
              </w:rPr>
              <w:t>Team</w:t>
            </w:r>
          </w:p>
        </w:tc>
        <w:tc>
          <w:tcPr>
            <w:tcW w:w="1510" w:type="dxa"/>
          </w:tcPr>
          <w:p w14:paraId="14522B0C" w14:textId="47DE54F0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proofErr w:type="spellStart"/>
            <w:r w:rsidRPr="00E2163C">
              <w:rPr>
                <w:b/>
                <w:bCs/>
                <w:lang w:val="en-US"/>
              </w:rPr>
              <w:t>UndNumber</w:t>
            </w:r>
            <w:proofErr w:type="spellEnd"/>
          </w:p>
        </w:tc>
        <w:tc>
          <w:tcPr>
            <w:tcW w:w="1236" w:type="dxa"/>
          </w:tcPr>
          <w:p w14:paraId="2F4A2B8E" w14:textId="7594BC3E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proofErr w:type="spellStart"/>
            <w:r w:rsidRPr="00E2163C">
              <w:rPr>
                <w:b/>
                <w:bCs/>
                <w:lang w:val="en-US"/>
              </w:rPr>
              <w:t>UndFee</w:t>
            </w:r>
            <w:proofErr w:type="spellEnd"/>
          </w:p>
        </w:tc>
        <w:tc>
          <w:tcPr>
            <w:tcW w:w="1394" w:type="dxa"/>
          </w:tcPr>
          <w:p w14:paraId="4B75BB76" w14:textId="5E418B50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63C">
              <w:rPr>
                <w:b/>
                <w:bCs/>
                <w:lang w:val="en-US"/>
              </w:rPr>
              <w:t>Top10und</w:t>
            </w:r>
          </w:p>
        </w:tc>
        <w:tc>
          <w:tcPr>
            <w:tcW w:w="1371" w:type="dxa"/>
          </w:tcPr>
          <w:p w14:paraId="4FC91E24" w14:textId="4FB14460" w:rsidR="004B1163" w:rsidRPr="00E2163C" w:rsidRDefault="00FD4E0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E2163C">
              <w:rPr>
                <w:b/>
                <w:bCs/>
                <w:lang w:val="en-US"/>
              </w:rPr>
              <w:t>IPO proceeds</w:t>
            </w:r>
          </w:p>
        </w:tc>
        <w:tc>
          <w:tcPr>
            <w:tcW w:w="1030" w:type="dxa"/>
          </w:tcPr>
          <w:p w14:paraId="7EA577DA" w14:textId="58EE79F2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proofErr w:type="spellStart"/>
            <w:r w:rsidRPr="00E2163C">
              <w:rPr>
                <w:b/>
                <w:bCs/>
                <w:lang w:val="en-US"/>
              </w:rPr>
              <w:t>WTunit</w:t>
            </w:r>
            <w:proofErr w:type="spellEnd"/>
          </w:p>
        </w:tc>
        <w:tc>
          <w:tcPr>
            <w:tcW w:w="1286" w:type="dxa"/>
          </w:tcPr>
          <w:p w14:paraId="2CF3EC2B" w14:textId="1C99D859" w:rsidR="004B1163" w:rsidRPr="00E2163C" w:rsidRDefault="004B1163" w:rsidP="000E76AF">
            <w:pPr>
              <w:pStyle w:val="ad"/>
              <w:jc w:val="center"/>
              <w:rPr>
                <w:b/>
                <w:bCs/>
                <w:lang w:val="en-US"/>
              </w:rPr>
            </w:pPr>
            <w:proofErr w:type="spellStart"/>
            <w:r w:rsidRPr="00E2163C">
              <w:rPr>
                <w:b/>
                <w:bCs/>
                <w:lang w:val="en-US"/>
              </w:rPr>
              <w:t>IndFocus</w:t>
            </w:r>
            <w:proofErr w:type="spellEnd"/>
          </w:p>
        </w:tc>
      </w:tr>
      <w:bookmarkEnd w:id="72"/>
      <w:tr w:rsidR="009D3E87" w14:paraId="6872ACE1" w14:textId="2A27C279" w:rsidTr="001640F3">
        <w:trPr>
          <w:trHeight w:val="318"/>
          <w:jc w:val="center"/>
        </w:trPr>
        <w:tc>
          <w:tcPr>
            <w:tcW w:w="1643" w:type="dxa"/>
          </w:tcPr>
          <w:p w14:paraId="41B59A8B" w14:textId="1D816AB0" w:rsidR="004B1163" w:rsidRPr="00E2163C" w:rsidRDefault="004B1163" w:rsidP="000E76AF">
            <w:pPr>
              <w:pStyle w:val="ad"/>
              <w:rPr>
                <w:b/>
                <w:bCs/>
              </w:rPr>
            </w:pPr>
            <w:r w:rsidRPr="00E2163C">
              <w:rPr>
                <w:b/>
                <w:bCs/>
              </w:rPr>
              <w:t xml:space="preserve">BHRC 1 </w:t>
            </w:r>
            <w:proofErr w:type="spellStart"/>
            <w:r w:rsidRPr="00E2163C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383" w:type="dxa"/>
          </w:tcPr>
          <w:p w14:paraId="6EF68B34" w14:textId="0C490E98" w:rsidR="004B1163" w:rsidRPr="002C3810" w:rsidRDefault="004B1163" w:rsidP="000E76AF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0" w:type="dxa"/>
          </w:tcPr>
          <w:p w14:paraId="03473963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26" w:type="dxa"/>
          </w:tcPr>
          <w:p w14:paraId="5E71493B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132" w:type="dxa"/>
          </w:tcPr>
          <w:p w14:paraId="3B13341A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510" w:type="dxa"/>
          </w:tcPr>
          <w:p w14:paraId="6AC2A7DA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236" w:type="dxa"/>
          </w:tcPr>
          <w:p w14:paraId="48AE514D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94" w:type="dxa"/>
          </w:tcPr>
          <w:p w14:paraId="6271E185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71" w:type="dxa"/>
          </w:tcPr>
          <w:p w14:paraId="6A2B0538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30" w:type="dxa"/>
          </w:tcPr>
          <w:p w14:paraId="45E59065" w14:textId="72240043" w:rsidR="004B1163" w:rsidRDefault="004B1163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12E14DCF" w14:textId="77777777" w:rsidR="004B1163" w:rsidRDefault="004B1163" w:rsidP="000E76AF">
            <w:pPr>
              <w:pStyle w:val="ad"/>
              <w:jc w:val="center"/>
            </w:pPr>
          </w:p>
        </w:tc>
      </w:tr>
      <w:tr w:rsidR="009D3E87" w14:paraId="3109340D" w14:textId="29066622" w:rsidTr="001640F3">
        <w:trPr>
          <w:trHeight w:val="318"/>
          <w:jc w:val="center"/>
        </w:trPr>
        <w:tc>
          <w:tcPr>
            <w:tcW w:w="1643" w:type="dxa"/>
          </w:tcPr>
          <w:p w14:paraId="125F13CD" w14:textId="08E6A2C1" w:rsidR="004B1163" w:rsidRPr="00E2163C" w:rsidRDefault="004B1163" w:rsidP="000E76AF">
            <w:pPr>
              <w:pStyle w:val="ad"/>
              <w:rPr>
                <w:b/>
                <w:bCs/>
              </w:rPr>
            </w:pPr>
            <w:proofErr w:type="spellStart"/>
            <w:r w:rsidRPr="00E2163C">
              <w:rPr>
                <w:b/>
                <w:bCs/>
              </w:rPr>
              <w:t>Redemption</w:t>
            </w:r>
            <w:proofErr w:type="spellEnd"/>
          </w:p>
        </w:tc>
        <w:tc>
          <w:tcPr>
            <w:tcW w:w="1383" w:type="dxa"/>
          </w:tcPr>
          <w:p w14:paraId="64874DB4" w14:textId="01DF85B6" w:rsidR="004B1163" w:rsidRPr="000019C8" w:rsidRDefault="000019C8" w:rsidP="000E76AF">
            <w:pPr>
              <w:pStyle w:val="ad"/>
              <w:jc w:val="center"/>
            </w:pPr>
            <w:r>
              <w:rPr>
                <w:lang w:val="en-US"/>
              </w:rPr>
              <w:t>-0</w:t>
            </w:r>
            <w:r>
              <w:t>,3635</w:t>
            </w:r>
            <w:r w:rsidR="008F77EF">
              <w:t>***</w:t>
            </w:r>
          </w:p>
        </w:tc>
        <w:tc>
          <w:tcPr>
            <w:tcW w:w="1470" w:type="dxa"/>
          </w:tcPr>
          <w:p w14:paraId="35BCCF01" w14:textId="449BEE86" w:rsidR="004B1163" w:rsidRDefault="004B1163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26" w:type="dxa"/>
          </w:tcPr>
          <w:p w14:paraId="275E2052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132" w:type="dxa"/>
          </w:tcPr>
          <w:p w14:paraId="610AC427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510" w:type="dxa"/>
          </w:tcPr>
          <w:p w14:paraId="7513E840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236" w:type="dxa"/>
          </w:tcPr>
          <w:p w14:paraId="17C1E885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94" w:type="dxa"/>
          </w:tcPr>
          <w:p w14:paraId="0502072B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71" w:type="dxa"/>
          </w:tcPr>
          <w:p w14:paraId="66FA1C0D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30" w:type="dxa"/>
          </w:tcPr>
          <w:p w14:paraId="39D9AFB9" w14:textId="53A7C9EB" w:rsidR="004B1163" w:rsidRDefault="004B1163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6F372166" w14:textId="77777777" w:rsidR="004B1163" w:rsidRDefault="004B1163" w:rsidP="000E76AF">
            <w:pPr>
              <w:pStyle w:val="ad"/>
              <w:jc w:val="center"/>
            </w:pPr>
          </w:p>
        </w:tc>
      </w:tr>
      <w:tr w:rsidR="009D3E87" w14:paraId="3137D0CC" w14:textId="0A99A358" w:rsidTr="001640F3">
        <w:trPr>
          <w:trHeight w:val="318"/>
          <w:jc w:val="center"/>
        </w:trPr>
        <w:tc>
          <w:tcPr>
            <w:tcW w:w="1643" w:type="dxa"/>
          </w:tcPr>
          <w:p w14:paraId="491EA313" w14:textId="12FE7E2A" w:rsidR="004B1163" w:rsidRPr="00E2163C" w:rsidRDefault="004B1163" w:rsidP="000E76AF">
            <w:pPr>
              <w:pStyle w:val="ad"/>
              <w:rPr>
                <w:b/>
                <w:bCs/>
              </w:rPr>
            </w:pPr>
            <w:proofErr w:type="spellStart"/>
            <w:r w:rsidRPr="00E2163C">
              <w:rPr>
                <w:b/>
                <w:bCs/>
              </w:rPr>
              <w:t>Months</w:t>
            </w:r>
            <w:proofErr w:type="spellEnd"/>
          </w:p>
        </w:tc>
        <w:tc>
          <w:tcPr>
            <w:tcW w:w="1383" w:type="dxa"/>
          </w:tcPr>
          <w:p w14:paraId="3762ED44" w14:textId="2DC27BA6" w:rsidR="004B1163" w:rsidRDefault="009E48DA" w:rsidP="000E76AF">
            <w:pPr>
              <w:pStyle w:val="ad"/>
              <w:jc w:val="center"/>
            </w:pPr>
            <w:r>
              <w:t>-0,</w:t>
            </w:r>
            <w:r w:rsidR="00CD6644">
              <w:rPr>
                <w:lang w:val="en-US"/>
              </w:rPr>
              <w:t>2376</w:t>
            </w:r>
            <w:r>
              <w:t>*</w:t>
            </w:r>
          </w:p>
        </w:tc>
        <w:tc>
          <w:tcPr>
            <w:tcW w:w="1470" w:type="dxa"/>
          </w:tcPr>
          <w:p w14:paraId="6935099D" w14:textId="1060ADF2" w:rsidR="004B1163" w:rsidRDefault="00997B66" w:rsidP="000E76AF">
            <w:pPr>
              <w:pStyle w:val="ad"/>
              <w:jc w:val="center"/>
            </w:pPr>
            <w:r>
              <w:t>0,3</w:t>
            </w:r>
            <w:r w:rsidR="002B460F">
              <w:rPr>
                <w:lang w:val="en-US"/>
              </w:rPr>
              <w:t>307</w:t>
            </w:r>
            <w:r>
              <w:t>**</w:t>
            </w:r>
          </w:p>
        </w:tc>
        <w:tc>
          <w:tcPr>
            <w:tcW w:w="1026" w:type="dxa"/>
          </w:tcPr>
          <w:p w14:paraId="32BEC9EA" w14:textId="2D1A53BC" w:rsidR="004B1163" w:rsidRDefault="004B1163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2" w:type="dxa"/>
          </w:tcPr>
          <w:p w14:paraId="5C54F5D7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510" w:type="dxa"/>
          </w:tcPr>
          <w:p w14:paraId="42681F28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236" w:type="dxa"/>
          </w:tcPr>
          <w:p w14:paraId="2F802A82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94" w:type="dxa"/>
          </w:tcPr>
          <w:p w14:paraId="62EB830F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71" w:type="dxa"/>
          </w:tcPr>
          <w:p w14:paraId="4831C991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30" w:type="dxa"/>
          </w:tcPr>
          <w:p w14:paraId="000FBB62" w14:textId="122C4A79" w:rsidR="004B1163" w:rsidRDefault="004B1163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76944569" w14:textId="77777777" w:rsidR="004B1163" w:rsidRDefault="004B1163" w:rsidP="000E76AF">
            <w:pPr>
              <w:pStyle w:val="ad"/>
              <w:jc w:val="center"/>
            </w:pPr>
          </w:p>
        </w:tc>
      </w:tr>
      <w:tr w:rsidR="009D3E87" w14:paraId="0269F5DC" w14:textId="745E42E2" w:rsidTr="001640F3">
        <w:trPr>
          <w:trHeight w:val="318"/>
          <w:jc w:val="center"/>
        </w:trPr>
        <w:tc>
          <w:tcPr>
            <w:tcW w:w="1643" w:type="dxa"/>
          </w:tcPr>
          <w:p w14:paraId="4551E8C4" w14:textId="483ABFA3" w:rsidR="004B1163" w:rsidRPr="00E2163C" w:rsidRDefault="004B1163" w:rsidP="000E76AF">
            <w:pPr>
              <w:pStyle w:val="ad"/>
              <w:rPr>
                <w:b/>
                <w:bCs/>
              </w:rPr>
            </w:pPr>
            <w:r w:rsidRPr="00E2163C">
              <w:rPr>
                <w:b/>
                <w:bCs/>
              </w:rPr>
              <w:t>Team</w:t>
            </w:r>
          </w:p>
        </w:tc>
        <w:tc>
          <w:tcPr>
            <w:tcW w:w="1383" w:type="dxa"/>
          </w:tcPr>
          <w:p w14:paraId="725B8C0E" w14:textId="69BE99D2" w:rsidR="004B1163" w:rsidRDefault="009E48DA" w:rsidP="000E76AF">
            <w:pPr>
              <w:pStyle w:val="ad"/>
              <w:jc w:val="center"/>
            </w:pPr>
            <w:r>
              <w:t>-0,0763</w:t>
            </w:r>
          </w:p>
        </w:tc>
        <w:tc>
          <w:tcPr>
            <w:tcW w:w="1470" w:type="dxa"/>
          </w:tcPr>
          <w:p w14:paraId="3D18E1A8" w14:textId="0ACD4859" w:rsidR="004B1163" w:rsidRDefault="00997B66" w:rsidP="000E76AF">
            <w:pPr>
              <w:pStyle w:val="ad"/>
              <w:jc w:val="center"/>
            </w:pPr>
            <w:r>
              <w:t>-0,0212</w:t>
            </w:r>
          </w:p>
        </w:tc>
        <w:tc>
          <w:tcPr>
            <w:tcW w:w="1026" w:type="dxa"/>
          </w:tcPr>
          <w:p w14:paraId="7E95CB82" w14:textId="3C22D10C" w:rsidR="004B1163" w:rsidRPr="00B03375" w:rsidRDefault="00097A81" w:rsidP="000E76AF">
            <w:pPr>
              <w:pStyle w:val="ad"/>
              <w:jc w:val="center"/>
              <w:rPr>
                <w:lang w:val="en-US"/>
              </w:rPr>
            </w:pPr>
            <w:r>
              <w:t>0,00</w:t>
            </w:r>
            <w:r w:rsidR="00B03375">
              <w:rPr>
                <w:lang w:val="en-US"/>
              </w:rPr>
              <w:t>34</w:t>
            </w:r>
          </w:p>
        </w:tc>
        <w:tc>
          <w:tcPr>
            <w:tcW w:w="1132" w:type="dxa"/>
          </w:tcPr>
          <w:p w14:paraId="53AD467E" w14:textId="660B30F5" w:rsidR="004B1163" w:rsidRDefault="004B1163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10" w:type="dxa"/>
          </w:tcPr>
          <w:p w14:paraId="39762AD0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236" w:type="dxa"/>
          </w:tcPr>
          <w:p w14:paraId="05553BA4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94" w:type="dxa"/>
          </w:tcPr>
          <w:p w14:paraId="31DDC065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71" w:type="dxa"/>
          </w:tcPr>
          <w:p w14:paraId="632450C4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30" w:type="dxa"/>
          </w:tcPr>
          <w:p w14:paraId="232AB6EA" w14:textId="191559D7" w:rsidR="004B1163" w:rsidRDefault="004B1163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38B7E8C7" w14:textId="77777777" w:rsidR="004B1163" w:rsidRDefault="004B1163" w:rsidP="000E76AF">
            <w:pPr>
              <w:pStyle w:val="ad"/>
              <w:jc w:val="center"/>
            </w:pPr>
          </w:p>
        </w:tc>
      </w:tr>
      <w:tr w:rsidR="009D3E87" w14:paraId="667A2ECA" w14:textId="006F6F6D" w:rsidTr="001640F3">
        <w:trPr>
          <w:trHeight w:val="318"/>
          <w:jc w:val="center"/>
        </w:trPr>
        <w:tc>
          <w:tcPr>
            <w:tcW w:w="1643" w:type="dxa"/>
          </w:tcPr>
          <w:p w14:paraId="3609AB0D" w14:textId="10D6BAC4" w:rsidR="004B1163" w:rsidRPr="00E2163C" w:rsidRDefault="004B1163" w:rsidP="000E76AF">
            <w:pPr>
              <w:pStyle w:val="ad"/>
              <w:rPr>
                <w:b/>
                <w:bCs/>
              </w:rPr>
            </w:pPr>
            <w:proofErr w:type="spellStart"/>
            <w:r w:rsidRPr="00E2163C">
              <w:rPr>
                <w:b/>
                <w:bCs/>
              </w:rPr>
              <w:t>UndNumber</w:t>
            </w:r>
            <w:proofErr w:type="spellEnd"/>
          </w:p>
        </w:tc>
        <w:tc>
          <w:tcPr>
            <w:tcW w:w="1383" w:type="dxa"/>
          </w:tcPr>
          <w:p w14:paraId="2BF3D90F" w14:textId="62CE7599" w:rsidR="004B1163" w:rsidRDefault="004E4411" w:rsidP="000E76AF">
            <w:pPr>
              <w:pStyle w:val="ad"/>
              <w:jc w:val="center"/>
            </w:pPr>
            <w:r>
              <w:t>0,2674*</w:t>
            </w:r>
          </w:p>
        </w:tc>
        <w:tc>
          <w:tcPr>
            <w:tcW w:w="1470" w:type="dxa"/>
          </w:tcPr>
          <w:p w14:paraId="44DADBEE" w14:textId="7E8E5C3F" w:rsidR="004B1163" w:rsidRDefault="00997B66" w:rsidP="000E76AF">
            <w:pPr>
              <w:pStyle w:val="ad"/>
              <w:jc w:val="center"/>
            </w:pPr>
            <w:r>
              <w:t>-0,15</w:t>
            </w:r>
            <w:r w:rsidR="000A5E3F">
              <w:t>73</w:t>
            </w:r>
          </w:p>
        </w:tc>
        <w:tc>
          <w:tcPr>
            <w:tcW w:w="1026" w:type="dxa"/>
          </w:tcPr>
          <w:p w14:paraId="1B341E3E" w14:textId="1F0F4851" w:rsidR="004B1163" w:rsidRPr="00F81F38" w:rsidRDefault="00097A81" w:rsidP="000E76AF">
            <w:pPr>
              <w:pStyle w:val="ad"/>
              <w:jc w:val="center"/>
              <w:rPr>
                <w:lang w:val="en-US"/>
              </w:rPr>
            </w:pPr>
            <w:r>
              <w:t>0,0</w:t>
            </w:r>
            <w:r w:rsidR="00F81F38">
              <w:rPr>
                <w:lang w:val="en-US"/>
              </w:rPr>
              <w:t>091</w:t>
            </w:r>
          </w:p>
        </w:tc>
        <w:tc>
          <w:tcPr>
            <w:tcW w:w="1132" w:type="dxa"/>
          </w:tcPr>
          <w:p w14:paraId="3978EFC3" w14:textId="36E425DE" w:rsidR="004B1163" w:rsidRDefault="00276584" w:rsidP="000E76AF">
            <w:pPr>
              <w:pStyle w:val="ad"/>
              <w:jc w:val="center"/>
            </w:pPr>
            <w:r>
              <w:t>-0,0</w:t>
            </w:r>
            <w:r w:rsidR="00004C15">
              <w:t>225</w:t>
            </w:r>
          </w:p>
        </w:tc>
        <w:tc>
          <w:tcPr>
            <w:tcW w:w="1510" w:type="dxa"/>
          </w:tcPr>
          <w:p w14:paraId="6F92F15D" w14:textId="566202CA" w:rsidR="004B1163" w:rsidRDefault="004B1163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14:paraId="734281B5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94" w:type="dxa"/>
          </w:tcPr>
          <w:p w14:paraId="5976DF95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71" w:type="dxa"/>
          </w:tcPr>
          <w:p w14:paraId="13BECA0D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30" w:type="dxa"/>
          </w:tcPr>
          <w:p w14:paraId="406C4772" w14:textId="17899250" w:rsidR="004B1163" w:rsidRDefault="004B1163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14FDC4F9" w14:textId="77777777" w:rsidR="004B1163" w:rsidRDefault="004B1163" w:rsidP="000E76AF">
            <w:pPr>
              <w:pStyle w:val="ad"/>
              <w:jc w:val="center"/>
            </w:pPr>
          </w:p>
        </w:tc>
      </w:tr>
      <w:tr w:rsidR="009D3E87" w14:paraId="0F4D2EC5" w14:textId="6C45E404" w:rsidTr="001640F3">
        <w:trPr>
          <w:trHeight w:val="318"/>
          <w:jc w:val="center"/>
        </w:trPr>
        <w:tc>
          <w:tcPr>
            <w:tcW w:w="1643" w:type="dxa"/>
          </w:tcPr>
          <w:p w14:paraId="7861ED45" w14:textId="18C7AFEC" w:rsidR="004B1163" w:rsidRPr="00E2163C" w:rsidRDefault="004B1163" w:rsidP="000E76AF">
            <w:pPr>
              <w:pStyle w:val="ad"/>
              <w:rPr>
                <w:b/>
                <w:bCs/>
              </w:rPr>
            </w:pPr>
            <w:proofErr w:type="spellStart"/>
            <w:r w:rsidRPr="00E2163C">
              <w:rPr>
                <w:b/>
                <w:bCs/>
              </w:rPr>
              <w:t>UndFee</w:t>
            </w:r>
            <w:proofErr w:type="spellEnd"/>
          </w:p>
        </w:tc>
        <w:tc>
          <w:tcPr>
            <w:tcW w:w="1383" w:type="dxa"/>
          </w:tcPr>
          <w:p w14:paraId="5FD873DD" w14:textId="1C862F3A" w:rsidR="004B1163" w:rsidRDefault="004E4411" w:rsidP="000E76AF">
            <w:pPr>
              <w:pStyle w:val="ad"/>
              <w:jc w:val="center"/>
            </w:pPr>
            <w:r>
              <w:t>0,1340</w:t>
            </w:r>
          </w:p>
        </w:tc>
        <w:tc>
          <w:tcPr>
            <w:tcW w:w="1470" w:type="dxa"/>
          </w:tcPr>
          <w:p w14:paraId="0DE1D29C" w14:textId="4CD5A559" w:rsidR="004B1163" w:rsidRDefault="000A5E3F" w:rsidP="000E76AF">
            <w:pPr>
              <w:pStyle w:val="ad"/>
              <w:jc w:val="center"/>
            </w:pPr>
            <w:r>
              <w:t>-0,2475</w:t>
            </w:r>
          </w:p>
        </w:tc>
        <w:tc>
          <w:tcPr>
            <w:tcW w:w="1026" w:type="dxa"/>
          </w:tcPr>
          <w:p w14:paraId="2B595EAC" w14:textId="222D990F" w:rsidR="004B1163" w:rsidRPr="00880E64" w:rsidRDefault="00097A81" w:rsidP="000E76AF">
            <w:pPr>
              <w:pStyle w:val="ad"/>
              <w:jc w:val="center"/>
              <w:rPr>
                <w:lang w:val="en-US"/>
              </w:rPr>
            </w:pPr>
            <w:r>
              <w:t>0,0</w:t>
            </w:r>
            <w:r w:rsidR="00880E64">
              <w:rPr>
                <w:lang w:val="en-US"/>
              </w:rPr>
              <w:t>846</w:t>
            </w:r>
          </w:p>
        </w:tc>
        <w:tc>
          <w:tcPr>
            <w:tcW w:w="1132" w:type="dxa"/>
          </w:tcPr>
          <w:p w14:paraId="1E91C893" w14:textId="39DF1028" w:rsidR="004B1163" w:rsidRPr="00B03375" w:rsidRDefault="00004C15" w:rsidP="000E76AF">
            <w:pPr>
              <w:pStyle w:val="ad"/>
              <w:jc w:val="center"/>
              <w:rPr>
                <w:lang w:val="en-US"/>
              </w:rPr>
            </w:pPr>
            <w:r>
              <w:t>-0,0550</w:t>
            </w:r>
          </w:p>
        </w:tc>
        <w:tc>
          <w:tcPr>
            <w:tcW w:w="1510" w:type="dxa"/>
          </w:tcPr>
          <w:p w14:paraId="59C86BF1" w14:textId="645C041C" w:rsidR="004B1163" w:rsidRDefault="005C7A23" w:rsidP="000E76AF">
            <w:pPr>
              <w:pStyle w:val="ad"/>
              <w:jc w:val="center"/>
            </w:pPr>
            <w:r>
              <w:t>0,1884</w:t>
            </w:r>
          </w:p>
        </w:tc>
        <w:tc>
          <w:tcPr>
            <w:tcW w:w="1236" w:type="dxa"/>
          </w:tcPr>
          <w:p w14:paraId="78E1F3C2" w14:textId="0911ECC8" w:rsidR="004B1163" w:rsidRDefault="004B1163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94" w:type="dxa"/>
          </w:tcPr>
          <w:p w14:paraId="0F51594F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371" w:type="dxa"/>
          </w:tcPr>
          <w:p w14:paraId="5E6644BE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30" w:type="dxa"/>
          </w:tcPr>
          <w:p w14:paraId="3EDBDAAE" w14:textId="1D158A45" w:rsidR="004B1163" w:rsidRDefault="004B1163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13611AC8" w14:textId="77777777" w:rsidR="004B1163" w:rsidRDefault="004B1163" w:rsidP="000E76AF">
            <w:pPr>
              <w:pStyle w:val="ad"/>
              <w:jc w:val="center"/>
            </w:pPr>
          </w:p>
        </w:tc>
      </w:tr>
      <w:tr w:rsidR="009D3E87" w14:paraId="28351100" w14:textId="7BC9E2D6" w:rsidTr="001640F3">
        <w:trPr>
          <w:trHeight w:val="318"/>
          <w:jc w:val="center"/>
        </w:trPr>
        <w:tc>
          <w:tcPr>
            <w:tcW w:w="1643" w:type="dxa"/>
          </w:tcPr>
          <w:p w14:paraId="1F07F351" w14:textId="3FB4A57C" w:rsidR="004B1163" w:rsidRPr="00E2163C" w:rsidRDefault="004B1163" w:rsidP="000E76AF">
            <w:pPr>
              <w:pStyle w:val="ad"/>
              <w:rPr>
                <w:b/>
                <w:bCs/>
              </w:rPr>
            </w:pPr>
            <w:r w:rsidRPr="00E2163C">
              <w:rPr>
                <w:b/>
                <w:bCs/>
              </w:rPr>
              <w:t>Top10und</w:t>
            </w:r>
          </w:p>
        </w:tc>
        <w:tc>
          <w:tcPr>
            <w:tcW w:w="1383" w:type="dxa"/>
          </w:tcPr>
          <w:p w14:paraId="0F0E234D" w14:textId="4473A936" w:rsidR="004B1163" w:rsidRDefault="004E4411" w:rsidP="000E76AF">
            <w:pPr>
              <w:pStyle w:val="ad"/>
              <w:jc w:val="center"/>
            </w:pPr>
            <w:r>
              <w:t>0,2</w:t>
            </w:r>
            <w:r w:rsidR="005D5203">
              <w:t>004</w:t>
            </w:r>
          </w:p>
        </w:tc>
        <w:tc>
          <w:tcPr>
            <w:tcW w:w="1470" w:type="dxa"/>
          </w:tcPr>
          <w:p w14:paraId="2C6CEF48" w14:textId="5A04464C" w:rsidR="004B1163" w:rsidRDefault="000A5E3F" w:rsidP="000E76AF">
            <w:pPr>
              <w:pStyle w:val="ad"/>
              <w:jc w:val="center"/>
            </w:pPr>
            <w:r>
              <w:t>-0,2674</w:t>
            </w:r>
          </w:p>
        </w:tc>
        <w:tc>
          <w:tcPr>
            <w:tcW w:w="1026" w:type="dxa"/>
          </w:tcPr>
          <w:p w14:paraId="6A245A5F" w14:textId="2C07BA3C" w:rsidR="004B1163" w:rsidRPr="00880E64" w:rsidRDefault="00097A81" w:rsidP="000E76AF">
            <w:pPr>
              <w:pStyle w:val="ad"/>
              <w:jc w:val="center"/>
              <w:rPr>
                <w:lang w:val="en-US"/>
              </w:rPr>
            </w:pPr>
            <w:r>
              <w:t>-0,0</w:t>
            </w:r>
            <w:r w:rsidR="00880E64">
              <w:rPr>
                <w:lang w:val="en-US"/>
              </w:rPr>
              <w:t>700</w:t>
            </w:r>
          </w:p>
        </w:tc>
        <w:tc>
          <w:tcPr>
            <w:tcW w:w="1132" w:type="dxa"/>
          </w:tcPr>
          <w:p w14:paraId="0FABD7B7" w14:textId="6ED0B8BF" w:rsidR="004B1163" w:rsidRDefault="00004C15" w:rsidP="000E76AF">
            <w:pPr>
              <w:pStyle w:val="ad"/>
              <w:jc w:val="center"/>
            </w:pPr>
            <w:r>
              <w:t>0,0271</w:t>
            </w:r>
          </w:p>
        </w:tc>
        <w:tc>
          <w:tcPr>
            <w:tcW w:w="1510" w:type="dxa"/>
          </w:tcPr>
          <w:p w14:paraId="4E7F3BDB" w14:textId="38088326" w:rsidR="004B1163" w:rsidRDefault="005C7A23" w:rsidP="000E76AF">
            <w:pPr>
              <w:pStyle w:val="ad"/>
              <w:jc w:val="center"/>
            </w:pPr>
            <w:r>
              <w:t>0,3350***</w:t>
            </w:r>
          </w:p>
        </w:tc>
        <w:tc>
          <w:tcPr>
            <w:tcW w:w="1236" w:type="dxa"/>
          </w:tcPr>
          <w:p w14:paraId="02281921" w14:textId="50CADC85" w:rsidR="004B1163" w:rsidRDefault="009D3E87" w:rsidP="000E76AF">
            <w:pPr>
              <w:pStyle w:val="ad"/>
              <w:jc w:val="center"/>
            </w:pPr>
            <w:r>
              <w:t>0,4047***</w:t>
            </w:r>
          </w:p>
        </w:tc>
        <w:tc>
          <w:tcPr>
            <w:tcW w:w="1394" w:type="dxa"/>
          </w:tcPr>
          <w:p w14:paraId="5758AEED" w14:textId="0FB56FA1" w:rsidR="004B1163" w:rsidRDefault="004B1163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71" w:type="dxa"/>
          </w:tcPr>
          <w:p w14:paraId="097A5571" w14:textId="77777777" w:rsidR="004B1163" w:rsidRDefault="004B1163" w:rsidP="000E76AF">
            <w:pPr>
              <w:pStyle w:val="ad"/>
              <w:jc w:val="center"/>
            </w:pPr>
          </w:p>
        </w:tc>
        <w:tc>
          <w:tcPr>
            <w:tcW w:w="1030" w:type="dxa"/>
          </w:tcPr>
          <w:p w14:paraId="003B8CD3" w14:textId="64D2E3CE" w:rsidR="004B1163" w:rsidRDefault="004B1163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07963327" w14:textId="77777777" w:rsidR="004B1163" w:rsidRDefault="004B1163" w:rsidP="000E76AF">
            <w:pPr>
              <w:pStyle w:val="ad"/>
              <w:jc w:val="center"/>
            </w:pPr>
          </w:p>
        </w:tc>
      </w:tr>
      <w:tr w:rsidR="00004C15" w14:paraId="6BE28245" w14:textId="77777777" w:rsidTr="001640F3">
        <w:trPr>
          <w:trHeight w:val="318"/>
          <w:jc w:val="center"/>
        </w:trPr>
        <w:tc>
          <w:tcPr>
            <w:tcW w:w="1643" w:type="dxa"/>
          </w:tcPr>
          <w:p w14:paraId="4F069947" w14:textId="2F3B3233" w:rsidR="007D7211" w:rsidRPr="00E2163C" w:rsidRDefault="007D7211" w:rsidP="000E76AF">
            <w:pPr>
              <w:pStyle w:val="ad"/>
              <w:rPr>
                <w:b/>
                <w:bCs/>
              </w:rPr>
            </w:pPr>
            <w:r w:rsidRPr="00E2163C">
              <w:rPr>
                <w:b/>
                <w:bCs/>
                <w:lang w:val="en-US"/>
              </w:rPr>
              <w:t>IPO proceeds</w:t>
            </w:r>
          </w:p>
        </w:tc>
        <w:tc>
          <w:tcPr>
            <w:tcW w:w="1383" w:type="dxa"/>
          </w:tcPr>
          <w:p w14:paraId="4B33122F" w14:textId="3D15222A" w:rsidR="007D7211" w:rsidRDefault="005D5203" w:rsidP="000E76AF">
            <w:pPr>
              <w:pStyle w:val="ad"/>
              <w:jc w:val="center"/>
            </w:pPr>
            <w:r>
              <w:t>0,2</w:t>
            </w:r>
            <w:r w:rsidR="00CD6644">
              <w:rPr>
                <w:lang w:val="en-US"/>
              </w:rPr>
              <w:t>932*</w:t>
            </w:r>
            <w:r>
              <w:t>*</w:t>
            </w:r>
          </w:p>
        </w:tc>
        <w:tc>
          <w:tcPr>
            <w:tcW w:w="1470" w:type="dxa"/>
          </w:tcPr>
          <w:p w14:paraId="014D634E" w14:textId="509AC78B" w:rsidR="007D7211" w:rsidRPr="00B03375" w:rsidRDefault="000A5E3F" w:rsidP="000E76AF">
            <w:pPr>
              <w:pStyle w:val="ad"/>
              <w:jc w:val="center"/>
              <w:rPr>
                <w:lang w:val="en-US"/>
              </w:rPr>
            </w:pPr>
            <w:r>
              <w:t>-0,2</w:t>
            </w:r>
            <w:r w:rsidR="00B03375">
              <w:rPr>
                <w:lang w:val="en-US"/>
              </w:rPr>
              <w:t>187</w:t>
            </w:r>
          </w:p>
        </w:tc>
        <w:tc>
          <w:tcPr>
            <w:tcW w:w="1026" w:type="dxa"/>
          </w:tcPr>
          <w:p w14:paraId="10E74CBA" w14:textId="04A68C65" w:rsidR="007D7211" w:rsidRPr="00880E64" w:rsidRDefault="00097A81" w:rsidP="000E76AF">
            <w:pPr>
              <w:pStyle w:val="ad"/>
              <w:jc w:val="center"/>
              <w:rPr>
                <w:lang w:val="en-US"/>
              </w:rPr>
            </w:pPr>
            <w:r>
              <w:t>-0,1</w:t>
            </w:r>
            <w:r w:rsidR="00880E64">
              <w:rPr>
                <w:lang w:val="en-US"/>
              </w:rPr>
              <w:t>547</w:t>
            </w:r>
          </w:p>
        </w:tc>
        <w:tc>
          <w:tcPr>
            <w:tcW w:w="1132" w:type="dxa"/>
          </w:tcPr>
          <w:p w14:paraId="1477478D" w14:textId="15EC23F1" w:rsidR="007D7211" w:rsidRPr="00563879" w:rsidRDefault="00004C15" w:rsidP="000E76AF">
            <w:pPr>
              <w:pStyle w:val="ad"/>
              <w:jc w:val="center"/>
              <w:rPr>
                <w:lang w:val="en-US"/>
              </w:rPr>
            </w:pPr>
            <w:r>
              <w:t>0,03</w:t>
            </w:r>
            <w:r w:rsidR="00563879">
              <w:rPr>
                <w:lang w:val="en-US"/>
              </w:rPr>
              <w:t>02</w:t>
            </w:r>
          </w:p>
        </w:tc>
        <w:tc>
          <w:tcPr>
            <w:tcW w:w="1510" w:type="dxa"/>
          </w:tcPr>
          <w:p w14:paraId="3F00B23E" w14:textId="4173782E" w:rsidR="007D7211" w:rsidRDefault="00A84F8E" w:rsidP="000E76AF">
            <w:pPr>
              <w:pStyle w:val="ad"/>
              <w:jc w:val="center"/>
            </w:pPr>
            <w:r>
              <w:t>0,45</w:t>
            </w:r>
            <w:r w:rsidR="00563879">
              <w:rPr>
                <w:lang w:val="en-US"/>
              </w:rPr>
              <w:t>94</w:t>
            </w:r>
            <w:r>
              <w:t>***</w:t>
            </w:r>
          </w:p>
        </w:tc>
        <w:tc>
          <w:tcPr>
            <w:tcW w:w="1236" w:type="dxa"/>
          </w:tcPr>
          <w:p w14:paraId="18C2D7B2" w14:textId="77DA904D" w:rsidR="007D7211" w:rsidRPr="00A53FF1" w:rsidRDefault="009C315E" w:rsidP="000E76AF">
            <w:pPr>
              <w:pStyle w:val="ad"/>
              <w:jc w:val="center"/>
              <w:rPr>
                <w:lang w:val="en-US"/>
              </w:rPr>
            </w:pPr>
            <w:r>
              <w:t>0,19</w:t>
            </w:r>
            <w:r w:rsidR="00A53FF1">
              <w:rPr>
                <w:lang w:val="en-US"/>
              </w:rPr>
              <w:t>58</w:t>
            </w:r>
          </w:p>
        </w:tc>
        <w:tc>
          <w:tcPr>
            <w:tcW w:w="1394" w:type="dxa"/>
          </w:tcPr>
          <w:p w14:paraId="05D97753" w14:textId="01D2144A" w:rsidR="007D7211" w:rsidRPr="005609B3" w:rsidRDefault="005609B3" w:rsidP="000E76AF">
            <w:pPr>
              <w:pStyle w:val="ad"/>
              <w:jc w:val="center"/>
            </w:pPr>
            <w:r>
              <w:t>0,5</w:t>
            </w:r>
            <w:r w:rsidR="00A53FF1">
              <w:rPr>
                <w:lang w:val="en-US"/>
              </w:rPr>
              <w:t>220</w:t>
            </w:r>
            <w:r>
              <w:t>***</w:t>
            </w:r>
          </w:p>
        </w:tc>
        <w:tc>
          <w:tcPr>
            <w:tcW w:w="1371" w:type="dxa"/>
          </w:tcPr>
          <w:p w14:paraId="02C34C5A" w14:textId="6F395BE3" w:rsidR="007D7211" w:rsidRDefault="00DA14EC" w:rsidP="000E76AF">
            <w:pPr>
              <w:pStyle w:val="ad"/>
              <w:jc w:val="center"/>
            </w:pPr>
            <w:r>
              <w:t>1</w:t>
            </w:r>
          </w:p>
        </w:tc>
        <w:tc>
          <w:tcPr>
            <w:tcW w:w="1030" w:type="dxa"/>
          </w:tcPr>
          <w:p w14:paraId="1954B7B8" w14:textId="77777777" w:rsidR="007D7211" w:rsidRDefault="007D7211" w:rsidP="000E76AF">
            <w:pPr>
              <w:pStyle w:val="ad"/>
              <w:jc w:val="center"/>
            </w:pPr>
          </w:p>
        </w:tc>
        <w:tc>
          <w:tcPr>
            <w:tcW w:w="1286" w:type="dxa"/>
          </w:tcPr>
          <w:p w14:paraId="6218C8F6" w14:textId="77777777" w:rsidR="007D7211" w:rsidRDefault="007D7211" w:rsidP="000E76AF">
            <w:pPr>
              <w:pStyle w:val="ad"/>
              <w:jc w:val="center"/>
            </w:pPr>
          </w:p>
        </w:tc>
      </w:tr>
      <w:tr w:rsidR="00004C15" w14:paraId="1ED2FFF4" w14:textId="77777777" w:rsidTr="001640F3">
        <w:trPr>
          <w:trHeight w:val="318"/>
          <w:jc w:val="center"/>
        </w:trPr>
        <w:tc>
          <w:tcPr>
            <w:tcW w:w="1643" w:type="dxa"/>
          </w:tcPr>
          <w:p w14:paraId="18809ACC" w14:textId="103D5B18" w:rsidR="007D7211" w:rsidRPr="00E2163C" w:rsidRDefault="007D7211" w:rsidP="000E76AF">
            <w:pPr>
              <w:pStyle w:val="ad"/>
              <w:rPr>
                <w:b/>
                <w:bCs/>
              </w:rPr>
            </w:pPr>
            <w:proofErr w:type="spellStart"/>
            <w:r w:rsidRPr="00E2163C">
              <w:rPr>
                <w:b/>
                <w:bCs/>
              </w:rPr>
              <w:t>WTunit</w:t>
            </w:r>
            <w:proofErr w:type="spellEnd"/>
          </w:p>
        </w:tc>
        <w:tc>
          <w:tcPr>
            <w:tcW w:w="1383" w:type="dxa"/>
          </w:tcPr>
          <w:p w14:paraId="18BF3723" w14:textId="04D654B3" w:rsidR="007D7211" w:rsidRDefault="005D5203" w:rsidP="000E76AF">
            <w:pPr>
              <w:pStyle w:val="ad"/>
              <w:jc w:val="center"/>
            </w:pPr>
            <w:r>
              <w:t>-0,0578</w:t>
            </w:r>
          </w:p>
        </w:tc>
        <w:tc>
          <w:tcPr>
            <w:tcW w:w="1470" w:type="dxa"/>
          </w:tcPr>
          <w:p w14:paraId="7AB307F0" w14:textId="644032BF" w:rsidR="007D7211" w:rsidRDefault="00154045" w:rsidP="000E76AF">
            <w:pPr>
              <w:pStyle w:val="ad"/>
              <w:jc w:val="center"/>
            </w:pPr>
            <w:r>
              <w:t>0,2490</w:t>
            </w:r>
          </w:p>
        </w:tc>
        <w:tc>
          <w:tcPr>
            <w:tcW w:w="1026" w:type="dxa"/>
          </w:tcPr>
          <w:p w14:paraId="4144744E" w14:textId="6E077401" w:rsidR="007D7211" w:rsidRPr="00563879" w:rsidRDefault="00097A81" w:rsidP="000E76AF">
            <w:pPr>
              <w:pStyle w:val="ad"/>
              <w:jc w:val="center"/>
              <w:rPr>
                <w:lang w:val="en-US"/>
              </w:rPr>
            </w:pPr>
            <w:r>
              <w:t>0,239</w:t>
            </w:r>
            <w:r w:rsidR="00563879">
              <w:rPr>
                <w:lang w:val="en-US"/>
              </w:rPr>
              <w:t>6</w:t>
            </w:r>
          </w:p>
        </w:tc>
        <w:tc>
          <w:tcPr>
            <w:tcW w:w="1132" w:type="dxa"/>
          </w:tcPr>
          <w:p w14:paraId="7A2EA063" w14:textId="61729B2A" w:rsidR="007D7211" w:rsidRDefault="00004C15" w:rsidP="000E76AF">
            <w:pPr>
              <w:pStyle w:val="ad"/>
              <w:jc w:val="center"/>
            </w:pPr>
            <w:r>
              <w:t>0,2136</w:t>
            </w:r>
          </w:p>
        </w:tc>
        <w:tc>
          <w:tcPr>
            <w:tcW w:w="1510" w:type="dxa"/>
          </w:tcPr>
          <w:p w14:paraId="69CBDDD0" w14:textId="259D33F4" w:rsidR="007D7211" w:rsidRDefault="00A84F8E" w:rsidP="000E76AF">
            <w:pPr>
              <w:pStyle w:val="ad"/>
              <w:jc w:val="center"/>
            </w:pPr>
            <w:r>
              <w:t>-0,2444</w:t>
            </w:r>
          </w:p>
        </w:tc>
        <w:tc>
          <w:tcPr>
            <w:tcW w:w="1236" w:type="dxa"/>
          </w:tcPr>
          <w:p w14:paraId="4D096B79" w14:textId="639DD469" w:rsidR="007D7211" w:rsidRDefault="009C315E" w:rsidP="000E76AF">
            <w:pPr>
              <w:pStyle w:val="ad"/>
              <w:jc w:val="center"/>
            </w:pPr>
            <w:r>
              <w:t>-0,2688</w:t>
            </w:r>
          </w:p>
        </w:tc>
        <w:tc>
          <w:tcPr>
            <w:tcW w:w="1394" w:type="dxa"/>
          </w:tcPr>
          <w:p w14:paraId="7D6CE4E8" w14:textId="2F30963B" w:rsidR="007D7211" w:rsidRDefault="005609B3" w:rsidP="000E76AF">
            <w:pPr>
              <w:pStyle w:val="ad"/>
              <w:jc w:val="center"/>
            </w:pPr>
            <w:r>
              <w:t>-0,2963</w:t>
            </w:r>
            <w:r w:rsidR="00DA14EC">
              <w:t>**</w:t>
            </w:r>
          </w:p>
        </w:tc>
        <w:tc>
          <w:tcPr>
            <w:tcW w:w="1371" w:type="dxa"/>
          </w:tcPr>
          <w:p w14:paraId="170BD7EA" w14:textId="449ABC09" w:rsidR="007D7211" w:rsidRPr="00DA14EC" w:rsidRDefault="00DA14EC" w:rsidP="000E76AF">
            <w:pPr>
              <w:pStyle w:val="ad"/>
              <w:jc w:val="center"/>
            </w:pPr>
            <w:r>
              <w:t>-0</w:t>
            </w:r>
            <w:r w:rsidR="00643A06">
              <w:t>,3</w:t>
            </w:r>
            <w:r w:rsidR="008E0598">
              <w:rPr>
                <w:lang w:val="en-US"/>
              </w:rPr>
              <w:t>589</w:t>
            </w:r>
            <w:r w:rsidR="00643A06">
              <w:t>***</w:t>
            </w:r>
          </w:p>
        </w:tc>
        <w:tc>
          <w:tcPr>
            <w:tcW w:w="1030" w:type="dxa"/>
          </w:tcPr>
          <w:p w14:paraId="5596A452" w14:textId="60A4382C" w:rsidR="007D7211" w:rsidRDefault="007D7211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86" w:type="dxa"/>
          </w:tcPr>
          <w:p w14:paraId="0F2ACA5D" w14:textId="77777777" w:rsidR="007D7211" w:rsidRDefault="007D7211" w:rsidP="000E76AF">
            <w:pPr>
              <w:pStyle w:val="ad"/>
              <w:jc w:val="center"/>
            </w:pPr>
          </w:p>
        </w:tc>
      </w:tr>
      <w:tr w:rsidR="00004C15" w14:paraId="474BFD25" w14:textId="77777777" w:rsidTr="001640F3">
        <w:trPr>
          <w:trHeight w:val="318"/>
          <w:jc w:val="center"/>
        </w:trPr>
        <w:tc>
          <w:tcPr>
            <w:tcW w:w="1643" w:type="dxa"/>
          </w:tcPr>
          <w:p w14:paraId="75B44AE5" w14:textId="1CDC616A" w:rsidR="007D7211" w:rsidRPr="00E2163C" w:rsidRDefault="007D7211" w:rsidP="000E76AF">
            <w:pPr>
              <w:pStyle w:val="ad"/>
              <w:rPr>
                <w:b/>
                <w:bCs/>
              </w:rPr>
            </w:pPr>
            <w:proofErr w:type="spellStart"/>
            <w:r w:rsidRPr="00E2163C">
              <w:rPr>
                <w:b/>
                <w:bCs/>
              </w:rPr>
              <w:t>IndFocus</w:t>
            </w:r>
            <w:proofErr w:type="spellEnd"/>
          </w:p>
        </w:tc>
        <w:tc>
          <w:tcPr>
            <w:tcW w:w="1383" w:type="dxa"/>
          </w:tcPr>
          <w:p w14:paraId="20AA3857" w14:textId="24E01397" w:rsidR="007D7211" w:rsidRDefault="005D5203" w:rsidP="000E76AF">
            <w:pPr>
              <w:pStyle w:val="ad"/>
              <w:jc w:val="center"/>
            </w:pPr>
            <w:r>
              <w:t>0,0215</w:t>
            </w:r>
          </w:p>
        </w:tc>
        <w:tc>
          <w:tcPr>
            <w:tcW w:w="1470" w:type="dxa"/>
          </w:tcPr>
          <w:p w14:paraId="3D4032E7" w14:textId="418DA6D3" w:rsidR="007D7211" w:rsidRDefault="00097A81" w:rsidP="000E76AF">
            <w:pPr>
              <w:pStyle w:val="ad"/>
              <w:jc w:val="center"/>
            </w:pPr>
            <w:r>
              <w:t>-0,0787</w:t>
            </w:r>
          </w:p>
        </w:tc>
        <w:tc>
          <w:tcPr>
            <w:tcW w:w="1026" w:type="dxa"/>
          </w:tcPr>
          <w:p w14:paraId="62EDA4D4" w14:textId="0B285ED1" w:rsidR="007D7211" w:rsidRPr="00563879" w:rsidRDefault="00097A81" w:rsidP="000E76AF">
            <w:pPr>
              <w:pStyle w:val="ad"/>
              <w:jc w:val="center"/>
              <w:rPr>
                <w:lang w:val="en-US"/>
              </w:rPr>
            </w:pPr>
            <w:r>
              <w:t>0,02</w:t>
            </w:r>
            <w:r w:rsidR="00563879">
              <w:rPr>
                <w:lang w:val="en-US"/>
              </w:rPr>
              <w:t>75</w:t>
            </w:r>
          </w:p>
        </w:tc>
        <w:tc>
          <w:tcPr>
            <w:tcW w:w="1132" w:type="dxa"/>
          </w:tcPr>
          <w:p w14:paraId="51D93BD8" w14:textId="6E544BA3" w:rsidR="007D7211" w:rsidRDefault="00004C15" w:rsidP="000E76AF">
            <w:pPr>
              <w:pStyle w:val="ad"/>
              <w:jc w:val="center"/>
            </w:pPr>
            <w:r>
              <w:t>0,0875</w:t>
            </w:r>
          </w:p>
        </w:tc>
        <w:tc>
          <w:tcPr>
            <w:tcW w:w="1510" w:type="dxa"/>
          </w:tcPr>
          <w:p w14:paraId="15D9BDB7" w14:textId="4944B0F2" w:rsidR="007D7211" w:rsidRDefault="00A84F8E" w:rsidP="000E76AF">
            <w:pPr>
              <w:pStyle w:val="ad"/>
              <w:jc w:val="center"/>
            </w:pPr>
            <w:r>
              <w:t>0,1861</w:t>
            </w:r>
          </w:p>
        </w:tc>
        <w:tc>
          <w:tcPr>
            <w:tcW w:w="1236" w:type="dxa"/>
          </w:tcPr>
          <w:p w14:paraId="5D4FCCB3" w14:textId="2F96E711" w:rsidR="007D7211" w:rsidRDefault="009C315E" w:rsidP="000E76AF">
            <w:pPr>
              <w:pStyle w:val="ad"/>
              <w:jc w:val="center"/>
            </w:pPr>
            <w:r>
              <w:t>0,1176</w:t>
            </w:r>
          </w:p>
        </w:tc>
        <w:tc>
          <w:tcPr>
            <w:tcW w:w="1394" w:type="dxa"/>
          </w:tcPr>
          <w:p w14:paraId="596CEA35" w14:textId="1175CCAA" w:rsidR="007D7211" w:rsidRDefault="00DA14EC" w:rsidP="000E76AF">
            <w:pPr>
              <w:pStyle w:val="ad"/>
              <w:jc w:val="center"/>
            </w:pPr>
            <w:r>
              <w:t>0,1268</w:t>
            </w:r>
          </w:p>
        </w:tc>
        <w:tc>
          <w:tcPr>
            <w:tcW w:w="1371" w:type="dxa"/>
          </w:tcPr>
          <w:p w14:paraId="79262254" w14:textId="4D266790" w:rsidR="007D7211" w:rsidRPr="008E0598" w:rsidRDefault="00643A06" w:rsidP="000E76AF">
            <w:pPr>
              <w:pStyle w:val="ad"/>
              <w:jc w:val="center"/>
              <w:rPr>
                <w:lang w:val="en-US"/>
              </w:rPr>
            </w:pPr>
            <w:r>
              <w:t>-0,0</w:t>
            </w:r>
            <w:r w:rsidR="008E0598">
              <w:rPr>
                <w:lang w:val="en-US"/>
              </w:rPr>
              <w:t>194</w:t>
            </w:r>
          </w:p>
        </w:tc>
        <w:tc>
          <w:tcPr>
            <w:tcW w:w="1030" w:type="dxa"/>
          </w:tcPr>
          <w:p w14:paraId="4261E4C5" w14:textId="1C857664" w:rsidR="007D7211" w:rsidRDefault="00643A06" w:rsidP="000E76AF">
            <w:pPr>
              <w:pStyle w:val="ad"/>
              <w:jc w:val="center"/>
            </w:pPr>
            <w:r>
              <w:t>0,0429</w:t>
            </w:r>
          </w:p>
        </w:tc>
        <w:tc>
          <w:tcPr>
            <w:tcW w:w="1286" w:type="dxa"/>
          </w:tcPr>
          <w:p w14:paraId="40923A86" w14:textId="0803C6A4" w:rsidR="007D7211" w:rsidRDefault="007D7211" w:rsidP="000E76AF">
            <w:pPr>
              <w:pStyle w:val="ad"/>
              <w:jc w:val="center"/>
            </w:pPr>
            <w:r>
              <w:rPr>
                <w:lang w:val="en-US"/>
              </w:rPr>
              <w:t>1</w:t>
            </w:r>
          </w:p>
        </w:tc>
      </w:tr>
    </w:tbl>
    <w:p w14:paraId="6D020EF0" w14:textId="77777777" w:rsidR="001640F3" w:rsidRPr="00712DF7" w:rsidRDefault="001640F3" w:rsidP="001640F3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3B297BD8" w14:textId="77777777" w:rsidR="00643A06" w:rsidRDefault="00643A06" w:rsidP="00E956EA">
      <w:pPr>
        <w:sectPr w:rsidR="00643A06" w:rsidSect="00701B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EFDEB20" w14:textId="0F51337D" w:rsidR="00E956EA" w:rsidRDefault="00621EA0" w:rsidP="00E3588E">
      <w:pPr>
        <w:pStyle w:val="a8"/>
      </w:pPr>
      <w:r w:rsidRPr="00621EA0">
        <w:rPr>
          <w:noProof/>
        </w:rPr>
        <w:lastRenderedPageBreak/>
        <w:drawing>
          <wp:inline distT="0" distB="0" distL="0" distR="0" wp14:anchorId="2B7DB492" wp14:editId="424294BF">
            <wp:extent cx="5029200" cy="3657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E808" w14:textId="082DA2EB" w:rsidR="00D938C8" w:rsidRDefault="00E3588E" w:rsidP="001640F3">
      <w:pPr>
        <w:pStyle w:val="a0"/>
        <w:sectPr w:rsidR="00D938C8" w:rsidSect="0064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Матрица полей рассеивания</w:t>
      </w:r>
      <w:r w:rsidR="001640F3" w:rsidRPr="001640F3">
        <w:t xml:space="preserve"> (Источник: [Составлено автором])</w:t>
      </w:r>
    </w:p>
    <w:p w14:paraId="5277DEC4" w14:textId="45704778" w:rsidR="00D938C8" w:rsidRDefault="00D938C8" w:rsidP="00D938C8">
      <w:pPr>
        <w:pStyle w:val="2"/>
      </w:pPr>
      <w:bookmarkStart w:id="73" w:name="_Toc102050325"/>
      <w:bookmarkStart w:id="74" w:name="_Toc102050697"/>
      <w:r>
        <w:lastRenderedPageBreak/>
        <w:t xml:space="preserve">Приложение 3. </w:t>
      </w:r>
      <w:r w:rsidR="0064725C">
        <w:t>Проверка на мультиколлинеарность</w:t>
      </w:r>
      <w:bookmarkEnd w:id="73"/>
      <w:bookmarkEnd w:id="74"/>
    </w:p>
    <w:p w14:paraId="2D39A1E1" w14:textId="54A0A031" w:rsidR="00B45412" w:rsidRDefault="00E55273" w:rsidP="00A527DB">
      <w:pPr>
        <w:pStyle w:val="a"/>
      </w:pPr>
      <w:r>
        <w:t xml:space="preserve">Индексы </w:t>
      </w:r>
      <w:r>
        <w:rPr>
          <w:lang w:val="en-US"/>
        </w:rPr>
        <w:t>VIF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01C3" w14:paraId="5460E04F" w14:textId="77777777" w:rsidTr="00B501C3">
        <w:tc>
          <w:tcPr>
            <w:tcW w:w="3115" w:type="dxa"/>
          </w:tcPr>
          <w:p w14:paraId="09633EA6" w14:textId="531F8AE1" w:rsidR="00B501C3" w:rsidRPr="00B501C3" w:rsidRDefault="00B501C3" w:rsidP="00B501C3">
            <w:pPr>
              <w:pStyle w:val="ad"/>
              <w:jc w:val="center"/>
              <w:rPr>
                <w:b/>
                <w:bCs/>
              </w:rPr>
            </w:pPr>
            <w:r w:rsidRPr="00B501C3">
              <w:rPr>
                <w:b/>
                <w:bCs/>
              </w:rPr>
              <w:t>Переменная</w:t>
            </w:r>
          </w:p>
        </w:tc>
        <w:tc>
          <w:tcPr>
            <w:tcW w:w="3115" w:type="dxa"/>
          </w:tcPr>
          <w:p w14:paraId="3F671356" w14:textId="279D85C9" w:rsidR="00B501C3" w:rsidRPr="00B501C3" w:rsidRDefault="00B501C3" w:rsidP="00B501C3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B501C3">
              <w:rPr>
                <w:b/>
                <w:bCs/>
                <w:lang w:val="en-US"/>
              </w:rPr>
              <w:t>VIF</w:t>
            </w:r>
          </w:p>
        </w:tc>
        <w:tc>
          <w:tcPr>
            <w:tcW w:w="3115" w:type="dxa"/>
          </w:tcPr>
          <w:p w14:paraId="705DAA73" w14:textId="042957E6" w:rsidR="00B501C3" w:rsidRPr="00B501C3" w:rsidRDefault="00B501C3" w:rsidP="00B501C3">
            <w:pPr>
              <w:pStyle w:val="ad"/>
              <w:jc w:val="center"/>
              <w:rPr>
                <w:b/>
                <w:bCs/>
                <w:lang w:val="en-US"/>
              </w:rPr>
            </w:pPr>
            <w:r w:rsidRPr="00B501C3">
              <w:rPr>
                <w:b/>
                <w:bCs/>
                <w:lang w:val="en-US"/>
              </w:rPr>
              <w:t>1/VIF</w:t>
            </w:r>
          </w:p>
        </w:tc>
      </w:tr>
      <w:tr w:rsidR="00AA3DAC" w14:paraId="1112CFB4" w14:textId="77777777" w:rsidTr="00B501C3">
        <w:tc>
          <w:tcPr>
            <w:tcW w:w="3115" w:type="dxa"/>
          </w:tcPr>
          <w:p w14:paraId="238A0B25" w14:textId="136D367E" w:rsidR="00AA3DAC" w:rsidRDefault="00AA3DAC" w:rsidP="00AA3DAC">
            <w:pPr>
              <w:pStyle w:val="ad"/>
            </w:pPr>
            <w:proofErr w:type="spellStart"/>
            <w:r w:rsidRPr="00466E59">
              <w:t>Redemption</w:t>
            </w:r>
            <w:proofErr w:type="spellEnd"/>
          </w:p>
        </w:tc>
        <w:tc>
          <w:tcPr>
            <w:tcW w:w="3115" w:type="dxa"/>
          </w:tcPr>
          <w:p w14:paraId="01DA591F" w14:textId="7AFAB552" w:rsidR="00AA3DAC" w:rsidRPr="00AA3DAC" w:rsidRDefault="00AA3DAC" w:rsidP="008967E2">
            <w:pPr>
              <w:pStyle w:val="ad"/>
              <w:jc w:val="center"/>
            </w:pPr>
            <w:r>
              <w:rPr>
                <w:lang w:val="en-US"/>
              </w:rPr>
              <w:t>1</w:t>
            </w:r>
            <w:r>
              <w:t>,28</w:t>
            </w:r>
          </w:p>
        </w:tc>
        <w:tc>
          <w:tcPr>
            <w:tcW w:w="3115" w:type="dxa"/>
          </w:tcPr>
          <w:p w14:paraId="3099A319" w14:textId="5F63D483" w:rsidR="00AA3DAC" w:rsidRDefault="0068116D" w:rsidP="008967E2">
            <w:pPr>
              <w:pStyle w:val="ad"/>
              <w:jc w:val="center"/>
            </w:pPr>
            <w:r>
              <w:t>0,781</w:t>
            </w:r>
          </w:p>
        </w:tc>
      </w:tr>
      <w:tr w:rsidR="00AA3DAC" w14:paraId="1679AA84" w14:textId="77777777" w:rsidTr="00B501C3">
        <w:tc>
          <w:tcPr>
            <w:tcW w:w="3115" w:type="dxa"/>
          </w:tcPr>
          <w:p w14:paraId="19B6D9CD" w14:textId="5FD047A1" w:rsidR="00AA3DAC" w:rsidRDefault="00AA3DAC" w:rsidP="00AA3DAC">
            <w:pPr>
              <w:pStyle w:val="ad"/>
            </w:pPr>
            <w:proofErr w:type="spellStart"/>
            <w:r w:rsidRPr="00466E59">
              <w:t>Months</w:t>
            </w:r>
            <w:proofErr w:type="spellEnd"/>
          </w:p>
        </w:tc>
        <w:tc>
          <w:tcPr>
            <w:tcW w:w="3115" w:type="dxa"/>
          </w:tcPr>
          <w:p w14:paraId="16CE43CC" w14:textId="5E3BF12A" w:rsidR="00AA3DAC" w:rsidRDefault="0001473C" w:rsidP="008967E2">
            <w:pPr>
              <w:pStyle w:val="ad"/>
              <w:jc w:val="center"/>
            </w:pPr>
            <w:r>
              <w:t>1,24</w:t>
            </w:r>
          </w:p>
        </w:tc>
        <w:tc>
          <w:tcPr>
            <w:tcW w:w="3115" w:type="dxa"/>
          </w:tcPr>
          <w:p w14:paraId="020BB70A" w14:textId="3945EB42" w:rsidR="00AA3DAC" w:rsidRDefault="0068116D" w:rsidP="008967E2">
            <w:pPr>
              <w:pStyle w:val="ad"/>
              <w:jc w:val="center"/>
            </w:pPr>
            <w:r>
              <w:t>0,805</w:t>
            </w:r>
          </w:p>
        </w:tc>
      </w:tr>
      <w:tr w:rsidR="00AA3DAC" w14:paraId="60815247" w14:textId="77777777" w:rsidTr="00B501C3">
        <w:tc>
          <w:tcPr>
            <w:tcW w:w="3115" w:type="dxa"/>
          </w:tcPr>
          <w:p w14:paraId="548F400E" w14:textId="5458CCBF" w:rsidR="00AA3DAC" w:rsidRDefault="00AA3DAC" w:rsidP="00AA3DAC">
            <w:pPr>
              <w:pStyle w:val="ad"/>
            </w:pPr>
            <w:r w:rsidRPr="00466E59">
              <w:t>Team</w:t>
            </w:r>
          </w:p>
        </w:tc>
        <w:tc>
          <w:tcPr>
            <w:tcW w:w="3115" w:type="dxa"/>
          </w:tcPr>
          <w:p w14:paraId="1699291D" w14:textId="19F67B72" w:rsidR="00AA3DAC" w:rsidRDefault="00A0248F" w:rsidP="008967E2">
            <w:pPr>
              <w:pStyle w:val="ad"/>
              <w:jc w:val="center"/>
            </w:pPr>
            <w:r>
              <w:t>1,08</w:t>
            </w:r>
          </w:p>
        </w:tc>
        <w:tc>
          <w:tcPr>
            <w:tcW w:w="3115" w:type="dxa"/>
          </w:tcPr>
          <w:p w14:paraId="0CCAF0B7" w14:textId="3522E857" w:rsidR="00AA3DAC" w:rsidRDefault="0068116D" w:rsidP="008967E2">
            <w:pPr>
              <w:pStyle w:val="ad"/>
              <w:jc w:val="center"/>
            </w:pPr>
            <w:r>
              <w:t>0,928</w:t>
            </w:r>
          </w:p>
        </w:tc>
      </w:tr>
      <w:tr w:rsidR="00AA3DAC" w14:paraId="2FAC3D28" w14:textId="77777777" w:rsidTr="00B501C3">
        <w:tc>
          <w:tcPr>
            <w:tcW w:w="3115" w:type="dxa"/>
          </w:tcPr>
          <w:p w14:paraId="5C3E57AA" w14:textId="6DB38C62" w:rsidR="00AA3DAC" w:rsidRDefault="00AA3DAC" w:rsidP="00AA3DAC">
            <w:pPr>
              <w:pStyle w:val="ad"/>
            </w:pPr>
            <w:proofErr w:type="spellStart"/>
            <w:r w:rsidRPr="00466E59">
              <w:t>UndNumber</w:t>
            </w:r>
            <w:proofErr w:type="spellEnd"/>
          </w:p>
        </w:tc>
        <w:tc>
          <w:tcPr>
            <w:tcW w:w="3115" w:type="dxa"/>
          </w:tcPr>
          <w:p w14:paraId="5EB607D9" w14:textId="274D91EE" w:rsidR="00AA3DAC" w:rsidRDefault="00A0248F" w:rsidP="008967E2">
            <w:pPr>
              <w:pStyle w:val="ad"/>
              <w:jc w:val="center"/>
            </w:pPr>
            <w:r>
              <w:t>1,38</w:t>
            </w:r>
          </w:p>
        </w:tc>
        <w:tc>
          <w:tcPr>
            <w:tcW w:w="3115" w:type="dxa"/>
          </w:tcPr>
          <w:p w14:paraId="0857E9AD" w14:textId="03B6ABC3" w:rsidR="00AA3DAC" w:rsidRDefault="0068116D" w:rsidP="008967E2">
            <w:pPr>
              <w:pStyle w:val="ad"/>
              <w:jc w:val="center"/>
            </w:pPr>
            <w:r>
              <w:t>0,726</w:t>
            </w:r>
          </w:p>
        </w:tc>
      </w:tr>
      <w:tr w:rsidR="00AA3DAC" w14:paraId="2541993E" w14:textId="77777777" w:rsidTr="00B501C3">
        <w:tc>
          <w:tcPr>
            <w:tcW w:w="3115" w:type="dxa"/>
          </w:tcPr>
          <w:p w14:paraId="7DB300EB" w14:textId="1C1D7301" w:rsidR="00AA3DAC" w:rsidRDefault="00AA3DAC" w:rsidP="00AA3DAC">
            <w:pPr>
              <w:pStyle w:val="ad"/>
            </w:pPr>
            <w:proofErr w:type="spellStart"/>
            <w:r w:rsidRPr="00466E59">
              <w:t>UndFee</w:t>
            </w:r>
            <w:proofErr w:type="spellEnd"/>
          </w:p>
        </w:tc>
        <w:tc>
          <w:tcPr>
            <w:tcW w:w="3115" w:type="dxa"/>
          </w:tcPr>
          <w:p w14:paraId="57372BF5" w14:textId="5B497279" w:rsidR="00AA3DAC" w:rsidRDefault="00A0248F" w:rsidP="008967E2">
            <w:pPr>
              <w:pStyle w:val="ad"/>
              <w:jc w:val="center"/>
            </w:pPr>
            <w:r>
              <w:t>1,33</w:t>
            </w:r>
          </w:p>
        </w:tc>
        <w:tc>
          <w:tcPr>
            <w:tcW w:w="3115" w:type="dxa"/>
          </w:tcPr>
          <w:p w14:paraId="7A9E481E" w14:textId="5A79B1FE" w:rsidR="00AA3DAC" w:rsidRDefault="00597B84" w:rsidP="008967E2">
            <w:pPr>
              <w:pStyle w:val="ad"/>
              <w:jc w:val="center"/>
            </w:pPr>
            <w:r>
              <w:t>0,752</w:t>
            </w:r>
          </w:p>
        </w:tc>
      </w:tr>
      <w:tr w:rsidR="00AA3DAC" w14:paraId="11C62E12" w14:textId="77777777" w:rsidTr="00B501C3">
        <w:tc>
          <w:tcPr>
            <w:tcW w:w="3115" w:type="dxa"/>
          </w:tcPr>
          <w:p w14:paraId="60A09A31" w14:textId="30D1BA51" w:rsidR="00AA3DAC" w:rsidRDefault="00AA3DAC" w:rsidP="00AA3DAC">
            <w:pPr>
              <w:pStyle w:val="ad"/>
            </w:pPr>
            <w:r w:rsidRPr="00466E59">
              <w:t>Top10und</w:t>
            </w:r>
          </w:p>
        </w:tc>
        <w:tc>
          <w:tcPr>
            <w:tcW w:w="3115" w:type="dxa"/>
          </w:tcPr>
          <w:p w14:paraId="0C482C43" w14:textId="7EAC2803" w:rsidR="00AA3DAC" w:rsidRDefault="00A0248F" w:rsidP="008967E2">
            <w:pPr>
              <w:pStyle w:val="ad"/>
              <w:jc w:val="center"/>
            </w:pPr>
            <w:r>
              <w:t>1,64</w:t>
            </w:r>
          </w:p>
        </w:tc>
        <w:tc>
          <w:tcPr>
            <w:tcW w:w="3115" w:type="dxa"/>
          </w:tcPr>
          <w:p w14:paraId="47D6AD61" w14:textId="24BE9071" w:rsidR="00AA3DAC" w:rsidRDefault="00597B84" w:rsidP="008967E2">
            <w:pPr>
              <w:pStyle w:val="ad"/>
              <w:jc w:val="center"/>
            </w:pPr>
            <w:r>
              <w:t>0,610</w:t>
            </w:r>
          </w:p>
        </w:tc>
      </w:tr>
      <w:tr w:rsidR="00AA3DAC" w14:paraId="7A5FD4C3" w14:textId="77777777" w:rsidTr="00B501C3">
        <w:tc>
          <w:tcPr>
            <w:tcW w:w="3115" w:type="dxa"/>
          </w:tcPr>
          <w:p w14:paraId="7AE2151E" w14:textId="78E57DCE" w:rsidR="00AA3DAC" w:rsidRDefault="00AA3DAC" w:rsidP="00AA3DAC">
            <w:pPr>
              <w:pStyle w:val="ad"/>
            </w:pPr>
            <w:r w:rsidRPr="00466E59">
              <w:t xml:space="preserve">IPO </w:t>
            </w:r>
            <w:proofErr w:type="spellStart"/>
            <w:r w:rsidRPr="00466E59">
              <w:t>proceeds</w:t>
            </w:r>
            <w:proofErr w:type="spellEnd"/>
          </w:p>
        </w:tc>
        <w:tc>
          <w:tcPr>
            <w:tcW w:w="3115" w:type="dxa"/>
          </w:tcPr>
          <w:p w14:paraId="4E512306" w14:textId="079A0202" w:rsidR="00AA3DAC" w:rsidRDefault="00A0248F" w:rsidP="008967E2">
            <w:pPr>
              <w:pStyle w:val="ad"/>
              <w:jc w:val="center"/>
            </w:pPr>
            <w:r>
              <w:t>1,72</w:t>
            </w:r>
          </w:p>
        </w:tc>
        <w:tc>
          <w:tcPr>
            <w:tcW w:w="3115" w:type="dxa"/>
          </w:tcPr>
          <w:p w14:paraId="19B9723A" w14:textId="649F6094" w:rsidR="00AA3DAC" w:rsidRDefault="00597B84" w:rsidP="008967E2">
            <w:pPr>
              <w:pStyle w:val="ad"/>
              <w:jc w:val="center"/>
            </w:pPr>
            <w:r>
              <w:t>0,580</w:t>
            </w:r>
          </w:p>
        </w:tc>
      </w:tr>
      <w:tr w:rsidR="00AA3DAC" w14:paraId="40C8B883" w14:textId="77777777" w:rsidTr="00B501C3">
        <w:tc>
          <w:tcPr>
            <w:tcW w:w="3115" w:type="dxa"/>
          </w:tcPr>
          <w:p w14:paraId="6541DDE0" w14:textId="17183383" w:rsidR="00AA3DAC" w:rsidRDefault="00AA3DAC" w:rsidP="00AA3DAC">
            <w:pPr>
              <w:pStyle w:val="ad"/>
            </w:pPr>
            <w:proofErr w:type="spellStart"/>
            <w:r w:rsidRPr="00466E59">
              <w:t>WTunit</w:t>
            </w:r>
            <w:proofErr w:type="spellEnd"/>
          </w:p>
        </w:tc>
        <w:tc>
          <w:tcPr>
            <w:tcW w:w="3115" w:type="dxa"/>
          </w:tcPr>
          <w:p w14:paraId="2AE9B497" w14:textId="6101A1A0" w:rsidR="00AA3DAC" w:rsidRDefault="008967E2" w:rsidP="008967E2">
            <w:pPr>
              <w:pStyle w:val="ad"/>
              <w:jc w:val="center"/>
            </w:pPr>
            <w:r>
              <w:t>1,38</w:t>
            </w:r>
          </w:p>
        </w:tc>
        <w:tc>
          <w:tcPr>
            <w:tcW w:w="3115" w:type="dxa"/>
          </w:tcPr>
          <w:p w14:paraId="62C1D301" w14:textId="38266081" w:rsidR="00AA3DAC" w:rsidRDefault="006E7982" w:rsidP="008967E2">
            <w:pPr>
              <w:pStyle w:val="ad"/>
              <w:jc w:val="center"/>
            </w:pPr>
            <w:r>
              <w:t>0,725</w:t>
            </w:r>
          </w:p>
        </w:tc>
      </w:tr>
      <w:tr w:rsidR="00AA3DAC" w14:paraId="3F23F9E9" w14:textId="77777777" w:rsidTr="00B501C3">
        <w:tc>
          <w:tcPr>
            <w:tcW w:w="3115" w:type="dxa"/>
          </w:tcPr>
          <w:p w14:paraId="1B0D1264" w14:textId="167CDCD1" w:rsidR="00AA3DAC" w:rsidRDefault="00AA3DAC" w:rsidP="00AA3DAC">
            <w:pPr>
              <w:pStyle w:val="ad"/>
            </w:pPr>
            <w:proofErr w:type="spellStart"/>
            <w:r w:rsidRPr="00466E59">
              <w:t>IndFocus</w:t>
            </w:r>
            <w:proofErr w:type="spellEnd"/>
          </w:p>
        </w:tc>
        <w:tc>
          <w:tcPr>
            <w:tcW w:w="3115" w:type="dxa"/>
          </w:tcPr>
          <w:p w14:paraId="5F874F88" w14:textId="1CD4738B" w:rsidR="00AA3DAC" w:rsidRDefault="008967E2" w:rsidP="008967E2">
            <w:pPr>
              <w:pStyle w:val="ad"/>
              <w:jc w:val="center"/>
            </w:pPr>
            <w:r>
              <w:t>1,09</w:t>
            </w:r>
          </w:p>
        </w:tc>
        <w:tc>
          <w:tcPr>
            <w:tcW w:w="3115" w:type="dxa"/>
          </w:tcPr>
          <w:p w14:paraId="65030000" w14:textId="7790FFB6" w:rsidR="00AA3DAC" w:rsidRDefault="006E7982" w:rsidP="008967E2">
            <w:pPr>
              <w:pStyle w:val="ad"/>
              <w:jc w:val="center"/>
            </w:pPr>
            <w:r>
              <w:t>0,914</w:t>
            </w:r>
          </w:p>
        </w:tc>
      </w:tr>
      <w:tr w:rsidR="0001473C" w14:paraId="7CD6CF38" w14:textId="77777777" w:rsidTr="00B501C3">
        <w:tc>
          <w:tcPr>
            <w:tcW w:w="3115" w:type="dxa"/>
          </w:tcPr>
          <w:p w14:paraId="4ACFD66C" w14:textId="7668182D" w:rsidR="0001473C" w:rsidRPr="0001473C" w:rsidRDefault="0001473C" w:rsidP="00AA3DAC">
            <w:pPr>
              <w:pStyle w:val="ad"/>
            </w:pPr>
            <w:r>
              <w:t xml:space="preserve">Средний </w:t>
            </w:r>
            <w:r>
              <w:rPr>
                <w:lang w:val="en-US"/>
              </w:rPr>
              <w:t>VIF</w:t>
            </w:r>
          </w:p>
        </w:tc>
        <w:tc>
          <w:tcPr>
            <w:tcW w:w="3115" w:type="dxa"/>
          </w:tcPr>
          <w:p w14:paraId="2261B864" w14:textId="666FE061" w:rsidR="0001473C" w:rsidRDefault="008967E2" w:rsidP="008967E2">
            <w:pPr>
              <w:pStyle w:val="ad"/>
              <w:jc w:val="center"/>
            </w:pPr>
            <w:r>
              <w:t>1,35</w:t>
            </w:r>
          </w:p>
        </w:tc>
        <w:tc>
          <w:tcPr>
            <w:tcW w:w="3115" w:type="dxa"/>
          </w:tcPr>
          <w:p w14:paraId="19EB8EED" w14:textId="12745FDA" w:rsidR="0001473C" w:rsidRDefault="0001473C" w:rsidP="008967E2">
            <w:pPr>
              <w:pStyle w:val="ad"/>
              <w:jc w:val="center"/>
            </w:pPr>
            <w:r>
              <w:t>-</w:t>
            </w:r>
          </w:p>
        </w:tc>
      </w:tr>
    </w:tbl>
    <w:p w14:paraId="59CFC1A0" w14:textId="77777777" w:rsidR="001640F3" w:rsidRPr="00712DF7" w:rsidRDefault="001640F3" w:rsidP="001640F3">
      <w:pPr>
        <w:ind w:firstLine="0"/>
        <w:rPr>
          <w:i/>
          <w:iCs/>
        </w:rPr>
      </w:pPr>
      <w:r>
        <w:rPr>
          <w:i/>
          <w:iCs/>
        </w:rPr>
        <w:t xml:space="preserve">Источник: </w:t>
      </w:r>
      <w:r>
        <w:rPr>
          <w:i/>
          <w:iCs/>
          <w:lang w:val="en-US"/>
        </w:rPr>
        <w:t>[</w:t>
      </w:r>
      <w:r>
        <w:rPr>
          <w:i/>
          <w:iCs/>
        </w:rPr>
        <w:t>Составлено автором</w:t>
      </w:r>
      <w:r>
        <w:rPr>
          <w:i/>
          <w:iCs/>
          <w:lang w:val="en-US"/>
        </w:rPr>
        <w:t>]</w:t>
      </w:r>
    </w:p>
    <w:p w14:paraId="10AECDF9" w14:textId="77777777" w:rsidR="006E7982" w:rsidRDefault="006E7982" w:rsidP="00E55273">
      <w:pPr>
        <w:pStyle w:val="ad"/>
        <w:sectPr w:rsidR="006E7982" w:rsidSect="0064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859526" w14:textId="218090FE" w:rsidR="00E55273" w:rsidRDefault="006E7982" w:rsidP="006E7982">
      <w:pPr>
        <w:pStyle w:val="2"/>
      </w:pPr>
      <w:bookmarkStart w:id="75" w:name="_Toc102050326"/>
      <w:bookmarkStart w:id="76" w:name="_Toc102050698"/>
      <w:r>
        <w:lastRenderedPageBreak/>
        <w:t>Приложение 4. Проверка на гетероскедастичность</w:t>
      </w:r>
      <w:bookmarkEnd w:id="75"/>
      <w:bookmarkEnd w:id="76"/>
    </w:p>
    <w:p w14:paraId="09ACABED" w14:textId="299D092B" w:rsidR="004E5744" w:rsidRDefault="00E4097B" w:rsidP="004E5744">
      <w:pPr>
        <w:pStyle w:val="a8"/>
        <w:rPr>
          <w:lang w:val="en-US"/>
        </w:rPr>
      </w:pPr>
      <w:r>
        <w:rPr>
          <w:noProof/>
        </w:rPr>
        <w:drawing>
          <wp:inline distT="0" distB="0" distL="0" distR="0" wp14:anchorId="087577A0" wp14:editId="1D7AEB6A">
            <wp:extent cx="4981575" cy="1790700"/>
            <wp:effectExtent l="0" t="0" r="952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C43A" w14:textId="73683219" w:rsidR="00E4097B" w:rsidRPr="001640F3" w:rsidRDefault="00E4097B" w:rsidP="00E4097B">
      <w:pPr>
        <w:pStyle w:val="a0"/>
      </w:pPr>
      <w:r>
        <w:t xml:space="preserve">Тест </w:t>
      </w:r>
      <w:proofErr w:type="spellStart"/>
      <w:r>
        <w:t>Бреуша-Пагана</w:t>
      </w:r>
      <w:proofErr w:type="spellEnd"/>
      <w:r>
        <w:t xml:space="preserve"> на гетероскедастичность</w:t>
      </w:r>
      <w:r w:rsidR="001640F3" w:rsidRPr="001640F3">
        <w:t xml:space="preserve"> (Источник: [Составлено автором])</w:t>
      </w:r>
    </w:p>
    <w:sectPr w:rsidR="00E4097B" w:rsidRPr="001640F3" w:rsidSect="006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B98F" w14:textId="77777777" w:rsidR="007877C7" w:rsidRDefault="007877C7" w:rsidP="006D4BD3">
      <w:pPr>
        <w:spacing w:line="240" w:lineRule="auto"/>
      </w:pPr>
      <w:r>
        <w:separator/>
      </w:r>
    </w:p>
  </w:endnote>
  <w:endnote w:type="continuationSeparator" w:id="0">
    <w:p w14:paraId="220273DF" w14:textId="77777777" w:rsidR="007877C7" w:rsidRDefault="007877C7" w:rsidP="006D4BD3">
      <w:pPr>
        <w:spacing w:line="240" w:lineRule="auto"/>
      </w:pPr>
      <w:r>
        <w:continuationSeparator/>
      </w:r>
    </w:p>
  </w:endnote>
  <w:endnote w:type="continuationNotice" w:id="1">
    <w:p w14:paraId="22E2CCB0" w14:textId="77777777" w:rsidR="007877C7" w:rsidRDefault="007877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Основной текст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322906"/>
      <w:docPartObj>
        <w:docPartGallery w:val="Page Numbers (Bottom of Page)"/>
        <w:docPartUnique/>
      </w:docPartObj>
    </w:sdtPr>
    <w:sdtEndPr/>
    <w:sdtContent>
      <w:p w14:paraId="5B8C2EB2" w14:textId="09711B00" w:rsidR="00C03B2F" w:rsidRDefault="00C03B2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38BF6" w14:textId="77777777" w:rsidR="00C03B2F" w:rsidRDefault="00C03B2F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0FA9" w14:textId="77777777" w:rsidR="007877C7" w:rsidRDefault="007877C7" w:rsidP="006D4BD3">
      <w:pPr>
        <w:spacing w:line="240" w:lineRule="auto"/>
      </w:pPr>
      <w:r>
        <w:separator/>
      </w:r>
    </w:p>
  </w:footnote>
  <w:footnote w:type="continuationSeparator" w:id="0">
    <w:p w14:paraId="3290EB55" w14:textId="77777777" w:rsidR="007877C7" w:rsidRDefault="007877C7" w:rsidP="006D4BD3">
      <w:pPr>
        <w:spacing w:line="240" w:lineRule="auto"/>
      </w:pPr>
      <w:r>
        <w:continuationSeparator/>
      </w:r>
    </w:p>
  </w:footnote>
  <w:footnote w:type="continuationNotice" w:id="1">
    <w:p w14:paraId="436A4343" w14:textId="77777777" w:rsidR="007877C7" w:rsidRDefault="007877C7">
      <w:pPr>
        <w:spacing w:line="240" w:lineRule="auto"/>
      </w:pPr>
    </w:p>
  </w:footnote>
  <w:footnote w:id="2">
    <w:p w14:paraId="1EA11918" w14:textId="2A263B77" w:rsidR="00567C80" w:rsidRPr="0031581C" w:rsidRDefault="00567C80">
      <w:pPr>
        <w:pStyle w:val="af3"/>
      </w:pPr>
      <w:r>
        <w:rPr>
          <w:rStyle w:val="af5"/>
        </w:rPr>
        <w:footnoteRef/>
      </w:r>
      <w:r w:rsidRPr="0031581C">
        <w:t xml:space="preserve"> </w:t>
      </w:r>
      <w:r w:rsidR="0031581C">
        <w:rPr>
          <w:lang w:val="en-US"/>
        </w:rPr>
        <w:t>SPAC</w:t>
      </w:r>
      <w:r w:rsidR="0031581C" w:rsidRPr="0031581C">
        <w:t xml:space="preserve"> </w:t>
      </w:r>
      <w:r w:rsidR="0031581C">
        <w:rPr>
          <w:lang w:val="en-US"/>
        </w:rPr>
        <w:t>analytics</w:t>
      </w:r>
      <w:r w:rsidR="0031581C" w:rsidRPr="0031581C">
        <w:t xml:space="preserve"> – </w:t>
      </w:r>
      <w:r w:rsidR="0031581C" w:rsidRPr="0031581C">
        <w:rPr>
          <w:lang w:val="en-US"/>
        </w:rPr>
        <w:t>URL</w:t>
      </w:r>
      <w:r w:rsidR="0031581C" w:rsidRPr="0031581C">
        <w:t xml:space="preserve">: </w:t>
      </w:r>
      <w:r w:rsidR="00BF0038" w:rsidRPr="00BF0038">
        <w:rPr>
          <w:lang w:val="en-US"/>
        </w:rPr>
        <w:t>https</w:t>
      </w:r>
      <w:r w:rsidR="00BF0038" w:rsidRPr="00155A1D">
        <w:t>://</w:t>
      </w:r>
      <w:r w:rsidR="00BF0038" w:rsidRPr="00BF0038">
        <w:rPr>
          <w:lang w:val="en-US"/>
        </w:rPr>
        <w:t>www</w:t>
      </w:r>
      <w:r w:rsidR="00BF0038" w:rsidRPr="00155A1D">
        <w:t>.</w:t>
      </w:r>
      <w:proofErr w:type="spellStart"/>
      <w:r w:rsidR="00BF0038" w:rsidRPr="00BF0038">
        <w:rPr>
          <w:lang w:val="en-US"/>
        </w:rPr>
        <w:t>spacanalytics</w:t>
      </w:r>
      <w:proofErr w:type="spellEnd"/>
      <w:r w:rsidR="00BF0038" w:rsidRPr="00155A1D">
        <w:t>.</w:t>
      </w:r>
      <w:r w:rsidR="00BF0038" w:rsidRPr="00BF0038">
        <w:rPr>
          <w:lang w:val="en-US"/>
        </w:rPr>
        <w:t>com</w:t>
      </w:r>
      <w:r w:rsidR="00BF0038" w:rsidRPr="00155A1D">
        <w:t>/</w:t>
      </w:r>
      <w:r w:rsidR="0031581C" w:rsidRPr="0031581C">
        <w:t xml:space="preserve"> (дата обращения: 01.02.202</w:t>
      </w:r>
      <w:r w:rsidR="00155A1D" w:rsidRPr="00155A1D">
        <w:t>2</w:t>
      </w:r>
      <w:r w:rsidR="0031581C" w:rsidRPr="0031581C">
        <w:t>).</w:t>
      </w:r>
    </w:p>
  </w:footnote>
  <w:footnote w:id="3">
    <w:p w14:paraId="5645307E" w14:textId="6BCFD507" w:rsidR="009B4C56" w:rsidRPr="00206605" w:rsidRDefault="009B4C56">
      <w:pPr>
        <w:pStyle w:val="af3"/>
      </w:pPr>
      <w:r>
        <w:rPr>
          <w:rStyle w:val="af5"/>
        </w:rPr>
        <w:footnoteRef/>
      </w:r>
      <w:r>
        <w:t xml:space="preserve"> </w:t>
      </w:r>
      <w:r w:rsidR="004D5BF5">
        <w:t>Савосин Д</w:t>
      </w:r>
      <w:r w:rsidR="002A7F15">
        <w:t xml:space="preserve">. </w:t>
      </w:r>
      <w:r w:rsidR="00271762" w:rsidRPr="00271762">
        <w:t>В России внедрят механизм размещения на бирже через SPAC</w:t>
      </w:r>
      <w:r w:rsidR="002A7F15">
        <w:t xml:space="preserve"> // </w:t>
      </w:r>
      <w:proofErr w:type="gramStart"/>
      <w:r w:rsidR="00256CD9">
        <w:rPr>
          <w:lang w:val="en-US"/>
        </w:rPr>
        <w:t>RB</w:t>
      </w:r>
      <w:r w:rsidR="00256CD9" w:rsidRPr="00256CD9">
        <w:t>.</w:t>
      </w:r>
      <w:r w:rsidR="00256CD9">
        <w:rPr>
          <w:lang w:val="en-US"/>
        </w:rPr>
        <w:t>RU</w:t>
      </w:r>
      <w:r w:rsidR="002A7F15">
        <w:t xml:space="preserve"> :</w:t>
      </w:r>
      <w:proofErr w:type="gramEnd"/>
      <w:r w:rsidR="002A7F15">
        <w:t xml:space="preserve"> </w:t>
      </w:r>
      <w:proofErr w:type="spellStart"/>
      <w:r w:rsidR="002A7F15">
        <w:t>информ</w:t>
      </w:r>
      <w:proofErr w:type="spellEnd"/>
      <w:r w:rsidR="002A7F15">
        <w:t xml:space="preserve">. агентство. ИА </w:t>
      </w:r>
      <w:r w:rsidR="007F63F0" w:rsidRPr="007F63F0">
        <w:t>ООО "РБ.РУ"</w:t>
      </w:r>
      <w:r w:rsidR="002A7F15">
        <w:t xml:space="preserve">, </w:t>
      </w:r>
      <w:proofErr w:type="gramStart"/>
      <w:r w:rsidR="007F63F0" w:rsidRPr="004A42E4">
        <w:t>2012</w:t>
      </w:r>
      <w:r w:rsidR="002A7F15">
        <w:t>-</w:t>
      </w:r>
      <w:r w:rsidR="004A42E4" w:rsidRPr="004A42E4">
        <w:t>2022</w:t>
      </w:r>
      <w:proofErr w:type="gramEnd"/>
      <w:r w:rsidR="002A7F15">
        <w:t xml:space="preserve">. </w:t>
      </w:r>
      <w:r w:rsidR="002A7F15" w:rsidRPr="006B34D8">
        <w:rPr>
          <w:lang w:val="en-US"/>
        </w:rPr>
        <w:t>URL</w:t>
      </w:r>
      <w:r w:rsidR="002A7F15" w:rsidRPr="00206605">
        <w:t xml:space="preserve">: </w:t>
      </w:r>
      <w:r w:rsidR="00147D54" w:rsidRPr="006B34D8">
        <w:rPr>
          <w:lang w:val="en-US"/>
        </w:rPr>
        <w:t>https</w:t>
      </w:r>
      <w:r w:rsidR="00147D54" w:rsidRPr="00206605">
        <w:t>://</w:t>
      </w:r>
      <w:proofErr w:type="spellStart"/>
      <w:r w:rsidR="00147D54" w:rsidRPr="006B34D8">
        <w:rPr>
          <w:lang w:val="en-US"/>
        </w:rPr>
        <w:t>clck</w:t>
      </w:r>
      <w:proofErr w:type="spellEnd"/>
      <w:r w:rsidR="00147D54" w:rsidRPr="00206605">
        <w:t>.</w:t>
      </w:r>
      <w:proofErr w:type="spellStart"/>
      <w:r w:rsidR="00147D54" w:rsidRPr="006B34D8">
        <w:rPr>
          <w:lang w:val="en-US"/>
        </w:rPr>
        <w:t>ru</w:t>
      </w:r>
      <w:proofErr w:type="spellEnd"/>
      <w:r w:rsidR="00147D54" w:rsidRPr="00206605">
        <w:t>/</w:t>
      </w:r>
      <w:proofErr w:type="spellStart"/>
      <w:r w:rsidR="00147D54" w:rsidRPr="006B34D8">
        <w:rPr>
          <w:lang w:val="en-US"/>
        </w:rPr>
        <w:t>epgbj</w:t>
      </w:r>
      <w:proofErr w:type="spellEnd"/>
      <w:r w:rsidR="00147D54" w:rsidRPr="00206605">
        <w:t xml:space="preserve"> </w:t>
      </w:r>
      <w:r w:rsidR="002A7F15" w:rsidRPr="00206605">
        <w:t>(</w:t>
      </w:r>
      <w:r w:rsidR="00147D54" w:rsidRPr="0031581C">
        <w:t>дата</w:t>
      </w:r>
      <w:r w:rsidR="00147D54" w:rsidRPr="00206605">
        <w:t xml:space="preserve"> </w:t>
      </w:r>
      <w:r w:rsidR="00147D54" w:rsidRPr="0031581C">
        <w:t>обращения</w:t>
      </w:r>
      <w:r w:rsidR="00147D54" w:rsidRPr="00206605">
        <w:t>: 01.02.2022</w:t>
      </w:r>
      <w:r w:rsidR="002A7F15" w:rsidRPr="00206605">
        <w:t>).</w:t>
      </w:r>
    </w:p>
  </w:footnote>
  <w:footnote w:id="4">
    <w:p w14:paraId="4ED0FC84" w14:textId="1AB2672B" w:rsidR="006D4BD3" w:rsidRPr="00206605" w:rsidRDefault="006D4BD3">
      <w:pPr>
        <w:pStyle w:val="af3"/>
        <w:rPr>
          <w:lang w:val="en-US"/>
        </w:rPr>
      </w:pPr>
      <w:r>
        <w:rPr>
          <w:rStyle w:val="af5"/>
        </w:rPr>
        <w:footnoteRef/>
      </w:r>
      <w:r w:rsidRPr="006B34D8">
        <w:rPr>
          <w:lang w:val="en-US"/>
        </w:rPr>
        <w:t xml:space="preserve"> </w:t>
      </w:r>
      <w:r w:rsidR="006B34D8" w:rsidRPr="006B34D8">
        <w:rPr>
          <w:lang w:val="en-US"/>
        </w:rPr>
        <w:t xml:space="preserve">Layne R., </w:t>
      </w:r>
      <w:proofErr w:type="spellStart"/>
      <w:r w:rsidR="006B34D8" w:rsidRPr="006B34D8">
        <w:rPr>
          <w:lang w:val="en-US"/>
        </w:rPr>
        <w:t>Lenahan</w:t>
      </w:r>
      <w:proofErr w:type="spellEnd"/>
      <w:r w:rsidR="006B34D8" w:rsidRPr="006B34D8">
        <w:rPr>
          <w:lang w:val="en-US"/>
        </w:rPr>
        <w:t xml:space="preserve"> B. Special Purpose Acquisition Companies: An Introduction //Harvard Law School Forum on Corporate </w:t>
      </w:r>
      <w:proofErr w:type="gramStart"/>
      <w:r w:rsidR="006B34D8" w:rsidRPr="006B34D8">
        <w:rPr>
          <w:lang w:val="en-US"/>
        </w:rPr>
        <w:t>Governance.-</w:t>
      </w:r>
      <w:proofErr w:type="gramEnd"/>
      <w:r w:rsidR="006B34D8" w:rsidRPr="006B34D8">
        <w:rPr>
          <w:lang w:val="en-US"/>
        </w:rPr>
        <w:t>2020.-[</w:t>
      </w:r>
      <w:r w:rsidR="006B34D8" w:rsidRPr="006B34D8">
        <w:t>Электронный</w:t>
      </w:r>
      <w:r w:rsidR="006B34D8" w:rsidRPr="006B34D8">
        <w:rPr>
          <w:lang w:val="en-US"/>
        </w:rPr>
        <w:t xml:space="preserve"> </w:t>
      </w:r>
      <w:r w:rsidR="006B34D8" w:rsidRPr="006B34D8">
        <w:t>ресурс</w:t>
      </w:r>
      <w:r w:rsidR="006B34D8" w:rsidRPr="006B34D8">
        <w:rPr>
          <w:lang w:val="en-US"/>
        </w:rPr>
        <w:t>].-</w:t>
      </w:r>
      <w:r w:rsidR="006B34D8" w:rsidRPr="006B34D8">
        <w:t>Режим</w:t>
      </w:r>
      <w:r w:rsidR="006B34D8" w:rsidRPr="006B34D8">
        <w:rPr>
          <w:lang w:val="en-US"/>
        </w:rPr>
        <w:t xml:space="preserve"> </w:t>
      </w:r>
      <w:r w:rsidR="006B34D8" w:rsidRPr="006B34D8">
        <w:t>доступа</w:t>
      </w:r>
      <w:r w:rsidR="006B34D8" w:rsidRPr="006B34D8">
        <w:rPr>
          <w:lang w:val="en-US"/>
        </w:rPr>
        <w:t xml:space="preserve">: https://corpgov. law. </w:t>
      </w:r>
      <w:proofErr w:type="spellStart"/>
      <w:r w:rsidR="006B34D8" w:rsidRPr="006B34D8">
        <w:rPr>
          <w:lang w:val="en-US"/>
        </w:rPr>
        <w:t>harvard</w:t>
      </w:r>
      <w:proofErr w:type="spellEnd"/>
      <w:r w:rsidR="006B34D8" w:rsidRPr="006B34D8">
        <w:rPr>
          <w:lang w:val="en-US"/>
        </w:rPr>
        <w:t>. edu/2018/07/06/special-purpose-acquisition-companies-an-introduction (</w:t>
      </w:r>
      <w:r w:rsidR="006B34D8" w:rsidRPr="006B34D8">
        <w:t>дата</w:t>
      </w:r>
      <w:r w:rsidR="006B34D8" w:rsidRPr="006B34D8">
        <w:rPr>
          <w:lang w:val="en-US"/>
        </w:rPr>
        <w:t xml:space="preserve"> </w:t>
      </w:r>
      <w:r w:rsidR="006B34D8" w:rsidRPr="006B34D8">
        <w:t>обращения</w:t>
      </w:r>
      <w:r w:rsidR="006B34D8" w:rsidRPr="006B34D8">
        <w:rPr>
          <w:lang w:val="en-US"/>
        </w:rPr>
        <w:t xml:space="preserve"> </w:t>
      </w:r>
      <w:r w:rsidR="00C01266">
        <w:rPr>
          <w:lang w:val="en-US"/>
        </w:rPr>
        <w:t>01</w:t>
      </w:r>
      <w:r w:rsidR="006B34D8" w:rsidRPr="006B34D8">
        <w:rPr>
          <w:lang w:val="en-US"/>
        </w:rPr>
        <w:t>.0</w:t>
      </w:r>
      <w:r w:rsidR="00C01266">
        <w:rPr>
          <w:lang w:val="en-US"/>
        </w:rPr>
        <w:t>2</w:t>
      </w:r>
      <w:r w:rsidR="006B34D8" w:rsidRPr="006B34D8">
        <w:rPr>
          <w:lang w:val="en-US"/>
        </w:rPr>
        <w:t>.</w:t>
      </w:r>
      <w:r w:rsidR="00C01266">
        <w:rPr>
          <w:lang w:val="en-US"/>
        </w:rPr>
        <w:t xml:space="preserve"> </w:t>
      </w:r>
      <w:r w:rsidR="006B34D8" w:rsidRPr="00206605">
        <w:rPr>
          <w:lang w:val="en-US"/>
        </w:rPr>
        <w:t>202</w:t>
      </w:r>
      <w:r w:rsidR="00C01266" w:rsidRPr="00206605">
        <w:rPr>
          <w:lang w:val="en-US"/>
        </w:rPr>
        <w:t>2</w:t>
      </w:r>
      <w:r w:rsidR="006B34D8" w:rsidRPr="00206605">
        <w:rPr>
          <w:lang w:val="en-US"/>
        </w:rPr>
        <w:t>). – 2020.</w:t>
      </w:r>
    </w:p>
  </w:footnote>
  <w:footnote w:id="5">
    <w:p w14:paraId="22C1AFF6" w14:textId="4996CF90" w:rsidR="00741698" w:rsidRPr="00206605" w:rsidRDefault="00741698">
      <w:pPr>
        <w:pStyle w:val="af3"/>
        <w:rPr>
          <w:lang w:val="en-US"/>
        </w:rPr>
      </w:pPr>
      <w:r>
        <w:rPr>
          <w:rStyle w:val="af5"/>
        </w:rPr>
        <w:footnoteRef/>
      </w:r>
      <w:r w:rsidRPr="00866439">
        <w:rPr>
          <w:lang w:val="en-US"/>
        </w:rPr>
        <w:t xml:space="preserve"> </w:t>
      </w:r>
      <w:r w:rsidR="00866439">
        <w:rPr>
          <w:lang w:val="en-US"/>
        </w:rPr>
        <w:t xml:space="preserve">Form S-1 </w:t>
      </w:r>
      <w:r w:rsidR="00866439" w:rsidRPr="00866439">
        <w:rPr>
          <w:lang w:val="en-US"/>
        </w:rPr>
        <w:t>Arctos NorthStar Acquisition Corp.</w:t>
      </w:r>
      <w:r w:rsidR="00773A0F" w:rsidRPr="00866439">
        <w:rPr>
          <w:lang w:val="en-US"/>
        </w:rPr>
        <w:t xml:space="preserve"> </w:t>
      </w:r>
      <w:r w:rsidR="00773A0F" w:rsidRPr="00206605">
        <w:rPr>
          <w:lang w:val="en-US"/>
        </w:rPr>
        <w:t>[</w:t>
      </w:r>
      <w:r w:rsidR="00773A0F">
        <w:t>Электронный</w:t>
      </w:r>
      <w:r w:rsidR="00773A0F" w:rsidRPr="00206605">
        <w:rPr>
          <w:lang w:val="en-US"/>
        </w:rPr>
        <w:t xml:space="preserve"> </w:t>
      </w:r>
      <w:r w:rsidR="00773A0F">
        <w:t>ресурс</w:t>
      </w:r>
      <w:r w:rsidR="00773A0F" w:rsidRPr="00206605">
        <w:rPr>
          <w:lang w:val="en-US"/>
        </w:rPr>
        <w:t xml:space="preserve">] // </w:t>
      </w:r>
      <w:r w:rsidR="002F36B1">
        <w:rPr>
          <w:lang w:val="en-US"/>
        </w:rPr>
        <w:t>SEC</w:t>
      </w:r>
      <w:r w:rsidR="00773A0F" w:rsidRPr="00206605">
        <w:rPr>
          <w:lang w:val="en-US"/>
        </w:rPr>
        <w:t xml:space="preserve">. — </w:t>
      </w:r>
      <w:r w:rsidR="00773A0F">
        <w:t>Режим</w:t>
      </w:r>
      <w:r w:rsidR="00773A0F" w:rsidRPr="00206605">
        <w:rPr>
          <w:lang w:val="en-US"/>
        </w:rPr>
        <w:t xml:space="preserve"> </w:t>
      </w:r>
      <w:r w:rsidR="00773A0F">
        <w:t>доступа</w:t>
      </w:r>
      <w:r w:rsidR="00773A0F" w:rsidRPr="00206605">
        <w:rPr>
          <w:lang w:val="en-US"/>
        </w:rPr>
        <w:t xml:space="preserve">: </w:t>
      </w:r>
      <w:r w:rsidR="002F36B1" w:rsidRPr="00206605">
        <w:rPr>
          <w:lang w:val="en-US"/>
        </w:rPr>
        <w:t>https://www.sec.gov/Archives/edgar/data/0001829558/000119312521030709/d58094ds1.htm</w:t>
      </w:r>
      <w:r w:rsidR="00773A0F" w:rsidRPr="00206605">
        <w:rPr>
          <w:lang w:val="en-US"/>
        </w:rPr>
        <w:t xml:space="preserve"> (</w:t>
      </w:r>
      <w:r w:rsidR="00773A0F">
        <w:t>дата</w:t>
      </w:r>
      <w:r w:rsidR="00773A0F" w:rsidRPr="00206605">
        <w:rPr>
          <w:lang w:val="en-US"/>
        </w:rPr>
        <w:t xml:space="preserve"> </w:t>
      </w:r>
      <w:r w:rsidR="00773A0F">
        <w:t>обращения</w:t>
      </w:r>
      <w:r w:rsidR="00773A0F" w:rsidRPr="00206605">
        <w:rPr>
          <w:lang w:val="en-US"/>
        </w:rPr>
        <w:t xml:space="preserve">: </w:t>
      </w:r>
      <w:r w:rsidR="002F36B1" w:rsidRPr="00206605">
        <w:rPr>
          <w:lang w:val="en-US"/>
        </w:rPr>
        <w:t>01</w:t>
      </w:r>
      <w:r w:rsidR="00773A0F" w:rsidRPr="00206605">
        <w:rPr>
          <w:lang w:val="en-US"/>
        </w:rPr>
        <w:t>.</w:t>
      </w:r>
      <w:r w:rsidR="002F36B1" w:rsidRPr="00206605">
        <w:rPr>
          <w:lang w:val="en-US"/>
        </w:rPr>
        <w:t>02</w:t>
      </w:r>
      <w:r w:rsidR="00773A0F" w:rsidRPr="00206605">
        <w:rPr>
          <w:lang w:val="en-US"/>
        </w:rPr>
        <w:t>.</w:t>
      </w:r>
      <w:r w:rsidR="002F36B1" w:rsidRPr="00206605">
        <w:rPr>
          <w:lang w:val="en-US"/>
        </w:rPr>
        <w:t>2022</w:t>
      </w:r>
      <w:r w:rsidR="00773A0F" w:rsidRPr="00206605">
        <w:rPr>
          <w:lang w:val="en-US"/>
        </w:rPr>
        <w:t>).</w:t>
      </w:r>
    </w:p>
  </w:footnote>
  <w:footnote w:id="6">
    <w:p w14:paraId="1D1B5524" w14:textId="3C2C8BBB" w:rsidR="004958FB" w:rsidRPr="00206605" w:rsidRDefault="004958FB">
      <w:pPr>
        <w:pStyle w:val="af3"/>
        <w:rPr>
          <w:lang w:val="en-US"/>
        </w:rPr>
      </w:pPr>
      <w:r>
        <w:rPr>
          <w:rStyle w:val="af5"/>
        </w:rPr>
        <w:footnoteRef/>
      </w:r>
      <w:r w:rsidRPr="00206605">
        <w:rPr>
          <w:lang w:val="en-US"/>
        </w:rPr>
        <w:t xml:space="preserve"> </w:t>
      </w:r>
      <w:r w:rsidR="002C501F" w:rsidRPr="002C501F">
        <w:rPr>
          <w:lang w:val="en-US"/>
        </w:rPr>
        <w:t>Virgin</w:t>
      </w:r>
      <w:r w:rsidR="002C501F" w:rsidRPr="00206605">
        <w:rPr>
          <w:lang w:val="en-US"/>
        </w:rPr>
        <w:t xml:space="preserve"> </w:t>
      </w:r>
      <w:r w:rsidR="002C501F" w:rsidRPr="002C501F">
        <w:rPr>
          <w:lang w:val="en-US"/>
        </w:rPr>
        <w:t>Galactic</w:t>
      </w:r>
      <w:r w:rsidR="002C501F" w:rsidRPr="00206605">
        <w:rPr>
          <w:lang w:val="en-US"/>
        </w:rPr>
        <w:t xml:space="preserve"> </w:t>
      </w:r>
      <w:r w:rsidR="002C501F" w:rsidRPr="002C501F">
        <w:rPr>
          <w:lang w:val="en-US"/>
        </w:rPr>
        <w:t>Holdings</w:t>
      </w:r>
      <w:r w:rsidR="002C501F" w:rsidRPr="00206605">
        <w:rPr>
          <w:lang w:val="en-US"/>
        </w:rPr>
        <w:t xml:space="preserve"> </w:t>
      </w:r>
      <w:r w:rsidR="002C501F" w:rsidRPr="002C501F">
        <w:rPr>
          <w:lang w:val="en-US"/>
        </w:rPr>
        <w:t>Inc</w:t>
      </w:r>
      <w:r w:rsidR="002C501F" w:rsidRPr="00206605">
        <w:rPr>
          <w:lang w:val="en-US"/>
        </w:rPr>
        <w:t xml:space="preserve"> (</w:t>
      </w:r>
      <w:r w:rsidR="002C501F" w:rsidRPr="002C501F">
        <w:rPr>
          <w:lang w:val="en-US"/>
        </w:rPr>
        <w:t>SPCE</w:t>
      </w:r>
      <w:r w:rsidR="002C501F" w:rsidRPr="00206605">
        <w:rPr>
          <w:lang w:val="en-US"/>
        </w:rPr>
        <w:t>)</w:t>
      </w:r>
      <w:r w:rsidR="00644925" w:rsidRPr="00206605">
        <w:rPr>
          <w:lang w:val="en-US"/>
        </w:rPr>
        <w:t xml:space="preserve"> [</w:t>
      </w:r>
      <w:r w:rsidR="00644925">
        <w:t>Электронный</w:t>
      </w:r>
      <w:r w:rsidR="00644925" w:rsidRPr="00206605">
        <w:rPr>
          <w:lang w:val="en-US"/>
        </w:rPr>
        <w:t xml:space="preserve"> </w:t>
      </w:r>
      <w:r w:rsidR="00644925">
        <w:t>ресурс</w:t>
      </w:r>
      <w:r w:rsidR="00644925" w:rsidRPr="00206605">
        <w:rPr>
          <w:lang w:val="en-US"/>
        </w:rPr>
        <w:t xml:space="preserve">] // </w:t>
      </w:r>
      <w:r w:rsidR="002C501F">
        <w:rPr>
          <w:lang w:val="en-US"/>
        </w:rPr>
        <w:t>Investing</w:t>
      </w:r>
      <w:r w:rsidR="002C501F" w:rsidRPr="00206605">
        <w:rPr>
          <w:lang w:val="en-US"/>
        </w:rPr>
        <w:t>.</w:t>
      </w:r>
      <w:r w:rsidR="002C501F">
        <w:rPr>
          <w:lang w:val="en-US"/>
        </w:rPr>
        <w:t>com</w:t>
      </w:r>
      <w:r w:rsidR="00644925" w:rsidRPr="00206605">
        <w:rPr>
          <w:lang w:val="en-US"/>
        </w:rPr>
        <w:t xml:space="preserve">. — </w:t>
      </w:r>
      <w:r w:rsidR="00644925">
        <w:t>Режим</w:t>
      </w:r>
      <w:r w:rsidR="00644925" w:rsidRPr="00206605">
        <w:rPr>
          <w:lang w:val="en-US"/>
        </w:rPr>
        <w:t xml:space="preserve"> </w:t>
      </w:r>
      <w:r w:rsidR="00644925">
        <w:t>доступа</w:t>
      </w:r>
      <w:r w:rsidR="00644925" w:rsidRPr="00206605">
        <w:rPr>
          <w:lang w:val="en-US"/>
        </w:rPr>
        <w:t xml:space="preserve">: </w:t>
      </w:r>
      <w:r w:rsidR="002C501F" w:rsidRPr="00206605">
        <w:rPr>
          <w:lang w:val="en-US"/>
        </w:rPr>
        <w:t>https://ru.investing.com/equities/social-capital-hedosophia</w:t>
      </w:r>
      <w:r w:rsidR="00644925" w:rsidRPr="00206605">
        <w:rPr>
          <w:lang w:val="en-US"/>
        </w:rPr>
        <w:t xml:space="preserve"> (</w:t>
      </w:r>
      <w:r w:rsidR="00644925">
        <w:t>дата</w:t>
      </w:r>
      <w:r w:rsidR="00644925" w:rsidRPr="00206605">
        <w:rPr>
          <w:lang w:val="en-US"/>
        </w:rPr>
        <w:t xml:space="preserve"> </w:t>
      </w:r>
      <w:r w:rsidR="00644925">
        <w:t>обращения</w:t>
      </w:r>
      <w:r w:rsidR="00644925" w:rsidRPr="00206605">
        <w:rPr>
          <w:lang w:val="en-US"/>
        </w:rPr>
        <w:t>: 01.02.2022).</w:t>
      </w:r>
    </w:p>
  </w:footnote>
  <w:footnote w:id="7">
    <w:p w14:paraId="1C3A20C2" w14:textId="6CADED15" w:rsidR="00122E20" w:rsidRPr="00206605" w:rsidRDefault="00122E20">
      <w:pPr>
        <w:pStyle w:val="af3"/>
      </w:pPr>
      <w:r>
        <w:rPr>
          <w:rStyle w:val="af5"/>
        </w:rPr>
        <w:footnoteRef/>
      </w:r>
      <w:r w:rsidRPr="00206605">
        <w:t xml:space="preserve"> </w:t>
      </w:r>
      <w:r w:rsidR="00D64B9E">
        <w:t>Подробнее</w:t>
      </w:r>
      <w:r w:rsidR="00D64B9E" w:rsidRPr="00206605">
        <w:t xml:space="preserve"> </w:t>
      </w:r>
      <w:r w:rsidR="00D64B9E">
        <w:t>в</w:t>
      </w:r>
      <w:r w:rsidR="00D64B9E" w:rsidRPr="00206605">
        <w:t xml:space="preserve"> </w:t>
      </w:r>
      <w:r w:rsidR="00D64B9E">
        <w:t>пункте</w:t>
      </w:r>
      <w:r w:rsidR="00E634B6" w:rsidRPr="00206605">
        <w:t xml:space="preserve"> 1.1.3.</w:t>
      </w:r>
    </w:p>
  </w:footnote>
  <w:footnote w:id="8">
    <w:p w14:paraId="2D9B1F3C" w14:textId="50301BD9" w:rsidR="00223476" w:rsidRPr="00D64B9E" w:rsidRDefault="00223476">
      <w:pPr>
        <w:pStyle w:val="af3"/>
      </w:pPr>
      <w:r>
        <w:rPr>
          <w:rStyle w:val="af5"/>
        </w:rPr>
        <w:footnoteRef/>
      </w:r>
      <w:r w:rsidRPr="00387953">
        <w:t xml:space="preserve"> </w:t>
      </w:r>
      <w:r w:rsidR="00387953">
        <w:t xml:space="preserve">PUBLIC LAW </w:t>
      </w:r>
      <w:proofErr w:type="gramStart"/>
      <w:r w:rsidR="00387953">
        <w:t>101-429</w:t>
      </w:r>
      <w:proofErr w:type="gramEnd"/>
      <w:r w:rsidR="00387953">
        <w:t xml:space="preserve">—OCT. 15, 1990 </w:t>
      </w:r>
      <w:r w:rsidR="006B523C">
        <w:t xml:space="preserve">[Электронный ресурс] // </w:t>
      </w:r>
      <w:proofErr w:type="spellStart"/>
      <w:r w:rsidR="00B674C2">
        <w:rPr>
          <w:lang w:val="en-US"/>
        </w:rPr>
        <w:t>govinfo</w:t>
      </w:r>
      <w:proofErr w:type="spellEnd"/>
      <w:r w:rsidR="006B523C">
        <w:t xml:space="preserve">. — Режим доступа: </w:t>
      </w:r>
      <w:r w:rsidR="00387953" w:rsidRPr="00387953">
        <w:t>https://www.govinfo.gov/content/pkg/STATUTE-104/pdf/STATUTE-104-Pg931.pdf</w:t>
      </w:r>
      <w:r w:rsidR="006B523C">
        <w:t xml:space="preserve"> (дата обращения: </w:t>
      </w:r>
      <w:r w:rsidR="006B523C" w:rsidRPr="002F36B1">
        <w:t>01</w:t>
      </w:r>
      <w:r w:rsidR="006B523C">
        <w:t>.</w:t>
      </w:r>
      <w:r w:rsidR="006B523C" w:rsidRPr="002F36B1">
        <w:t>02</w:t>
      </w:r>
      <w:r w:rsidR="006B523C">
        <w:t>.</w:t>
      </w:r>
      <w:r w:rsidR="006B523C" w:rsidRPr="002F36B1">
        <w:t>2022</w:t>
      </w:r>
      <w:r w:rsidR="006B523C">
        <w:t>).</w:t>
      </w:r>
    </w:p>
  </w:footnote>
  <w:footnote w:id="9">
    <w:p w14:paraId="08C949D8" w14:textId="056AB064" w:rsidR="00B4686A" w:rsidRDefault="00B4686A">
      <w:pPr>
        <w:pStyle w:val="af3"/>
      </w:pPr>
      <w:r>
        <w:rPr>
          <w:rStyle w:val="af5"/>
        </w:rPr>
        <w:footnoteRef/>
      </w:r>
      <w:r w:rsidRPr="00726D6E">
        <w:rPr>
          <w:lang w:val="en-US"/>
        </w:rPr>
        <w:t xml:space="preserve"> </w:t>
      </w:r>
      <w:r w:rsidR="00394F43">
        <w:rPr>
          <w:lang w:val="en-US"/>
        </w:rPr>
        <w:t>Underwriting agreement</w:t>
      </w:r>
      <w:r w:rsidR="00394F43" w:rsidRPr="00394F43">
        <w:rPr>
          <w:lang w:val="en-US"/>
        </w:rPr>
        <w:t xml:space="preserve"> between </w:t>
      </w:r>
      <w:r w:rsidR="00394F43">
        <w:rPr>
          <w:lang w:val="en-US"/>
        </w:rPr>
        <w:t>Millstream Acquisition Corporation and</w:t>
      </w:r>
      <w:r w:rsidR="00394F43" w:rsidRPr="00394F43">
        <w:rPr>
          <w:lang w:val="en-US"/>
        </w:rPr>
        <w:t xml:space="preserve"> EARLYBIRDCAPITAL, INC.</w:t>
      </w:r>
      <w:r w:rsidR="00726D6E" w:rsidRPr="00866439">
        <w:rPr>
          <w:lang w:val="en-US"/>
        </w:rPr>
        <w:t xml:space="preserve"> </w:t>
      </w:r>
      <w:r w:rsidR="00726D6E">
        <w:t xml:space="preserve">[Электронный ресурс] // </w:t>
      </w:r>
      <w:r w:rsidR="00B663BE">
        <w:rPr>
          <w:lang w:val="en-US"/>
        </w:rPr>
        <w:t>Law</w:t>
      </w:r>
      <w:r w:rsidR="00B663BE" w:rsidRPr="00B663BE">
        <w:t xml:space="preserve"> </w:t>
      </w:r>
      <w:r w:rsidR="00B663BE">
        <w:rPr>
          <w:lang w:val="en-US"/>
        </w:rPr>
        <w:t>Insider</w:t>
      </w:r>
      <w:r w:rsidR="00726D6E">
        <w:t xml:space="preserve">. — Режим доступа: </w:t>
      </w:r>
      <w:r w:rsidR="00B663BE" w:rsidRPr="00B663BE">
        <w:t>https://www.lawinsider.com/contracts/hwHrSZd9hpg</w:t>
      </w:r>
      <w:r w:rsidR="00726D6E">
        <w:t xml:space="preserve"> (дата обращения: </w:t>
      </w:r>
      <w:r w:rsidR="00726D6E" w:rsidRPr="002F36B1">
        <w:t>01</w:t>
      </w:r>
      <w:r w:rsidR="00726D6E">
        <w:t>.</w:t>
      </w:r>
      <w:r w:rsidR="00726D6E" w:rsidRPr="002F36B1">
        <w:t>02</w:t>
      </w:r>
      <w:r w:rsidR="00726D6E">
        <w:t>.</w:t>
      </w:r>
      <w:r w:rsidR="00726D6E" w:rsidRPr="002F36B1">
        <w:t>2022</w:t>
      </w:r>
      <w:r w:rsidR="00726D6E">
        <w:t>).</w:t>
      </w:r>
    </w:p>
  </w:footnote>
  <w:footnote w:id="10">
    <w:p w14:paraId="76621F1A" w14:textId="28FC78C5" w:rsidR="00F73436" w:rsidRDefault="00F73436">
      <w:pPr>
        <w:pStyle w:val="af3"/>
      </w:pPr>
      <w:r>
        <w:rPr>
          <w:rStyle w:val="af5"/>
        </w:rPr>
        <w:footnoteRef/>
      </w:r>
      <w:r>
        <w:t xml:space="preserve"> </w:t>
      </w:r>
      <w:r w:rsidR="0018555B">
        <w:rPr>
          <w:lang w:val="en-US"/>
        </w:rPr>
        <w:t>SPAC</w:t>
      </w:r>
      <w:r w:rsidR="0018555B" w:rsidRPr="0031581C">
        <w:t xml:space="preserve"> </w:t>
      </w:r>
      <w:r w:rsidR="0018555B">
        <w:rPr>
          <w:lang w:val="en-US"/>
        </w:rPr>
        <w:t>analytics</w:t>
      </w:r>
      <w:r w:rsidR="0018555B" w:rsidRPr="0031581C">
        <w:t xml:space="preserve"> – </w:t>
      </w:r>
      <w:r w:rsidR="0018555B" w:rsidRPr="0031581C">
        <w:rPr>
          <w:lang w:val="en-US"/>
        </w:rPr>
        <w:t>URL</w:t>
      </w:r>
      <w:r w:rsidR="0018555B" w:rsidRPr="0031581C">
        <w:t xml:space="preserve">: </w:t>
      </w:r>
      <w:r w:rsidR="0018555B" w:rsidRPr="00BF0038">
        <w:rPr>
          <w:lang w:val="en-US"/>
        </w:rPr>
        <w:t>https</w:t>
      </w:r>
      <w:r w:rsidR="0018555B" w:rsidRPr="00155A1D">
        <w:t>://</w:t>
      </w:r>
      <w:r w:rsidR="0018555B" w:rsidRPr="00BF0038">
        <w:rPr>
          <w:lang w:val="en-US"/>
        </w:rPr>
        <w:t>www</w:t>
      </w:r>
      <w:r w:rsidR="0018555B" w:rsidRPr="00155A1D">
        <w:t>.</w:t>
      </w:r>
      <w:proofErr w:type="spellStart"/>
      <w:r w:rsidR="0018555B" w:rsidRPr="00BF0038">
        <w:rPr>
          <w:lang w:val="en-US"/>
        </w:rPr>
        <w:t>spacanalytics</w:t>
      </w:r>
      <w:proofErr w:type="spellEnd"/>
      <w:r w:rsidR="0018555B" w:rsidRPr="00155A1D">
        <w:t>.</w:t>
      </w:r>
      <w:r w:rsidR="0018555B" w:rsidRPr="00BF0038">
        <w:rPr>
          <w:lang w:val="en-US"/>
        </w:rPr>
        <w:t>com</w:t>
      </w:r>
      <w:r w:rsidR="0018555B" w:rsidRPr="00155A1D">
        <w:t>/</w:t>
      </w:r>
      <w:r w:rsidR="0018555B" w:rsidRPr="0031581C">
        <w:t xml:space="preserve"> (дата обращения: 01.02.202</w:t>
      </w:r>
      <w:r w:rsidR="0018555B" w:rsidRPr="00155A1D">
        <w:t>2</w:t>
      </w:r>
      <w:r w:rsidR="0018555B" w:rsidRPr="0031581C">
        <w:t>).</w:t>
      </w:r>
    </w:p>
  </w:footnote>
  <w:footnote w:id="11">
    <w:p w14:paraId="38DBBF13" w14:textId="7B568CD0" w:rsidR="00F20D35" w:rsidRPr="0012214E" w:rsidRDefault="00F20D35" w:rsidP="00F20D35">
      <w:pPr>
        <w:pStyle w:val="af3"/>
        <w:rPr>
          <w:lang w:val="en-US"/>
        </w:rPr>
      </w:pPr>
      <w:r>
        <w:rPr>
          <w:rStyle w:val="af5"/>
        </w:rPr>
        <w:footnoteRef/>
      </w:r>
      <w:r w:rsidRPr="00883B09">
        <w:rPr>
          <w:lang w:val="en-US"/>
        </w:rPr>
        <w:t xml:space="preserve"> </w:t>
      </w:r>
      <w:r w:rsidR="0012214E">
        <w:rPr>
          <w:lang w:val="en-US"/>
        </w:rPr>
        <w:t xml:space="preserve">Patrick Jenkins, </w:t>
      </w:r>
      <w:r w:rsidR="0012214E" w:rsidRPr="0012214E">
        <w:rPr>
          <w:lang w:val="en-US"/>
        </w:rPr>
        <w:t xml:space="preserve">The twisted logic of reverse listings </w:t>
      </w:r>
      <w:r w:rsidR="00883B09" w:rsidRPr="0012214E">
        <w:rPr>
          <w:lang w:val="en-US"/>
        </w:rPr>
        <w:t>[</w:t>
      </w:r>
      <w:r w:rsidR="00883B09">
        <w:t>Электронный</w:t>
      </w:r>
      <w:r w:rsidR="00883B09" w:rsidRPr="0012214E">
        <w:rPr>
          <w:lang w:val="en-US"/>
        </w:rPr>
        <w:t xml:space="preserve"> </w:t>
      </w:r>
      <w:r w:rsidR="00883B09">
        <w:t>ресурс</w:t>
      </w:r>
      <w:r w:rsidR="00883B09" w:rsidRPr="0012214E">
        <w:rPr>
          <w:lang w:val="en-US"/>
        </w:rPr>
        <w:t xml:space="preserve">] // </w:t>
      </w:r>
      <w:r w:rsidR="0012214E">
        <w:rPr>
          <w:lang w:val="en-US"/>
        </w:rPr>
        <w:t>Financial Times</w:t>
      </w:r>
      <w:r w:rsidR="00883B09" w:rsidRPr="0012214E">
        <w:rPr>
          <w:lang w:val="en-US"/>
        </w:rPr>
        <w:t xml:space="preserve">. — </w:t>
      </w:r>
      <w:r w:rsidR="00883B09">
        <w:t>Режим</w:t>
      </w:r>
      <w:r w:rsidR="00883B09" w:rsidRPr="0012214E">
        <w:rPr>
          <w:lang w:val="en-US"/>
        </w:rPr>
        <w:t xml:space="preserve"> </w:t>
      </w:r>
      <w:r w:rsidR="00883B09">
        <w:t>доступа</w:t>
      </w:r>
      <w:r w:rsidR="00883B09" w:rsidRPr="0012214E">
        <w:rPr>
          <w:lang w:val="en-US"/>
        </w:rPr>
        <w:t xml:space="preserve">: </w:t>
      </w:r>
      <w:r w:rsidR="0012214E" w:rsidRPr="0012214E">
        <w:rPr>
          <w:lang w:val="en-US"/>
        </w:rPr>
        <w:t xml:space="preserve">https://www.ft.com/content/7501e978-2a62-4a5c-bf94-aaacf2ce40f2 </w:t>
      </w:r>
      <w:r w:rsidR="00883B09" w:rsidRPr="0012214E">
        <w:rPr>
          <w:lang w:val="en-US"/>
        </w:rPr>
        <w:t>(</w:t>
      </w:r>
      <w:r w:rsidR="00883B09">
        <w:t>дата</w:t>
      </w:r>
      <w:r w:rsidR="00883B09" w:rsidRPr="0012214E">
        <w:rPr>
          <w:lang w:val="en-US"/>
        </w:rPr>
        <w:t xml:space="preserve"> </w:t>
      </w:r>
      <w:r w:rsidR="00883B09">
        <w:t>обращения</w:t>
      </w:r>
      <w:r w:rsidR="00883B09" w:rsidRPr="0012214E">
        <w:rPr>
          <w:lang w:val="en-US"/>
        </w:rPr>
        <w:t>: 01.02.2022).</w:t>
      </w:r>
    </w:p>
  </w:footnote>
  <w:footnote w:id="12">
    <w:p w14:paraId="3EEDB3B5" w14:textId="5A1C2BC1" w:rsidR="00BC2F8F" w:rsidRDefault="00BC2F8F">
      <w:pPr>
        <w:pStyle w:val="af3"/>
      </w:pPr>
      <w:r>
        <w:rPr>
          <w:rStyle w:val="af5"/>
        </w:rPr>
        <w:footnoteRef/>
      </w:r>
      <w:r>
        <w:t xml:space="preserve"> </w:t>
      </w:r>
      <w:r w:rsidR="0012214E" w:rsidRPr="0012214E">
        <w:t xml:space="preserve">SPAC </w:t>
      </w:r>
      <w:proofErr w:type="spellStart"/>
      <w:r w:rsidR="0012214E" w:rsidRPr="0012214E">
        <w:t>analytics</w:t>
      </w:r>
      <w:proofErr w:type="spellEnd"/>
      <w:r w:rsidR="0012214E" w:rsidRPr="0012214E">
        <w:t xml:space="preserve"> – URL: https://www.spacanalytics.com/ (дата обращения: 01.02.2022).</w:t>
      </w:r>
    </w:p>
  </w:footnote>
  <w:footnote w:id="13">
    <w:p w14:paraId="55E965C2" w14:textId="309C9E8D" w:rsidR="00484EAD" w:rsidRPr="00DF08DB" w:rsidRDefault="00484EAD">
      <w:pPr>
        <w:pStyle w:val="af3"/>
        <w:rPr>
          <w:lang w:val="en-US"/>
        </w:rPr>
      </w:pPr>
      <w:r>
        <w:rPr>
          <w:rStyle w:val="af5"/>
        </w:rPr>
        <w:footnoteRef/>
      </w:r>
      <w:r w:rsidRPr="00DF08DB">
        <w:rPr>
          <w:lang w:val="en-US"/>
        </w:rPr>
        <w:t xml:space="preserve"> </w:t>
      </w:r>
      <w:r w:rsidR="00DF08DB" w:rsidRPr="00DF08DB">
        <w:rPr>
          <w:lang w:val="en-US"/>
        </w:rPr>
        <w:t xml:space="preserve">The Urge to Reverse Merge </w:t>
      </w:r>
      <w:r w:rsidR="00030F34" w:rsidRPr="00DF08DB">
        <w:rPr>
          <w:lang w:val="en-US"/>
        </w:rPr>
        <w:t>[</w:t>
      </w:r>
      <w:r w:rsidR="00030F34">
        <w:t>Электронный</w:t>
      </w:r>
      <w:r w:rsidR="00030F34" w:rsidRPr="00DF08DB">
        <w:rPr>
          <w:lang w:val="en-US"/>
        </w:rPr>
        <w:t xml:space="preserve"> </w:t>
      </w:r>
      <w:r w:rsidR="00030F34">
        <w:t>ресурс</w:t>
      </w:r>
      <w:r w:rsidR="00030F34" w:rsidRPr="00DF08DB">
        <w:rPr>
          <w:lang w:val="en-US"/>
        </w:rPr>
        <w:t xml:space="preserve">] // </w:t>
      </w:r>
      <w:r w:rsidR="00DF08DB">
        <w:rPr>
          <w:lang w:val="en-US"/>
        </w:rPr>
        <w:t>The</w:t>
      </w:r>
      <w:r w:rsidR="00DF08DB" w:rsidRPr="00DF08DB">
        <w:rPr>
          <w:lang w:val="en-US"/>
        </w:rPr>
        <w:t xml:space="preserve"> </w:t>
      </w:r>
      <w:r w:rsidR="00DF08DB">
        <w:rPr>
          <w:lang w:val="en-US"/>
        </w:rPr>
        <w:t>New</w:t>
      </w:r>
      <w:r w:rsidR="00DF08DB" w:rsidRPr="00DF08DB">
        <w:rPr>
          <w:lang w:val="en-US"/>
        </w:rPr>
        <w:t xml:space="preserve"> </w:t>
      </w:r>
      <w:r w:rsidR="00DF08DB">
        <w:rPr>
          <w:lang w:val="en-US"/>
        </w:rPr>
        <w:t>York</w:t>
      </w:r>
      <w:r w:rsidR="00DF08DB" w:rsidRPr="00DF08DB">
        <w:rPr>
          <w:lang w:val="en-US"/>
        </w:rPr>
        <w:t xml:space="preserve"> </w:t>
      </w:r>
      <w:r w:rsidR="00DF08DB">
        <w:rPr>
          <w:lang w:val="en-US"/>
        </w:rPr>
        <w:t>Times</w:t>
      </w:r>
      <w:r w:rsidR="00030F34" w:rsidRPr="00DF08DB">
        <w:rPr>
          <w:lang w:val="en-US"/>
        </w:rPr>
        <w:t xml:space="preserve">. — </w:t>
      </w:r>
      <w:r w:rsidR="00030F34">
        <w:t>Режим</w:t>
      </w:r>
      <w:r w:rsidR="00030F34" w:rsidRPr="00DF08DB">
        <w:rPr>
          <w:lang w:val="en-US"/>
        </w:rPr>
        <w:t xml:space="preserve"> </w:t>
      </w:r>
      <w:r w:rsidR="00030F34">
        <w:t>доступа</w:t>
      </w:r>
      <w:r w:rsidR="00030F34" w:rsidRPr="00DF08DB">
        <w:rPr>
          <w:lang w:val="en-US"/>
        </w:rPr>
        <w:t xml:space="preserve">: </w:t>
      </w:r>
      <w:r w:rsidR="00DF08DB" w:rsidRPr="00DF08DB">
        <w:rPr>
          <w:lang w:val="en-US"/>
        </w:rPr>
        <w:t>https://www.nytimes.com/2020/08/25/business/dealbook/spac-ipo-boom.html</w:t>
      </w:r>
      <w:r w:rsidR="00030F34" w:rsidRPr="00DF08DB">
        <w:rPr>
          <w:lang w:val="en-US"/>
        </w:rPr>
        <w:t xml:space="preserve"> (</w:t>
      </w:r>
      <w:r w:rsidR="00030F34">
        <w:t>дата</w:t>
      </w:r>
      <w:r w:rsidR="00030F34" w:rsidRPr="00DF08DB">
        <w:rPr>
          <w:lang w:val="en-US"/>
        </w:rPr>
        <w:t xml:space="preserve"> </w:t>
      </w:r>
      <w:r w:rsidR="00030F34">
        <w:t>обращения</w:t>
      </w:r>
      <w:r w:rsidR="00030F34" w:rsidRPr="00DF08DB">
        <w:rPr>
          <w:lang w:val="en-US"/>
        </w:rPr>
        <w:t>: 01.02.2022).</w:t>
      </w:r>
    </w:p>
  </w:footnote>
  <w:footnote w:id="14">
    <w:p w14:paraId="4095327B" w14:textId="22420D5C" w:rsidR="009E17F8" w:rsidRPr="000941F2" w:rsidRDefault="009E17F8">
      <w:pPr>
        <w:pStyle w:val="af3"/>
      </w:pPr>
      <w:r>
        <w:rPr>
          <w:rStyle w:val="af5"/>
        </w:rPr>
        <w:footnoteRef/>
      </w:r>
      <w:r w:rsidRPr="00207059">
        <w:rPr>
          <w:lang w:val="en-US"/>
        </w:rPr>
        <w:t xml:space="preserve"> </w:t>
      </w:r>
      <w:r w:rsidR="00207059" w:rsidRPr="00207059">
        <w:rPr>
          <w:lang w:val="en-US"/>
        </w:rPr>
        <w:t>2021: A spectacular year for SPACs</w:t>
      </w:r>
      <w:r w:rsidR="00410E53" w:rsidRPr="00207059">
        <w:rPr>
          <w:lang w:val="en-US"/>
        </w:rPr>
        <w:t xml:space="preserve"> [</w:t>
      </w:r>
      <w:r w:rsidR="00410E53">
        <w:t>Электронный</w:t>
      </w:r>
      <w:r w:rsidR="00410E53" w:rsidRPr="00207059">
        <w:rPr>
          <w:lang w:val="en-US"/>
        </w:rPr>
        <w:t xml:space="preserve"> </w:t>
      </w:r>
      <w:r w:rsidR="00410E53">
        <w:t>ресурс</w:t>
      </w:r>
      <w:r w:rsidR="00410E53" w:rsidRPr="00207059">
        <w:rPr>
          <w:lang w:val="en-US"/>
        </w:rPr>
        <w:t xml:space="preserve">] // </w:t>
      </w:r>
      <w:proofErr w:type="spellStart"/>
      <w:r w:rsidR="00207059">
        <w:rPr>
          <w:lang w:val="en-US"/>
        </w:rPr>
        <w:t>Whitecase</w:t>
      </w:r>
      <w:proofErr w:type="spellEnd"/>
      <w:r w:rsidR="00410E53" w:rsidRPr="00207059">
        <w:rPr>
          <w:lang w:val="en-US"/>
        </w:rPr>
        <w:t xml:space="preserve">. — </w:t>
      </w:r>
      <w:r w:rsidR="00410E53">
        <w:t>Режим</w:t>
      </w:r>
      <w:r w:rsidR="00410E53" w:rsidRPr="00207059">
        <w:rPr>
          <w:lang w:val="en-US"/>
        </w:rPr>
        <w:t xml:space="preserve"> </w:t>
      </w:r>
      <w:r w:rsidR="00410E53">
        <w:t>доступа</w:t>
      </w:r>
      <w:r w:rsidR="00410E53" w:rsidRPr="00207059">
        <w:rPr>
          <w:lang w:val="en-US"/>
        </w:rPr>
        <w:t xml:space="preserve">: </w:t>
      </w:r>
      <w:r w:rsidR="002A6868" w:rsidRPr="002A6868">
        <w:rPr>
          <w:lang w:val="en-US"/>
        </w:rPr>
        <w:t>https://mergers.whitecase.com/highlights/2021-a-spectacular-year-for-spacs#!</w:t>
      </w:r>
      <w:r w:rsidR="00410E53" w:rsidRPr="00207059">
        <w:rPr>
          <w:lang w:val="en-US"/>
        </w:rPr>
        <w:t xml:space="preserve"> </w:t>
      </w:r>
      <w:r w:rsidR="00410E53" w:rsidRPr="000941F2">
        <w:t>(</w:t>
      </w:r>
      <w:r w:rsidR="00410E53">
        <w:t>дата</w:t>
      </w:r>
      <w:r w:rsidR="00410E53" w:rsidRPr="000941F2">
        <w:t xml:space="preserve"> </w:t>
      </w:r>
      <w:r w:rsidR="00410E53">
        <w:t>обращения</w:t>
      </w:r>
      <w:r w:rsidR="00410E53" w:rsidRPr="000941F2">
        <w:t>: 01.02.2022).</w:t>
      </w:r>
    </w:p>
  </w:footnote>
  <w:footnote w:id="15">
    <w:p w14:paraId="0B966436" w14:textId="0C500030" w:rsidR="000941F2" w:rsidRPr="0051341F" w:rsidRDefault="000941F2">
      <w:pPr>
        <w:pStyle w:val="af3"/>
      </w:pPr>
      <w:r>
        <w:rPr>
          <w:rStyle w:val="af5"/>
        </w:rPr>
        <w:footnoteRef/>
      </w:r>
      <w:r>
        <w:t xml:space="preserve"> </w:t>
      </w:r>
      <w:r w:rsidRPr="0012214E">
        <w:t xml:space="preserve">SPAC </w:t>
      </w:r>
      <w:proofErr w:type="spellStart"/>
      <w:r w:rsidRPr="0012214E">
        <w:t>analytics</w:t>
      </w:r>
      <w:proofErr w:type="spellEnd"/>
      <w:r w:rsidRPr="0012214E">
        <w:t xml:space="preserve"> – URL: https://www.spacanalytics.com/ (дата обращения: 01.02.2022).</w:t>
      </w:r>
    </w:p>
  </w:footnote>
  <w:footnote w:id="16">
    <w:p w14:paraId="441B73D7" w14:textId="1424C8A8" w:rsidR="00723E6C" w:rsidRPr="006D00E5" w:rsidRDefault="00723E6C" w:rsidP="006D00E5">
      <w:pPr>
        <w:pStyle w:val="af3"/>
        <w:rPr>
          <w:lang w:val="en-US"/>
        </w:rPr>
      </w:pPr>
      <w:r>
        <w:rPr>
          <w:rStyle w:val="af5"/>
        </w:rPr>
        <w:footnoteRef/>
      </w:r>
      <w:r w:rsidRPr="006D00E5">
        <w:rPr>
          <w:lang w:val="en-US"/>
        </w:rPr>
        <w:t xml:space="preserve"> </w:t>
      </w:r>
      <w:r w:rsidR="006D00E5" w:rsidRPr="006D00E5">
        <w:rPr>
          <w:lang w:val="en-US"/>
        </w:rPr>
        <w:t>Largest underwriters of SPAC IPOs worldwide as of September 2021, by number of deals</w:t>
      </w:r>
      <w:r w:rsidR="00A0260A" w:rsidRPr="006D00E5">
        <w:rPr>
          <w:lang w:val="en-US"/>
        </w:rPr>
        <w:t xml:space="preserve">– URL: </w:t>
      </w:r>
      <w:r w:rsidR="006D00E5" w:rsidRPr="006D00E5">
        <w:rPr>
          <w:lang w:val="en-US"/>
        </w:rPr>
        <w:t xml:space="preserve">https://www.statista.com/statistics/1265388/largest-underwriters-of-spac-ipos-worldwide-by-deal-count/ </w:t>
      </w:r>
      <w:r w:rsidR="00A0260A" w:rsidRPr="006D00E5">
        <w:rPr>
          <w:lang w:val="en-US"/>
        </w:rPr>
        <w:t>(</w:t>
      </w:r>
      <w:r w:rsidR="00A0260A" w:rsidRPr="0012214E">
        <w:t>дата</w:t>
      </w:r>
      <w:r w:rsidR="00A0260A" w:rsidRPr="006D00E5">
        <w:rPr>
          <w:lang w:val="en-US"/>
        </w:rPr>
        <w:t xml:space="preserve"> </w:t>
      </w:r>
      <w:r w:rsidR="00A0260A" w:rsidRPr="0012214E">
        <w:t>обращения</w:t>
      </w:r>
      <w:r w:rsidR="00A0260A" w:rsidRPr="006D00E5">
        <w:rPr>
          <w:lang w:val="en-US"/>
        </w:rPr>
        <w:t>: 01.02.2022).</w:t>
      </w:r>
    </w:p>
  </w:footnote>
  <w:footnote w:id="17">
    <w:p w14:paraId="4BC469DF" w14:textId="27B317EC" w:rsidR="00A908F2" w:rsidRPr="006D00E5" w:rsidRDefault="00A908F2">
      <w:pPr>
        <w:pStyle w:val="af3"/>
        <w:rPr>
          <w:lang w:val="en-US"/>
        </w:rPr>
      </w:pPr>
      <w:r>
        <w:rPr>
          <w:rStyle w:val="af5"/>
        </w:rPr>
        <w:footnoteRef/>
      </w:r>
      <w:r w:rsidR="00B46C40" w:rsidRPr="00B9671A">
        <w:rPr>
          <w:lang w:val="en-US"/>
        </w:rPr>
        <w:t xml:space="preserve"> </w:t>
      </w:r>
      <w:r w:rsidR="00B9671A" w:rsidRPr="006B34D8">
        <w:rPr>
          <w:lang w:val="en-US"/>
        </w:rPr>
        <w:t xml:space="preserve">Layne R., </w:t>
      </w:r>
      <w:proofErr w:type="spellStart"/>
      <w:r w:rsidR="00B9671A" w:rsidRPr="006B34D8">
        <w:rPr>
          <w:lang w:val="en-US"/>
        </w:rPr>
        <w:t>Lenahan</w:t>
      </w:r>
      <w:proofErr w:type="spellEnd"/>
      <w:r w:rsidR="00B9671A" w:rsidRPr="006B34D8">
        <w:rPr>
          <w:lang w:val="en-US"/>
        </w:rPr>
        <w:t xml:space="preserve"> B. Special Purpose Acquisition Companies: An Introduction //Harvard Law School Forum on Corporate </w:t>
      </w:r>
      <w:proofErr w:type="gramStart"/>
      <w:r w:rsidR="00B9671A" w:rsidRPr="006B34D8">
        <w:rPr>
          <w:lang w:val="en-US"/>
        </w:rPr>
        <w:t>Governance.-</w:t>
      </w:r>
      <w:proofErr w:type="gramEnd"/>
      <w:r w:rsidR="00B9671A" w:rsidRPr="006B34D8">
        <w:rPr>
          <w:lang w:val="en-US"/>
        </w:rPr>
        <w:t>2020.-[</w:t>
      </w:r>
      <w:r w:rsidR="00B9671A" w:rsidRPr="006B34D8">
        <w:t>Электронный</w:t>
      </w:r>
      <w:r w:rsidR="00B9671A" w:rsidRPr="006B34D8">
        <w:rPr>
          <w:lang w:val="en-US"/>
        </w:rPr>
        <w:t xml:space="preserve"> </w:t>
      </w:r>
      <w:r w:rsidR="00B9671A" w:rsidRPr="006B34D8">
        <w:t>ресурс</w:t>
      </w:r>
      <w:r w:rsidR="00B9671A" w:rsidRPr="006B34D8">
        <w:rPr>
          <w:lang w:val="en-US"/>
        </w:rPr>
        <w:t>].-</w:t>
      </w:r>
      <w:r w:rsidR="00B9671A" w:rsidRPr="006B34D8">
        <w:t>Режим</w:t>
      </w:r>
      <w:r w:rsidR="00B9671A" w:rsidRPr="006B34D8">
        <w:rPr>
          <w:lang w:val="en-US"/>
        </w:rPr>
        <w:t xml:space="preserve"> </w:t>
      </w:r>
      <w:r w:rsidR="00B9671A" w:rsidRPr="006B34D8">
        <w:t>доступа</w:t>
      </w:r>
      <w:r w:rsidR="00B9671A" w:rsidRPr="006B34D8">
        <w:rPr>
          <w:lang w:val="en-US"/>
        </w:rPr>
        <w:t xml:space="preserve">: https://corpgov. law. </w:t>
      </w:r>
      <w:proofErr w:type="spellStart"/>
      <w:r w:rsidR="00B9671A" w:rsidRPr="006B34D8">
        <w:rPr>
          <w:lang w:val="en-US"/>
        </w:rPr>
        <w:t>harvard</w:t>
      </w:r>
      <w:proofErr w:type="spellEnd"/>
      <w:r w:rsidR="00B9671A" w:rsidRPr="006B34D8">
        <w:rPr>
          <w:lang w:val="en-US"/>
        </w:rPr>
        <w:t>. edu/2018/07/06/special-purpose-acquisition-companies-an-introduction (</w:t>
      </w:r>
      <w:r w:rsidR="00B9671A" w:rsidRPr="006B34D8">
        <w:t>дата</w:t>
      </w:r>
      <w:r w:rsidR="00B9671A" w:rsidRPr="006B34D8">
        <w:rPr>
          <w:lang w:val="en-US"/>
        </w:rPr>
        <w:t xml:space="preserve"> </w:t>
      </w:r>
      <w:r w:rsidR="00B9671A" w:rsidRPr="006B34D8">
        <w:t>обращения</w:t>
      </w:r>
      <w:r w:rsidR="00B9671A" w:rsidRPr="006B34D8">
        <w:rPr>
          <w:lang w:val="en-US"/>
        </w:rPr>
        <w:t xml:space="preserve"> </w:t>
      </w:r>
      <w:r w:rsidR="00B9671A">
        <w:rPr>
          <w:lang w:val="en-US"/>
        </w:rPr>
        <w:t>01</w:t>
      </w:r>
      <w:r w:rsidR="00B9671A" w:rsidRPr="006B34D8">
        <w:rPr>
          <w:lang w:val="en-US"/>
        </w:rPr>
        <w:t>.0</w:t>
      </w:r>
      <w:r w:rsidR="00B9671A">
        <w:rPr>
          <w:lang w:val="en-US"/>
        </w:rPr>
        <w:t>2</w:t>
      </w:r>
      <w:r w:rsidR="00B9671A" w:rsidRPr="006B34D8">
        <w:rPr>
          <w:lang w:val="en-US"/>
        </w:rPr>
        <w:t>.</w:t>
      </w:r>
      <w:r w:rsidR="00B9671A">
        <w:rPr>
          <w:lang w:val="en-US"/>
        </w:rPr>
        <w:t xml:space="preserve"> </w:t>
      </w:r>
      <w:r w:rsidR="00B9671A" w:rsidRPr="006D00E5">
        <w:rPr>
          <w:lang w:val="en-US"/>
        </w:rPr>
        <w:t>2022). – 2020.</w:t>
      </w:r>
    </w:p>
  </w:footnote>
  <w:footnote w:id="18">
    <w:p w14:paraId="667AB686" w14:textId="7987E005" w:rsidR="00D22FD4" w:rsidRPr="003523D2" w:rsidRDefault="00D22FD4">
      <w:pPr>
        <w:pStyle w:val="af3"/>
        <w:rPr>
          <w:lang w:val="en-US"/>
        </w:rPr>
      </w:pPr>
      <w:r>
        <w:rPr>
          <w:rStyle w:val="af5"/>
        </w:rPr>
        <w:footnoteRef/>
      </w:r>
      <w:r w:rsidRPr="003B364D">
        <w:rPr>
          <w:lang w:val="en-US"/>
        </w:rPr>
        <w:t xml:space="preserve"> </w:t>
      </w:r>
      <w:r w:rsidR="003523D2" w:rsidRPr="003523D2">
        <w:rPr>
          <w:lang w:val="en-US"/>
        </w:rPr>
        <w:t xml:space="preserve">PIPE Transactions: A Growing Source of Private Financing </w:t>
      </w:r>
      <w:r w:rsidR="003B364D" w:rsidRPr="00207059">
        <w:rPr>
          <w:lang w:val="en-US"/>
        </w:rPr>
        <w:t>[</w:t>
      </w:r>
      <w:r w:rsidR="003B364D">
        <w:t>Электронный</w:t>
      </w:r>
      <w:r w:rsidR="003B364D" w:rsidRPr="00207059">
        <w:rPr>
          <w:lang w:val="en-US"/>
        </w:rPr>
        <w:t xml:space="preserve"> </w:t>
      </w:r>
      <w:r w:rsidR="003B364D">
        <w:t>ресурс</w:t>
      </w:r>
      <w:r w:rsidR="003B364D" w:rsidRPr="00207059">
        <w:rPr>
          <w:lang w:val="en-US"/>
        </w:rPr>
        <w:t xml:space="preserve">] // </w:t>
      </w:r>
      <w:r w:rsidR="003523D2">
        <w:rPr>
          <w:lang w:val="en-US"/>
        </w:rPr>
        <w:t>Carpenter Wellington</w:t>
      </w:r>
      <w:r w:rsidR="003B364D" w:rsidRPr="00207059">
        <w:rPr>
          <w:lang w:val="en-US"/>
        </w:rPr>
        <w:t xml:space="preserve">. — </w:t>
      </w:r>
      <w:r w:rsidR="003B364D">
        <w:t>Режим</w:t>
      </w:r>
      <w:r w:rsidR="003B364D" w:rsidRPr="00207059">
        <w:rPr>
          <w:lang w:val="en-US"/>
        </w:rPr>
        <w:t xml:space="preserve"> </w:t>
      </w:r>
      <w:r w:rsidR="003B364D">
        <w:t>доступа</w:t>
      </w:r>
      <w:r w:rsidR="003B364D" w:rsidRPr="00207059">
        <w:rPr>
          <w:lang w:val="en-US"/>
        </w:rPr>
        <w:t xml:space="preserve">: </w:t>
      </w:r>
      <w:r w:rsidR="003523D2" w:rsidRPr="003523D2">
        <w:rPr>
          <w:lang w:val="en-US"/>
        </w:rPr>
        <w:t>https://carpenterwellington.com/post/pipe-transactions-growing-source-private-financing/</w:t>
      </w:r>
      <w:r w:rsidR="003B364D" w:rsidRPr="00207059">
        <w:rPr>
          <w:lang w:val="en-US"/>
        </w:rPr>
        <w:t xml:space="preserve"> (</w:t>
      </w:r>
      <w:r w:rsidR="003B364D">
        <w:t>дата</w:t>
      </w:r>
      <w:r w:rsidR="003B364D" w:rsidRPr="00207059">
        <w:rPr>
          <w:lang w:val="en-US"/>
        </w:rPr>
        <w:t xml:space="preserve"> </w:t>
      </w:r>
      <w:r w:rsidR="003B364D">
        <w:t>обращения</w:t>
      </w:r>
      <w:r w:rsidR="003B364D" w:rsidRPr="00207059">
        <w:rPr>
          <w:lang w:val="en-US"/>
        </w:rPr>
        <w:t>: 01.02.2022).</w:t>
      </w:r>
    </w:p>
  </w:footnote>
  <w:footnote w:id="19">
    <w:p w14:paraId="337F9E1C" w14:textId="0F2A0300" w:rsidR="00FB647C" w:rsidRPr="004B6CB8" w:rsidRDefault="00FB647C">
      <w:pPr>
        <w:pStyle w:val="af3"/>
      </w:pPr>
      <w:r>
        <w:rPr>
          <w:rStyle w:val="af5"/>
        </w:rPr>
        <w:footnoteRef/>
      </w:r>
      <w:r w:rsidRPr="00EE1A24">
        <w:rPr>
          <w:lang w:val="en-US"/>
        </w:rPr>
        <w:t xml:space="preserve"> </w:t>
      </w:r>
      <w:r w:rsidR="004B6CB8" w:rsidRPr="004B6CB8">
        <w:rPr>
          <w:lang w:val="en-US"/>
        </w:rPr>
        <w:t xml:space="preserve">Sophia </w:t>
      </w:r>
      <w:proofErr w:type="spellStart"/>
      <w:r w:rsidR="004B6CB8" w:rsidRPr="004B6CB8">
        <w:rPr>
          <w:lang w:val="en-US"/>
        </w:rPr>
        <w:t>Kunthara</w:t>
      </w:r>
      <w:proofErr w:type="spellEnd"/>
      <w:r w:rsidR="00EE1A24">
        <w:rPr>
          <w:lang w:val="en-US"/>
        </w:rPr>
        <w:t xml:space="preserve">, </w:t>
      </w:r>
      <w:r w:rsidR="004B6CB8" w:rsidRPr="004B6CB8">
        <w:rPr>
          <w:lang w:val="en-US"/>
        </w:rPr>
        <w:t>Why Are SPAC Targets So Young?</w:t>
      </w:r>
      <w:r w:rsidR="00EE1A24" w:rsidRPr="0012214E">
        <w:rPr>
          <w:lang w:val="en-US"/>
        </w:rPr>
        <w:t xml:space="preserve"> </w:t>
      </w:r>
      <w:r w:rsidR="00EE1A24" w:rsidRPr="004B6CB8">
        <w:t>[</w:t>
      </w:r>
      <w:r w:rsidR="00EE1A24">
        <w:t>Электронный</w:t>
      </w:r>
      <w:r w:rsidR="00EE1A24" w:rsidRPr="004B6CB8">
        <w:t xml:space="preserve"> </w:t>
      </w:r>
      <w:r w:rsidR="00EE1A24">
        <w:t>ресурс</w:t>
      </w:r>
      <w:r w:rsidR="00EE1A24" w:rsidRPr="004B6CB8">
        <w:t xml:space="preserve">] // </w:t>
      </w:r>
      <w:r w:rsidR="004B6CB8">
        <w:rPr>
          <w:lang w:val="en-US"/>
        </w:rPr>
        <w:t>Crunchbase</w:t>
      </w:r>
      <w:r w:rsidR="00EE1A24" w:rsidRPr="004B6CB8">
        <w:t xml:space="preserve">. — </w:t>
      </w:r>
      <w:r w:rsidR="00EE1A24">
        <w:t>Режим</w:t>
      </w:r>
      <w:r w:rsidR="00EE1A24" w:rsidRPr="004B6CB8">
        <w:t xml:space="preserve"> </w:t>
      </w:r>
      <w:r w:rsidR="00EE1A24">
        <w:t>доступа</w:t>
      </w:r>
      <w:r w:rsidR="00EE1A24" w:rsidRPr="004B6CB8">
        <w:t xml:space="preserve">: </w:t>
      </w:r>
      <w:r w:rsidR="004B6CB8" w:rsidRPr="004B6CB8">
        <w:rPr>
          <w:lang w:val="en-US"/>
        </w:rPr>
        <w:t>https</w:t>
      </w:r>
      <w:r w:rsidR="004B6CB8" w:rsidRPr="00F55537">
        <w:t>://</w:t>
      </w:r>
      <w:r w:rsidR="004B6CB8" w:rsidRPr="004B6CB8">
        <w:rPr>
          <w:lang w:val="en-US"/>
        </w:rPr>
        <w:t>news</w:t>
      </w:r>
      <w:r w:rsidR="004B6CB8" w:rsidRPr="00F55537">
        <w:t>.</w:t>
      </w:r>
      <w:proofErr w:type="spellStart"/>
      <w:r w:rsidR="004B6CB8" w:rsidRPr="004B6CB8">
        <w:rPr>
          <w:lang w:val="en-US"/>
        </w:rPr>
        <w:t>crunchbase</w:t>
      </w:r>
      <w:proofErr w:type="spellEnd"/>
      <w:r w:rsidR="004B6CB8" w:rsidRPr="00F55537">
        <w:t>.</w:t>
      </w:r>
      <w:r w:rsidR="004B6CB8" w:rsidRPr="004B6CB8">
        <w:rPr>
          <w:lang w:val="en-US"/>
        </w:rPr>
        <w:t>com</w:t>
      </w:r>
      <w:r w:rsidR="004B6CB8" w:rsidRPr="00F55537">
        <w:t>/</w:t>
      </w:r>
      <w:r w:rsidR="004B6CB8" w:rsidRPr="004B6CB8">
        <w:rPr>
          <w:lang w:val="en-US"/>
        </w:rPr>
        <w:t>news</w:t>
      </w:r>
      <w:r w:rsidR="004B6CB8" w:rsidRPr="00F55537">
        <w:t>/</w:t>
      </w:r>
      <w:proofErr w:type="spellStart"/>
      <w:r w:rsidR="004B6CB8" w:rsidRPr="004B6CB8">
        <w:rPr>
          <w:lang w:val="en-US"/>
        </w:rPr>
        <w:t>vc</w:t>
      </w:r>
      <w:proofErr w:type="spellEnd"/>
      <w:r w:rsidR="004B6CB8" w:rsidRPr="00F55537">
        <w:t>-</w:t>
      </w:r>
      <w:r w:rsidR="004B6CB8" w:rsidRPr="004B6CB8">
        <w:rPr>
          <w:lang w:val="en-US"/>
        </w:rPr>
        <w:t>backed</w:t>
      </w:r>
      <w:r w:rsidR="004B6CB8" w:rsidRPr="00F55537">
        <w:t>-</w:t>
      </w:r>
      <w:proofErr w:type="spellStart"/>
      <w:r w:rsidR="004B6CB8" w:rsidRPr="004B6CB8">
        <w:rPr>
          <w:lang w:val="en-US"/>
        </w:rPr>
        <w:t>spac</w:t>
      </w:r>
      <w:proofErr w:type="spellEnd"/>
      <w:r w:rsidR="004B6CB8" w:rsidRPr="00F55537">
        <w:t>-</w:t>
      </w:r>
      <w:r w:rsidR="004B6CB8" w:rsidRPr="004B6CB8">
        <w:rPr>
          <w:lang w:val="en-US"/>
        </w:rPr>
        <w:t>targets</w:t>
      </w:r>
      <w:r w:rsidR="004B6CB8" w:rsidRPr="00F55537">
        <w:t>-</w:t>
      </w:r>
      <w:r w:rsidR="004B6CB8" w:rsidRPr="004B6CB8">
        <w:rPr>
          <w:lang w:val="en-US"/>
        </w:rPr>
        <w:t>vs</w:t>
      </w:r>
      <w:r w:rsidR="004B6CB8" w:rsidRPr="00F55537">
        <w:t>-</w:t>
      </w:r>
      <w:proofErr w:type="spellStart"/>
      <w:r w:rsidR="004B6CB8" w:rsidRPr="004B6CB8">
        <w:rPr>
          <w:lang w:val="en-US"/>
        </w:rPr>
        <w:t>ipo</w:t>
      </w:r>
      <w:proofErr w:type="spellEnd"/>
      <w:r w:rsidR="004B6CB8" w:rsidRPr="00F55537">
        <w:t>/</w:t>
      </w:r>
      <w:r w:rsidR="00EE1A24" w:rsidRPr="004B6CB8">
        <w:t xml:space="preserve"> (</w:t>
      </w:r>
      <w:r w:rsidR="00EE1A24">
        <w:t>дата</w:t>
      </w:r>
      <w:r w:rsidR="00EE1A24" w:rsidRPr="004B6CB8">
        <w:t xml:space="preserve"> </w:t>
      </w:r>
      <w:r w:rsidR="00EE1A24">
        <w:t>обращения</w:t>
      </w:r>
      <w:r w:rsidR="00EE1A24" w:rsidRPr="004B6CB8">
        <w:t>: 01.02.2022).</w:t>
      </w:r>
    </w:p>
  </w:footnote>
  <w:footnote w:id="20">
    <w:p w14:paraId="2D2EB37C" w14:textId="61EA4572" w:rsidR="007740AC" w:rsidRDefault="007740AC">
      <w:pPr>
        <w:pStyle w:val="af3"/>
      </w:pPr>
      <w:r>
        <w:rPr>
          <w:rStyle w:val="af5"/>
        </w:rPr>
        <w:footnoteRef/>
      </w:r>
      <w:r w:rsidR="001E26A0" w:rsidRPr="00747A8E">
        <w:rPr>
          <w:lang w:val="en-US"/>
        </w:rPr>
        <w:t xml:space="preserve"> </w:t>
      </w:r>
      <w:r w:rsidR="00747A8E" w:rsidRPr="00747A8E">
        <w:rPr>
          <w:lang w:val="en-US"/>
        </w:rPr>
        <w:t xml:space="preserve">Louis </w:t>
      </w:r>
      <w:proofErr w:type="spellStart"/>
      <w:r w:rsidR="00747A8E" w:rsidRPr="00747A8E">
        <w:rPr>
          <w:lang w:val="en-US"/>
        </w:rPr>
        <w:t>Lehot</w:t>
      </w:r>
      <w:proofErr w:type="spellEnd"/>
      <w:r w:rsidR="00747A8E" w:rsidRPr="00747A8E">
        <w:rPr>
          <w:lang w:val="en-US"/>
        </w:rPr>
        <w:t xml:space="preserve"> Quoted in Crunchbase Discussing SPACs Targeting Young Companies</w:t>
      </w:r>
      <w:r w:rsidR="00F55537" w:rsidRPr="00747A8E">
        <w:rPr>
          <w:lang w:val="en-US"/>
        </w:rPr>
        <w:t xml:space="preserve"> [</w:t>
      </w:r>
      <w:r w:rsidR="00F55537">
        <w:t>Электронный</w:t>
      </w:r>
      <w:r w:rsidR="00F55537" w:rsidRPr="00747A8E">
        <w:rPr>
          <w:lang w:val="en-US"/>
        </w:rPr>
        <w:t xml:space="preserve"> </w:t>
      </w:r>
      <w:r w:rsidR="00F55537">
        <w:t>ресурс</w:t>
      </w:r>
      <w:r w:rsidR="00F55537" w:rsidRPr="00747A8E">
        <w:rPr>
          <w:lang w:val="en-US"/>
        </w:rPr>
        <w:t xml:space="preserve">] // </w:t>
      </w:r>
      <w:r w:rsidR="00F55537">
        <w:rPr>
          <w:lang w:val="en-US"/>
        </w:rPr>
        <w:t>Crunchbase</w:t>
      </w:r>
      <w:r w:rsidR="00F55537" w:rsidRPr="00747A8E">
        <w:rPr>
          <w:lang w:val="en-US"/>
        </w:rPr>
        <w:t xml:space="preserve">. — </w:t>
      </w:r>
      <w:r w:rsidR="00F55537">
        <w:t>Режим</w:t>
      </w:r>
      <w:r w:rsidR="00F55537" w:rsidRPr="00747A8E">
        <w:rPr>
          <w:lang w:val="en-US"/>
        </w:rPr>
        <w:t xml:space="preserve"> </w:t>
      </w:r>
      <w:r w:rsidR="00F55537">
        <w:t>доступа</w:t>
      </w:r>
      <w:r w:rsidR="00F55537" w:rsidRPr="00747A8E">
        <w:rPr>
          <w:lang w:val="en-US"/>
        </w:rPr>
        <w:t xml:space="preserve">: </w:t>
      </w:r>
      <w:r w:rsidR="00747A8E" w:rsidRPr="00747A8E">
        <w:rPr>
          <w:lang w:val="en-US"/>
        </w:rPr>
        <w:t>https://www.foley.com/en/insights/news/2021/12/foley-partner-louis-lehot-crunchbase-spacs#:~:text=%E2%80%9CThe%20great%20advantage%20of%20a,look%20backward%2C%E2%80%9D%20said%20Lehot.</w:t>
      </w:r>
      <w:r w:rsidR="00F55537" w:rsidRPr="00747A8E">
        <w:rPr>
          <w:lang w:val="en-US"/>
        </w:rPr>
        <w:t xml:space="preserve"> </w:t>
      </w:r>
      <w:r w:rsidR="00F55537" w:rsidRPr="004B6CB8">
        <w:t>(</w:t>
      </w:r>
      <w:r w:rsidR="00F55537">
        <w:t>дата</w:t>
      </w:r>
      <w:r w:rsidR="00F55537" w:rsidRPr="004B6CB8">
        <w:t xml:space="preserve"> </w:t>
      </w:r>
      <w:r w:rsidR="00F55537">
        <w:t>обращения</w:t>
      </w:r>
      <w:r w:rsidR="00F55537" w:rsidRPr="004B6CB8">
        <w:t>: 01.02.2022).</w:t>
      </w:r>
    </w:p>
  </w:footnote>
  <w:footnote w:id="21">
    <w:p w14:paraId="4B56D9DD" w14:textId="679152D2" w:rsidR="006C5F95" w:rsidRDefault="006C5F95">
      <w:pPr>
        <w:pStyle w:val="af3"/>
      </w:pPr>
      <w:r>
        <w:rPr>
          <w:rStyle w:val="af5"/>
        </w:rPr>
        <w:footnoteRef/>
      </w:r>
      <w:r w:rsidRPr="004A234C">
        <w:t xml:space="preserve"> </w:t>
      </w:r>
      <w:r w:rsidR="004A234C">
        <w:rPr>
          <w:lang w:val="en-US"/>
        </w:rPr>
        <w:t>Form</w:t>
      </w:r>
      <w:r w:rsidR="004A234C" w:rsidRPr="004A234C">
        <w:t xml:space="preserve"> </w:t>
      </w:r>
      <w:r w:rsidR="004A234C">
        <w:rPr>
          <w:lang w:val="en-US"/>
        </w:rPr>
        <w:t>S</w:t>
      </w:r>
      <w:r w:rsidR="004A234C" w:rsidRPr="004A234C">
        <w:t xml:space="preserve">-1 </w:t>
      </w:r>
      <w:r w:rsidR="004A234C" w:rsidRPr="004A234C">
        <w:rPr>
          <w:lang w:val="en-US"/>
        </w:rPr>
        <w:t>Slam</w:t>
      </w:r>
      <w:r w:rsidR="004A234C" w:rsidRPr="004A234C">
        <w:t xml:space="preserve"> </w:t>
      </w:r>
      <w:r w:rsidR="004A234C" w:rsidRPr="004A234C">
        <w:rPr>
          <w:lang w:val="en-US"/>
        </w:rPr>
        <w:t>Corp</w:t>
      </w:r>
      <w:r w:rsidR="004A234C" w:rsidRPr="004A234C">
        <w:t xml:space="preserve">. </w:t>
      </w:r>
      <w:r w:rsidR="004A234C">
        <w:t xml:space="preserve">[Электронный ресурс] // </w:t>
      </w:r>
      <w:r w:rsidR="004A234C">
        <w:rPr>
          <w:lang w:val="en-US"/>
        </w:rPr>
        <w:t>SEC</w:t>
      </w:r>
      <w:r w:rsidR="004A234C">
        <w:t xml:space="preserve">. — Режим доступа: </w:t>
      </w:r>
      <w:r w:rsidR="004A234C" w:rsidRPr="004A234C">
        <w:t>https://www.sec.gov/Archives/edgar/data/0001838162/000119312521028736/d941708ds1.htm</w:t>
      </w:r>
      <w:r w:rsidR="004A234C">
        <w:t xml:space="preserve"> (дата обращения: </w:t>
      </w:r>
      <w:r w:rsidR="004A234C" w:rsidRPr="002F36B1">
        <w:t>01</w:t>
      </w:r>
      <w:r w:rsidR="004A234C">
        <w:t>.</w:t>
      </w:r>
      <w:r w:rsidR="004A234C" w:rsidRPr="002F36B1">
        <w:t>02</w:t>
      </w:r>
      <w:r w:rsidR="004A234C">
        <w:t>.</w:t>
      </w:r>
      <w:r w:rsidR="004A234C" w:rsidRPr="002F36B1">
        <w:t>2022</w:t>
      </w:r>
      <w:r w:rsidR="004A234C">
        <w:t>).</w:t>
      </w:r>
    </w:p>
  </w:footnote>
  <w:footnote w:id="22">
    <w:p w14:paraId="6CF5EA0B" w14:textId="77CE2187" w:rsidR="006F3FBE" w:rsidRDefault="006F3FBE" w:rsidP="00B44875">
      <w:pPr>
        <w:pStyle w:val="af3"/>
      </w:pPr>
      <w:r>
        <w:rPr>
          <w:rStyle w:val="af5"/>
        </w:rPr>
        <w:footnoteRef/>
      </w:r>
      <w:r>
        <w:t xml:space="preserve"> </w:t>
      </w:r>
      <w:r w:rsidR="00B44875">
        <w:rPr>
          <w:lang w:val="en-US"/>
        </w:rPr>
        <w:t>Form</w:t>
      </w:r>
      <w:r w:rsidR="00B44875" w:rsidRPr="004A234C">
        <w:t xml:space="preserve"> </w:t>
      </w:r>
      <w:r w:rsidR="00B44875">
        <w:rPr>
          <w:lang w:val="en-US"/>
        </w:rPr>
        <w:t>S</w:t>
      </w:r>
      <w:r w:rsidR="00B44875" w:rsidRPr="004A234C">
        <w:t xml:space="preserve">-1 </w:t>
      </w:r>
      <w:r w:rsidR="0001741F">
        <w:rPr>
          <w:lang w:val="en-US"/>
        </w:rPr>
        <w:t>Switchback</w:t>
      </w:r>
      <w:r w:rsidR="0001741F" w:rsidRPr="0001741F">
        <w:t xml:space="preserve"> </w:t>
      </w:r>
      <w:r w:rsidR="0001741F">
        <w:rPr>
          <w:lang w:val="en-US"/>
        </w:rPr>
        <w:t>II</w:t>
      </w:r>
      <w:r w:rsidR="00B44875" w:rsidRPr="004A234C">
        <w:t xml:space="preserve"> </w:t>
      </w:r>
      <w:r w:rsidR="00B44875">
        <w:t xml:space="preserve">[Электронный ресурс] // </w:t>
      </w:r>
      <w:r w:rsidR="00B44875">
        <w:rPr>
          <w:lang w:val="en-US"/>
        </w:rPr>
        <w:t>SEC</w:t>
      </w:r>
      <w:r w:rsidR="00B44875">
        <w:t xml:space="preserve">. — Режим доступа: </w:t>
      </w:r>
      <w:r w:rsidR="0001741F" w:rsidRPr="0001741F">
        <w:t>https://www.sec.gov/Archives/edgar/data/1829730/000156459021000859/swbku-424b4.htm</w:t>
      </w:r>
      <w:r w:rsidR="00B44875">
        <w:t xml:space="preserve"> (дата обращения: </w:t>
      </w:r>
      <w:r w:rsidR="00B44875" w:rsidRPr="002F36B1">
        <w:t>01</w:t>
      </w:r>
      <w:r w:rsidR="00B44875">
        <w:t>.</w:t>
      </w:r>
      <w:r w:rsidR="00B44875" w:rsidRPr="002F36B1">
        <w:t>02</w:t>
      </w:r>
      <w:r w:rsidR="00B44875">
        <w:t>.</w:t>
      </w:r>
      <w:r w:rsidR="00B44875" w:rsidRPr="002F36B1">
        <w:t>2022</w:t>
      </w:r>
      <w:r w:rsidR="00B44875">
        <w:t>).</w:t>
      </w:r>
    </w:p>
  </w:footnote>
  <w:footnote w:id="23">
    <w:p w14:paraId="6F3BDFB7" w14:textId="5AC9CC9F" w:rsidR="00F36DFE" w:rsidRPr="00F36DFE" w:rsidRDefault="00F36DFE">
      <w:pPr>
        <w:pStyle w:val="af3"/>
        <w:rPr>
          <w:lang w:val="en-US"/>
        </w:rPr>
      </w:pPr>
      <w:r>
        <w:rPr>
          <w:rStyle w:val="af5"/>
        </w:rPr>
        <w:footnoteRef/>
      </w:r>
      <w:r w:rsidRPr="00F36DFE">
        <w:rPr>
          <w:lang w:val="en-US"/>
        </w:rPr>
        <w:t xml:space="preserve"> </w:t>
      </w:r>
      <w:r w:rsidR="008D3472" w:rsidRPr="008D3472">
        <w:rPr>
          <w:lang w:val="en-US"/>
        </w:rPr>
        <w:t>How special purpose acquisition companies (SPACs) work</w:t>
      </w:r>
      <w:r w:rsidRPr="003523D2">
        <w:rPr>
          <w:lang w:val="en-US"/>
        </w:rPr>
        <w:t xml:space="preserve"> </w:t>
      </w:r>
      <w:r w:rsidRPr="00207059">
        <w:rPr>
          <w:lang w:val="en-US"/>
        </w:rPr>
        <w:t>[</w:t>
      </w:r>
      <w:r>
        <w:t>Электронный</w:t>
      </w:r>
      <w:r w:rsidRPr="00207059">
        <w:rPr>
          <w:lang w:val="en-US"/>
        </w:rPr>
        <w:t xml:space="preserve"> </w:t>
      </w:r>
      <w:r>
        <w:t>ресурс</w:t>
      </w:r>
      <w:r w:rsidRPr="00207059">
        <w:rPr>
          <w:lang w:val="en-US"/>
        </w:rPr>
        <w:t xml:space="preserve">] // </w:t>
      </w:r>
      <w:r w:rsidR="008D3472">
        <w:rPr>
          <w:lang w:val="en-US"/>
        </w:rPr>
        <w:t>PWC</w:t>
      </w:r>
      <w:r w:rsidRPr="00207059">
        <w:rPr>
          <w:lang w:val="en-US"/>
        </w:rPr>
        <w:t xml:space="preserve">. — </w:t>
      </w:r>
      <w:r>
        <w:t>Режим</w:t>
      </w:r>
      <w:r w:rsidRPr="00207059">
        <w:rPr>
          <w:lang w:val="en-US"/>
        </w:rPr>
        <w:t xml:space="preserve"> </w:t>
      </w:r>
      <w:r>
        <w:t>доступа</w:t>
      </w:r>
      <w:r w:rsidRPr="00207059">
        <w:rPr>
          <w:lang w:val="en-US"/>
        </w:rPr>
        <w:t xml:space="preserve">: </w:t>
      </w:r>
      <w:r w:rsidR="00133180" w:rsidRPr="00133180">
        <w:rPr>
          <w:lang w:val="en-US"/>
        </w:rPr>
        <w:t>https://www.pwc.com/us/en/services/consulting/deals/library/spac-merger.html</w:t>
      </w:r>
      <w:r w:rsidRPr="00207059">
        <w:rPr>
          <w:lang w:val="en-US"/>
        </w:rPr>
        <w:t xml:space="preserve"> (</w:t>
      </w:r>
      <w:r>
        <w:t>дата</w:t>
      </w:r>
      <w:r w:rsidRPr="00207059">
        <w:rPr>
          <w:lang w:val="en-US"/>
        </w:rPr>
        <w:t xml:space="preserve"> </w:t>
      </w:r>
      <w:r>
        <w:t>обращения</w:t>
      </w:r>
      <w:r w:rsidRPr="00207059">
        <w:rPr>
          <w:lang w:val="en-US"/>
        </w:rPr>
        <w:t>: 01.02.2022).</w:t>
      </w:r>
    </w:p>
  </w:footnote>
  <w:footnote w:id="24">
    <w:p w14:paraId="4DFE6EEC" w14:textId="5E8058CE" w:rsidR="00EC2D82" w:rsidRDefault="00EC2D82">
      <w:pPr>
        <w:pStyle w:val="af3"/>
      </w:pPr>
      <w:r>
        <w:rPr>
          <w:rStyle w:val="af5"/>
        </w:rPr>
        <w:footnoteRef/>
      </w:r>
      <w:r>
        <w:t xml:space="preserve"> </w:t>
      </w:r>
      <w:r w:rsidR="00C502F8">
        <w:rPr>
          <w:lang w:val="en-US"/>
        </w:rPr>
        <w:t>SPAC</w:t>
      </w:r>
      <w:r w:rsidR="00C502F8" w:rsidRPr="0031581C">
        <w:t xml:space="preserve"> </w:t>
      </w:r>
      <w:r w:rsidR="00C502F8">
        <w:rPr>
          <w:lang w:val="en-US"/>
        </w:rPr>
        <w:t>analytics</w:t>
      </w:r>
      <w:r w:rsidR="00C502F8" w:rsidRPr="0031581C">
        <w:t xml:space="preserve"> – </w:t>
      </w:r>
      <w:r w:rsidR="00C502F8" w:rsidRPr="0031581C">
        <w:rPr>
          <w:lang w:val="en-US"/>
        </w:rPr>
        <w:t>URL</w:t>
      </w:r>
      <w:r w:rsidR="00C502F8" w:rsidRPr="0031581C">
        <w:t xml:space="preserve">: </w:t>
      </w:r>
      <w:r w:rsidR="00C502F8" w:rsidRPr="00BF0038">
        <w:rPr>
          <w:lang w:val="en-US"/>
        </w:rPr>
        <w:t>https</w:t>
      </w:r>
      <w:r w:rsidR="00C502F8" w:rsidRPr="00155A1D">
        <w:t>://</w:t>
      </w:r>
      <w:r w:rsidR="00C502F8" w:rsidRPr="00BF0038">
        <w:rPr>
          <w:lang w:val="en-US"/>
        </w:rPr>
        <w:t>www</w:t>
      </w:r>
      <w:r w:rsidR="00C502F8" w:rsidRPr="00155A1D">
        <w:t>.</w:t>
      </w:r>
      <w:proofErr w:type="spellStart"/>
      <w:r w:rsidR="00C502F8" w:rsidRPr="00BF0038">
        <w:rPr>
          <w:lang w:val="en-US"/>
        </w:rPr>
        <w:t>spacanalytics</w:t>
      </w:r>
      <w:proofErr w:type="spellEnd"/>
      <w:r w:rsidR="00C502F8" w:rsidRPr="00155A1D">
        <w:t>.</w:t>
      </w:r>
      <w:r w:rsidR="00C502F8" w:rsidRPr="00BF0038">
        <w:rPr>
          <w:lang w:val="en-US"/>
        </w:rPr>
        <w:t>com</w:t>
      </w:r>
      <w:r w:rsidR="00C502F8" w:rsidRPr="00155A1D">
        <w:t>/</w:t>
      </w:r>
      <w:r w:rsidR="00C502F8" w:rsidRPr="0031581C">
        <w:t xml:space="preserve"> (дата обращения: 01.02.202</w:t>
      </w:r>
      <w:r w:rsidR="00C502F8" w:rsidRPr="00155A1D">
        <w:t>2</w:t>
      </w:r>
      <w:r w:rsidR="00C502F8" w:rsidRPr="0031581C">
        <w:t>).</w:t>
      </w:r>
    </w:p>
  </w:footnote>
  <w:footnote w:id="25">
    <w:p w14:paraId="53463971" w14:textId="7E7C0CE2" w:rsidR="00CA2541" w:rsidRPr="00CA2541" w:rsidRDefault="00CA2541">
      <w:pPr>
        <w:pStyle w:val="af3"/>
      </w:pPr>
      <w:r>
        <w:rPr>
          <w:rStyle w:val="af5"/>
        </w:rPr>
        <w:footnoteRef/>
      </w:r>
      <w:r>
        <w:t xml:space="preserve"> </w:t>
      </w:r>
      <w:r w:rsidR="00761865">
        <w:t>Путеводитель по выходу на IPO. Руководство по размещению ценных бумаг на бирже</w:t>
      </w:r>
      <w:r w:rsidR="00952B69" w:rsidRPr="004A234C">
        <w:t xml:space="preserve"> </w:t>
      </w:r>
      <w:r w:rsidR="00952B69">
        <w:t xml:space="preserve">[Электронный ресурс] // </w:t>
      </w:r>
      <w:r w:rsidR="00761865">
        <w:rPr>
          <w:lang w:val="en-US"/>
        </w:rPr>
        <w:t>PWC</w:t>
      </w:r>
      <w:r w:rsidR="00952B69">
        <w:t xml:space="preserve">. — Режим доступа: </w:t>
      </w:r>
      <w:r w:rsidR="00761865" w:rsidRPr="00761865">
        <w:t>https://www.pwc.ru/en/capital-markets/assets/roadmap-for-an-ipo-rus.pdf</w:t>
      </w:r>
      <w:r w:rsidR="00952B69">
        <w:t xml:space="preserve"> (дата обращения: </w:t>
      </w:r>
      <w:r w:rsidR="00952B69" w:rsidRPr="002F36B1">
        <w:t>01</w:t>
      </w:r>
      <w:r w:rsidR="00952B69">
        <w:t>.</w:t>
      </w:r>
      <w:r w:rsidR="00952B69" w:rsidRPr="002F36B1">
        <w:t>02</w:t>
      </w:r>
      <w:r w:rsidR="00952B69">
        <w:t>.</w:t>
      </w:r>
      <w:r w:rsidR="00952B69" w:rsidRPr="002F36B1">
        <w:t>2022</w:t>
      </w:r>
      <w:r w:rsidR="00952B69">
        <w:t>).</w:t>
      </w:r>
    </w:p>
  </w:footnote>
  <w:footnote w:id="26">
    <w:p w14:paraId="1342312B" w14:textId="037DBE06" w:rsidR="00442E00" w:rsidRPr="00477DD0" w:rsidRDefault="00442E00">
      <w:pPr>
        <w:pStyle w:val="af3"/>
        <w:rPr>
          <w:lang w:val="en-US"/>
        </w:rPr>
      </w:pPr>
      <w:r>
        <w:rPr>
          <w:rStyle w:val="af5"/>
        </w:rPr>
        <w:footnoteRef/>
      </w:r>
      <w:r w:rsidRPr="00477DD0">
        <w:rPr>
          <w:lang w:val="en-US"/>
        </w:rPr>
        <w:t xml:space="preserve"> </w:t>
      </w:r>
      <w:r w:rsidR="00477DD0" w:rsidRPr="00477DD0">
        <w:rPr>
          <w:lang w:val="en-US"/>
        </w:rPr>
        <w:t xml:space="preserve">Paulina </w:t>
      </w:r>
      <w:proofErr w:type="spellStart"/>
      <w:r w:rsidR="00477DD0" w:rsidRPr="00477DD0">
        <w:rPr>
          <w:lang w:val="en-US"/>
        </w:rPr>
        <w:t>Likos</w:t>
      </w:r>
      <w:proofErr w:type="spellEnd"/>
      <w:r w:rsidR="00E2027D" w:rsidRPr="00477DD0">
        <w:rPr>
          <w:lang w:val="en-US"/>
        </w:rPr>
        <w:t xml:space="preserve">, </w:t>
      </w:r>
      <w:r w:rsidR="00477DD0" w:rsidRPr="00477DD0">
        <w:rPr>
          <w:lang w:val="en-US"/>
        </w:rPr>
        <w:t>How to Buy IPO Stock at Its Offer Price</w:t>
      </w:r>
      <w:r w:rsidR="00E2027D" w:rsidRPr="00477DD0">
        <w:rPr>
          <w:lang w:val="en-US"/>
        </w:rPr>
        <w:t xml:space="preserve"> [</w:t>
      </w:r>
      <w:r w:rsidR="00E2027D">
        <w:t>Электронный</w:t>
      </w:r>
      <w:r w:rsidR="00E2027D" w:rsidRPr="00477DD0">
        <w:rPr>
          <w:lang w:val="en-US"/>
        </w:rPr>
        <w:t xml:space="preserve"> </w:t>
      </w:r>
      <w:r w:rsidR="00E2027D">
        <w:t>ресурс</w:t>
      </w:r>
      <w:r w:rsidR="00E2027D" w:rsidRPr="00477DD0">
        <w:rPr>
          <w:lang w:val="en-US"/>
        </w:rPr>
        <w:t xml:space="preserve">] // </w:t>
      </w:r>
      <w:r w:rsidR="00477DD0">
        <w:rPr>
          <w:lang w:val="en-US"/>
        </w:rPr>
        <w:t>U</w:t>
      </w:r>
      <w:r w:rsidR="00477DD0" w:rsidRPr="00477DD0">
        <w:rPr>
          <w:lang w:val="en-US"/>
        </w:rPr>
        <w:t>.</w:t>
      </w:r>
      <w:r w:rsidR="00477DD0">
        <w:rPr>
          <w:lang w:val="en-US"/>
        </w:rPr>
        <w:t>S</w:t>
      </w:r>
      <w:r w:rsidR="00477DD0" w:rsidRPr="00477DD0">
        <w:rPr>
          <w:lang w:val="en-US"/>
        </w:rPr>
        <w:t>.</w:t>
      </w:r>
      <w:r w:rsidR="00477DD0">
        <w:rPr>
          <w:lang w:val="en-US"/>
        </w:rPr>
        <w:t xml:space="preserve"> News</w:t>
      </w:r>
      <w:r w:rsidR="00E2027D" w:rsidRPr="00477DD0">
        <w:rPr>
          <w:lang w:val="en-US"/>
        </w:rPr>
        <w:t xml:space="preserve">. — </w:t>
      </w:r>
      <w:r w:rsidR="00E2027D">
        <w:t>Режим</w:t>
      </w:r>
      <w:r w:rsidR="00E2027D" w:rsidRPr="00477DD0">
        <w:rPr>
          <w:lang w:val="en-US"/>
        </w:rPr>
        <w:t xml:space="preserve"> </w:t>
      </w:r>
      <w:r w:rsidR="00E2027D">
        <w:t>доступа</w:t>
      </w:r>
      <w:r w:rsidR="00E2027D" w:rsidRPr="00477DD0">
        <w:rPr>
          <w:lang w:val="en-US"/>
        </w:rPr>
        <w:t xml:space="preserve">: </w:t>
      </w:r>
      <w:r w:rsidR="00477DD0" w:rsidRPr="00477DD0">
        <w:rPr>
          <w:lang w:val="en-US"/>
        </w:rPr>
        <w:t>https://money.usnews.com/investing/investing-101/articles/how-to-buy-ipo-stock-at-its-offer-price</w:t>
      </w:r>
      <w:r w:rsidR="00E2027D" w:rsidRPr="00477DD0">
        <w:rPr>
          <w:lang w:val="en-US"/>
        </w:rPr>
        <w:t xml:space="preserve"> (</w:t>
      </w:r>
      <w:r w:rsidR="00E2027D">
        <w:t>дата</w:t>
      </w:r>
      <w:r w:rsidR="00E2027D" w:rsidRPr="00477DD0">
        <w:rPr>
          <w:lang w:val="en-US"/>
        </w:rPr>
        <w:t xml:space="preserve"> </w:t>
      </w:r>
      <w:r w:rsidR="00E2027D">
        <w:t>обращения</w:t>
      </w:r>
      <w:r w:rsidR="00E2027D" w:rsidRPr="00477DD0">
        <w:rPr>
          <w:lang w:val="en-US"/>
        </w:rPr>
        <w:t>: 01.02.2022).</w:t>
      </w:r>
    </w:p>
  </w:footnote>
  <w:footnote w:id="27">
    <w:p w14:paraId="3D059C70" w14:textId="66FC6161" w:rsidR="007F1689" w:rsidRPr="00FC1614" w:rsidRDefault="007F1689">
      <w:pPr>
        <w:pStyle w:val="af3"/>
      </w:pPr>
      <w:r>
        <w:rPr>
          <w:rStyle w:val="af5"/>
        </w:rPr>
        <w:footnoteRef/>
      </w:r>
      <w:r w:rsidRPr="00FC1614">
        <w:t xml:space="preserve"> </w:t>
      </w:r>
      <w:r w:rsidR="00FC1614" w:rsidRPr="00FC1614">
        <w:t xml:space="preserve">Аллокация в </w:t>
      </w:r>
      <w:r w:rsidR="00FC1614" w:rsidRPr="00FC1614">
        <w:rPr>
          <w:lang w:val="en-US"/>
        </w:rPr>
        <w:t>IPO</w:t>
      </w:r>
      <w:r w:rsidR="00353BC5" w:rsidRPr="00FC1614">
        <w:t xml:space="preserve"> [</w:t>
      </w:r>
      <w:r w:rsidR="00353BC5">
        <w:t>Электронный</w:t>
      </w:r>
      <w:r w:rsidR="00353BC5" w:rsidRPr="00FC1614">
        <w:t xml:space="preserve"> </w:t>
      </w:r>
      <w:r w:rsidR="00353BC5">
        <w:t>ресурс</w:t>
      </w:r>
      <w:r w:rsidR="00353BC5" w:rsidRPr="00FC1614">
        <w:t xml:space="preserve">] // </w:t>
      </w:r>
      <w:proofErr w:type="spellStart"/>
      <w:r w:rsidR="00FC1614">
        <w:t>Финам</w:t>
      </w:r>
      <w:proofErr w:type="spellEnd"/>
      <w:r w:rsidR="00353BC5" w:rsidRPr="00FC1614">
        <w:t xml:space="preserve">. — </w:t>
      </w:r>
      <w:r w:rsidR="00353BC5">
        <w:t>Режим</w:t>
      </w:r>
      <w:r w:rsidR="00353BC5" w:rsidRPr="00FC1614">
        <w:t xml:space="preserve"> </w:t>
      </w:r>
      <w:r w:rsidR="00353BC5">
        <w:t>доступа</w:t>
      </w:r>
      <w:r w:rsidR="00353BC5" w:rsidRPr="00FC1614">
        <w:t xml:space="preserve">: </w:t>
      </w:r>
      <w:r w:rsidR="00FC1614" w:rsidRPr="00FC1614">
        <w:rPr>
          <w:lang w:val="en-US"/>
        </w:rPr>
        <w:t>https</w:t>
      </w:r>
      <w:r w:rsidR="00FC1614" w:rsidRPr="00FC1614">
        <w:t>://</w:t>
      </w:r>
      <w:r w:rsidR="00FC1614" w:rsidRPr="00FC1614">
        <w:rPr>
          <w:lang w:val="en-US"/>
        </w:rPr>
        <w:t>www</w:t>
      </w:r>
      <w:r w:rsidR="00FC1614" w:rsidRPr="00FC1614">
        <w:t>.</w:t>
      </w:r>
      <w:proofErr w:type="spellStart"/>
      <w:r w:rsidR="00FC1614" w:rsidRPr="00FC1614">
        <w:rPr>
          <w:lang w:val="en-US"/>
        </w:rPr>
        <w:t>finam</w:t>
      </w:r>
      <w:proofErr w:type="spellEnd"/>
      <w:r w:rsidR="00FC1614" w:rsidRPr="00FC1614">
        <w:t>.</w:t>
      </w:r>
      <w:proofErr w:type="spellStart"/>
      <w:r w:rsidR="00FC1614" w:rsidRPr="00FC1614">
        <w:rPr>
          <w:lang w:val="en-US"/>
        </w:rPr>
        <w:t>ru</w:t>
      </w:r>
      <w:proofErr w:type="spellEnd"/>
      <w:r w:rsidR="00FC1614" w:rsidRPr="00FC1614">
        <w:t>/</w:t>
      </w:r>
      <w:r w:rsidR="00FC1614" w:rsidRPr="00FC1614">
        <w:rPr>
          <w:lang w:val="en-US"/>
        </w:rPr>
        <w:t>education</w:t>
      </w:r>
      <w:r w:rsidR="00FC1614" w:rsidRPr="00FC1614">
        <w:t>/</w:t>
      </w:r>
      <w:proofErr w:type="spellStart"/>
      <w:r w:rsidR="00FC1614" w:rsidRPr="00FC1614">
        <w:rPr>
          <w:lang w:val="en-US"/>
        </w:rPr>
        <w:t>likbez</w:t>
      </w:r>
      <w:proofErr w:type="spellEnd"/>
      <w:r w:rsidR="00FC1614" w:rsidRPr="00FC1614">
        <w:t>/</w:t>
      </w:r>
      <w:proofErr w:type="spellStart"/>
      <w:r w:rsidR="00FC1614" w:rsidRPr="00FC1614">
        <w:rPr>
          <w:lang w:val="en-US"/>
        </w:rPr>
        <w:t>allokaciya</w:t>
      </w:r>
      <w:proofErr w:type="spellEnd"/>
      <w:r w:rsidR="00FC1614" w:rsidRPr="00FC1614">
        <w:t>-</w:t>
      </w:r>
      <w:r w:rsidR="00FC1614" w:rsidRPr="00FC1614">
        <w:rPr>
          <w:lang w:val="en-US"/>
        </w:rPr>
        <w:t>v</w:t>
      </w:r>
      <w:r w:rsidR="00FC1614" w:rsidRPr="00FC1614">
        <w:t>-</w:t>
      </w:r>
      <w:proofErr w:type="spellStart"/>
      <w:r w:rsidR="00FC1614" w:rsidRPr="00FC1614">
        <w:rPr>
          <w:lang w:val="en-US"/>
        </w:rPr>
        <w:t>ipo</w:t>
      </w:r>
      <w:proofErr w:type="spellEnd"/>
      <w:r w:rsidR="00FC1614" w:rsidRPr="00FC1614">
        <w:t>-</w:t>
      </w:r>
      <w:proofErr w:type="spellStart"/>
      <w:r w:rsidR="00FC1614" w:rsidRPr="00FC1614">
        <w:rPr>
          <w:lang w:val="en-US"/>
        </w:rPr>
        <w:t>chto</w:t>
      </w:r>
      <w:proofErr w:type="spellEnd"/>
      <w:r w:rsidR="00FC1614" w:rsidRPr="00FC1614">
        <w:t>-</w:t>
      </w:r>
      <w:proofErr w:type="spellStart"/>
      <w:r w:rsidR="00FC1614" w:rsidRPr="00FC1614">
        <w:rPr>
          <w:lang w:val="en-US"/>
        </w:rPr>
        <w:t>eto</w:t>
      </w:r>
      <w:proofErr w:type="spellEnd"/>
      <w:r w:rsidR="00FC1614" w:rsidRPr="00FC1614">
        <w:t>-</w:t>
      </w:r>
      <w:proofErr w:type="spellStart"/>
      <w:r w:rsidR="00FC1614" w:rsidRPr="00FC1614">
        <w:rPr>
          <w:lang w:val="en-US"/>
        </w:rPr>
        <w:t>prostymi</w:t>
      </w:r>
      <w:proofErr w:type="spellEnd"/>
      <w:r w:rsidR="00FC1614" w:rsidRPr="00FC1614">
        <w:t>-</w:t>
      </w:r>
      <w:proofErr w:type="spellStart"/>
      <w:r w:rsidR="00FC1614" w:rsidRPr="00FC1614">
        <w:rPr>
          <w:lang w:val="en-US"/>
        </w:rPr>
        <w:t>slovami</w:t>
      </w:r>
      <w:proofErr w:type="spellEnd"/>
      <w:r w:rsidR="00FC1614" w:rsidRPr="00FC1614">
        <w:t>-20210526-16540/</w:t>
      </w:r>
      <w:r w:rsidR="00353BC5" w:rsidRPr="00FC1614">
        <w:t xml:space="preserve"> (</w:t>
      </w:r>
      <w:r w:rsidR="00353BC5">
        <w:t>дата</w:t>
      </w:r>
      <w:r w:rsidR="00353BC5" w:rsidRPr="00FC1614">
        <w:t xml:space="preserve"> </w:t>
      </w:r>
      <w:r w:rsidR="00353BC5">
        <w:t>обращения</w:t>
      </w:r>
      <w:r w:rsidR="00353BC5" w:rsidRPr="00FC1614">
        <w:t>: 01.02.2022).</w:t>
      </w:r>
    </w:p>
  </w:footnote>
  <w:footnote w:id="28">
    <w:p w14:paraId="3537BEEB" w14:textId="7AFCD4DD" w:rsidR="0013361F" w:rsidRDefault="0013361F">
      <w:pPr>
        <w:pStyle w:val="af3"/>
      </w:pPr>
      <w:r>
        <w:rPr>
          <w:rStyle w:val="af5"/>
        </w:rPr>
        <w:footnoteRef/>
      </w:r>
      <w:r w:rsidRPr="00206605">
        <w:rPr>
          <w:lang w:val="en-US"/>
        </w:rPr>
        <w:t xml:space="preserve"> </w:t>
      </w:r>
      <w:r w:rsidR="00BB51C7" w:rsidRPr="00206605">
        <w:rPr>
          <w:lang w:val="en-US"/>
        </w:rPr>
        <w:t>Considering an IPO? First, understand the costs [</w:t>
      </w:r>
      <w:r w:rsidR="00BB51C7">
        <w:t>Электронный</w:t>
      </w:r>
      <w:r w:rsidR="00BB51C7" w:rsidRPr="00206605">
        <w:rPr>
          <w:lang w:val="en-US"/>
        </w:rPr>
        <w:t xml:space="preserve"> </w:t>
      </w:r>
      <w:r w:rsidR="00BB51C7">
        <w:t>ресурс</w:t>
      </w:r>
      <w:r w:rsidR="00BB51C7" w:rsidRPr="00206605">
        <w:rPr>
          <w:lang w:val="en-US"/>
        </w:rPr>
        <w:t xml:space="preserve">] // </w:t>
      </w:r>
      <w:r w:rsidR="00BB51C7">
        <w:rPr>
          <w:lang w:val="en-US"/>
        </w:rPr>
        <w:t>PWC</w:t>
      </w:r>
      <w:r w:rsidR="00BB51C7" w:rsidRPr="00206605">
        <w:rPr>
          <w:lang w:val="en-US"/>
        </w:rPr>
        <w:t xml:space="preserve">. — </w:t>
      </w:r>
      <w:r w:rsidR="00BB51C7">
        <w:t>Режим</w:t>
      </w:r>
      <w:r w:rsidR="00BB51C7" w:rsidRPr="00206605">
        <w:rPr>
          <w:lang w:val="en-US"/>
        </w:rPr>
        <w:t xml:space="preserve"> </w:t>
      </w:r>
      <w:r w:rsidR="00BB51C7">
        <w:t>доступа</w:t>
      </w:r>
      <w:r w:rsidR="00BB51C7" w:rsidRPr="00206605">
        <w:rPr>
          <w:lang w:val="en-US"/>
        </w:rPr>
        <w:t xml:space="preserve">: </w:t>
      </w:r>
      <w:r w:rsidR="00AC5B4D" w:rsidRPr="00AC5B4D">
        <w:rPr>
          <w:lang w:val="en-US"/>
        </w:rPr>
        <w:t>https</w:t>
      </w:r>
      <w:r w:rsidR="00AC5B4D" w:rsidRPr="00206605">
        <w:rPr>
          <w:lang w:val="en-US"/>
        </w:rPr>
        <w:t>://</w:t>
      </w:r>
      <w:r w:rsidR="00AC5B4D" w:rsidRPr="00AC5B4D">
        <w:rPr>
          <w:lang w:val="en-US"/>
        </w:rPr>
        <w:t>www</w:t>
      </w:r>
      <w:r w:rsidR="00AC5B4D" w:rsidRPr="00206605">
        <w:rPr>
          <w:lang w:val="en-US"/>
        </w:rPr>
        <w:t>.</w:t>
      </w:r>
      <w:r w:rsidR="00AC5B4D" w:rsidRPr="00AC5B4D">
        <w:rPr>
          <w:lang w:val="en-US"/>
        </w:rPr>
        <w:t>pwc</w:t>
      </w:r>
      <w:r w:rsidR="00AC5B4D" w:rsidRPr="00206605">
        <w:rPr>
          <w:lang w:val="en-US"/>
        </w:rPr>
        <w:t>.</w:t>
      </w:r>
      <w:r w:rsidR="00AC5B4D" w:rsidRPr="00AC5B4D">
        <w:rPr>
          <w:lang w:val="en-US"/>
        </w:rPr>
        <w:t>com</w:t>
      </w:r>
      <w:r w:rsidR="00AC5B4D" w:rsidRPr="00206605">
        <w:rPr>
          <w:lang w:val="en-US"/>
        </w:rPr>
        <w:t>/</w:t>
      </w:r>
      <w:r w:rsidR="00AC5B4D" w:rsidRPr="00AC5B4D">
        <w:rPr>
          <w:lang w:val="en-US"/>
        </w:rPr>
        <w:t>us</w:t>
      </w:r>
      <w:r w:rsidR="00AC5B4D" w:rsidRPr="00206605">
        <w:rPr>
          <w:lang w:val="en-US"/>
        </w:rPr>
        <w:t>/</w:t>
      </w:r>
      <w:r w:rsidR="00AC5B4D" w:rsidRPr="00AC5B4D">
        <w:rPr>
          <w:lang w:val="en-US"/>
        </w:rPr>
        <w:t>en</w:t>
      </w:r>
      <w:r w:rsidR="00AC5B4D" w:rsidRPr="00206605">
        <w:rPr>
          <w:lang w:val="en-US"/>
        </w:rPr>
        <w:t>/</w:t>
      </w:r>
      <w:r w:rsidR="00AC5B4D" w:rsidRPr="00AC5B4D">
        <w:rPr>
          <w:lang w:val="en-US"/>
        </w:rPr>
        <w:t>services</w:t>
      </w:r>
      <w:r w:rsidR="00AC5B4D" w:rsidRPr="00206605">
        <w:rPr>
          <w:lang w:val="en-US"/>
        </w:rPr>
        <w:t>/</w:t>
      </w:r>
      <w:r w:rsidR="00AC5B4D" w:rsidRPr="00AC5B4D">
        <w:rPr>
          <w:lang w:val="en-US"/>
        </w:rPr>
        <w:t>deals</w:t>
      </w:r>
      <w:r w:rsidR="00AC5B4D" w:rsidRPr="00206605">
        <w:rPr>
          <w:lang w:val="en-US"/>
        </w:rPr>
        <w:t>/</w:t>
      </w:r>
      <w:r w:rsidR="00AC5B4D" w:rsidRPr="00AC5B4D">
        <w:rPr>
          <w:lang w:val="en-US"/>
        </w:rPr>
        <w:t>library</w:t>
      </w:r>
      <w:r w:rsidR="00AC5B4D" w:rsidRPr="00206605">
        <w:rPr>
          <w:lang w:val="en-US"/>
        </w:rPr>
        <w:t>/</w:t>
      </w:r>
      <w:r w:rsidR="00AC5B4D" w:rsidRPr="00AC5B4D">
        <w:rPr>
          <w:lang w:val="en-US"/>
        </w:rPr>
        <w:t>cost</w:t>
      </w:r>
      <w:r w:rsidR="00AC5B4D" w:rsidRPr="00206605">
        <w:rPr>
          <w:lang w:val="en-US"/>
        </w:rPr>
        <w:t>-</w:t>
      </w:r>
      <w:r w:rsidR="00AC5B4D" w:rsidRPr="00AC5B4D">
        <w:rPr>
          <w:lang w:val="en-US"/>
        </w:rPr>
        <w:t>of</w:t>
      </w:r>
      <w:r w:rsidR="00AC5B4D" w:rsidRPr="00206605">
        <w:rPr>
          <w:lang w:val="en-US"/>
        </w:rPr>
        <w:t>-</w:t>
      </w:r>
      <w:r w:rsidR="00AC5B4D" w:rsidRPr="00AC5B4D">
        <w:rPr>
          <w:lang w:val="en-US"/>
        </w:rPr>
        <w:t>an</w:t>
      </w:r>
      <w:r w:rsidR="00AC5B4D" w:rsidRPr="00206605">
        <w:rPr>
          <w:lang w:val="en-US"/>
        </w:rPr>
        <w:t>-</w:t>
      </w:r>
      <w:r w:rsidR="00AC5B4D" w:rsidRPr="00AC5B4D">
        <w:rPr>
          <w:lang w:val="en-US"/>
        </w:rPr>
        <w:t>ipo</w:t>
      </w:r>
      <w:r w:rsidR="00AC5B4D" w:rsidRPr="00206605">
        <w:rPr>
          <w:lang w:val="en-US"/>
        </w:rPr>
        <w:t>.</w:t>
      </w:r>
      <w:r w:rsidR="00AC5B4D" w:rsidRPr="00AC5B4D">
        <w:rPr>
          <w:lang w:val="en-US"/>
        </w:rPr>
        <w:t>html</w:t>
      </w:r>
      <w:r w:rsidR="00AC5B4D" w:rsidRPr="00206605">
        <w:rPr>
          <w:lang w:val="en-US"/>
        </w:rPr>
        <w:t>#:~:</w:t>
      </w:r>
      <w:r w:rsidR="00AC5B4D" w:rsidRPr="00AC5B4D">
        <w:rPr>
          <w:lang w:val="en-US"/>
        </w:rPr>
        <w:t>text</w:t>
      </w:r>
      <w:r w:rsidR="00AC5B4D" w:rsidRPr="00206605">
        <w:rPr>
          <w:lang w:val="en-US"/>
        </w:rPr>
        <w:t>=</w:t>
      </w:r>
      <w:r w:rsidR="00AC5B4D" w:rsidRPr="00AC5B4D">
        <w:rPr>
          <w:lang w:val="en-US"/>
        </w:rPr>
        <w:t>Underwriting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fee</w:t>
      </w:r>
      <w:r w:rsidR="00AC5B4D" w:rsidRPr="00206605">
        <w:rPr>
          <w:lang w:val="en-US"/>
        </w:rPr>
        <w:t>,-</w:t>
      </w:r>
      <w:r w:rsidR="00AC5B4D" w:rsidRPr="00AC5B4D">
        <w:rPr>
          <w:lang w:val="en-US"/>
        </w:rPr>
        <w:t>Investment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banks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charge</w:t>
      </w:r>
      <w:r w:rsidR="00AC5B4D" w:rsidRPr="00206605">
        <w:rPr>
          <w:lang w:val="en-US"/>
        </w:rPr>
        <w:t>&amp;</w:t>
      </w:r>
      <w:r w:rsidR="00AC5B4D" w:rsidRPr="00AC5B4D">
        <w:rPr>
          <w:lang w:val="en-US"/>
        </w:rPr>
        <w:t>text</w:t>
      </w:r>
      <w:r w:rsidR="00AC5B4D" w:rsidRPr="00206605">
        <w:rPr>
          <w:lang w:val="en-US"/>
        </w:rPr>
        <w:t>=</w:t>
      </w:r>
      <w:r w:rsidR="00AC5B4D" w:rsidRPr="00AC5B4D">
        <w:rPr>
          <w:lang w:val="en-US"/>
        </w:rPr>
        <w:t>Underwriting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fees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are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the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largest</w:t>
      </w:r>
      <w:r w:rsidR="00AC5B4D" w:rsidRPr="00206605">
        <w:rPr>
          <w:lang w:val="en-US"/>
        </w:rPr>
        <w:t>,7.0%25%20</w:t>
      </w:r>
      <w:r w:rsidR="00AC5B4D" w:rsidRPr="00AC5B4D">
        <w:rPr>
          <w:lang w:val="en-US"/>
        </w:rPr>
        <w:t>of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gross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IPO</w:t>
      </w:r>
      <w:r w:rsidR="00AC5B4D" w:rsidRPr="00206605">
        <w:rPr>
          <w:lang w:val="en-US"/>
        </w:rPr>
        <w:t>%20</w:t>
      </w:r>
      <w:r w:rsidR="00AC5B4D" w:rsidRPr="00AC5B4D">
        <w:rPr>
          <w:lang w:val="en-US"/>
        </w:rPr>
        <w:t>proceeds</w:t>
      </w:r>
      <w:r w:rsidR="00AC5B4D" w:rsidRPr="00206605">
        <w:rPr>
          <w:lang w:val="en-US"/>
        </w:rPr>
        <w:t>.</w:t>
      </w:r>
      <w:r w:rsidR="00BB51C7" w:rsidRPr="00206605">
        <w:rPr>
          <w:lang w:val="en-US"/>
        </w:rPr>
        <w:t xml:space="preserve"> </w:t>
      </w:r>
      <w:r w:rsidR="00BB51C7" w:rsidRPr="00FC1614">
        <w:t>(</w:t>
      </w:r>
      <w:r w:rsidR="00BB51C7">
        <w:t>дата</w:t>
      </w:r>
      <w:r w:rsidR="00BB51C7" w:rsidRPr="00FC1614">
        <w:t xml:space="preserve"> </w:t>
      </w:r>
      <w:r w:rsidR="00BB51C7">
        <w:t>обращения</w:t>
      </w:r>
      <w:r w:rsidR="00BB51C7" w:rsidRPr="00FC1614">
        <w:t>: 01.02.2022).</w:t>
      </w:r>
    </w:p>
  </w:footnote>
  <w:footnote w:id="29">
    <w:p w14:paraId="2228545E" w14:textId="5E12F018" w:rsidR="00D94030" w:rsidRPr="00D94030" w:rsidRDefault="00D94030">
      <w:pPr>
        <w:pStyle w:val="af3"/>
      </w:pPr>
      <w:r>
        <w:rPr>
          <w:rStyle w:val="af5"/>
        </w:rPr>
        <w:footnoteRef/>
      </w:r>
      <w:r w:rsidRPr="007579F6">
        <w:t xml:space="preserve"> </w:t>
      </w:r>
      <w:r w:rsidR="00C83CE6" w:rsidRPr="00C83CE6">
        <w:rPr>
          <w:lang w:val="en-US"/>
        </w:rPr>
        <w:t>Trends</w:t>
      </w:r>
      <w:r w:rsidR="00C83CE6" w:rsidRPr="007579F6">
        <w:t xml:space="preserve"> </w:t>
      </w:r>
      <w:r w:rsidR="00C83CE6" w:rsidRPr="00C83CE6">
        <w:rPr>
          <w:lang w:val="en-US"/>
        </w:rPr>
        <w:t>in</w:t>
      </w:r>
      <w:r w:rsidR="00C83CE6" w:rsidRPr="007579F6">
        <w:t xml:space="preserve"> </w:t>
      </w:r>
      <w:r w:rsidR="00C83CE6" w:rsidRPr="00C83CE6">
        <w:rPr>
          <w:lang w:val="en-US"/>
        </w:rPr>
        <w:t>IPO</w:t>
      </w:r>
      <w:r w:rsidR="00C83CE6" w:rsidRPr="007579F6">
        <w:t xml:space="preserve"> </w:t>
      </w:r>
      <w:r w:rsidR="00C83CE6" w:rsidRPr="00C83CE6">
        <w:rPr>
          <w:lang w:val="en-US"/>
        </w:rPr>
        <w:t>Pops</w:t>
      </w:r>
      <w:r w:rsidR="00D9263C" w:rsidRPr="007579F6">
        <w:t xml:space="preserve"> [</w:t>
      </w:r>
      <w:r w:rsidR="00D9263C">
        <w:t>Электронный</w:t>
      </w:r>
      <w:r w:rsidR="00D9263C" w:rsidRPr="007579F6">
        <w:t xml:space="preserve"> </w:t>
      </w:r>
      <w:r w:rsidR="00D9263C">
        <w:t>ресурс</w:t>
      </w:r>
      <w:r w:rsidR="00D9263C" w:rsidRPr="007579F6">
        <w:t xml:space="preserve">] // </w:t>
      </w:r>
      <w:r w:rsidR="007579F6">
        <w:rPr>
          <w:lang w:val="en-US"/>
        </w:rPr>
        <w:t>Nasdaq</w:t>
      </w:r>
      <w:r w:rsidR="00D9263C" w:rsidRPr="007579F6">
        <w:t xml:space="preserve">. — </w:t>
      </w:r>
      <w:r w:rsidR="00D9263C">
        <w:t>Режим</w:t>
      </w:r>
      <w:r w:rsidR="00D9263C" w:rsidRPr="007579F6">
        <w:t xml:space="preserve"> </w:t>
      </w:r>
      <w:r w:rsidR="00D9263C">
        <w:t>доступа</w:t>
      </w:r>
      <w:r w:rsidR="00D9263C" w:rsidRPr="007579F6">
        <w:t xml:space="preserve">: </w:t>
      </w:r>
      <w:r w:rsidR="007579F6" w:rsidRPr="007579F6">
        <w:rPr>
          <w:lang w:val="en-US"/>
        </w:rPr>
        <w:t>https</w:t>
      </w:r>
      <w:r w:rsidR="007579F6" w:rsidRPr="007579F6">
        <w:t>://</w:t>
      </w:r>
      <w:r w:rsidR="007579F6" w:rsidRPr="007579F6">
        <w:rPr>
          <w:lang w:val="en-US"/>
        </w:rPr>
        <w:t>www</w:t>
      </w:r>
      <w:r w:rsidR="007579F6" w:rsidRPr="007579F6">
        <w:t>.</w:t>
      </w:r>
      <w:proofErr w:type="spellStart"/>
      <w:r w:rsidR="007579F6" w:rsidRPr="007579F6">
        <w:rPr>
          <w:lang w:val="en-US"/>
        </w:rPr>
        <w:t>nasdaq</w:t>
      </w:r>
      <w:proofErr w:type="spellEnd"/>
      <w:r w:rsidR="007579F6" w:rsidRPr="007579F6">
        <w:t>.</w:t>
      </w:r>
      <w:r w:rsidR="007579F6" w:rsidRPr="007579F6">
        <w:rPr>
          <w:lang w:val="en-US"/>
        </w:rPr>
        <w:t>com</w:t>
      </w:r>
      <w:r w:rsidR="007579F6" w:rsidRPr="007579F6">
        <w:t>/</w:t>
      </w:r>
      <w:r w:rsidR="007579F6" w:rsidRPr="007579F6">
        <w:rPr>
          <w:lang w:val="en-US"/>
        </w:rPr>
        <w:t>articles</w:t>
      </w:r>
      <w:r w:rsidR="007579F6" w:rsidRPr="007579F6">
        <w:t>/</w:t>
      </w:r>
      <w:r w:rsidR="007579F6" w:rsidRPr="007579F6">
        <w:rPr>
          <w:lang w:val="en-US"/>
        </w:rPr>
        <w:t>trends</w:t>
      </w:r>
      <w:r w:rsidR="007579F6" w:rsidRPr="007579F6">
        <w:t>-</w:t>
      </w:r>
      <w:r w:rsidR="007579F6" w:rsidRPr="007579F6">
        <w:rPr>
          <w:lang w:val="en-US"/>
        </w:rPr>
        <w:t>in</w:t>
      </w:r>
      <w:r w:rsidR="007579F6" w:rsidRPr="007579F6">
        <w:t>-</w:t>
      </w:r>
      <w:proofErr w:type="spellStart"/>
      <w:r w:rsidR="007579F6" w:rsidRPr="007579F6">
        <w:rPr>
          <w:lang w:val="en-US"/>
        </w:rPr>
        <w:t>ipo</w:t>
      </w:r>
      <w:proofErr w:type="spellEnd"/>
      <w:r w:rsidR="007579F6" w:rsidRPr="007579F6">
        <w:t>-</w:t>
      </w:r>
      <w:r w:rsidR="007579F6" w:rsidRPr="007579F6">
        <w:rPr>
          <w:lang w:val="en-US"/>
        </w:rPr>
        <w:t>pops</w:t>
      </w:r>
      <w:r w:rsidR="007579F6" w:rsidRPr="007579F6">
        <w:t>-2021-03-04</w:t>
      </w:r>
      <w:r w:rsidR="00D9263C" w:rsidRPr="007579F6">
        <w:t xml:space="preserve"> </w:t>
      </w:r>
      <w:r w:rsidR="00D9263C" w:rsidRPr="00FC1614">
        <w:t>(</w:t>
      </w:r>
      <w:r w:rsidR="00D9263C">
        <w:t>дата</w:t>
      </w:r>
      <w:r w:rsidR="00D9263C" w:rsidRPr="00FC1614">
        <w:t xml:space="preserve"> </w:t>
      </w:r>
      <w:r w:rsidR="00D9263C">
        <w:t>обращения</w:t>
      </w:r>
      <w:r w:rsidR="00D9263C" w:rsidRPr="00FC1614">
        <w:t>: 01.02.2022).</w:t>
      </w:r>
    </w:p>
  </w:footnote>
  <w:footnote w:id="30">
    <w:p w14:paraId="18C44681" w14:textId="1F4D8997" w:rsidR="005D1FAD" w:rsidRDefault="005D1FAD">
      <w:pPr>
        <w:pStyle w:val="af3"/>
      </w:pPr>
      <w:r>
        <w:rPr>
          <w:rStyle w:val="af5"/>
        </w:rPr>
        <w:footnoteRef/>
      </w:r>
      <w:r w:rsidRPr="00106BF7">
        <w:rPr>
          <w:lang w:val="en-US"/>
        </w:rPr>
        <w:t xml:space="preserve"> </w:t>
      </w:r>
      <w:r w:rsidR="00106BF7" w:rsidRPr="00106BF7">
        <w:rPr>
          <w:lang w:val="en-US"/>
        </w:rPr>
        <w:t>Investment Banking Issues: Why Do IPOs Get Underpriced?</w:t>
      </w:r>
      <w:r w:rsidR="00EE58FB" w:rsidRPr="00106BF7">
        <w:rPr>
          <w:lang w:val="en-US"/>
        </w:rPr>
        <w:t xml:space="preserve"> </w:t>
      </w:r>
      <w:r w:rsidR="00EE58FB" w:rsidRPr="007579F6">
        <w:t>[</w:t>
      </w:r>
      <w:r w:rsidR="00EE58FB">
        <w:t>Электронный</w:t>
      </w:r>
      <w:r w:rsidR="00EE58FB" w:rsidRPr="007579F6">
        <w:t xml:space="preserve"> </w:t>
      </w:r>
      <w:r w:rsidR="00EE58FB">
        <w:t>ресурс</w:t>
      </w:r>
      <w:r w:rsidR="00EE58FB" w:rsidRPr="007579F6">
        <w:t xml:space="preserve">] // </w:t>
      </w:r>
      <w:r w:rsidR="00106BF7">
        <w:rPr>
          <w:lang w:val="en-US"/>
        </w:rPr>
        <w:t>Management</w:t>
      </w:r>
      <w:r w:rsidR="00106BF7" w:rsidRPr="00106BF7">
        <w:t xml:space="preserve"> </w:t>
      </w:r>
      <w:r w:rsidR="00106BF7">
        <w:rPr>
          <w:lang w:val="en-US"/>
        </w:rPr>
        <w:t>Study</w:t>
      </w:r>
      <w:r w:rsidR="00106BF7" w:rsidRPr="00106BF7">
        <w:t xml:space="preserve"> </w:t>
      </w:r>
      <w:r w:rsidR="00106BF7">
        <w:rPr>
          <w:lang w:val="en-US"/>
        </w:rPr>
        <w:t>Guide</w:t>
      </w:r>
      <w:r w:rsidR="00EE58FB" w:rsidRPr="007579F6">
        <w:t xml:space="preserve">. — </w:t>
      </w:r>
      <w:r w:rsidR="00EE58FB">
        <w:t>Режим</w:t>
      </w:r>
      <w:r w:rsidR="00EE58FB" w:rsidRPr="007579F6">
        <w:t xml:space="preserve"> </w:t>
      </w:r>
      <w:r w:rsidR="00EE58FB">
        <w:t>доступа</w:t>
      </w:r>
      <w:r w:rsidR="00EE58FB" w:rsidRPr="007579F6">
        <w:t xml:space="preserve">: </w:t>
      </w:r>
      <w:r w:rsidR="00106BF7" w:rsidRPr="00106BF7">
        <w:rPr>
          <w:lang w:val="en-US"/>
        </w:rPr>
        <w:t>https</w:t>
      </w:r>
      <w:r w:rsidR="00106BF7" w:rsidRPr="00106BF7">
        <w:t>://</w:t>
      </w:r>
      <w:r w:rsidR="00106BF7" w:rsidRPr="00106BF7">
        <w:rPr>
          <w:lang w:val="en-US"/>
        </w:rPr>
        <w:t>www</w:t>
      </w:r>
      <w:r w:rsidR="00106BF7" w:rsidRPr="00106BF7">
        <w:t>.</w:t>
      </w:r>
      <w:proofErr w:type="spellStart"/>
      <w:r w:rsidR="00106BF7" w:rsidRPr="00106BF7">
        <w:rPr>
          <w:lang w:val="en-US"/>
        </w:rPr>
        <w:t>managementstudyguide</w:t>
      </w:r>
      <w:proofErr w:type="spellEnd"/>
      <w:r w:rsidR="00106BF7" w:rsidRPr="00106BF7">
        <w:t>.</w:t>
      </w:r>
      <w:r w:rsidR="00106BF7" w:rsidRPr="00106BF7">
        <w:rPr>
          <w:lang w:val="en-US"/>
        </w:rPr>
        <w:t>com</w:t>
      </w:r>
      <w:r w:rsidR="00106BF7" w:rsidRPr="00106BF7">
        <w:t>/</w:t>
      </w:r>
      <w:r w:rsidR="00106BF7" w:rsidRPr="00106BF7">
        <w:rPr>
          <w:lang w:val="en-US"/>
        </w:rPr>
        <w:t>why</w:t>
      </w:r>
      <w:r w:rsidR="00106BF7" w:rsidRPr="00106BF7">
        <w:t>-</w:t>
      </w:r>
      <w:r w:rsidR="00106BF7" w:rsidRPr="00106BF7">
        <w:rPr>
          <w:lang w:val="en-US"/>
        </w:rPr>
        <w:t>do</w:t>
      </w:r>
      <w:r w:rsidR="00106BF7" w:rsidRPr="00106BF7">
        <w:t>-</w:t>
      </w:r>
      <w:proofErr w:type="spellStart"/>
      <w:r w:rsidR="00106BF7" w:rsidRPr="00106BF7">
        <w:rPr>
          <w:lang w:val="en-US"/>
        </w:rPr>
        <w:t>ipos</w:t>
      </w:r>
      <w:proofErr w:type="spellEnd"/>
      <w:r w:rsidR="00106BF7" w:rsidRPr="00106BF7">
        <w:t>-</w:t>
      </w:r>
      <w:r w:rsidR="00106BF7" w:rsidRPr="00106BF7">
        <w:rPr>
          <w:lang w:val="en-US"/>
        </w:rPr>
        <w:t>get</w:t>
      </w:r>
      <w:r w:rsidR="00106BF7" w:rsidRPr="00106BF7">
        <w:t>-</w:t>
      </w:r>
      <w:r w:rsidR="00106BF7" w:rsidRPr="00106BF7">
        <w:rPr>
          <w:lang w:val="en-US"/>
        </w:rPr>
        <w:t>underpriced</w:t>
      </w:r>
      <w:r w:rsidR="00106BF7" w:rsidRPr="00106BF7">
        <w:t>.</w:t>
      </w:r>
      <w:proofErr w:type="spellStart"/>
      <w:r w:rsidR="00106BF7" w:rsidRPr="00106BF7">
        <w:rPr>
          <w:lang w:val="en-US"/>
        </w:rPr>
        <w:t>htm</w:t>
      </w:r>
      <w:proofErr w:type="spellEnd"/>
      <w:r w:rsidR="00EE58FB" w:rsidRPr="007579F6">
        <w:t xml:space="preserve"> </w:t>
      </w:r>
      <w:r w:rsidR="00EE58FB" w:rsidRPr="00FC1614">
        <w:t>(</w:t>
      </w:r>
      <w:r w:rsidR="00EE58FB">
        <w:t>дата</w:t>
      </w:r>
      <w:r w:rsidR="00EE58FB" w:rsidRPr="00FC1614">
        <w:t xml:space="preserve"> </w:t>
      </w:r>
      <w:r w:rsidR="00EE58FB">
        <w:t>обращения</w:t>
      </w:r>
      <w:r w:rsidR="00EE58FB" w:rsidRPr="00FC1614">
        <w:t>: 01.02.2022).</w:t>
      </w:r>
    </w:p>
  </w:footnote>
  <w:footnote w:id="31">
    <w:p w14:paraId="36AFAE84" w14:textId="552312A7" w:rsidR="00AF12D2" w:rsidRPr="00BC3783" w:rsidRDefault="00AF12D2">
      <w:pPr>
        <w:pStyle w:val="af3"/>
      </w:pPr>
      <w:r>
        <w:rPr>
          <w:rStyle w:val="af5"/>
        </w:rPr>
        <w:footnoteRef/>
      </w:r>
      <w:r>
        <w:t xml:space="preserve"> </w:t>
      </w:r>
      <w:r w:rsidR="006D3273">
        <w:rPr>
          <w:lang w:val="en-US"/>
        </w:rPr>
        <w:t>Rights</w:t>
      </w:r>
      <w:r w:rsidR="006D3273" w:rsidRPr="00BC3783">
        <w:t xml:space="preserve"> </w:t>
      </w:r>
      <w:r w:rsidR="006D3273">
        <w:rPr>
          <w:lang w:val="en-US"/>
        </w:rPr>
        <w:t>offering</w:t>
      </w:r>
      <w:r w:rsidR="00BC3783">
        <w:t xml:space="preserve"> (права на акции)</w:t>
      </w:r>
      <w:r w:rsidR="006D3273" w:rsidRPr="00BC3783">
        <w:t xml:space="preserve"> - </w:t>
      </w:r>
      <w:r w:rsidR="00BC3783" w:rsidRPr="00BC3783">
        <w:t>это инструменты, выпускаемые компаниями для предоставления текущим акционерам возможности сохранить свою долю корпоративной собственности</w:t>
      </w:r>
      <w:r w:rsidR="00D86602">
        <w:t xml:space="preserve"> (</w:t>
      </w:r>
      <w:r w:rsidR="00D86602">
        <w:rPr>
          <w:lang w:val="en-US"/>
        </w:rPr>
        <w:t>Investopedia</w:t>
      </w:r>
      <w:r w:rsidR="00D86602" w:rsidRPr="00D86602">
        <w:t>)</w:t>
      </w:r>
      <w:r w:rsidR="00BC3783" w:rsidRPr="00BC3783">
        <w:t>.</w:t>
      </w:r>
      <w:r w:rsidR="00BC3783">
        <w:t xml:space="preserve"> </w:t>
      </w:r>
      <w:r w:rsidR="002B6C4B">
        <w:t>Не всегда</w:t>
      </w:r>
      <w:r w:rsidR="00BC3783">
        <w:t xml:space="preserve"> встречаются в </w:t>
      </w:r>
      <w:r w:rsidR="00BC3783">
        <w:rPr>
          <w:lang w:val="en-US"/>
        </w:rPr>
        <w:t>SPAC</w:t>
      </w:r>
      <w:r w:rsidR="00BC3783">
        <w:t>.</w:t>
      </w:r>
    </w:p>
  </w:footnote>
  <w:footnote w:id="32">
    <w:p w14:paraId="37883838" w14:textId="7AC55BB5" w:rsidR="00AA7949" w:rsidRPr="001A6384" w:rsidRDefault="00AA7949">
      <w:pPr>
        <w:pStyle w:val="af3"/>
        <w:rPr>
          <w:lang w:val="en-US"/>
        </w:rPr>
      </w:pPr>
      <w:r>
        <w:rPr>
          <w:rStyle w:val="af5"/>
        </w:rPr>
        <w:footnoteRef/>
      </w:r>
      <w:r>
        <w:t xml:space="preserve"> </w:t>
      </w:r>
      <w:r>
        <w:rPr>
          <w:lang w:val="en-US"/>
        </w:rPr>
        <w:t>CRSP</w:t>
      </w:r>
      <w:r w:rsidRPr="000C0F13">
        <w:t xml:space="preserve"> – </w:t>
      </w:r>
      <w:r>
        <w:t>центр исследований ценных бумаг, предоставляющий базу данных с ценами акций, облигаций и прочих финансовых инструментов</w:t>
      </w:r>
      <w:r w:rsidR="001A6384" w:rsidRPr="001A6384">
        <w:t xml:space="preserve">. </w:t>
      </w:r>
      <w:r w:rsidR="001A6384">
        <w:rPr>
          <w:lang w:val="en-US"/>
        </w:rPr>
        <w:t xml:space="preserve">URL: </w:t>
      </w:r>
      <w:r w:rsidR="001A6384" w:rsidRPr="001A6384">
        <w:rPr>
          <w:lang w:val="en-US"/>
        </w:rPr>
        <w:t>https://www.crsp.org/</w:t>
      </w:r>
    </w:p>
  </w:footnote>
  <w:footnote w:id="33">
    <w:p w14:paraId="2F746338" w14:textId="6977B438" w:rsidR="005D11D9" w:rsidRPr="00DA4D61" w:rsidRDefault="005D11D9">
      <w:pPr>
        <w:pStyle w:val="af3"/>
        <w:rPr>
          <w:lang w:val="en-US"/>
        </w:rPr>
      </w:pPr>
      <w:r>
        <w:rPr>
          <w:rStyle w:val="af5"/>
        </w:rPr>
        <w:footnoteRef/>
      </w:r>
      <w:r w:rsidRPr="00B840D6">
        <w:rPr>
          <w:lang w:val="en-US"/>
        </w:rPr>
        <w:t xml:space="preserve"> </w:t>
      </w:r>
      <w:r w:rsidR="00DA4D61" w:rsidRPr="00DA4D61">
        <w:rPr>
          <w:lang w:val="en-US"/>
        </w:rPr>
        <w:t>Understanding Warrants and Call Options</w:t>
      </w:r>
      <w:r w:rsidR="00B840D6" w:rsidRPr="00106BF7">
        <w:rPr>
          <w:lang w:val="en-US"/>
        </w:rPr>
        <w:t xml:space="preserve"> </w:t>
      </w:r>
      <w:r w:rsidR="00B840D6" w:rsidRPr="00DA4D61">
        <w:rPr>
          <w:lang w:val="en-US"/>
        </w:rPr>
        <w:t>[</w:t>
      </w:r>
      <w:r w:rsidR="00B840D6">
        <w:t>Электронный</w:t>
      </w:r>
      <w:r w:rsidR="00B840D6" w:rsidRPr="00DA4D61">
        <w:rPr>
          <w:lang w:val="en-US"/>
        </w:rPr>
        <w:t xml:space="preserve"> </w:t>
      </w:r>
      <w:r w:rsidR="00B840D6">
        <w:t>ресурс</w:t>
      </w:r>
      <w:r w:rsidR="00B840D6" w:rsidRPr="00DA4D61">
        <w:rPr>
          <w:lang w:val="en-US"/>
        </w:rPr>
        <w:t xml:space="preserve">] // </w:t>
      </w:r>
      <w:r w:rsidR="00DA4D61">
        <w:rPr>
          <w:lang w:val="en-US"/>
        </w:rPr>
        <w:t>Investopedia</w:t>
      </w:r>
      <w:r w:rsidR="00B840D6" w:rsidRPr="00DA4D61">
        <w:rPr>
          <w:lang w:val="en-US"/>
        </w:rPr>
        <w:t xml:space="preserve">. — </w:t>
      </w:r>
      <w:r w:rsidR="00B840D6">
        <w:t>Режим</w:t>
      </w:r>
      <w:r w:rsidR="00B840D6" w:rsidRPr="00DA4D61">
        <w:rPr>
          <w:lang w:val="en-US"/>
        </w:rPr>
        <w:t xml:space="preserve"> </w:t>
      </w:r>
      <w:r w:rsidR="00B840D6">
        <w:t>доступа</w:t>
      </w:r>
      <w:r w:rsidR="00B840D6" w:rsidRPr="00DA4D61">
        <w:rPr>
          <w:lang w:val="en-US"/>
        </w:rPr>
        <w:t xml:space="preserve">: </w:t>
      </w:r>
      <w:r w:rsidR="00394FF7" w:rsidRPr="00394FF7">
        <w:rPr>
          <w:lang w:val="en-US"/>
        </w:rPr>
        <w:t>https://inlnk.ru/kXmJ6Q</w:t>
      </w:r>
      <w:r w:rsidR="00B840D6" w:rsidRPr="00DA4D61">
        <w:rPr>
          <w:lang w:val="en-US"/>
        </w:rPr>
        <w:t xml:space="preserve"> (</w:t>
      </w:r>
      <w:r w:rsidR="00B840D6">
        <w:t>дата</w:t>
      </w:r>
      <w:r w:rsidR="00B840D6" w:rsidRPr="00DA4D61">
        <w:rPr>
          <w:lang w:val="en-US"/>
        </w:rPr>
        <w:t xml:space="preserve"> </w:t>
      </w:r>
      <w:r w:rsidR="00B840D6">
        <w:t>обращения</w:t>
      </w:r>
      <w:r w:rsidR="00B840D6" w:rsidRPr="00DA4D61">
        <w:rPr>
          <w:lang w:val="en-US"/>
        </w:rPr>
        <w:t>: 01.02.2022).</w:t>
      </w:r>
    </w:p>
  </w:footnote>
  <w:footnote w:id="34">
    <w:p w14:paraId="1C632EE8" w14:textId="26B7D027" w:rsidR="006143D7" w:rsidRPr="0081267E" w:rsidRDefault="006143D7">
      <w:pPr>
        <w:pStyle w:val="af3"/>
        <w:rPr>
          <w:lang w:val="en-US"/>
        </w:rPr>
      </w:pPr>
      <w:r>
        <w:rPr>
          <w:rStyle w:val="af5"/>
        </w:rPr>
        <w:footnoteRef/>
      </w:r>
      <w:r w:rsidRPr="00BE20CC">
        <w:rPr>
          <w:lang w:val="en-US"/>
        </w:rPr>
        <w:t xml:space="preserve"> </w:t>
      </w:r>
      <w:r w:rsidR="0081267E" w:rsidRPr="0081267E">
        <w:rPr>
          <w:lang w:val="en-US"/>
        </w:rPr>
        <w:t>Multinomial Logistic Regression</w:t>
      </w:r>
      <w:r w:rsidR="00BE20CC" w:rsidRPr="00106BF7">
        <w:rPr>
          <w:lang w:val="en-US"/>
        </w:rPr>
        <w:t xml:space="preserve"> </w:t>
      </w:r>
      <w:r w:rsidR="00BE20CC" w:rsidRPr="00DA4D61">
        <w:rPr>
          <w:lang w:val="en-US"/>
        </w:rPr>
        <w:t>[</w:t>
      </w:r>
      <w:r w:rsidR="00BE20CC">
        <w:t>Электронный</w:t>
      </w:r>
      <w:r w:rsidR="00BE20CC" w:rsidRPr="00DA4D61">
        <w:rPr>
          <w:lang w:val="en-US"/>
        </w:rPr>
        <w:t xml:space="preserve"> </w:t>
      </w:r>
      <w:r w:rsidR="00BE20CC">
        <w:t>ресурс</w:t>
      </w:r>
      <w:r w:rsidR="00BE20CC" w:rsidRPr="00DA4D61">
        <w:rPr>
          <w:lang w:val="en-US"/>
        </w:rPr>
        <w:t xml:space="preserve">] // </w:t>
      </w:r>
      <w:r w:rsidR="0081267E" w:rsidRPr="0081267E">
        <w:rPr>
          <w:lang w:val="en-US"/>
        </w:rPr>
        <w:t>University Information Technology</w:t>
      </w:r>
      <w:r w:rsidR="00BE20CC" w:rsidRPr="0081267E">
        <w:rPr>
          <w:lang w:val="en-US"/>
        </w:rPr>
        <w:t xml:space="preserve">. — </w:t>
      </w:r>
      <w:r w:rsidR="00BE20CC">
        <w:t>Режим</w:t>
      </w:r>
      <w:r w:rsidR="00BE20CC" w:rsidRPr="0081267E">
        <w:rPr>
          <w:lang w:val="en-US"/>
        </w:rPr>
        <w:t xml:space="preserve"> </w:t>
      </w:r>
      <w:r w:rsidR="00BE20CC">
        <w:t>доступа</w:t>
      </w:r>
      <w:r w:rsidR="00BE20CC" w:rsidRPr="0081267E">
        <w:rPr>
          <w:lang w:val="en-US"/>
        </w:rPr>
        <w:t xml:space="preserve">: </w:t>
      </w:r>
      <w:r w:rsidR="0081267E" w:rsidRPr="0081267E">
        <w:rPr>
          <w:lang w:val="en-US"/>
        </w:rPr>
        <w:t xml:space="preserve">https://it.unt.edu/sites/default/files/mlr_jds_aug2011.pdf </w:t>
      </w:r>
      <w:r w:rsidR="00BE20CC" w:rsidRPr="0081267E">
        <w:rPr>
          <w:lang w:val="en-US"/>
        </w:rPr>
        <w:t>(</w:t>
      </w:r>
      <w:r w:rsidR="00BE20CC">
        <w:t>дата</w:t>
      </w:r>
      <w:r w:rsidR="00BE20CC" w:rsidRPr="0081267E">
        <w:rPr>
          <w:lang w:val="en-US"/>
        </w:rPr>
        <w:t xml:space="preserve"> </w:t>
      </w:r>
      <w:r w:rsidR="00BE20CC">
        <w:t>обращения</w:t>
      </w:r>
      <w:r w:rsidR="00BE20CC" w:rsidRPr="0081267E">
        <w:rPr>
          <w:lang w:val="en-US"/>
        </w:rPr>
        <w:t>: 01.02.2022).</w:t>
      </w:r>
    </w:p>
  </w:footnote>
  <w:footnote w:id="35">
    <w:p w14:paraId="25634290" w14:textId="442F05A7" w:rsidR="005D6247" w:rsidRPr="003729FE" w:rsidRDefault="005D6247">
      <w:pPr>
        <w:pStyle w:val="af3"/>
        <w:rPr>
          <w:lang w:val="en-US"/>
        </w:rPr>
      </w:pPr>
      <w:r>
        <w:rPr>
          <w:rStyle w:val="af5"/>
        </w:rPr>
        <w:footnoteRef/>
      </w:r>
      <w:r w:rsidRPr="003729FE">
        <w:rPr>
          <w:lang w:val="en-US"/>
        </w:rPr>
        <w:t xml:space="preserve"> </w:t>
      </w:r>
      <w:r w:rsidR="003729FE">
        <w:rPr>
          <w:lang w:val="en-US"/>
        </w:rPr>
        <w:t>Number</w:t>
      </w:r>
      <w:r w:rsidR="003729FE" w:rsidRPr="003729FE">
        <w:rPr>
          <w:lang w:val="en-US"/>
        </w:rPr>
        <w:t xml:space="preserve"> </w:t>
      </w:r>
      <w:r w:rsidR="003729FE">
        <w:rPr>
          <w:lang w:val="en-US"/>
        </w:rPr>
        <w:t>of special purpose acquisition company (SPAC) IPOs complete</w:t>
      </w:r>
      <w:r w:rsidR="0029606E">
        <w:rPr>
          <w:lang w:val="en-US"/>
        </w:rPr>
        <w:t>d</w:t>
      </w:r>
      <w:r w:rsidR="00BD18A3" w:rsidRPr="003729FE">
        <w:rPr>
          <w:lang w:val="en-US"/>
        </w:rPr>
        <w:t xml:space="preserve">– </w:t>
      </w:r>
      <w:r w:rsidR="00BD18A3" w:rsidRPr="006D00E5">
        <w:rPr>
          <w:lang w:val="en-US"/>
        </w:rPr>
        <w:t>URL</w:t>
      </w:r>
      <w:r w:rsidR="00BD18A3" w:rsidRPr="003729FE">
        <w:rPr>
          <w:lang w:val="en-US"/>
        </w:rPr>
        <w:t xml:space="preserve">: </w:t>
      </w:r>
      <w:r w:rsidR="0029606E" w:rsidRPr="0029606E">
        <w:rPr>
          <w:lang w:val="en-US"/>
        </w:rPr>
        <w:t>https://www.statista.com/statistics/1222250/number-spac-ipo-usa-europe/</w:t>
      </w:r>
      <w:r w:rsidR="00BD18A3" w:rsidRPr="003729FE">
        <w:rPr>
          <w:lang w:val="en-US"/>
        </w:rPr>
        <w:t xml:space="preserve"> (</w:t>
      </w:r>
      <w:r w:rsidR="00BD18A3" w:rsidRPr="0012214E">
        <w:t>дата</w:t>
      </w:r>
      <w:r w:rsidR="00BD18A3" w:rsidRPr="003729FE">
        <w:rPr>
          <w:lang w:val="en-US"/>
        </w:rPr>
        <w:t xml:space="preserve"> </w:t>
      </w:r>
      <w:r w:rsidR="00BD18A3" w:rsidRPr="0012214E">
        <w:t>обращения</w:t>
      </w:r>
      <w:r w:rsidR="00BD18A3" w:rsidRPr="003729FE">
        <w:rPr>
          <w:lang w:val="en-US"/>
        </w:rPr>
        <w:t>: 01.02.2022).</w:t>
      </w:r>
    </w:p>
  </w:footnote>
  <w:footnote w:id="36">
    <w:p w14:paraId="33D5BFBB" w14:textId="1EDEA05A" w:rsidR="000C7EAF" w:rsidRPr="009C3B42" w:rsidRDefault="000C7EAF">
      <w:pPr>
        <w:pStyle w:val="af3"/>
      </w:pPr>
      <w:r>
        <w:rPr>
          <w:rStyle w:val="af5"/>
        </w:rPr>
        <w:footnoteRef/>
      </w:r>
      <w:r w:rsidRPr="00A93B99">
        <w:t xml:space="preserve"> </w:t>
      </w:r>
      <w:r w:rsidR="009C3B42">
        <w:t>Расхождение не больше 10%</w:t>
      </w:r>
    </w:p>
  </w:footnote>
  <w:footnote w:id="37">
    <w:p w14:paraId="48FE7C89" w14:textId="2AAAEFCA" w:rsidR="00FD3278" w:rsidRPr="00A93B99" w:rsidRDefault="00FD3278">
      <w:pPr>
        <w:pStyle w:val="af3"/>
      </w:pPr>
      <w:r>
        <w:rPr>
          <w:rStyle w:val="af5"/>
        </w:rPr>
        <w:footnoteRef/>
      </w:r>
      <w:r w:rsidRPr="00A93B99">
        <w:t xml:space="preserve"> </w:t>
      </w:r>
      <w:r w:rsidR="00D00DC6">
        <w:rPr>
          <w:lang w:val="en-US"/>
        </w:rPr>
        <w:t>The</w:t>
      </w:r>
      <w:r w:rsidR="00D00DC6" w:rsidRPr="00A93B99">
        <w:t xml:space="preserve"> </w:t>
      </w:r>
      <w:r w:rsidR="00D00DC6">
        <w:rPr>
          <w:lang w:val="en-US"/>
        </w:rPr>
        <w:t>Refinitiv</w:t>
      </w:r>
      <w:r w:rsidR="00D00DC6" w:rsidRPr="00A93B99">
        <w:t xml:space="preserve"> </w:t>
      </w:r>
      <w:r w:rsidR="00D00DC6">
        <w:rPr>
          <w:lang w:val="en-US"/>
        </w:rPr>
        <w:t>Business</w:t>
      </w:r>
      <w:r w:rsidR="00D00DC6" w:rsidRPr="00A93B99">
        <w:t xml:space="preserve"> </w:t>
      </w:r>
      <w:r w:rsidR="00D00DC6">
        <w:rPr>
          <w:lang w:val="en-US"/>
        </w:rPr>
        <w:t>Classification</w:t>
      </w:r>
      <w:r w:rsidR="00D00DC6" w:rsidRPr="00A93B99">
        <w:t xml:space="preserve"> [</w:t>
      </w:r>
      <w:r w:rsidR="00D00DC6">
        <w:t>Электронный</w:t>
      </w:r>
      <w:r w:rsidR="00D00DC6" w:rsidRPr="00A93B99">
        <w:t xml:space="preserve"> </w:t>
      </w:r>
      <w:r w:rsidR="00D00DC6">
        <w:t>ресурс</w:t>
      </w:r>
      <w:r w:rsidR="00D00DC6" w:rsidRPr="00A93B99">
        <w:t xml:space="preserve">] // </w:t>
      </w:r>
      <w:r w:rsidR="00D00DC6">
        <w:rPr>
          <w:lang w:val="en-US"/>
        </w:rPr>
        <w:t>Refinitiv</w:t>
      </w:r>
      <w:r w:rsidR="00D00DC6" w:rsidRPr="00A93B99">
        <w:t xml:space="preserve">. — </w:t>
      </w:r>
      <w:r w:rsidR="00D00DC6">
        <w:t>Режим</w:t>
      </w:r>
      <w:r w:rsidR="00D00DC6" w:rsidRPr="00A93B99">
        <w:t xml:space="preserve"> </w:t>
      </w:r>
      <w:r w:rsidR="00D00DC6">
        <w:t>доступа</w:t>
      </w:r>
      <w:r w:rsidR="00D00DC6" w:rsidRPr="00A93B99">
        <w:t xml:space="preserve">: </w:t>
      </w:r>
      <w:r w:rsidR="00D00DC6" w:rsidRPr="00D00DC6">
        <w:rPr>
          <w:lang w:val="en-US"/>
        </w:rPr>
        <w:t>https</w:t>
      </w:r>
      <w:r w:rsidR="00D00DC6" w:rsidRPr="00A93B99">
        <w:t>://</w:t>
      </w:r>
      <w:r w:rsidR="00D00DC6" w:rsidRPr="00D00DC6">
        <w:rPr>
          <w:lang w:val="en-US"/>
        </w:rPr>
        <w:t>www</w:t>
      </w:r>
      <w:r w:rsidR="00D00DC6" w:rsidRPr="00A93B99">
        <w:t>.</w:t>
      </w:r>
      <w:proofErr w:type="spellStart"/>
      <w:r w:rsidR="00D00DC6" w:rsidRPr="00D00DC6">
        <w:rPr>
          <w:lang w:val="en-US"/>
        </w:rPr>
        <w:t>refinitiv</w:t>
      </w:r>
      <w:proofErr w:type="spellEnd"/>
      <w:r w:rsidR="00D00DC6" w:rsidRPr="00A93B99">
        <w:t>.</w:t>
      </w:r>
      <w:r w:rsidR="00D00DC6" w:rsidRPr="00D00DC6">
        <w:rPr>
          <w:lang w:val="en-US"/>
        </w:rPr>
        <w:t>com</w:t>
      </w:r>
      <w:r w:rsidR="00D00DC6" w:rsidRPr="00A93B99">
        <w:t>/</w:t>
      </w:r>
      <w:r w:rsidR="00D00DC6" w:rsidRPr="00D00DC6">
        <w:rPr>
          <w:lang w:val="en-US"/>
        </w:rPr>
        <w:t>content</w:t>
      </w:r>
      <w:r w:rsidR="00D00DC6" w:rsidRPr="00A93B99">
        <w:t>/</w:t>
      </w:r>
      <w:r w:rsidR="00D00DC6" w:rsidRPr="00D00DC6">
        <w:rPr>
          <w:lang w:val="en-US"/>
        </w:rPr>
        <w:t>dam</w:t>
      </w:r>
      <w:r w:rsidR="00D00DC6" w:rsidRPr="00A93B99">
        <w:t>/</w:t>
      </w:r>
      <w:r w:rsidR="00D00DC6" w:rsidRPr="00D00DC6">
        <w:rPr>
          <w:lang w:val="en-US"/>
        </w:rPr>
        <w:t>marketing</w:t>
      </w:r>
      <w:r w:rsidR="00D00DC6" w:rsidRPr="00A93B99">
        <w:t>/</w:t>
      </w:r>
      <w:proofErr w:type="spellStart"/>
      <w:r w:rsidR="00D00DC6" w:rsidRPr="00D00DC6">
        <w:rPr>
          <w:lang w:val="en-US"/>
        </w:rPr>
        <w:t>en</w:t>
      </w:r>
      <w:proofErr w:type="spellEnd"/>
      <w:r w:rsidR="00D00DC6" w:rsidRPr="00A93B99">
        <w:t>_</w:t>
      </w:r>
      <w:r w:rsidR="00D00DC6" w:rsidRPr="00D00DC6">
        <w:rPr>
          <w:lang w:val="en-US"/>
        </w:rPr>
        <w:t>us</w:t>
      </w:r>
      <w:r w:rsidR="00D00DC6" w:rsidRPr="00A93B99">
        <w:t>/</w:t>
      </w:r>
      <w:r w:rsidR="00D00DC6" w:rsidRPr="00D00DC6">
        <w:rPr>
          <w:lang w:val="en-US"/>
        </w:rPr>
        <w:t>documents</w:t>
      </w:r>
      <w:r w:rsidR="00D00DC6" w:rsidRPr="00A93B99">
        <w:t>/</w:t>
      </w:r>
      <w:r w:rsidR="00D00DC6" w:rsidRPr="00D00DC6">
        <w:rPr>
          <w:lang w:val="en-US"/>
        </w:rPr>
        <w:t>quick</w:t>
      </w:r>
      <w:r w:rsidR="00D00DC6" w:rsidRPr="00A93B99">
        <w:t>-</w:t>
      </w:r>
      <w:r w:rsidR="00D00DC6" w:rsidRPr="00D00DC6">
        <w:rPr>
          <w:lang w:val="en-US"/>
        </w:rPr>
        <w:t>reference</w:t>
      </w:r>
      <w:r w:rsidR="00D00DC6" w:rsidRPr="00A93B99">
        <w:t>-</w:t>
      </w:r>
      <w:r w:rsidR="00D00DC6" w:rsidRPr="00D00DC6">
        <w:rPr>
          <w:lang w:val="en-US"/>
        </w:rPr>
        <w:t>guides</w:t>
      </w:r>
      <w:r w:rsidR="00D00DC6" w:rsidRPr="00A93B99">
        <w:t>/</w:t>
      </w:r>
      <w:proofErr w:type="spellStart"/>
      <w:r w:rsidR="00D00DC6" w:rsidRPr="00D00DC6">
        <w:rPr>
          <w:lang w:val="en-US"/>
        </w:rPr>
        <w:t>trbc</w:t>
      </w:r>
      <w:proofErr w:type="spellEnd"/>
      <w:r w:rsidR="00D00DC6" w:rsidRPr="00A93B99">
        <w:t>-</w:t>
      </w:r>
      <w:r w:rsidR="00D00DC6" w:rsidRPr="00D00DC6">
        <w:rPr>
          <w:lang w:val="en-US"/>
        </w:rPr>
        <w:t>business</w:t>
      </w:r>
      <w:r w:rsidR="00D00DC6" w:rsidRPr="00A93B99">
        <w:t>-</w:t>
      </w:r>
      <w:r w:rsidR="00D00DC6" w:rsidRPr="00D00DC6">
        <w:rPr>
          <w:lang w:val="en-US"/>
        </w:rPr>
        <w:t>classification</w:t>
      </w:r>
      <w:r w:rsidR="00D00DC6" w:rsidRPr="00A93B99">
        <w:t>-</w:t>
      </w:r>
      <w:r w:rsidR="00D00DC6" w:rsidRPr="00D00DC6">
        <w:rPr>
          <w:lang w:val="en-US"/>
        </w:rPr>
        <w:t>quick</w:t>
      </w:r>
      <w:r w:rsidR="00D00DC6" w:rsidRPr="00A93B99">
        <w:t>-</w:t>
      </w:r>
      <w:r w:rsidR="00D00DC6" w:rsidRPr="00D00DC6">
        <w:rPr>
          <w:lang w:val="en-US"/>
        </w:rPr>
        <w:t>guide</w:t>
      </w:r>
      <w:r w:rsidR="00D00DC6" w:rsidRPr="00A93B99">
        <w:t>.</w:t>
      </w:r>
      <w:r w:rsidR="00D00DC6" w:rsidRPr="00D00DC6">
        <w:rPr>
          <w:lang w:val="en-US"/>
        </w:rPr>
        <w:t>pdf</w:t>
      </w:r>
      <w:r w:rsidR="00D00DC6" w:rsidRPr="00A93B99">
        <w:t xml:space="preserve"> (</w:t>
      </w:r>
      <w:r w:rsidR="00D00DC6">
        <w:t>дата</w:t>
      </w:r>
      <w:r w:rsidR="00D00DC6" w:rsidRPr="00A93B99">
        <w:t xml:space="preserve"> </w:t>
      </w:r>
      <w:r w:rsidR="00D00DC6">
        <w:t>обращения</w:t>
      </w:r>
      <w:r w:rsidR="00D00DC6" w:rsidRPr="00A93B99">
        <w:t>: 01.02.2022).</w:t>
      </w:r>
    </w:p>
  </w:footnote>
  <w:footnote w:id="38">
    <w:p w14:paraId="48ABB6E9" w14:textId="7D8C8201" w:rsidR="00E478F2" w:rsidRPr="00FE7B8E" w:rsidRDefault="00E478F2">
      <w:pPr>
        <w:pStyle w:val="af3"/>
      </w:pPr>
      <w:r>
        <w:rPr>
          <w:rStyle w:val="af5"/>
        </w:rPr>
        <w:footnoteRef/>
      </w:r>
      <w:r>
        <w:t xml:space="preserve"> </w:t>
      </w:r>
      <w:r w:rsidR="00FE7B8E">
        <w:rPr>
          <w:lang w:val="en-US"/>
        </w:rPr>
        <w:t xml:space="preserve">N – </w:t>
      </w:r>
      <w:r w:rsidR="00FE7B8E">
        <w:t>объем выборки</w:t>
      </w:r>
    </w:p>
  </w:footnote>
  <w:footnote w:id="39">
    <w:p w14:paraId="0184CF24" w14:textId="1A4414D6" w:rsidR="001814AF" w:rsidRDefault="001814AF">
      <w:pPr>
        <w:pStyle w:val="af3"/>
      </w:pPr>
      <w:r>
        <w:rPr>
          <w:rStyle w:val="af5"/>
        </w:rPr>
        <w:footnoteRef/>
      </w:r>
      <w:r>
        <w:t xml:space="preserve"> Символы *, **, *** обозначают статистическую значимость на 10%, 5% и 1% уровнях значимости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82D"/>
    <w:multiLevelType w:val="hybridMultilevel"/>
    <w:tmpl w:val="65BEC916"/>
    <w:lvl w:ilvl="0" w:tplc="4648953A">
      <w:start w:val="1"/>
      <w:numFmt w:val="decimal"/>
      <w:pStyle w:val="a"/>
      <w:suff w:val="space"/>
      <w:lvlText w:val="Таблица 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AA2"/>
    <w:multiLevelType w:val="hybridMultilevel"/>
    <w:tmpl w:val="2738E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5479"/>
    <w:multiLevelType w:val="hybridMultilevel"/>
    <w:tmpl w:val="2738E4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1124"/>
    <w:multiLevelType w:val="hybridMultilevel"/>
    <w:tmpl w:val="98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F0F57"/>
    <w:multiLevelType w:val="hybridMultilevel"/>
    <w:tmpl w:val="5636B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DD79A1"/>
    <w:multiLevelType w:val="hybridMultilevel"/>
    <w:tmpl w:val="D5607A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7E5"/>
    <w:multiLevelType w:val="hybridMultilevel"/>
    <w:tmpl w:val="A7D6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2D"/>
    <w:multiLevelType w:val="hybridMultilevel"/>
    <w:tmpl w:val="9DB6EDC2"/>
    <w:lvl w:ilvl="0" w:tplc="F23E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04111A"/>
    <w:multiLevelType w:val="hybridMultilevel"/>
    <w:tmpl w:val="B44C72FA"/>
    <w:lvl w:ilvl="0" w:tplc="5A5255E6">
      <w:start w:val="1"/>
      <w:numFmt w:val="decimal"/>
      <w:pStyle w:val="a0"/>
      <w:lvlText w:val="Рис. %1."/>
      <w:lvlJc w:val="left"/>
      <w:pPr>
        <w:ind w:left="143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F14E7"/>
    <w:multiLevelType w:val="hybridMultilevel"/>
    <w:tmpl w:val="3FEC8B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A851EC8"/>
    <w:multiLevelType w:val="multilevel"/>
    <w:tmpl w:val="38AA34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0604425">
    <w:abstractNumId w:val="8"/>
  </w:num>
  <w:num w:numId="2" w16cid:durableId="1291862860">
    <w:abstractNumId w:val="0"/>
  </w:num>
  <w:num w:numId="3" w16cid:durableId="1778406847">
    <w:abstractNumId w:val="7"/>
  </w:num>
  <w:num w:numId="4" w16cid:durableId="1650672974">
    <w:abstractNumId w:val="5"/>
  </w:num>
  <w:num w:numId="5" w16cid:durableId="374546181">
    <w:abstractNumId w:val="1"/>
  </w:num>
  <w:num w:numId="6" w16cid:durableId="1372028648">
    <w:abstractNumId w:val="3"/>
  </w:num>
  <w:num w:numId="7" w16cid:durableId="595095948">
    <w:abstractNumId w:val="4"/>
  </w:num>
  <w:num w:numId="8" w16cid:durableId="247930327">
    <w:abstractNumId w:val="9"/>
  </w:num>
  <w:num w:numId="9" w16cid:durableId="2072918320">
    <w:abstractNumId w:val="2"/>
  </w:num>
  <w:num w:numId="10" w16cid:durableId="830604782">
    <w:abstractNumId w:val="10"/>
  </w:num>
  <w:num w:numId="11" w16cid:durableId="2065830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F9"/>
    <w:rsid w:val="0000066B"/>
    <w:rsid w:val="000008E0"/>
    <w:rsid w:val="000018BD"/>
    <w:rsid w:val="00001906"/>
    <w:rsid w:val="000019C8"/>
    <w:rsid w:val="0000241F"/>
    <w:rsid w:val="0000375B"/>
    <w:rsid w:val="00003889"/>
    <w:rsid w:val="000048DC"/>
    <w:rsid w:val="00004BB7"/>
    <w:rsid w:val="00004C15"/>
    <w:rsid w:val="000052B0"/>
    <w:rsid w:val="000052F7"/>
    <w:rsid w:val="000054FF"/>
    <w:rsid w:val="00005B93"/>
    <w:rsid w:val="00006E23"/>
    <w:rsid w:val="0000787B"/>
    <w:rsid w:val="00010349"/>
    <w:rsid w:val="000109DC"/>
    <w:rsid w:val="00011AE6"/>
    <w:rsid w:val="00011EB2"/>
    <w:rsid w:val="000124DB"/>
    <w:rsid w:val="00012541"/>
    <w:rsid w:val="00012FF7"/>
    <w:rsid w:val="00013CFE"/>
    <w:rsid w:val="0001473C"/>
    <w:rsid w:val="00014D96"/>
    <w:rsid w:val="000157F9"/>
    <w:rsid w:val="00016AD0"/>
    <w:rsid w:val="000170F7"/>
    <w:rsid w:val="000171D4"/>
    <w:rsid w:val="0001741F"/>
    <w:rsid w:val="00017D2C"/>
    <w:rsid w:val="000204C1"/>
    <w:rsid w:val="00020B85"/>
    <w:rsid w:val="00021337"/>
    <w:rsid w:val="0002157B"/>
    <w:rsid w:val="00021745"/>
    <w:rsid w:val="000219A7"/>
    <w:rsid w:val="00022177"/>
    <w:rsid w:val="00022719"/>
    <w:rsid w:val="000227DE"/>
    <w:rsid w:val="00022D09"/>
    <w:rsid w:val="000238EC"/>
    <w:rsid w:val="00024605"/>
    <w:rsid w:val="00024C53"/>
    <w:rsid w:val="000253B7"/>
    <w:rsid w:val="000258C6"/>
    <w:rsid w:val="000260F3"/>
    <w:rsid w:val="00026272"/>
    <w:rsid w:val="000271F6"/>
    <w:rsid w:val="0002778C"/>
    <w:rsid w:val="00027B2D"/>
    <w:rsid w:val="00030549"/>
    <w:rsid w:val="00030F34"/>
    <w:rsid w:val="0003101C"/>
    <w:rsid w:val="000320AF"/>
    <w:rsid w:val="000320F7"/>
    <w:rsid w:val="0003268D"/>
    <w:rsid w:val="00033453"/>
    <w:rsid w:val="00033809"/>
    <w:rsid w:val="00033D50"/>
    <w:rsid w:val="00033E29"/>
    <w:rsid w:val="00033FE3"/>
    <w:rsid w:val="00034616"/>
    <w:rsid w:val="00034A53"/>
    <w:rsid w:val="00034BC5"/>
    <w:rsid w:val="0003560F"/>
    <w:rsid w:val="0003574C"/>
    <w:rsid w:val="00035EFE"/>
    <w:rsid w:val="00036EA6"/>
    <w:rsid w:val="000374C6"/>
    <w:rsid w:val="00040134"/>
    <w:rsid w:val="00040368"/>
    <w:rsid w:val="0004046A"/>
    <w:rsid w:val="00040E94"/>
    <w:rsid w:val="00041705"/>
    <w:rsid w:val="00041D30"/>
    <w:rsid w:val="00041D96"/>
    <w:rsid w:val="00042442"/>
    <w:rsid w:val="000428A4"/>
    <w:rsid w:val="000431BD"/>
    <w:rsid w:val="0004339C"/>
    <w:rsid w:val="0004422B"/>
    <w:rsid w:val="00044570"/>
    <w:rsid w:val="000450BD"/>
    <w:rsid w:val="000452E4"/>
    <w:rsid w:val="000453D1"/>
    <w:rsid w:val="00045D28"/>
    <w:rsid w:val="000464D0"/>
    <w:rsid w:val="000500D3"/>
    <w:rsid w:val="00050BE4"/>
    <w:rsid w:val="00051225"/>
    <w:rsid w:val="00051425"/>
    <w:rsid w:val="00053CE9"/>
    <w:rsid w:val="00054439"/>
    <w:rsid w:val="00054EE9"/>
    <w:rsid w:val="000550D2"/>
    <w:rsid w:val="00055304"/>
    <w:rsid w:val="000554E7"/>
    <w:rsid w:val="0005580A"/>
    <w:rsid w:val="00055B87"/>
    <w:rsid w:val="000570C3"/>
    <w:rsid w:val="00057572"/>
    <w:rsid w:val="00057674"/>
    <w:rsid w:val="000604EF"/>
    <w:rsid w:val="0006072B"/>
    <w:rsid w:val="00060A16"/>
    <w:rsid w:val="00060C1E"/>
    <w:rsid w:val="00060D98"/>
    <w:rsid w:val="000619D8"/>
    <w:rsid w:val="000634AC"/>
    <w:rsid w:val="00065678"/>
    <w:rsid w:val="000661C1"/>
    <w:rsid w:val="000661E4"/>
    <w:rsid w:val="0006671C"/>
    <w:rsid w:val="00066C1D"/>
    <w:rsid w:val="00067C11"/>
    <w:rsid w:val="00067CD4"/>
    <w:rsid w:val="00067F7C"/>
    <w:rsid w:val="000709AA"/>
    <w:rsid w:val="00070D83"/>
    <w:rsid w:val="000716E9"/>
    <w:rsid w:val="00071758"/>
    <w:rsid w:val="00071C3C"/>
    <w:rsid w:val="0007254C"/>
    <w:rsid w:val="000733BB"/>
    <w:rsid w:val="00073487"/>
    <w:rsid w:val="00073F07"/>
    <w:rsid w:val="00074E98"/>
    <w:rsid w:val="00075771"/>
    <w:rsid w:val="00075F65"/>
    <w:rsid w:val="00076335"/>
    <w:rsid w:val="00076652"/>
    <w:rsid w:val="00077C62"/>
    <w:rsid w:val="00077FF6"/>
    <w:rsid w:val="000800B8"/>
    <w:rsid w:val="00080D27"/>
    <w:rsid w:val="00081290"/>
    <w:rsid w:val="0008180C"/>
    <w:rsid w:val="00083A5C"/>
    <w:rsid w:val="00085222"/>
    <w:rsid w:val="00085340"/>
    <w:rsid w:val="000861FE"/>
    <w:rsid w:val="00086580"/>
    <w:rsid w:val="00086E4F"/>
    <w:rsid w:val="0008735D"/>
    <w:rsid w:val="00087C6A"/>
    <w:rsid w:val="00090530"/>
    <w:rsid w:val="0009076F"/>
    <w:rsid w:val="000907CA"/>
    <w:rsid w:val="00090F59"/>
    <w:rsid w:val="00091E10"/>
    <w:rsid w:val="00091F22"/>
    <w:rsid w:val="0009274B"/>
    <w:rsid w:val="00092851"/>
    <w:rsid w:val="000929E2"/>
    <w:rsid w:val="00092A43"/>
    <w:rsid w:val="00093E82"/>
    <w:rsid w:val="000941F2"/>
    <w:rsid w:val="0009438F"/>
    <w:rsid w:val="00094512"/>
    <w:rsid w:val="00094BB2"/>
    <w:rsid w:val="00094FA7"/>
    <w:rsid w:val="0009550A"/>
    <w:rsid w:val="00095881"/>
    <w:rsid w:val="0009624E"/>
    <w:rsid w:val="00096B6C"/>
    <w:rsid w:val="00096CB4"/>
    <w:rsid w:val="00097A81"/>
    <w:rsid w:val="00097C79"/>
    <w:rsid w:val="00097DD2"/>
    <w:rsid w:val="000A026E"/>
    <w:rsid w:val="000A062C"/>
    <w:rsid w:val="000A063E"/>
    <w:rsid w:val="000A0942"/>
    <w:rsid w:val="000A17CC"/>
    <w:rsid w:val="000A1B0A"/>
    <w:rsid w:val="000A2AC4"/>
    <w:rsid w:val="000A2C31"/>
    <w:rsid w:val="000A2C91"/>
    <w:rsid w:val="000A3066"/>
    <w:rsid w:val="000A482E"/>
    <w:rsid w:val="000A49CE"/>
    <w:rsid w:val="000A557F"/>
    <w:rsid w:val="000A5E3F"/>
    <w:rsid w:val="000A609A"/>
    <w:rsid w:val="000A7144"/>
    <w:rsid w:val="000B1339"/>
    <w:rsid w:val="000B1A06"/>
    <w:rsid w:val="000B1DA2"/>
    <w:rsid w:val="000B22D2"/>
    <w:rsid w:val="000B2D6D"/>
    <w:rsid w:val="000B2FFA"/>
    <w:rsid w:val="000B3CE4"/>
    <w:rsid w:val="000B3EDB"/>
    <w:rsid w:val="000B4476"/>
    <w:rsid w:val="000B47F5"/>
    <w:rsid w:val="000B4919"/>
    <w:rsid w:val="000B4D8D"/>
    <w:rsid w:val="000B5A70"/>
    <w:rsid w:val="000B6413"/>
    <w:rsid w:val="000B656A"/>
    <w:rsid w:val="000C0893"/>
    <w:rsid w:val="000C0C7F"/>
    <w:rsid w:val="000C0F13"/>
    <w:rsid w:val="000C122F"/>
    <w:rsid w:val="000C14B1"/>
    <w:rsid w:val="000C170C"/>
    <w:rsid w:val="000C21A6"/>
    <w:rsid w:val="000C2357"/>
    <w:rsid w:val="000C2614"/>
    <w:rsid w:val="000C2ADC"/>
    <w:rsid w:val="000C312C"/>
    <w:rsid w:val="000C338B"/>
    <w:rsid w:val="000C3A09"/>
    <w:rsid w:val="000C3DEE"/>
    <w:rsid w:val="000C3E96"/>
    <w:rsid w:val="000C4418"/>
    <w:rsid w:val="000C4744"/>
    <w:rsid w:val="000C5BE1"/>
    <w:rsid w:val="000C6564"/>
    <w:rsid w:val="000C6696"/>
    <w:rsid w:val="000C69DC"/>
    <w:rsid w:val="000C6B06"/>
    <w:rsid w:val="000C70F5"/>
    <w:rsid w:val="000C7EAF"/>
    <w:rsid w:val="000C7F14"/>
    <w:rsid w:val="000D1BDC"/>
    <w:rsid w:val="000D264E"/>
    <w:rsid w:val="000D31C0"/>
    <w:rsid w:val="000D54D0"/>
    <w:rsid w:val="000D79D1"/>
    <w:rsid w:val="000E1174"/>
    <w:rsid w:val="000E16F8"/>
    <w:rsid w:val="000E1A48"/>
    <w:rsid w:val="000E1D7C"/>
    <w:rsid w:val="000E239D"/>
    <w:rsid w:val="000E23D3"/>
    <w:rsid w:val="000E259D"/>
    <w:rsid w:val="000E25D3"/>
    <w:rsid w:val="000E326E"/>
    <w:rsid w:val="000E34A2"/>
    <w:rsid w:val="000E395A"/>
    <w:rsid w:val="000E4642"/>
    <w:rsid w:val="000E4B7D"/>
    <w:rsid w:val="000E4D46"/>
    <w:rsid w:val="000E5554"/>
    <w:rsid w:val="000E6D6C"/>
    <w:rsid w:val="000E7160"/>
    <w:rsid w:val="000E76AF"/>
    <w:rsid w:val="000E7AAD"/>
    <w:rsid w:val="000F053C"/>
    <w:rsid w:val="000F1407"/>
    <w:rsid w:val="000F149A"/>
    <w:rsid w:val="000F24D4"/>
    <w:rsid w:val="000F24F7"/>
    <w:rsid w:val="000F3457"/>
    <w:rsid w:val="000F466D"/>
    <w:rsid w:val="000F47BF"/>
    <w:rsid w:val="000F4874"/>
    <w:rsid w:val="000F4918"/>
    <w:rsid w:val="000F5129"/>
    <w:rsid w:val="000F5D87"/>
    <w:rsid w:val="000F650D"/>
    <w:rsid w:val="000F67C1"/>
    <w:rsid w:val="000F7667"/>
    <w:rsid w:val="000F7911"/>
    <w:rsid w:val="000F79E8"/>
    <w:rsid w:val="00100FE3"/>
    <w:rsid w:val="001011CC"/>
    <w:rsid w:val="00101214"/>
    <w:rsid w:val="00101279"/>
    <w:rsid w:val="001018B0"/>
    <w:rsid w:val="00101ABA"/>
    <w:rsid w:val="00101D3D"/>
    <w:rsid w:val="00101E45"/>
    <w:rsid w:val="0010220D"/>
    <w:rsid w:val="00102704"/>
    <w:rsid w:val="001031F0"/>
    <w:rsid w:val="00103F29"/>
    <w:rsid w:val="0010440A"/>
    <w:rsid w:val="0010451F"/>
    <w:rsid w:val="00105140"/>
    <w:rsid w:val="00106225"/>
    <w:rsid w:val="00106A17"/>
    <w:rsid w:val="00106BF7"/>
    <w:rsid w:val="00106E9A"/>
    <w:rsid w:val="00107CD2"/>
    <w:rsid w:val="00107D46"/>
    <w:rsid w:val="00107E83"/>
    <w:rsid w:val="0011062D"/>
    <w:rsid w:val="0011145E"/>
    <w:rsid w:val="00111B17"/>
    <w:rsid w:val="0011268C"/>
    <w:rsid w:val="001133A3"/>
    <w:rsid w:val="00113789"/>
    <w:rsid w:val="00113C97"/>
    <w:rsid w:val="00114272"/>
    <w:rsid w:val="00114400"/>
    <w:rsid w:val="001152FD"/>
    <w:rsid w:val="00115596"/>
    <w:rsid w:val="001157F9"/>
    <w:rsid w:val="00115A3C"/>
    <w:rsid w:val="001160D6"/>
    <w:rsid w:val="00116228"/>
    <w:rsid w:val="001168EA"/>
    <w:rsid w:val="001169D2"/>
    <w:rsid w:val="00120656"/>
    <w:rsid w:val="0012136B"/>
    <w:rsid w:val="001217C2"/>
    <w:rsid w:val="00122116"/>
    <w:rsid w:val="0012214E"/>
    <w:rsid w:val="001223DB"/>
    <w:rsid w:val="00122D78"/>
    <w:rsid w:val="00122E20"/>
    <w:rsid w:val="0012330C"/>
    <w:rsid w:val="00123C5D"/>
    <w:rsid w:val="00124286"/>
    <w:rsid w:val="00124467"/>
    <w:rsid w:val="00124A11"/>
    <w:rsid w:val="00124FB1"/>
    <w:rsid w:val="00125104"/>
    <w:rsid w:val="00125B21"/>
    <w:rsid w:val="00127257"/>
    <w:rsid w:val="001274D8"/>
    <w:rsid w:val="001274F8"/>
    <w:rsid w:val="00127E65"/>
    <w:rsid w:val="001303DD"/>
    <w:rsid w:val="001308D8"/>
    <w:rsid w:val="00132CAD"/>
    <w:rsid w:val="00132F3C"/>
    <w:rsid w:val="00133016"/>
    <w:rsid w:val="00133180"/>
    <w:rsid w:val="00133362"/>
    <w:rsid w:val="0013343E"/>
    <w:rsid w:val="0013361F"/>
    <w:rsid w:val="00133939"/>
    <w:rsid w:val="001340AF"/>
    <w:rsid w:val="00134B27"/>
    <w:rsid w:val="00135207"/>
    <w:rsid w:val="0013592E"/>
    <w:rsid w:val="00136518"/>
    <w:rsid w:val="00136D51"/>
    <w:rsid w:val="0013732D"/>
    <w:rsid w:val="00137ABD"/>
    <w:rsid w:val="00137DF9"/>
    <w:rsid w:val="00140D12"/>
    <w:rsid w:val="00141373"/>
    <w:rsid w:val="00141604"/>
    <w:rsid w:val="0014180A"/>
    <w:rsid w:val="0014186C"/>
    <w:rsid w:val="001419A5"/>
    <w:rsid w:val="00141EC1"/>
    <w:rsid w:val="00142674"/>
    <w:rsid w:val="00143398"/>
    <w:rsid w:val="0014344D"/>
    <w:rsid w:val="00143B44"/>
    <w:rsid w:val="001451E6"/>
    <w:rsid w:val="0014566A"/>
    <w:rsid w:val="00145DCB"/>
    <w:rsid w:val="001463C3"/>
    <w:rsid w:val="00147369"/>
    <w:rsid w:val="00147641"/>
    <w:rsid w:val="00147D54"/>
    <w:rsid w:val="00147DC9"/>
    <w:rsid w:val="00150103"/>
    <w:rsid w:val="0015060F"/>
    <w:rsid w:val="00150623"/>
    <w:rsid w:val="00150F6C"/>
    <w:rsid w:val="0015146C"/>
    <w:rsid w:val="00151506"/>
    <w:rsid w:val="00151667"/>
    <w:rsid w:val="00151E1F"/>
    <w:rsid w:val="00151EFE"/>
    <w:rsid w:val="0015223A"/>
    <w:rsid w:val="00152D8F"/>
    <w:rsid w:val="00153181"/>
    <w:rsid w:val="00153DDD"/>
    <w:rsid w:val="00154045"/>
    <w:rsid w:val="00155A1D"/>
    <w:rsid w:val="00156995"/>
    <w:rsid w:val="00156CA0"/>
    <w:rsid w:val="00157056"/>
    <w:rsid w:val="001573BC"/>
    <w:rsid w:val="001577C7"/>
    <w:rsid w:val="001604FB"/>
    <w:rsid w:val="00160600"/>
    <w:rsid w:val="00160B3D"/>
    <w:rsid w:val="001616AD"/>
    <w:rsid w:val="00161B9F"/>
    <w:rsid w:val="00161C08"/>
    <w:rsid w:val="00161E40"/>
    <w:rsid w:val="00161ECB"/>
    <w:rsid w:val="00162CDB"/>
    <w:rsid w:val="00163A7A"/>
    <w:rsid w:val="00163D25"/>
    <w:rsid w:val="001640F3"/>
    <w:rsid w:val="001644B1"/>
    <w:rsid w:val="00165B68"/>
    <w:rsid w:val="00166998"/>
    <w:rsid w:val="00166C33"/>
    <w:rsid w:val="0016727A"/>
    <w:rsid w:val="00167294"/>
    <w:rsid w:val="001677B2"/>
    <w:rsid w:val="00170960"/>
    <w:rsid w:val="001709AC"/>
    <w:rsid w:val="00170FB9"/>
    <w:rsid w:val="001710AC"/>
    <w:rsid w:val="001714D2"/>
    <w:rsid w:val="00173531"/>
    <w:rsid w:val="0017469D"/>
    <w:rsid w:val="0017469E"/>
    <w:rsid w:val="00175188"/>
    <w:rsid w:val="00175770"/>
    <w:rsid w:val="0017583A"/>
    <w:rsid w:val="00176BBC"/>
    <w:rsid w:val="00177DB5"/>
    <w:rsid w:val="001806BF"/>
    <w:rsid w:val="001806DA"/>
    <w:rsid w:val="001811F1"/>
    <w:rsid w:val="0018128D"/>
    <w:rsid w:val="001814AF"/>
    <w:rsid w:val="00181C3E"/>
    <w:rsid w:val="00182358"/>
    <w:rsid w:val="001830DA"/>
    <w:rsid w:val="00183C3E"/>
    <w:rsid w:val="001844C6"/>
    <w:rsid w:val="0018555B"/>
    <w:rsid w:val="001858F1"/>
    <w:rsid w:val="00185D7A"/>
    <w:rsid w:val="00185F09"/>
    <w:rsid w:val="00186429"/>
    <w:rsid w:val="00186CA7"/>
    <w:rsid w:val="00190073"/>
    <w:rsid w:val="0019075C"/>
    <w:rsid w:val="00190BE9"/>
    <w:rsid w:val="00191C12"/>
    <w:rsid w:val="00193137"/>
    <w:rsid w:val="001932A8"/>
    <w:rsid w:val="0019366F"/>
    <w:rsid w:val="00193A9E"/>
    <w:rsid w:val="00193B48"/>
    <w:rsid w:val="00193BD6"/>
    <w:rsid w:val="00194B05"/>
    <w:rsid w:val="001960A3"/>
    <w:rsid w:val="00197E07"/>
    <w:rsid w:val="001A10E1"/>
    <w:rsid w:val="001A128C"/>
    <w:rsid w:val="001A1AE3"/>
    <w:rsid w:val="001A1EBF"/>
    <w:rsid w:val="001A1FD6"/>
    <w:rsid w:val="001A22C9"/>
    <w:rsid w:val="001A3666"/>
    <w:rsid w:val="001A3F96"/>
    <w:rsid w:val="001A4AB5"/>
    <w:rsid w:val="001A6384"/>
    <w:rsid w:val="001A6432"/>
    <w:rsid w:val="001A6DB2"/>
    <w:rsid w:val="001A760E"/>
    <w:rsid w:val="001A7709"/>
    <w:rsid w:val="001B12F8"/>
    <w:rsid w:val="001B1544"/>
    <w:rsid w:val="001B175E"/>
    <w:rsid w:val="001B1EDA"/>
    <w:rsid w:val="001B2C32"/>
    <w:rsid w:val="001B306E"/>
    <w:rsid w:val="001B3471"/>
    <w:rsid w:val="001B3819"/>
    <w:rsid w:val="001B454B"/>
    <w:rsid w:val="001B536D"/>
    <w:rsid w:val="001B5882"/>
    <w:rsid w:val="001B5F1D"/>
    <w:rsid w:val="001B6B8A"/>
    <w:rsid w:val="001C0CAB"/>
    <w:rsid w:val="001C0D2E"/>
    <w:rsid w:val="001C105D"/>
    <w:rsid w:val="001C1B4D"/>
    <w:rsid w:val="001C1BF7"/>
    <w:rsid w:val="001C1F89"/>
    <w:rsid w:val="001C2599"/>
    <w:rsid w:val="001C377F"/>
    <w:rsid w:val="001C50DC"/>
    <w:rsid w:val="001C6421"/>
    <w:rsid w:val="001C6766"/>
    <w:rsid w:val="001D0599"/>
    <w:rsid w:val="001D08AB"/>
    <w:rsid w:val="001D09F1"/>
    <w:rsid w:val="001D132A"/>
    <w:rsid w:val="001D1625"/>
    <w:rsid w:val="001D18DA"/>
    <w:rsid w:val="001D218E"/>
    <w:rsid w:val="001D2321"/>
    <w:rsid w:val="001D29FB"/>
    <w:rsid w:val="001D3262"/>
    <w:rsid w:val="001D6FF8"/>
    <w:rsid w:val="001D726C"/>
    <w:rsid w:val="001E0A69"/>
    <w:rsid w:val="001E0E0C"/>
    <w:rsid w:val="001E1499"/>
    <w:rsid w:val="001E1B0D"/>
    <w:rsid w:val="001E1E7B"/>
    <w:rsid w:val="001E26A0"/>
    <w:rsid w:val="001E294A"/>
    <w:rsid w:val="001E3064"/>
    <w:rsid w:val="001E3101"/>
    <w:rsid w:val="001E3835"/>
    <w:rsid w:val="001E3870"/>
    <w:rsid w:val="001E3E54"/>
    <w:rsid w:val="001E3FF2"/>
    <w:rsid w:val="001E5E6E"/>
    <w:rsid w:val="001E635A"/>
    <w:rsid w:val="001E674B"/>
    <w:rsid w:val="001E6A84"/>
    <w:rsid w:val="001E6F2D"/>
    <w:rsid w:val="001E711D"/>
    <w:rsid w:val="001E76F8"/>
    <w:rsid w:val="001F0557"/>
    <w:rsid w:val="001F0BC7"/>
    <w:rsid w:val="001F247D"/>
    <w:rsid w:val="001F30C2"/>
    <w:rsid w:val="001F3202"/>
    <w:rsid w:val="001F3595"/>
    <w:rsid w:val="001F367E"/>
    <w:rsid w:val="001F3F87"/>
    <w:rsid w:val="001F44BF"/>
    <w:rsid w:val="001F480B"/>
    <w:rsid w:val="001F522E"/>
    <w:rsid w:val="001F5B83"/>
    <w:rsid w:val="001F64E7"/>
    <w:rsid w:val="001F704F"/>
    <w:rsid w:val="001F7E2F"/>
    <w:rsid w:val="00200015"/>
    <w:rsid w:val="0020099D"/>
    <w:rsid w:val="00200DDC"/>
    <w:rsid w:val="00201406"/>
    <w:rsid w:val="00202034"/>
    <w:rsid w:val="00202319"/>
    <w:rsid w:val="00202363"/>
    <w:rsid w:val="0020394C"/>
    <w:rsid w:val="00203ECA"/>
    <w:rsid w:val="00204CBE"/>
    <w:rsid w:val="00204FF7"/>
    <w:rsid w:val="00205A0F"/>
    <w:rsid w:val="00206605"/>
    <w:rsid w:val="00206708"/>
    <w:rsid w:val="00206DD5"/>
    <w:rsid w:val="00207059"/>
    <w:rsid w:val="00207626"/>
    <w:rsid w:val="002076C6"/>
    <w:rsid w:val="00210CC8"/>
    <w:rsid w:val="00210D31"/>
    <w:rsid w:val="00211910"/>
    <w:rsid w:val="00211C6B"/>
    <w:rsid w:val="00211DE7"/>
    <w:rsid w:val="00211F7D"/>
    <w:rsid w:val="0021236E"/>
    <w:rsid w:val="00212392"/>
    <w:rsid w:val="00212790"/>
    <w:rsid w:val="00212808"/>
    <w:rsid w:val="0021438E"/>
    <w:rsid w:val="00215616"/>
    <w:rsid w:val="0021617D"/>
    <w:rsid w:val="00216C9A"/>
    <w:rsid w:val="0021732D"/>
    <w:rsid w:val="002178C2"/>
    <w:rsid w:val="00217C0C"/>
    <w:rsid w:val="00220799"/>
    <w:rsid w:val="002209B9"/>
    <w:rsid w:val="00220B59"/>
    <w:rsid w:val="00221497"/>
    <w:rsid w:val="00221E88"/>
    <w:rsid w:val="00222A58"/>
    <w:rsid w:val="00222C4E"/>
    <w:rsid w:val="00223476"/>
    <w:rsid w:val="00224EE7"/>
    <w:rsid w:val="002259CB"/>
    <w:rsid w:val="00225AB9"/>
    <w:rsid w:val="00227123"/>
    <w:rsid w:val="00227171"/>
    <w:rsid w:val="0022779C"/>
    <w:rsid w:val="00227E3F"/>
    <w:rsid w:val="00227ED5"/>
    <w:rsid w:val="00231314"/>
    <w:rsid w:val="00231C6E"/>
    <w:rsid w:val="00231C9A"/>
    <w:rsid w:val="00232810"/>
    <w:rsid w:val="00232F2E"/>
    <w:rsid w:val="00233890"/>
    <w:rsid w:val="00233F6F"/>
    <w:rsid w:val="00234191"/>
    <w:rsid w:val="0023484B"/>
    <w:rsid w:val="00234AAF"/>
    <w:rsid w:val="00235A1B"/>
    <w:rsid w:val="002361E3"/>
    <w:rsid w:val="0023620A"/>
    <w:rsid w:val="00236730"/>
    <w:rsid w:val="00236D14"/>
    <w:rsid w:val="00237247"/>
    <w:rsid w:val="0023796B"/>
    <w:rsid w:val="00237E03"/>
    <w:rsid w:val="00240A6D"/>
    <w:rsid w:val="00242112"/>
    <w:rsid w:val="00243898"/>
    <w:rsid w:val="00243B56"/>
    <w:rsid w:val="00245174"/>
    <w:rsid w:val="0024593E"/>
    <w:rsid w:val="00245F13"/>
    <w:rsid w:val="002463CB"/>
    <w:rsid w:val="002467E9"/>
    <w:rsid w:val="0024693A"/>
    <w:rsid w:val="002470F0"/>
    <w:rsid w:val="002478FC"/>
    <w:rsid w:val="00247A5F"/>
    <w:rsid w:val="00250224"/>
    <w:rsid w:val="0025052D"/>
    <w:rsid w:val="00250541"/>
    <w:rsid w:val="002506D5"/>
    <w:rsid w:val="002507C0"/>
    <w:rsid w:val="00251DFC"/>
    <w:rsid w:val="00252202"/>
    <w:rsid w:val="0025245F"/>
    <w:rsid w:val="002529CA"/>
    <w:rsid w:val="00254032"/>
    <w:rsid w:val="00254812"/>
    <w:rsid w:val="002552B0"/>
    <w:rsid w:val="002557B2"/>
    <w:rsid w:val="00255D2B"/>
    <w:rsid w:val="002569D9"/>
    <w:rsid w:val="00256CD9"/>
    <w:rsid w:val="00257127"/>
    <w:rsid w:val="002571D7"/>
    <w:rsid w:val="00257278"/>
    <w:rsid w:val="002573E3"/>
    <w:rsid w:val="002574FF"/>
    <w:rsid w:val="00257DDE"/>
    <w:rsid w:val="00260859"/>
    <w:rsid w:val="002614C3"/>
    <w:rsid w:val="00261EB7"/>
    <w:rsid w:val="00261FA4"/>
    <w:rsid w:val="002623FD"/>
    <w:rsid w:val="002636D0"/>
    <w:rsid w:val="00263F36"/>
    <w:rsid w:val="002648ED"/>
    <w:rsid w:val="00264C48"/>
    <w:rsid w:val="00264C7E"/>
    <w:rsid w:val="0026528B"/>
    <w:rsid w:val="00265768"/>
    <w:rsid w:val="00266482"/>
    <w:rsid w:val="00267116"/>
    <w:rsid w:val="002704A2"/>
    <w:rsid w:val="002708A7"/>
    <w:rsid w:val="00270A49"/>
    <w:rsid w:val="002710AB"/>
    <w:rsid w:val="002712E7"/>
    <w:rsid w:val="00271762"/>
    <w:rsid w:val="00271FF7"/>
    <w:rsid w:val="00272491"/>
    <w:rsid w:val="00272DF0"/>
    <w:rsid w:val="002732E0"/>
    <w:rsid w:val="0027384F"/>
    <w:rsid w:val="00273AF6"/>
    <w:rsid w:val="00273E3A"/>
    <w:rsid w:val="002749BB"/>
    <w:rsid w:val="0027533B"/>
    <w:rsid w:val="0027548F"/>
    <w:rsid w:val="002754B0"/>
    <w:rsid w:val="00275570"/>
    <w:rsid w:val="002758B8"/>
    <w:rsid w:val="00275D0A"/>
    <w:rsid w:val="0027647B"/>
    <w:rsid w:val="00276584"/>
    <w:rsid w:val="002766D6"/>
    <w:rsid w:val="00276A04"/>
    <w:rsid w:val="00276AB3"/>
    <w:rsid w:val="00276CA3"/>
    <w:rsid w:val="00277596"/>
    <w:rsid w:val="00277695"/>
    <w:rsid w:val="002778F6"/>
    <w:rsid w:val="00277F1C"/>
    <w:rsid w:val="00280294"/>
    <w:rsid w:val="00280A48"/>
    <w:rsid w:val="00280EFA"/>
    <w:rsid w:val="002811F6"/>
    <w:rsid w:val="0028150B"/>
    <w:rsid w:val="00281543"/>
    <w:rsid w:val="002818E1"/>
    <w:rsid w:val="00281A71"/>
    <w:rsid w:val="00281B99"/>
    <w:rsid w:val="00282744"/>
    <w:rsid w:val="00283216"/>
    <w:rsid w:val="00283A95"/>
    <w:rsid w:val="00283DB7"/>
    <w:rsid w:val="00284358"/>
    <w:rsid w:val="0028499C"/>
    <w:rsid w:val="002853BD"/>
    <w:rsid w:val="00285521"/>
    <w:rsid w:val="00285FA6"/>
    <w:rsid w:val="00285FB9"/>
    <w:rsid w:val="00286044"/>
    <w:rsid w:val="00286B3E"/>
    <w:rsid w:val="00286C21"/>
    <w:rsid w:val="00287175"/>
    <w:rsid w:val="00287180"/>
    <w:rsid w:val="002907B6"/>
    <w:rsid w:val="0029153D"/>
    <w:rsid w:val="0029292D"/>
    <w:rsid w:val="00293975"/>
    <w:rsid w:val="00293E69"/>
    <w:rsid w:val="00294581"/>
    <w:rsid w:val="00294925"/>
    <w:rsid w:val="00294F2F"/>
    <w:rsid w:val="002952F2"/>
    <w:rsid w:val="0029606E"/>
    <w:rsid w:val="0029661F"/>
    <w:rsid w:val="002967F8"/>
    <w:rsid w:val="002979C1"/>
    <w:rsid w:val="00297ACF"/>
    <w:rsid w:val="00297B0B"/>
    <w:rsid w:val="00297F94"/>
    <w:rsid w:val="00297FE2"/>
    <w:rsid w:val="002A006E"/>
    <w:rsid w:val="002A0132"/>
    <w:rsid w:val="002A1493"/>
    <w:rsid w:val="002A2B68"/>
    <w:rsid w:val="002A4763"/>
    <w:rsid w:val="002A4ECC"/>
    <w:rsid w:val="002A4F43"/>
    <w:rsid w:val="002A50BD"/>
    <w:rsid w:val="002A5200"/>
    <w:rsid w:val="002A5E71"/>
    <w:rsid w:val="002A5F75"/>
    <w:rsid w:val="002A6401"/>
    <w:rsid w:val="002A6868"/>
    <w:rsid w:val="002A7163"/>
    <w:rsid w:val="002A77FE"/>
    <w:rsid w:val="002A7F08"/>
    <w:rsid w:val="002A7F15"/>
    <w:rsid w:val="002B0045"/>
    <w:rsid w:val="002B09BB"/>
    <w:rsid w:val="002B0CD6"/>
    <w:rsid w:val="002B0F28"/>
    <w:rsid w:val="002B1D3D"/>
    <w:rsid w:val="002B393D"/>
    <w:rsid w:val="002B39A8"/>
    <w:rsid w:val="002B404E"/>
    <w:rsid w:val="002B40DB"/>
    <w:rsid w:val="002B4397"/>
    <w:rsid w:val="002B45DC"/>
    <w:rsid w:val="002B460F"/>
    <w:rsid w:val="002B4708"/>
    <w:rsid w:val="002B4FE8"/>
    <w:rsid w:val="002B589A"/>
    <w:rsid w:val="002B5B54"/>
    <w:rsid w:val="002B5DBE"/>
    <w:rsid w:val="002B641C"/>
    <w:rsid w:val="002B6915"/>
    <w:rsid w:val="002B6C4B"/>
    <w:rsid w:val="002B7A01"/>
    <w:rsid w:val="002B7C09"/>
    <w:rsid w:val="002C0695"/>
    <w:rsid w:val="002C1D7F"/>
    <w:rsid w:val="002C20B1"/>
    <w:rsid w:val="002C3810"/>
    <w:rsid w:val="002C38AC"/>
    <w:rsid w:val="002C3B72"/>
    <w:rsid w:val="002C3CC6"/>
    <w:rsid w:val="002C43E7"/>
    <w:rsid w:val="002C47BF"/>
    <w:rsid w:val="002C501F"/>
    <w:rsid w:val="002C577C"/>
    <w:rsid w:val="002C5E85"/>
    <w:rsid w:val="002C6284"/>
    <w:rsid w:val="002C740A"/>
    <w:rsid w:val="002C78F0"/>
    <w:rsid w:val="002C79E1"/>
    <w:rsid w:val="002D087F"/>
    <w:rsid w:val="002D11EF"/>
    <w:rsid w:val="002D1233"/>
    <w:rsid w:val="002D137B"/>
    <w:rsid w:val="002D1B5D"/>
    <w:rsid w:val="002D1D21"/>
    <w:rsid w:val="002D1E91"/>
    <w:rsid w:val="002D1F86"/>
    <w:rsid w:val="002D30F2"/>
    <w:rsid w:val="002D3D80"/>
    <w:rsid w:val="002D3FE5"/>
    <w:rsid w:val="002D4513"/>
    <w:rsid w:val="002D48F0"/>
    <w:rsid w:val="002D5098"/>
    <w:rsid w:val="002D5466"/>
    <w:rsid w:val="002D54A9"/>
    <w:rsid w:val="002D5C70"/>
    <w:rsid w:val="002D6406"/>
    <w:rsid w:val="002D6467"/>
    <w:rsid w:val="002D66EE"/>
    <w:rsid w:val="002D7603"/>
    <w:rsid w:val="002D7B52"/>
    <w:rsid w:val="002D7D12"/>
    <w:rsid w:val="002E00C1"/>
    <w:rsid w:val="002E01B1"/>
    <w:rsid w:val="002E01F2"/>
    <w:rsid w:val="002E06E3"/>
    <w:rsid w:val="002E0FDD"/>
    <w:rsid w:val="002E1226"/>
    <w:rsid w:val="002E16C0"/>
    <w:rsid w:val="002E1B07"/>
    <w:rsid w:val="002E210C"/>
    <w:rsid w:val="002E488F"/>
    <w:rsid w:val="002E4D05"/>
    <w:rsid w:val="002E4F2B"/>
    <w:rsid w:val="002E57FF"/>
    <w:rsid w:val="002E5C65"/>
    <w:rsid w:val="002E60AB"/>
    <w:rsid w:val="002E6DCD"/>
    <w:rsid w:val="002E6ECD"/>
    <w:rsid w:val="002E7A2B"/>
    <w:rsid w:val="002F018C"/>
    <w:rsid w:val="002F1691"/>
    <w:rsid w:val="002F16A5"/>
    <w:rsid w:val="002F2761"/>
    <w:rsid w:val="002F2A9B"/>
    <w:rsid w:val="002F36B1"/>
    <w:rsid w:val="002F36B9"/>
    <w:rsid w:val="002F41F4"/>
    <w:rsid w:val="002F546F"/>
    <w:rsid w:val="002F59DF"/>
    <w:rsid w:val="002F64F9"/>
    <w:rsid w:val="002F68E0"/>
    <w:rsid w:val="002F6919"/>
    <w:rsid w:val="002F695A"/>
    <w:rsid w:val="002F6A25"/>
    <w:rsid w:val="002F7BDF"/>
    <w:rsid w:val="002F7F86"/>
    <w:rsid w:val="0030057B"/>
    <w:rsid w:val="0030070F"/>
    <w:rsid w:val="00300742"/>
    <w:rsid w:val="00300E07"/>
    <w:rsid w:val="003015FA"/>
    <w:rsid w:val="00301CEF"/>
    <w:rsid w:val="00302608"/>
    <w:rsid w:val="0030273B"/>
    <w:rsid w:val="00302F65"/>
    <w:rsid w:val="003032C3"/>
    <w:rsid w:val="00303DFF"/>
    <w:rsid w:val="00303F81"/>
    <w:rsid w:val="0030417F"/>
    <w:rsid w:val="0030494D"/>
    <w:rsid w:val="00304F3F"/>
    <w:rsid w:val="00305183"/>
    <w:rsid w:val="003059B4"/>
    <w:rsid w:val="00305A35"/>
    <w:rsid w:val="0030639F"/>
    <w:rsid w:val="00306E22"/>
    <w:rsid w:val="00307228"/>
    <w:rsid w:val="003078B0"/>
    <w:rsid w:val="00307CF9"/>
    <w:rsid w:val="00311F8F"/>
    <w:rsid w:val="00312380"/>
    <w:rsid w:val="00312B9A"/>
    <w:rsid w:val="00313206"/>
    <w:rsid w:val="0031325B"/>
    <w:rsid w:val="003143DD"/>
    <w:rsid w:val="0031581C"/>
    <w:rsid w:val="003159F0"/>
    <w:rsid w:val="0031643E"/>
    <w:rsid w:val="00316B05"/>
    <w:rsid w:val="00316EDE"/>
    <w:rsid w:val="0031708B"/>
    <w:rsid w:val="003178DE"/>
    <w:rsid w:val="00317CF1"/>
    <w:rsid w:val="00320050"/>
    <w:rsid w:val="00321F73"/>
    <w:rsid w:val="00322C1C"/>
    <w:rsid w:val="0032377D"/>
    <w:rsid w:val="00323D20"/>
    <w:rsid w:val="003240DE"/>
    <w:rsid w:val="003241E8"/>
    <w:rsid w:val="00324E0F"/>
    <w:rsid w:val="0032528D"/>
    <w:rsid w:val="00325527"/>
    <w:rsid w:val="003256EA"/>
    <w:rsid w:val="00325BB2"/>
    <w:rsid w:val="00325F4F"/>
    <w:rsid w:val="0032622C"/>
    <w:rsid w:val="00326F52"/>
    <w:rsid w:val="00327B9D"/>
    <w:rsid w:val="00327E86"/>
    <w:rsid w:val="00330E55"/>
    <w:rsid w:val="00330F92"/>
    <w:rsid w:val="003314E9"/>
    <w:rsid w:val="00332C72"/>
    <w:rsid w:val="0033310F"/>
    <w:rsid w:val="00333D85"/>
    <w:rsid w:val="00334DA9"/>
    <w:rsid w:val="00335256"/>
    <w:rsid w:val="003356BF"/>
    <w:rsid w:val="00336803"/>
    <w:rsid w:val="00336939"/>
    <w:rsid w:val="00337158"/>
    <w:rsid w:val="00337405"/>
    <w:rsid w:val="00337BB3"/>
    <w:rsid w:val="00340067"/>
    <w:rsid w:val="00340333"/>
    <w:rsid w:val="00341AA5"/>
    <w:rsid w:val="00341E93"/>
    <w:rsid w:val="00343B81"/>
    <w:rsid w:val="00343F60"/>
    <w:rsid w:val="00344893"/>
    <w:rsid w:val="00344B49"/>
    <w:rsid w:val="00345DC9"/>
    <w:rsid w:val="00346769"/>
    <w:rsid w:val="0034714E"/>
    <w:rsid w:val="00347233"/>
    <w:rsid w:val="00350F12"/>
    <w:rsid w:val="00350FBE"/>
    <w:rsid w:val="0035143C"/>
    <w:rsid w:val="003517F9"/>
    <w:rsid w:val="0035218B"/>
    <w:rsid w:val="003523D2"/>
    <w:rsid w:val="003531E0"/>
    <w:rsid w:val="003539EA"/>
    <w:rsid w:val="00353BC5"/>
    <w:rsid w:val="003540DD"/>
    <w:rsid w:val="0035495E"/>
    <w:rsid w:val="003550FF"/>
    <w:rsid w:val="00355AF6"/>
    <w:rsid w:val="003560E9"/>
    <w:rsid w:val="00356254"/>
    <w:rsid w:val="00357CC9"/>
    <w:rsid w:val="00357F40"/>
    <w:rsid w:val="0036044F"/>
    <w:rsid w:val="00360616"/>
    <w:rsid w:val="00361043"/>
    <w:rsid w:val="003629B2"/>
    <w:rsid w:val="00362D1E"/>
    <w:rsid w:val="00363B6B"/>
    <w:rsid w:val="0036555D"/>
    <w:rsid w:val="00365BD4"/>
    <w:rsid w:val="00366CE1"/>
    <w:rsid w:val="003675BC"/>
    <w:rsid w:val="00370879"/>
    <w:rsid w:val="00370B33"/>
    <w:rsid w:val="00370D5B"/>
    <w:rsid w:val="003720A2"/>
    <w:rsid w:val="00372840"/>
    <w:rsid w:val="0037287F"/>
    <w:rsid w:val="003729FE"/>
    <w:rsid w:val="00372DD7"/>
    <w:rsid w:val="00373FEC"/>
    <w:rsid w:val="0037519D"/>
    <w:rsid w:val="00375CFE"/>
    <w:rsid w:val="003762AF"/>
    <w:rsid w:val="00376615"/>
    <w:rsid w:val="003777AF"/>
    <w:rsid w:val="00380340"/>
    <w:rsid w:val="00380F45"/>
    <w:rsid w:val="0038145C"/>
    <w:rsid w:val="003818CA"/>
    <w:rsid w:val="00382526"/>
    <w:rsid w:val="00383F50"/>
    <w:rsid w:val="00384891"/>
    <w:rsid w:val="00384D4A"/>
    <w:rsid w:val="00385016"/>
    <w:rsid w:val="00385B2B"/>
    <w:rsid w:val="00385B47"/>
    <w:rsid w:val="00385D47"/>
    <w:rsid w:val="00386785"/>
    <w:rsid w:val="003867FE"/>
    <w:rsid w:val="00386E5F"/>
    <w:rsid w:val="00387953"/>
    <w:rsid w:val="003879CD"/>
    <w:rsid w:val="00387A27"/>
    <w:rsid w:val="00387C43"/>
    <w:rsid w:val="0039015F"/>
    <w:rsid w:val="00391D85"/>
    <w:rsid w:val="00392897"/>
    <w:rsid w:val="003929A1"/>
    <w:rsid w:val="00392C76"/>
    <w:rsid w:val="00392D3E"/>
    <w:rsid w:val="003931D3"/>
    <w:rsid w:val="003933DB"/>
    <w:rsid w:val="003935F1"/>
    <w:rsid w:val="003940C2"/>
    <w:rsid w:val="00394C46"/>
    <w:rsid w:val="00394F43"/>
    <w:rsid w:val="00394FF7"/>
    <w:rsid w:val="00395558"/>
    <w:rsid w:val="00395916"/>
    <w:rsid w:val="00396562"/>
    <w:rsid w:val="00396C80"/>
    <w:rsid w:val="0039717C"/>
    <w:rsid w:val="00397218"/>
    <w:rsid w:val="003977AF"/>
    <w:rsid w:val="00397C5F"/>
    <w:rsid w:val="003A00B7"/>
    <w:rsid w:val="003A054C"/>
    <w:rsid w:val="003A1157"/>
    <w:rsid w:val="003A198B"/>
    <w:rsid w:val="003A223C"/>
    <w:rsid w:val="003A26A9"/>
    <w:rsid w:val="003A344D"/>
    <w:rsid w:val="003A3AD4"/>
    <w:rsid w:val="003A51DE"/>
    <w:rsid w:val="003A57D5"/>
    <w:rsid w:val="003A616E"/>
    <w:rsid w:val="003A61AB"/>
    <w:rsid w:val="003A69CC"/>
    <w:rsid w:val="003A6B3F"/>
    <w:rsid w:val="003A75FF"/>
    <w:rsid w:val="003A788A"/>
    <w:rsid w:val="003A7CFA"/>
    <w:rsid w:val="003A7ED7"/>
    <w:rsid w:val="003B04F8"/>
    <w:rsid w:val="003B0DA8"/>
    <w:rsid w:val="003B0FE0"/>
    <w:rsid w:val="003B1000"/>
    <w:rsid w:val="003B1AAA"/>
    <w:rsid w:val="003B1AB7"/>
    <w:rsid w:val="003B25C5"/>
    <w:rsid w:val="003B2FDB"/>
    <w:rsid w:val="003B3233"/>
    <w:rsid w:val="003B364D"/>
    <w:rsid w:val="003B399E"/>
    <w:rsid w:val="003B3C10"/>
    <w:rsid w:val="003B42C1"/>
    <w:rsid w:val="003B468E"/>
    <w:rsid w:val="003B489D"/>
    <w:rsid w:val="003B4DF9"/>
    <w:rsid w:val="003B5087"/>
    <w:rsid w:val="003B55C0"/>
    <w:rsid w:val="003B5664"/>
    <w:rsid w:val="003B5E6E"/>
    <w:rsid w:val="003C12EC"/>
    <w:rsid w:val="003C1B20"/>
    <w:rsid w:val="003C1BF2"/>
    <w:rsid w:val="003C2246"/>
    <w:rsid w:val="003C2568"/>
    <w:rsid w:val="003C3EEB"/>
    <w:rsid w:val="003C4047"/>
    <w:rsid w:val="003C410E"/>
    <w:rsid w:val="003C4805"/>
    <w:rsid w:val="003C4E99"/>
    <w:rsid w:val="003C4F1E"/>
    <w:rsid w:val="003C57C3"/>
    <w:rsid w:val="003C59E3"/>
    <w:rsid w:val="003C709F"/>
    <w:rsid w:val="003C73C2"/>
    <w:rsid w:val="003C760D"/>
    <w:rsid w:val="003C7A45"/>
    <w:rsid w:val="003D0FB4"/>
    <w:rsid w:val="003D11CC"/>
    <w:rsid w:val="003D246B"/>
    <w:rsid w:val="003D267B"/>
    <w:rsid w:val="003D26A3"/>
    <w:rsid w:val="003D2DDB"/>
    <w:rsid w:val="003D30D0"/>
    <w:rsid w:val="003D370E"/>
    <w:rsid w:val="003D3716"/>
    <w:rsid w:val="003D3936"/>
    <w:rsid w:val="003D3A98"/>
    <w:rsid w:val="003D4F90"/>
    <w:rsid w:val="003D5BA4"/>
    <w:rsid w:val="003D5E20"/>
    <w:rsid w:val="003D604E"/>
    <w:rsid w:val="003D6FEC"/>
    <w:rsid w:val="003E07A1"/>
    <w:rsid w:val="003E0A24"/>
    <w:rsid w:val="003E298E"/>
    <w:rsid w:val="003E2CB1"/>
    <w:rsid w:val="003E2EC2"/>
    <w:rsid w:val="003E36B4"/>
    <w:rsid w:val="003E3A4F"/>
    <w:rsid w:val="003E540D"/>
    <w:rsid w:val="003E5C71"/>
    <w:rsid w:val="003E6352"/>
    <w:rsid w:val="003E783A"/>
    <w:rsid w:val="003F1069"/>
    <w:rsid w:val="003F17CC"/>
    <w:rsid w:val="003F1837"/>
    <w:rsid w:val="003F1D92"/>
    <w:rsid w:val="003F1E41"/>
    <w:rsid w:val="003F20FB"/>
    <w:rsid w:val="003F25DF"/>
    <w:rsid w:val="003F3DAA"/>
    <w:rsid w:val="003F3F46"/>
    <w:rsid w:val="003F4172"/>
    <w:rsid w:val="003F4916"/>
    <w:rsid w:val="003F4949"/>
    <w:rsid w:val="003F4F84"/>
    <w:rsid w:val="003F5B95"/>
    <w:rsid w:val="003F5D2B"/>
    <w:rsid w:val="003F60C0"/>
    <w:rsid w:val="003F6C8E"/>
    <w:rsid w:val="003F6E39"/>
    <w:rsid w:val="003F7D11"/>
    <w:rsid w:val="00400488"/>
    <w:rsid w:val="00400E04"/>
    <w:rsid w:val="00401E74"/>
    <w:rsid w:val="004028CE"/>
    <w:rsid w:val="00402A2F"/>
    <w:rsid w:val="00402A78"/>
    <w:rsid w:val="00403578"/>
    <w:rsid w:val="0040390F"/>
    <w:rsid w:val="00403DC2"/>
    <w:rsid w:val="004047CF"/>
    <w:rsid w:val="00404E47"/>
    <w:rsid w:val="004056F9"/>
    <w:rsid w:val="004062C2"/>
    <w:rsid w:val="00406A21"/>
    <w:rsid w:val="00406ECF"/>
    <w:rsid w:val="00407367"/>
    <w:rsid w:val="004077B2"/>
    <w:rsid w:val="00407AD2"/>
    <w:rsid w:val="00410BCA"/>
    <w:rsid w:val="00410E53"/>
    <w:rsid w:val="00411507"/>
    <w:rsid w:val="004115B7"/>
    <w:rsid w:val="0041217D"/>
    <w:rsid w:val="00412EF7"/>
    <w:rsid w:val="004150B7"/>
    <w:rsid w:val="004153AD"/>
    <w:rsid w:val="004163A8"/>
    <w:rsid w:val="00416899"/>
    <w:rsid w:val="00417053"/>
    <w:rsid w:val="00417350"/>
    <w:rsid w:val="00417830"/>
    <w:rsid w:val="00417AE4"/>
    <w:rsid w:val="00417FFD"/>
    <w:rsid w:val="004209E6"/>
    <w:rsid w:val="00420D15"/>
    <w:rsid w:val="00420F73"/>
    <w:rsid w:val="0042142C"/>
    <w:rsid w:val="00421EF1"/>
    <w:rsid w:val="00422638"/>
    <w:rsid w:val="00422ACF"/>
    <w:rsid w:val="00424335"/>
    <w:rsid w:val="00424560"/>
    <w:rsid w:val="00424918"/>
    <w:rsid w:val="00425360"/>
    <w:rsid w:val="00425422"/>
    <w:rsid w:val="00425CD1"/>
    <w:rsid w:val="00426B2C"/>
    <w:rsid w:val="00426EF9"/>
    <w:rsid w:val="00426F1D"/>
    <w:rsid w:val="004270D7"/>
    <w:rsid w:val="004276DB"/>
    <w:rsid w:val="00427E1F"/>
    <w:rsid w:val="004309AC"/>
    <w:rsid w:val="00430C14"/>
    <w:rsid w:val="00430FA0"/>
    <w:rsid w:val="00431333"/>
    <w:rsid w:val="0043166D"/>
    <w:rsid w:val="0043193B"/>
    <w:rsid w:val="00431B0A"/>
    <w:rsid w:val="00432584"/>
    <w:rsid w:val="00432E5C"/>
    <w:rsid w:val="00433E50"/>
    <w:rsid w:val="004345AD"/>
    <w:rsid w:val="00434D6A"/>
    <w:rsid w:val="004358A2"/>
    <w:rsid w:val="00435C0E"/>
    <w:rsid w:val="00436D12"/>
    <w:rsid w:val="00437B6D"/>
    <w:rsid w:val="00440107"/>
    <w:rsid w:val="00440628"/>
    <w:rsid w:val="00440D23"/>
    <w:rsid w:val="00440DFF"/>
    <w:rsid w:val="00441777"/>
    <w:rsid w:val="00441981"/>
    <w:rsid w:val="00442E00"/>
    <w:rsid w:val="00443792"/>
    <w:rsid w:val="00443884"/>
    <w:rsid w:val="00443BD3"/>
    <w:rsid w:val="00444140"/>
    <w:rsid w:val="004441F6"/>
    <w:rsid w:val="00444337"/>
    <w:rsid w:val="00444A2C"/>
    <w:rsid w:val="00444D76"/>
    <w:rsid w:val="00445294"/>
    <w:rsid w:val="004466C8"/>
    <w:rsid w:val="00446761"/>
    <w:rsid w:val="00447D83"/>
    <w:rsid w:val="00447ED1"/>
    <w:rsid w:val="00450728"/>
    <w:rsid w:val="00450826"/>
    <w:rsid w:val="004509FB"/>
    <w:rsid w:val="00451228"/>
    <w:rsid w:val="00451469"/>
    <w:rsid w:val="00452B1E"/>
    <w:rsid w:val="00453D9D"/>
    <w:rsid w:val="0045468C"/>
    <w:rsid w:val="00454A88"/>
    <w:rsid w:val="00454AEA"/>
    <w:rsid w:val="00455E68"/>
    <w:rsid w:val="00455FD9"/>
    <w:rsid w:val="00456BF0"/>
    <w:rsid w:val="0045787A"/>
    <w:rsid w:val="00457918"/>
    <w:rsid w:val="00457C3C"/>
    <w:rsid w:val="004608F0"/>
    <w:rsid w:val="004612E3"/>
    <w:rsid w:val="00461582"/>
    <w:rsid w:val="00461B19"/>
    <w:rsid w:val="00461F4F"/>
    <w:rsid w:val="00461F7F"/>
    <w:rsid w:val="004639D7"/>
    <w:rsid w:val="00463A25"/>
    <w:rsid w:val="00463EA6"/>
    <w:rsid w:val="00464097"/>
    <w:rsid w:val="00464C68"/>
    <w:rsid w:val="004656E2"/>
    <w:rsid w:val="00465C83"/>
    <w:rsid w:val="004668D4"/>
    <w:rsid w:val="00466C58"/>
    <w:rsid w:val="004670D3"/>
    <w:rsid w:val="00467237"/>
    <w:rsid w:val="0046741B"/>
    <w:rsid w:val="00467B15"/>
    <w:rsid w:val="0047052A"/>
    <w:rsid w:val="004705E0"/>
    <w:rsid w:val="00470680"/>
    <w:rsid w:val="00470EE2"/>
    <w:rsid w:val="00472423"/>
    <w:rsid w:val="004727BB"/>
    <w:rsid w:val="0047281A"/>
    <w:rsid w:val="00472883"/>
    <w:rsid w:val="00472944"/>
    <w:rsid w:val="00472A8D"/>
    <w:rsid w:val="00472E59"/>
    <w:rsid w:val="00473848"/>
    <w:rsid w:val="00474C7C"/>
    <w:rsid w:val="00474E0C"/>
    <w:rsid w:val="004758C6"/>
    <w:rsid w:val="00476745"/>
    <w:rsid w:val="0047730B"/>
    <w:rsid w:val="00477471"/>
    <w:rsid w:val="00477DD0"/>
    <w:rsid w:val="004815F5"/>
    <w:rsid w:val="004819B2"/>
    <w:rsid w:val="0048266C"/>
    <w:rsid w:val="00482955"/>
    <w:rsid w:val="00483207"/>
    <w:rsid w:val="004833CA"/>
    <w:rsid w:val="00483F96"/>
    <w:rsid w:val="004840BE"/>
    <w:rsid w:val="0048432E"/>
    <w:rsid w:val="00484820"/>
    <w:rsid w:val="00484938"/>
    <w:rsid w:val="00484EAD"/>
    <w:rsid w:val="00487229"/>
    <w:rsid w:val="0048773E"/>
    <w:rsid w:val="00487E61"/>
    <w:rsid w:val="00487E73"/>
    <w:rsid w:val="00490015"/>
    <w:rsid w:val="0049070B"/>
    <w:rsid w:val="00490CFD"/>
    <w:rsid w:val="00490E01"/>
    <w:rsid w:val="004914C6"/>
    <w:rsid w:val="00494BB0"/>
    <w:rsid w:val="004958FB"/>
    <w:rsid w:val="004960EE"/>
    <w:rsid w:val="004962F6"/>
    <w:rsid w:val="0049636F"/>
    <w:rsid w:val="004965A7"/>
    <w:rsid w:val="0049671F"/>
    <w:rsid w:val="0049675F"/>
    <w:rsid w:val="00496AC0"/>
    <w:rsid w:val="00496D94"/>
    <w:rsid w:val="004978D9"/>
    <w:rsid w:val="00497A9F"/>
    <w:rsid w:val="004A0125"/>
    <w:rsid w:val="004A19B2"/>
    <w:rsid w:val="004A1E86"/>
    <w:rsid w:val="004A234C"/>
    <w:rsid w:val="004A2821"/>
    <w:rsid w:val="004A3505"/>
    <w:rsid w:val="004A37C7"/>
    <w:rsid w:val="004A42E4"/>
    <w:rsid w:val="004A5493"/>
    <w:rsid w:val="004A6318"/>
    <w:rsid w:val="004A7238"/>
    <w:rsid w:val="004B0583"/>
    <w:rsid w:val="004B0F6F"/>
    <w:rsid w:val="004B1163"/>
    <w:rsid w:val="004B1288"/>
    <w:rsid w:val="004B1649"/>
    <w:rsid w:val="004B371B"/>
    <w:rsid w:val="004B38BA"/>
    <w:rsid w:val="004B3CCC"/>
    <w:rsid w:val="004B40AC"/>
    <w:rsid w:val="004B40F8"/>
    <w:rsid w:val="004B4854"/>
    <w:rsid w:val="004B4DCA"/>
    <w:rsid w:val="004B5162"/>
    <w:rsid w:val="004B51ED"/>
    <w:rsid w:val="004B59FC"/>
    <w:rsid w:val="004B5B80"/>
    <w:rsid w:val="004B62CA"/>
    <w:rsid w:val="004B6CB8"/>
    <w:rsid w:val="004B790D"/>
    <w:rsid w:val="004B7AAF"/>
    <w:rsid w:val="004B7C93"/>
    <w:rsid w:val="004B7E3C"/>
    <w:rsid w:val="004C0AE7"/>
    <w:rsid w:val="004C0CC0"/>
    <w:rsid w:val="004C17A6"/>
    <w:rsid w:val="004C26FB"/>
    <w:rsid w:val="004C2BD7"/>
    <w:rsid w:val="004C3038"/>
    <w:rsid w:val="004C54C3"/>
    <w:rsid w:val="004C559E"/>
    <w:rsid w:val="004C5E0B"/>
    <w:rsid w:val="004C62C8"/>
    <w:rsid w:val="004C6D23"/>
    <w:rsid w:val="004C6D8C"/>
    <w:rsid w:val="004C6F22"/>
    <w:rsid w:val="004C7BC4"/>
    <w:rsid w:val="004C7D8D"/>
    <w:rsid w:val="004C7F9C"/>
    <w:rsid w:val="004D068B"/>
    <w:rsid w:val="004D078B"/>
    <w:rsid w:val="004D0D98"/>
    <w:rsid w:val="004D10A8"/>
    <w:rsid w:val="004D17D6"/>
    <w:rsid w:val="004D1A97"/>
    <w:rsid w:val="004D1C0F"/>
    <w:rsid w:val="004D1E8C"/>
    <w:rsid w:val="004D2438"/>
    <w:rsid w:val="004D2553"/>
    <w:rsid w:val="004D272D"/>
    <w:rsid w:val="004D27A8"/>
    <w:rsid w:val="004D2E9A"/>
    <w:rsid w:val="004D3138"/>
    <w:rsid w:val="004D31CF"/>
    <w:rsid w:val="004D31F8"/>
    <w:rsid w:val="004D3501"/>
    <w:rsid w:val="004D3572"/>
    <w:rsid w:val="004D39BC"/>
    <w:rsid w:val="004D400B"/>
    <w:rsid w:val="004D4259"/>
    <w:rsid w:val="004D4A8E"/>
    <w:rsid w:val="004D4C04"/>
    <w:rsid w:val="004D4CC2"/>
    <w:rsid w:val="004D502B"/>
    <w:rsid w:val="004D551D"/>
    <w:rsid w:val="004D5BF5"/>
    <w:rsid w:val="004D62C2"/>
    <w:rsid w:val="004D6B34"/>
    <w:rsid w:val="004D75D3"/>
    <w:rsid w:val="004E0097"/>
    <w:rsid w:val="004E0149"/>
    <w:rsid w:val="004E138D"/>
    <w:rsid w:val="004E233F"/>
    <w:rsid w:val="004E3B20"/>
    <w:rsid w:val="004E4411"/>
    <w:rsid w:val="004E5125"/>
    <w:rsid w:val="004E56CB"/>
    <w:rsid w:val="004E5744"/>
    <w:rsid w:val="004E7E9A"/>
    <w:rsid w:val="004F0C59"/>
    <w:rsid w:val="004F16FB"/>
    <w:rsid w:val="004F1EF0"/>
    <w:rsid w:val="004F2015"/>
    <w:rsid w:val="004F25DD"/>
    <w:rsid w:val="004F2A56"/>
    <w:rsid w:val="004F2A93"/>
    <w:rsid w:val="004F33AB"/>
    <w:rsid w:val="004F3D0C"/>
    <w:rsid w:val="004F469C"/>
    <w:rsid w:val="004F4C96"/>
    <w:rsid w:val="004F4FBA"/>
    <w:rsid w:val="004F5A3A"/>
    <w:rsid w:val="004F5D51"/>
    <w:rsid w:val="004F618F"/>
    <w:rsid w:val="004F6607"/>
    <w:rsid w:val="004F73C8"/>
    <w:rsid w:val="004F7B5F"/>
    <w:rsid w:val="004F7E02"/>
    <w:rsid w:val="0050046D"/>
    <w:rsid w:val="00500CC4"/>
    <w:rsid w:val="005020AA"/>
    <w:rsid w:val="00502506"/>
    <w:rsid w:val="00502644"/>
    <w:rsid w:val="00502D4A"/>
    <w:rsid w:val="005036DD"/>
    <w:rsid w:val="005043D1"/>
    <w:rsid w:val="00505B31"/>
    <w:rsid w:val="00505C1D"/>
    <w:rsid w:val="00505F92"/>
    <w:rsid w:val="00506595"/>
    <w:rsid w:val="005109FA"/>
    <w:rsid w:val="0051169D"/>
    <w:rsid w:val="00511C57"/>
    <w:rsid w:val="00511C81"/>
    <w:rsid w:val="005127FA"/>
    <w:rsid w:val="00513213"/>
    <w:rsid w:val="005132BD"/>
    <w:rsid w:val="0051341F"/>
    <w:rsid w:val="0051370C"/>
    <w:rsid w:val="00515099"/>
    <w:rsid w:val="00516258"/>
    <w:rsid w:val="00516399"/>
    <w:rsid w:val="005169EB"/>
    <w:rsid w:val="00517A45"/>
    <w:rsid w:val="0052027A"/>
    <w:rsid w:val="00520EA9"/>
    <w:rsid w:val="00522444"/>
    <w:rsid w:val="00522E96"/>
    <w:rsid w:val="005233C9"/>
    <w:rsid w:val="0052437B"/>
    <w:rsid w:val="005251EA"/>
    <w:rsid w:val="00525A6F"/>
    <w:rsid w:val="00526176"/>
    <w:rsid w:val="00526235"/>
    <w:rsid w:val="0052675C"/>
    <w:rsid w:val="00526B6F"/>
    <w:rsid w:val="0052760D"/>
    <w:rsid w:val="0052777E"/>
    <w:rsid w:val="0052799C"/>
    <w:rsid w:val="00530112"/>
    <w:rsid w:val="00531574"/>
    <w:rsid w:val="00532559"/>
    <w:rsid w:val="00532E58"/>
    <w:rsid w:val="005341D7"/>
    <w:rsid w:val="00535832"/>
    <w:rsid w:val="00535E55"/>
    <w:rsid w:val="00536E16"/>
    <w:rsid w:val="00537000"/>
    <w:rsid w:val="005371F1"/>
    <w:rsid w:val="0053737D"/>
    <w:rsid w:val="00537618"/>
    <w:rsid w:val="00537898"/>
    <w:rsid w:val="00537E80"/>
    <w:rsid w:val="00540142"/>
    <w:rsid w:val="00540ED5"/>
    <w:rsid w:val="00542A48"/>
    <w:rsid w:val="00543543"/>
    <w:rsid w:val="005438C5"/>
    <w:rsid w:val="005440AA"/>
    <w:rsid w:val="005472E6"/>
    <w:rsid w:val="00547416"/>
    <w:rsid w:val="0054791E"/>
    <w:rsid w:val="00547FF7"/>
    <w:rsid w:val="00551C29"/>
    <w:rsid w:val="00552122"/>
    <w:rsid w:val="005524CA"/>
    <w:rsid w:val="0055316F"/>
    <w:rsid w:val="00554600"/>
    <w:rsid w:val="00554F54"/>
    <w:rsid w:val="00555385"/>
    <w:rsid w:val="00555ACD"/>
    <w:rsid w:val="005560CC"/>
    <w:rsid w:val="00556E15"/>
    <w:rsid w:val="0056013D"/>
    <w:rsid w:val="00560438"/>
    <w:rsid w:val="005609B3"/>
    <w:rsid w:val="00560D13"/>
    <w:rsid w:val="005615B0"/>
    <w:rsid w:val="00561BC8"/>
    <w:rsid w:val="00561D36"/>
    <w:rsid w:val="00562034"/>
    <w:rsid w:val="0056204A"/>
    <w:rsid w:val="00562396"/>
    <w:rsid w:val="00562ABB"/>
    <w:rsid w:val="00562BCB"/>
    <w:rsid w:val="00563879"/>
    <w:rsid w:val="005639B0"/>
    <w:rsid w:val="00564C8E"/>
    <w:rsid w:val="005651A0"/>
    <w:rsid w:val="00565764"/>
    <w:rsid w:val="00565E5C"/>
    <w:rsid w:val="00566375"/>
    <w:rsid w:val="00566B1A"/>
    <w:rsid w:val="00567569"/>
    <w:rsid w:val="00567C80"/>
    <w:rsid w:val="00570006"/>
    <w:rsid w:val="00570149"/>
    <w:rsid w:val="005704DE"/>
    <w:rsid w:val="005720A0"/>
    <w:rsid w:val="0057212C"/>
    <w:rsid w:val="00572EC3"/>
    <w:rsid w:val="00573525"/>
    <w:rsid w:val="00574101"/>
    <w:rsid w:val="0057575C"/>
    <w:rsid w:val="005757EC"/>
    <w:rsid w:val="00575E3C"/>
    <w:rsid w:val="00576B10"/>
    <w:rsid w:val="00576B2E"/>
    <w:rsid w:val="00577714"/>
    <w:rsid w:val="005777EB"/>
    <w:rsid w:val="005806ED"/>
    <w:rsid w:val="00581F10"/>
    <w:rsid w:val="0058276B"/>
    <w:rsid w:val="00582860"/>
    <w:rsid w:val="00583CDB"/>
    <w:rsid w:val="00584303"/>
    <w:rsid w:val="00584497"/>
    <w:rsid w:val="005851E6"/>
    <w:rsid w:val="00585917"/>
    <w:rsid w:val="005868E4"/>
    <w:rsid w:val="00587CD2"/>
    <w:rsid w:val="00587D7F"/>
    <w:rsid w:val="005901EE"/>
    <w:rsid w:val="00592042"/>
    <w:rsid w:val="005926C9"/>
    <w:rsid w:val="00592B85"/>
    <w:rsid w:val="00592E13"/>
    <w:rsid w:val="00593254"/>
    <w:rsid w:val="005937FC"/>
    <w:rsid w:val="00593989"/>
    <w:rsid w:val="00593CD1"/>
    <w:rsid w:val="00594670"/>
    <w:rsid w:val="00595C79"/>
    <w:rsid w:val="00595CD1"/>
    <w:rsid w:val="00596202"/>
    <w:rsid w:val="00597334"/>
    <w:rsid w:val="00597B84"/>
    <w:rsid w:val="005A10D2"/>
    <w:rsid w:val="005A16FE"/>
    <w:rsid w:val="005A2200"/>
    <w:rsid w:val="005A2A25"/>
    <w:rsid w:val="005A2B0E"/>
    <w:rsid w:val="005A2C53"/>
    <w:rsid w:val="005A3F5F"/>
    <w:rsid w:val="005A433B"/>
    <w:rsid w:val="005A4B20"/>
    <w:rsid w:val="005A5631"/>
    <w:rsid w:val="005A5FF6"/>
    <w:rsid w:val="005A6893"/>
    <w:rsid w:val="005A6C2C"/>
    <w:rsid w:val="005A6F5A"/>
    <w:rsid w:val="005A7BC3"/>
    <w:rsid w:val="005A7F13"/>
    <w:rsid w:val="005B0A0E"/>
    <w:rsid w:val="005B1E54"/>
    <w:rsid w:val="005B3782"/>
    <w:rsid w:val="005B3BB4"/>
    <w:rsid w:val="005B421F"/>
    <w:rsid w:val="005B5702"/>
    <w:rsid w:val="005B60F0"/>
    <w:rsid w:val="005B61DA"/>
    <w:rsid w:val="005B6367"/>
    <w:rsid w:val="005B6B79"/>
    <w:rsid w:val="005C0D4C"/>
    <w:rsid w:val="005C1413"/>
    <w:rsid w:val="005C1AE5"/>
    <w:rsid w:val="005C1F9B"/>
    <w:rsid w:val="005C2667"/>
    <w:rsid w:val="005C2AC5"/>
    <w:rsid w:val="005C31EC"/>
    <w:rsid w:val="005C3BD2"/>
    <w:rsid w:val="005C4C01"/>
    <w:rsid w:val="005C5021"/>
    <w:rsid w:val="005C50F9"/>
    <w:rsid w:val="005C565C"/>
    <w:rsid w:val="005C56B8"/>
    <w:rsid w:val="005C63DD"/>
    <w:rsid w:val="005C6BDB"/>
    <w:rsid w:val="005C6C86"/>
    <w:rsid w:val="005C7000"/>
    <w:rsid w:val="005C7679"/>
    <w:rsid w:val="005C7A23"/>
    <w:rsid w:val="005D01EA"/>
    <w:rsid w:val="005D0A1C"/>
    <w:rsid w:val="005D0EB3"/>
    <w:rsid w:val="005D11D9"/>
    <w:rsid w:val="005D1265"/>
    <w:rsid w:val="005D15C4"/>
    <w:rsid w:val="005D1FAD"/>
    <w:rsid w:val="005D21C2"/>
    <w:rsid w:val="005D25B2"/>
    <w:rsid w:val="005D26A7"/>
    <w:rsid w:val="005D2D6D"/>
    <w:rsid w:val="005D3454"/>
    <w:rsid w:val="005D3E7C"/>
    <w:rsid w:val="005D45A8"/>
    <w:rsid w:val="005D4EF9"/>
    <w:rsid w:val="005D51D5"/>
    <w:rsid w:val="005D5203"/>
    <w:rsid w:val="005D5731"/>
    <w:rsid w:val="005D5DF6"/>
    <w:rsid w:val="005D5E92"/>
    <w:rsid w:val="005D60DB"/>
    <w:rsid w:val="005D6247"/>
    <w:rsid w:val="005D7416"/>
    <w:rsid w:val="005D7984"/>
    <w:rsid w:val="005E0713"/>
    <w:rsid w:val="005E1124"/>
    <w:rsid w:val="005E23AB"/>
    <w:rsid w:val="005E2A58"/>
    <w:rsid w:val="005E2B99"/>
    <w:rsid w:val="005E3706"/>
    <w:rsid w:val="005E3C81"/>
    <w:rsid w:val="005E4A3C"/>
    <w:rsid w:val="005E4F9A"/>
    <w:rsid w:val="005E5C30"/>
    <w:rsid w:val="005E662A"/>
    <w:rsid w:val="005E6BCD"/>
    <w:rsid w:val="005E6CF0"/>
    <w:rsid w:val="005E75A3"/>
    <w:rsid w:val="005E7BB3"/>
    <w:rsid w:val="005F03B1"/>
    <w:rsid w:val="005F0663"/>
    <w:rsid w:val="005F091F"/>
    <w:rsid w:val="005F1370"/>
    <w:rsid w:val="005F2385"/>
    <w:rsid w:val="005F2E85"/>
    <w:rsid w:val="005F3913"/>
    <w:rsid w:val="005F408A"/>
    <w:rsid w:val="005F414D"/>
    <w:rsid w:val="005F42B9"/>
    <w:rsid w:val="005F49B1"/>
    <w:rsid w:val="005F4F12"/>
    <w:rsid w:val="005F5C93"/>
    <w:rsid w:val="005F6379"/>
    <w:rsid w:val="005F6436"/>
    <w:rsid w:val="005F6437"/>
    <w:rsid w:val="005F6E14"/>
    <w:rsid w:val="005F7469"/>
    <w:rsid w:val="00600802"/>
    <w:rsid w:val="0060149D"/>
    <w:rsid w:val="00601881"/>
    <w:rsid w:val="00601A1E"/>
    <w:rsid w:val="00602FA0"/>
    <w:rsid w:val="00603F3E"/>
    <w:rsid w:val="0060466A"/>
    <w:rsid w:val="00604BC3"/>
    <w:rsid w:val="00605788"/>
    <w:rsid w:val="00605863"/>
    <w:rsid w:val="00605F08"/>
    <w:rsid w:val="006065F5"/>
    <w:rsid w:val="00607030"/>
    <w:rsid w:val="0060723A"/>
    <w:rsid w:val="006105C6"/>
    <w:rsid w:val="0061080D"/>
    <w:rsid w:val="00611A90"/>
    <w:rsid w:val="00611EE3"/>
    <w:rsid w:val="00611F4A"/>
    <w:rsid w:val="0061292F"/>
    <w:rsid w:val="00612E94"/>
    <w:rsid w:val="0061344A"/>
    <w:rsid w:val="006136A2"/>
    <w:rsid w:val="00613D45"/>
    <w:rsid w:val="00613E1D"/>
    <w:rsid w:val="006143D7"/>
    <w:rsid w:val="006150BC"/>
    <w:rsid w:val="00615D5C"/>
    <w:rsid w:val="0061640D"/>
    <w:rsid w:val="00616606"/>
    <w:rsid w:val="006167DD"/>
    <w:rsid w:val="006170E4"/>
    <w:rsid w:val="00617104"/>
    <w:rsid w:val="0061780D"/>
    <w:rsid w:val="00617C4F"/>
    <w:rsid w:val="006207EF"/>
    <w:rsid w:val="00621EA0"/>
    <w:rsid w:val="00621FC7"/>
    <w:rsid w:val="006220D5"/>
    <w:rsid w:val="00622343"/>
    <w:rsid w:val="00622C94"/>
    <w:rsid w:val="00623C09"/>
    <w:rsid w:val="006244AE"/>
    <w:rsid w:val="00624C0D"/>
    <w:rsid w:val="006274D8"/>
    <w:rsid w:val="00630529"/>
    <w:rsid w:val="00630665"/>
    <w:rsid w:val="00631C3A"/>
    <w:rsid w:val="00632B9F"/>
    <w:rsid w:val="00633342"/>
    <w:rsid w:val="006336BC"/>
    <w:rsid w:val="0063385C"/>
    <w:rsid w:val="00633B41"/>
    <w:rsid w:val="00633F19"/>
    <w:rsid w:val="0063492F"/>
    <w:rsid w:val="00634933"/>
    <w:rsid w:val="00634DEC"/>
    <w:rsid w:val="00635E28"/>
    <w:rsid w:val="00635FD9"/>
    <w:rsid w:val="00637112"/>
    <w:rsid w:val="00637646"/>
    <w:rsid w:val="00637C10"/>
    <w:rsid w:val="00637D8D"/>
    <w:rsid w:val="00637E9A"/>
    <w:rsid w:val="00640315"/>
    <w:rsid w:val="00641A08"/>
    <w:rsid w:val="00642EF2"/>
    <w:rsid w:val="006432A3"/>
    <w:rsid w:val="00643A06"/>
    <w:rsid w:val="00643A36"/>
    <w:rsid w:val="00643CF8"/>
    <w:rsid w:val="00644925"/>
    <w:rsid w:val="00644E01"/>
    <w:rsid w:val="006452A5"/>
    <w:rsid w:val="00645D22"/>
    <w:rsid w:val="00645E9D"/>
    <w:rsid w:val="0064607B"/>
    <w:rsid w:val="00646342"/>
    <w:rsid w:val="00646A7D"/>
    <w:rsid w:val="00646CE1"/>
    <w:rsid w:val="00646E1E"/>
    <w:rsid w:val="0064725C"/>
    <w:rsid w:val="0064752C"/>
    <w:rsid w:val="006479B9"/>
    <w:rsid w:val="00647FE9"/>
    <w:rsid w:val="00650924"/>
    <w:rsid w:val="0065103A"/>
    <w:rsid w:val="00651B00"/>
    <w:rsid w:val="0065268B"/>
    <w:rsid w:val="00652AC9"/>
    <w:rsid w:val="00652AFC"/>
    <w:rsid w:val="00652F00"/>
    <w:rsid w:val="006538DE"/>
    <w:rsid w:val="00655097"/>
    <w:rsid w:val="006553FD"/>
    <w:rsid w:val="006556C9"/>
    <w:rsid w:val="0065651B"/>
    <w:rsid w:val="0065739D"/>
    <w:rsid w:val="006604EB"/>
    <w:rsid w:val="00660754"/>
    <w:rsid w:val="00662FFA"/>
    <w:rsid w:val="006636DC"/>
    <w:rsid w:val="00663B7D"/>
    <w:rsid w:val="006643CA"/>
    <w:rsid w:val="00665465"/>
    <w:rsid w:val="0066580E"/>
    <w:rsid w:val="00665C63"/>
    <w:rsid w:val="00665D71"/>
    <w:rsid w:val="0066612A"/>
    <w:rsid w:val="00667787"/>
    <w:rsid w:val="00667866"/>
    <w:rsid w:val="0066796A"/>
    <w:rsid w:val="00667FC2"/>
    <w:rsid w:val="0067151E"/>
    <w:rsid w:val="006718F1"/>
    <w:rsid w:val="00671CE9"/>
    <w:rsid w:val="00672E68"/>
    <w:rsid w:val="00673755"/>
    <w:rsid w:val="006738F0"/>
    <w:rsid w:val="006744DC"/>
    <w:rsid w:val="00675018"/>
    <w:rsid w:val="0067560F"/>
    <w:rsid w:val="00675E54"/>
    <w:rsid w:val="006762D8"/>
    <w:rsid w:val="0067640E"/>
    <w:rsid w:val="006770A9"/>
    <w:rsid w:val="00677269"/>
    <w:rsid w:val="006773F9"/>
    <w:rsid w:val="00680BD2"/>
    <w:rsid w:val="0068116D"/>
    <w:rsid w:val="00681750"/>
    <w:rsid w:val="00681FF2"/>
    <w:rsid w:val="00682596"/>
    <w:rsid w:val="0068280E"/>
    <w:rsid w:val="006833AF"/>
    <w:rsid w:val="006833F6"/>
    <w:rsid w:val="00683770"/>
    <w:rsid w:val="0068436B"/>
    <w:rsid w:val="0068576A"/>
    <w:rsid w:val="00686A12"/>
    <w:rsid w:val="00686A4D"/>
    <w:rsid w:val="00686F0F"/>
    <w:rsid w:val="00690791"/>
    <w:rsid w:val="006907B7"/>
    <w:rsid w:val="0069092B"/>
    <w:rsid w:val="00690989"/>
    <w:rsid w:val="00690ED5"/>
    <w:rsid w:val="006915F2"/>
    <w:rsid w:val="00691881"/>
    <w:rsid w:val="00692668"/>
    <w:rsid w:val="00692E8D"/>
    <w:rsid w:val="00693017"/>
    <w:rsid w:val="00693379"/>
    <w:rsid w:val="00694F9A"/>
    <w:rsid w:val="006950E6"/>
    <w:rsid w:val="00695562"/>
    <w:rsid w:val="006961C5"/>
    <w:rsid w:val="00696609"/>
    <w:rsid w:val="00696C68"/>
    <w:rsid w:val="006974E9"/>
    <w:rsid w:val="006A18EB"/>
    <w:rsid w:val="006A331D"/>
    <w:rsid w:val="006A39D5"/>
    <w:rsid w:val="006A553A"/>
    <w:rsid w:val="006A5641"/>
    <w:rsid w:val="006A5C6A"/>
    <w:rsid w:val="006A5E59"/>
    <w:rsid w:val="006A5E8E"/>
    <w:rsid w:val="006A6735"/>
    <w:rsid w:val="006A68EF"/>
    <w:rsid w:val="006A70EA"/>
    <w:rsid w:val="006A743B"/>
    <w:rsid w:val="006B01DA"/>
    <w:rsid w:val="006B022E"/>
    <w:rsid w:val="006B0236"/>
    <w:rsid w:val="006B0A72"/>
    <w:rsid w:val="006B0C50"/>
    <w:rsid w:val="006B0C5B"/>
    <w:rsid w:val="006B1092"/>
    <w:rsid w:val="006B181E"/>
    <w:rsid w:val="006B1941"/>
    <w:rsid w:val="006B1A54"/>
    <w:rsid w:val="006B2328"/>
    <w:rsid w:val="006B2C65"/>
    <w:rsid w:val="006B34D8"/>
    <w:rsid w:val="006B3B79"/>
    <w:rsid w:val="006B3DD1"/>
    <w:rsid w:val="006B3F40"/>
    <w:rsid w:val="006B4F33"/>
    <w:rsid w:val="006B523C"/>
    <w:rsid w:val="006B56AF"/>
    <w:rsid w:val="006B5B9E"/>
    <w:rsid w:val="006B5CC4"/>
    <w:rsid w:val="006B5F03"/>
    <w:rsid w:val="006B674A"/>
    <w:rsid w:val="006B6EAA"/>
    <w:rsid w:val="006B7336"/>
    <w:rsid w:val="006B7E8B"/>
    <w:rsid w:val="006C03CE"/>
    <w:rsid w:val="006C0B5E"/>
    <w:rsid w:val="006C133B"/>
    <w:rsid w:val="006C155B"/>
    <w:rsid w:val="006C1CE9"/>
    <w:rsid w:val="006C1F37"/>
    <w:rsid w:val="006C34F7"/>
    <w:rsid w:val="006C36C4"/>
    <w:rsid w:val="006C5573"/>
    <w:rsid w:val="006C5F95"/>
    <w:rsid w:val="006C6978"/>
    <w:rsid w:val="006C6B5E"/>
    <w:rsid w:val="006C71F2"/>
    <w:rsid w:val="006C7319"/>
    <w:rsid w:val="006C7B67"/>
    <w:rsid w:val="006D00E5"/>
    <w:rsid w:val="006D0E51"/>
    <w:rsid w:val="006D1958"/>
    <w:rsid w:val="006D1DE4"/>
    <w:rsid w:val="006D24A2"/>
    <w:rsid w:val="006D2D24"/>
    <w:rsid w:val="006D31C1"/>
    <w:rsid w:val="006D3273"/>
    <w:rsid w:val="006D445D"/>
    <w:rsid w:val="006D4BD3"/>
    <w:rsid w:val="006D56ED"/>
    <w:rsid w:val="006D5BBC"/>
    <w:rsid w:val="006D6014"/>
    <w:rsid w:val="006D742F"/>
    <w:rsid w:val="006E1331"/>
    <w:rsid w:val="006E16B8"/>
    <w:rsid w:val="006E1F55"/>
    <w:rsid w:val="006E23D3"/>
    <w:rsid w:val="006E25AC"/>
    <w:rsid w:val="006E2B72"/>
    <w:rsid w:val="006E372D"/>
    <w:rsid w:val="006E3BAF"/>
    <w:rsid w:val="006E486A"/>
    <w:rsid w:val="006E49FF"/>
    <w:rsid w:val="006E56A6"/>
    <w:rsid w:val="006E5709"/>
    <w:rsid w:val="006E5F68"/>
    <w:rsid w:val="006E6744"/>
    <w:rsid w:val="006E6A11"/>
    <w:rsid w:val="006E737C"/>
    <w:rsid w:val="006E775D"/>
    <w:rsid w:val="006E7982"/>
    <w:rsid w:val="006F07D3"/>
    <w:rsid w:val="006F0871"/>
    <w:rsid w:val="006F0F91"/>
    <w:rsid w:val="006F15A3"/>
    <w:rsid w:val="006F1FB8"/>
    <w:rsid w:val="006F24DC"/>
    <w:rsid w:val="006F3FBE"/>
    <w:rsid w:val="006F4408"/>
    <w:rsid w:val="006F5BA5"/>
    <w:rsid w:val="006F5D16"/>
    <w:rsid w:val="006F610F"/>
    <w:rsid w:val="006F631F"/>
    <w:rsid w:val="006F6F36"/>
    <w:rsid w:val="006F711A"/>
    <w:rsid w:val="006F7BAD"/>
    <w:rsid w:val="006F7DA2"/>
    <w:rsid w:val="007001CB"/>
    <w:rsid w:val="0070073B"/>
    <w:rsid w:val="007007D2"/>
    <w:rsid w:val="007008AB"/>
    <w:rsid w:val="007008DF"/>
    <w:rsid w:val="00700BE1"/>
    <w:rsid w:val="00700DEA"/>
    <w:rsid w:val="00701AED"/>
    <w:rsid w:val="00701B7C"/>
    <w:rsid w:val="0070254B"/>
    <w:rsid w:val="0070297D"/>
    <w:rsid w:val="00702E16"/>
    <w:rsid w:val="00703055"/>
    <w:rsid w:val="00703F28"/>
    <w:rsid w:val="0070454B"/>
    <w:rsid w:val="007045BA"/>
    <w:rsid w:val="00704620"/>
    <w:rsid w:val="007053AC"/>
    <w:rsid w:val="007058AC"/>
    <w:rsid w:val="007058C8"/>
    <w:rsid w:val="00707066"/>
    <w:rsid w:val="0070717F"/>
    <w:rsid w:val="00707305"/>
    <w:rsid w:val="00707CD3"/>
    <w:rsid w:val="00707CF8"/>
    <w:rsid w:val="00707D5B"/>
    <w:rsid w:val="00710D2A"/>
    <w:rsid w:val="0071105C"/>
    <w:rsid w:val="0071189A"/>
    <w:rsid w:val="00711F94"/>
    <w:rsid w:val="00712DF7"/>
    <w:rsid w:val="00712EAD"/>
    <w:rsid w:val="00712F29"/>
    <w:rsid w:val="0071339D"/>
    <w:rsid w:val="00714406"/>
    <w:rsid w:val="00716407"/>
    <w:rsid w:val="0071668E"/>
    <w:rsid w:val="0071672E"/>
    <w:rsid w:val="007169FB"/>
    <w:rsid w:val="00717B25"/>
    <w:rsid w:val="0072073D"/>
    <w:rsid w:val="00721149"/>
    <w:rsid w:val="00721D0B"/>
    <w:rsid w:val="0072206A"/>
    <w:rsid w:val="00722662"/>
    <w:rsid w:val="0072269F"/>
    <w:rsid w:val="00722FA6"/>
    <w:rsid w:val="00723108"/>
    <w:rsid w:val="00723E6C"/>
    <w:rsid w:val="007250BE"/>
    <w:rsid w:val="00725C83"/>
    <w:rsid w:val="00725CAE"/>
    <w:rsid w:val="00725D18"/>
    <w:rsid w:val="00725F22"/>
    <w:rsid w:val="0072690A"/>
    <w:rsid w:val="00726D6E"/>
    <w:rsid w:val="00726E91"/>
    <w:rsid w:val="007270CC"/>
    <w:rsid w:val="00727727"/>
    <w:rsid w:val="00727E3C"/>
    <w:rsid w:val="007301F7"/>
    <w:rsid w:val="00730875"/>
    <w:rsid w:val="00730B7F"/>
    <w:rsid w:val="00730E5E"/>
    <w:rsid w:val="0073106A"/>
    <w:rsid w:val="007315DA"/>
    <w:rsid w:val="0073160F"/>
    <w:rsid w:val="00731C6E"/>
    <w:rsid w:val="00732377"/>
    <w:rsid w:val="00732D36"/>
    <w:rsid w:val="00733269"/>
    <w:rsid w:val="007337D9"/>
    <w:rsid w:val="00733841"/>
    <w:rsid w:val="00733B73"/>
    <w:rsid w:val="0073424F"/>
    <w:rsid w:val="007347BB"/>
    <w:rsid w:val="007355C6"/>
    <w:rsid w:val="00735679"/>
    <w:rsid w:val="00735867"/>
    <w:rsid w:val="007363B6"/>
    <w:rsid w:val="00736794"/>
    <w:rsid w:val="00737ADD"/>
    <w:rsid w:val="00737BC3"/>
    <w:rsid w:val="00737DC9"/>
    <w:rsid w:val="007412AA"/>
    <w:rsid w:val="0074157C"/>
    <w:rsid w:val="00741698"/>
    <w:rsid w:val="00742DEC"/>
    <w:rsid w:val="00743AE3"/>
    <w:rsid w:val="00743B94"/>
    <w:rsid w:val="00743CBA"/>
    <w:rsid w:val="00744051"/>
    <w:rsid w:val="00744404"/>
    <w:rsid w:val="00744499"/>
    <w:rsid w:val="0074460A"/>
    <w:rsid w:val="007449C1"/>
    <w:rsid w:val="00745097"/>
    <w:rsid w:val="00745731"/>
    <w:rsid w:val="0074662B"/>
    <w:rsid w:val="0074671E"/>
    <w:rsid w:val="00746ACD"/>
    <w:rsid w:val="007471FC"/>
    <w:rsid w:val="00747238"/>
    <w:rsid w:val="00747301"/>
    <w:rsid w:val="00747A8E"/>
    <w:rsid w:val="007500C2"/>
    <w:rsid w:val="00750276"/>
    <w:rsid w:val="00750949"/>
    <w:rsid w:val="0075341C"/>
    <w:rsid w:val="00754191"/>
    <w:rsid w:val="00754A62"/>
    <w:rsid w:val="00755C20"/>
    <w:rsid w:val="00756835"/>
    <w:rsid w:val="007578BE"/>
    <w:rsid w:val="007579F6"/>
    <w:rsid w:val="00757CE5"/>
    <w:rsid w:val="00757EE9"/>
    <w:rsid w:val="0076009E"/>
    <w:rsid w:val="007602FF"/>
    <w:rsid w:val="00760A3E"/>
    <w:rsid w:val="00760B61"/>
    <w:rsid w:val="00760E72"/>
    <w:rsid w:val="00761865"/>
    <w:rsid w:val="007618AD"/>
    <w:rsid w:val="007621B9"/>
    <w:rsid w:val="007624AA"/>
    <w:rsid w:val="00762DCC"/>
    <w:rsid w:val="007634D1"/>
    <w:rsid w:val="0076478C"/>
    <w:rsid w:val="00764B31"/>
    <w:rsid w:val="00764B7C"/>
    <w:rsid w:val="00764C5B"/>
    <w:rsid w:val="007655FF"/>
    <w:rsid w:val="00765B3F"/>
    <w:rsid w:val="00765C90"/>
    <w:rsid w:val="00765F12"/>
    <w:rsid w:val="00766BD9"/>
    <w:rsid w:val="00767921"/>
    <w:rsid w:val="00770BAC"/>
    <w:rsid w:val="00771FBC"/>
    <w:rsid w:val="0077236F"/>
    <w:rsid w:val="0077282C"/>
    <w:rsid w:val="00772A41"/>
    <w:rsid w:val="00773199"/>
    <w:rsid w:val="00773A0F"/>
    <w:rsid w:val="007740AC"/>
    <w:rsid w:val="00774298"/>
    <w:rsid w:val="00774ACB"/>
    <w:rsid w:val="00775B44"/>
    <w:rsid w:val="00775CD3"/>
    <w:rsid w:val="007765A4"/>
    <w:rsid w:val="0077687C"/>
    <w:rsid w:val="0077798C"/>
    <w:rsid w:val="0078185A"/>
    <w:rsid w:val="00781A45"/>
    <w:rsid w:val="00782AC9"/>
    <w:rsid w:val="00782C06"/>
    <w:rsid w:val="007833F0"/>
    <w:rsid w:val="00783A81"/>
    <w:rsid w:val="007841F1"/>
    <w:rsid w:val="007847C1"/>
    <w:rsid w:val="00785043"/>
    <w:rsid w:val="0078541F"/>
    <w:rsid w:val="00785436"/>
    <w:rsid w:val="0078590E"/>
    <w:rsid w:val="007877C7"/>
    <w:rsid w:val="00790369"/>
    <w:rsid w:val="0079102C"/>
    <w:rsid w:val="0079145E"/>
    <w:rsid w:val="00791E62"/>
    <w:rsid w:val="0079224B"/>
    <w:rsid w:val="00792909"/>
    <w:rsid w:val="007940CC"/>
    <w:rsid w:val="00794150"/>
    <w:rsid w:val="00794A12"/>
    <w:rsid w:val="00794CB8"/>
    <w:rsid w:val="007959A7"/>
    <w:rsid w:val="0079601A"/>
    <w:rsid w:val="007972B2"/>
    <w:rsid w:val="00797574"/>
    <w:rsid w:val="007A0D48"/>
    <w:rsid w:val="007A1625"/>
    <w:rsid w:val="007A1D7C"/>
    <w:rsid w:val="007A2023"/>
    <w:rsid w:val="007A2C8F"/>
    <w:rsid w:val="007A2D97"/>
    <w:rsid w:val="007A33E9"/>
    <w:rsid w:val="007A4823"/>
    <w:rsid w:val="007A4958"/>
    <w:rsid w:val="007A4EB0"/>
    <w:rsid w:val="007A5644"/>
    <w:rsid w:val="007A594E"/>
    <w:rsid w:val="007A5C68"/>
    <w:rsid w:val="007A617B"/>
    <w:rsid w:val="007A673A"/>
    <w:rsid w:val="007A6C75"/>
    <w:rsid w:val="007A6EAE"/>
    <w:rsid w:val="007A72E1"/>
    <w:rsid w:val="007B02C4"/>
    <w:rsid w:val="007B0436"/>
    <w:rsid w:val="007B07E8"/>
    <w:rsid w:val="007B09B9"/>
    <w:rsid w:val="007B0FFB"/>
    <w:rsid w:val="007B1899"/>
    <w:rsid w:val="007B1A8D"/>
    <w:rsid w:val="007B249E"/>
    <w:rsid w:val="007B2EF9"/>
    <w:rsid w:val="007B3ECC"/>
    <w:rsid w:val="007B448A"/>
    <w:rsid w:val="007B51D5"/>
    <w:rsid w:val="007B5BFB"/>
    <w:rsid w:val="007B6455"/>
    <w:rsid w:val="007B6972"/>
    <w:rsid w:val="007B73B5"/>
    <w:rsid w:val="007B75A9"/>
    <w:rsid w:val="007C003D"/>
    <w:rsid w:val="007C0E77"/>
    <w:rsid w:val="007C1271"/>
    <w:rsid w:val="007C24A0"/>
    <w:rsid w:val="007C2792"/>
    <w:rsid w:val="007C3973"/>
    <w:rsid w:val="007C429C"/>
    <w:rsid w:val="007C45DF"/>
    <w:rsid w:val="007C72E1"/>
    <w:rsid w:val="007D06B4"/>
    <w:rsid w:val="007D0839"/>
    <w:rsid w:val="007D106A"/>
    <w:rsid w:val="007D16EB"/>
    <w:rsid w:val="007D200D"/>
    <w:rsid w:val="007D2660"/>
    <w:rsid w:val="007D2C4A"/>
    <w:rsid w:val="007D33B6"/>
    <w:rsid w:val="007D42A5"/>
    <w:rsid w:val="007D4369"/>
    <w:rsid w:val="007D4887"/>
    <w:rsid w:val="007D5274"/>
    <w:rsid w:val="007D53F9"/>
    <w:rsid w:val="007D5956"/>
    <w:rsid w:val="007D5B03"/>
    <w:rsid w:val="007D5CF4"/>
    <w:rsid w:val="007D62D3"/>
    <w:rsid w:val="007D635F"/>
    <w:rsid w:val="007D7211"/>
    <w:rsid w:val="007E00B2"/>
    <w:rsid w:val="007E07B5"/>
    <w:rsid w:val="007E12CC"/>
    <w:rsid w:val="007E1EF1"/>
    <w:rsid w:val="007E2704"/>
    <w:rsid w:val="007E3760"/>
    <w:rsid w:val="007E460F"/>
    <w:rsid w:val="007E485D"/>
    <w:rsid w:val="007E4D4A"/>
    <w:rsid w:val="007E4E4B"/>
    <w:rsid w:val="007E527E"/>
    <w:rsid w:val="007E53B3"/>
    <w:rsid w:val="007E54B6"/>
    <w:rsid w:val="007E5D8C"/>
    <w:rsid w:val="007E6F06"/>
    <w:rsid w:val="007E75C7"/>
    <w:rsid w:val="007E7E6A"/>
    <w:rsid w:val="007F0688"/>
    <w:rsid w:val="007F09B4"/>
    <w:rsid w:val="007F0D45"/>
    <w:rsid w:val="007F0EF8"/>
    <w:rsid w:val="007F11B1"/>
    <w:rsid w:val="007F134E"/>
    <w:rsid w:val="007F1586"/>
    <w:rsid w:val="007F1689"/>
    <w:rsid w:val="007F2507"/>
    <w:rsid w:val="007F29C4"/>
    <w:rsid w:val="007F30A1"/>
    <w:rsid w:val="007F3678"/>
    <w:rsid w:val="007F3DD8"/>
    <w:rsid w:val="007F4944"/>
    <w:rsid w:val="007F4C1B"/>
    <w:rsid w:val="007F51F6"/>
    <w:rsid w:val="007F6355"/>
    <w:rsid w:val="007F63F0"/>
    <w:rsid w:val="007F641F"/>
    <w:rsid w:val="007F7693"/>
    <w:rsid w:val="007F7B86"/>
    <w:rsid w:val="00800F94"/>
    <w:rsid w:val="00801113"/>
    <w:rsid w:val="008018EA"/>
    <w:rsid w:val="00801BDD"/>
    <w:rsid w:val="00801BF7"/>
    <w:rsid w:val="00801D1E"/>
    <w:rsid w:val="00802D1B"/>
    <w:rsid w:val="008030F3"/>
    <w:rsid w:val="0080374D"/>
    <w:rsid w:val="00804DB6"/>
    <w:rsid w:val="00804EDA"/>
    <w:rsid w:val="00804F4D"/>
    <w:rsid w:val="00805354"/>
    <w:rsid w:val="00806447"/>
    <w:rsid w:val="00806A0C"/>
    <w:rsid w:val="008072E1"/>
    <w:rsid w:val="00810DFD"/>
    <w:rsid w:val="00811C64"/>
    <w:rsid w:val="00812425"/>
    <w:rsid w:val="0081267E"/>
    <w:rsid w:val="0081308D"/>
    <w:rsid w:val="008137F2"/>
    <w:rsid w:val="00813C6E"/>
    <w:rsid w:val="0081587A"/>
    <w:rsid w:val="008159F0"/>
    <w:rsid w:val="00816125"/>
    <w:rsid w:val="0081668B"/>
    <w:rsid w:val="0081688C"/>
    <w:rsid w:val="00817818"/>
    <w:rsid w:val="00820B03"/>
    <w:rsid w:val="00821310"/>
    <w:rsid w:val="00821B97"/>
    <w:rsid w:val="00822004"/>
    <w:rsid w:val="00822092"/>
    <w:rsid w:val="00822722"/>
    <w:rsid w:val="00823387"/>
    <w:rsid w:val="00823A25"/>
    <w:rsid w:val="008243F0"/>
    <w:rsid w:val="008246EF"/>
    <w:rsid w:val="008248A6"/>
    <w:rsid w:val="0082493F"/>
    <w:rsid w:val="00824D16"/>
    <w:rsid w:val="008268F2"/>
    <w:rsid w:val="00827101"/>
    <w:rsid w:val="00827401"/>
    <w:rsid w:val="00827709"/>
    <w:rsid w:val="00827C47"/>
    <w:rsid w:val="00830B6C"/>
    <w:rsid w:val="00831400"/>
    <w:rsid w:val="0083186D"/>
    <w:rsid w:val="008319FE"/>
    <w:rsid w:val="00832471"/>
    <w:rsid w:val="00832630"/>
    <w:rsid w:val="00832A72"/>
    <w:rsid w:val="00832ED7"/>
    <w:rsid w:val="00833122"/>
    <w:rsid w:val="00833B42"/>
    <w:rsid w:val="00833B4B"/>
    <w:rsid w:val="00833BE4"/>
    <w:rsid w:val="00833D21"/>
    <w:rsid w:val="008342A2"/>
    <w:rsid w:val="008344C6"/>
    <w:rsid w:val="00834853"/>
    <w:rsid w:val="008348CC"/>
    <w:rsid w:val="008352C5"/>
    <w:rsid w:val="00835392"/>
    <w:rsid w:val="008353F8"/>
    <w:rsid w:val="00835E36"/>
    <w:rsid w:val="0083602C"/>
    <w:rsid w:val="00836B02"/>
    <w:rsid w:val="00837960"/>
    <w:rsid w:val="00837A7E"/>
    <w:rsid w:val="00837D14"/>
    <w:rsid w:val="008403F8"/>
    <w:rsid w:val="00840997"/>
    <w:rsid w:val="00840AF0"/>
    <w:rsid w:val="00840BCB"/>
    <w:rsid w:val="0084133E"/>
    <w:rsid w:val="00841474"/>
    <w:rsid w:val="00841B4F"/>
    <w:rsid w:val="00842241"/>
    <w:rsid w:val="00842663"/>
    <w:rsid w:val="0084330B"/>
    <w:rsid w:val="0084352D"/>
    <w:rsid w:val="008435BA"/>
    <w:rsid w:val="00844452"/>
    <w:rsid w:val="0084462B"/>
    <w:rsid w:val="00844C90"/>
    <w:rsid w:val="00845841"/>
    <w:rsid w:val="00845FD3"/>
    <w:rsid w:val="0084699F"/>
    <w:rsid w:val="00846D1A"/>
    <w:rsid w:val="00846E77"/>
    <w:rsid w:val="00847CC9"/>
    <w:rsid w:val="00847DE0"/>
    <w:rsid w:val="008500A6"/>
    <w:rsid w:val="0085024D"/>
    <w:rsid w:val="008508A9"/>
    <w:rsid w:val="008508E1"/>
    <w:rsid w:val="00850E97"/>
    <w:rsid w:val="008511C4"/>
    <w:rsid w:val="00852110"/>
    <w:rsid w:val="00852C12"/>
    <w:rsid w:val="00852ECD"/>
    <w:rsid w:val="008531F2"/>
    <w:rsid w:val="008540DD"/>
    <w:rsid w:val="008545C1"/>
    <w:rsid w:val="0085468A"/>
    <w:rsid w:val="008547CF"/>
    <w:rsid w:val="00855374"/>
    <w:rsid w:val="008558EC"/>
    <w:rsid w:val="008571FF"/>
    <w:rsid w:val="00861268"/>
    <w:rsid w:val="00861C9C"/>
    <w:rsid w:val="008640CE"/>
    <w:rsid w:val="00864D35"/>
    <w:rsid w:val="00865862"/>
    <w:rsid w:val="00865D80"/>
    <w:rsid w:val="00866179"/>
    <w:rsid w:val="0086628B"/>
    <w:rsid w:val="00866439"/>
    <w:rsid w:val="008665EC"/>
    <w:rsid w:val="00866EBC"/>
    <w:rsid w:val="00867371"/>
    <w:rsid w:val="008679B7"/>
    <w:rsid w:val="008679DC"/>
    <w:rsid w:val="0087096B"/>
    <w:rsid w:val="008720FB"/>
    <w:rsid w:val="008726D5"/>
    <w:rsid w:val="008727FF"/>
    <w:rsid w:val="00872D41"/>
    <w:rsid w:val="00873E0D"/>
    <w:rsid w:val="00873EC3"/>
    <w:rsid w:val="00874863"/>
    <w:rsid w:val="00875FB5"/>
    <w:rsid w:val="0087621B"/>
    <w:rsid w:val="00876646"/>
    <w:rsid w:val="00877E5F"/>
    <w:rsid w:val="00880219"/>
    <w:rsid w:val="008808AE"/>
    <w:rsid w:val="00880E64"/>
    <w:rsid w:val="008810DB"/>
    <w:rsid w:val="008811CE"/>
    <w:rsid w:val="00881649"/>
    <w:rsid w:val="00881CEC"/>
    <w:rsid w:val="00882852"/>
    <w:rsid w:val="00882C2B"/>
    <w:rsid w:val="008839DF"/>
    <w:rsid w:val="00883B09"/>
    <w:rsid w:val="0088533E"/>
    <w:rsid w:val="00886607"/>
    <w:rsid w:val="00887055"/>
    <w:rsid w:val="008871F4"/>
    <w:rsid w:val="008900AF"/>
    <w:rsid w:val="00890152"/>
    <w:rsid w:val="00890E8F"/>
    <w:rsid w:val="00891941"/>
    <w:rsid w:val="00892069"/>
    <w:rsid w:val="00893AFC"/>
    <w:rsid w:val="008967E2"/>
    <w:rsid w:val="00896904"/>
    <w:rsid w:val="008969E6"/>
    <w:rsid w:val="00896D67"/>
    <w:rsid w:val="0089705B"/>
    <w:rsid w:val="008970C6"/>
    <w:rsid w:val="00897315"/>
    <w:rsid w:val="00897663"/>
    <w:rsid w:val="008A00E3"/>
    <w:rsid w:val="008A07AB"/>
    <w:rsid w:val="008A08D1"/>
    <w:rsid w:val="008A0EFA"/>
    <w:rsid w:val="008A3081"/>
    <w:rsid w:val="008A3852"/>
    <w:rsid w:val="008A3942"/>
    <w:rsid w:val="008A3E55"/>
    <w:rsid w:val="008A42E7"/>
    <w:rsid w:val="008A5586"/>
    <w:rsid w:val="008A6219"/>
    <w:rsid w:val="008A7339"/>
    <w:rsid w:val="008B0DCC"/>
    <w:rsid w:val="008B0EA7"/>
    <w:rsid w:val="008B12FB"/>
    <w:rsid w:val="008B2474"/>
    <w:rsid w:val="008B2811"/>
    <w:rsid w:val="008B2AB2"/>
    <w:rsid w:val="008B3B55"/>
    <w:rsid w:val="008B42D4"/>
    <w:rsid w:val="008B48AA"/>
    <w:rsid w:val="008B59F6"/>
    <w:rsid w:val="008B5D16"/>
    <w:rsid w:val="008B646D"/>
    <w:rsid w:val="008B6F74"/>
    <w:rsid w:val="008B70C0"/>
    <w:rsid w:val="008B742F"/>
    <w:rsid w:val="008B7787"/>
    <w:rsid w:val="008B789E"/>
    <w:rsid w:val="008C00E1"/>
    <w:rsid w:val="008C1C22"/>
    <w:rsid w:val="008C215E"/>
    <w:rsid w:val="008C254E"/>
    <w:rsid w:val="008C2CB9"/>
    <w:rsid w:val="008C2EF1"/>
    <w:rsid w:val="008C3167"/>
    <w:rsid w:val="008C336B"/>
    <w:rsid w:val="008C443F"/>
    <w:rsid w:val="008C48FF"/>
    <w:rsid w:val="008C5BB6"/>
    <w:rsid w:val="008C6EE5"/>
    <w:rsid w:val="008C716F"/>
    <w:rsid w:val="008C7A02"/>
    <w:rsid w:val="008D022E"/>
    <w:rsid w:val="008D037D"/>
    <w:rsid w:val="008D0BE5"/>
    <w:rsid w:val="008D0DD7"/>
    <w:rsid w:val="008D129E"/>
    <w:rsid w:val="008D17C2"/>
    <w:rsid w:val="008D1E6F"/>
    <w:rsid w:val="008D2091"/>
    <w:rsid w:val="008D2215"/>
    <w:rsid w:val="008D24B7"/>
    <w:rsid w:val="008D2A15"/>
    <w:rsid w:val="008D3472"/>
    <w:rsid w:val="008D349B"/>
    <w:rsid w:val="008D34EE"/>
    <w:rsid w:val="008D4A54"/>
    <w:rsid w:val="008D582D"/>
    <w:rsid w:val="008D5903"/>
    <w:rsid w:val="008D71F2"/>
    <w:rsid w:val="008E0598"/>
    <w:rsid w:val="008E15D9"/>
    <w:rsid w:val="008E3BB6"/>
    <w:rsid w:val="008E3E81"/>
    <w:rsid w:val="008E40C0"/>
    <w:rsid w:val="008E4FA3"/>
    <w:rsid w:val="008E5641"/>
    <w:rsid w:val="008E579C"/>
    <w:rsid w:val="008E5894"/>
    <w:rsid w:val="008E68C7"/>
    <w:rsid w:val="008E68D6"/>
    <w:rsid w:val="008E6BF0"/>
    <w:rsid w:val="008E79B4"/>
    <w:rsid w:val="008E7C15"/>
    <w:rsid w:val="008F0D88"/>
    <w:rsid w:val="008F31B2"/>
    <w:rsid w:val="008F3212"/>
    <w:rsid w:val="008F3712"/>
    <w:rsid w:val="008F3BB7"/>
    <w:rsid w:val="008F3DC9"/>
    <w:rsid w:val="008F401B"/>
    <w:rsid w:val="008F4547"/>
    <w:rsid w:val="008F52D0"/>
    <w:rsid w:val="008F5BDC"/>
    <w:rsid w:val="008F61C9"/>
    <w:rsid w:val="008F64C0"/>
    <w:rsid w:val="008F668E"/>
    <w:rsid w:val="008F673F"/>
    <w:rsid w:val="008F6AD5"/>
    <w:rsid w:val="008F6EA1"/>
    <w:rsid w:val="008F7101"/>
    <w:rsid w:val="008F72B1"/>
    <w:rsid w:val="008F77EF"/>
    <w:rsid w:val="008F7846"/>
    <w:rsid w:val="008F7FA0"/>
    <w:rsid w:val="009003C2"/>
    <w:rsid w:val="00901235"/>
    <w:rsid w:val="009015C8"/>
    <w:rsid w:val="0090253B"/>
    <w:rsid w:val="0090273E"/>
    <w:rsid w:val="00902B15"/>
    <w:rsid w:val="00903719"/>
    <w:rsid w:val="009038D3"/>
    <w:rsid w:val="00904117"/>
    <w:rsid w:val="00904FC1"/>
    <w:rsid w:val="009053E6"/>
    <w:rsid w:val="00905D4E"/>
    <w:rsid w:val="0090603C"/>
    <w:rsid w:val="00906BD9"/>
    <w:rsid w:val="00906BE2"/>
    <w:rsid w:val="009072C0"/>
    <w:rsid w:val="0090782F"/>
    <w:rsid w:val="00907C8E"/>
    <w:rsid w:val="009101D4"/>
    <w:rsid w:val="00910298"/>
    <w:rsid w:val="009105F4"/>
    <w:rsid w:val="0091085C"/>
    <w:rsid w:val="00911078"/>
    <w:rsid w:val="00911B8B"/>
    <w:rsid w:val="00912699"/>
    <w:rsid w:val="00915E1E"/>
    <w:rsid w:val="00916A3B"/>
    <w:rsid w:val="00916DD3"/>
    <w:rsid w:val="009173B2"/>
    <w:rsid w:val="00920919"/>
    <w:rsid w:val="00920BCA"/>
    <w:rsid w:val="00920C64"/>
    <w:rsid w:val="00921115"/>
    <w:rsid w:val="009227ED"/>
    <w:rsid w:val="00923848"/>
    <w:rsid w:val="00923C69"/>
    <w:rsid w:val="0092413F"/>
    <w:rsid w:val="009241C5"/>
    <w:rsid w:val="009243D1"/>
    <w:rsid w:val="00925FBC"/>
    <w:rsid w:val="00926C6E"/>
    <w:rsid w:val="00926D4C"/>
    <w:rsid w:val="00927144"/>
    <w:rsid w:val="009273D7"/>
    <w:rsid w:val="009312B6"/>
    <w:rsid w:val="00931651"/>
    <w:rsid w:val="009321BB"/>
    <w:rsid w:val="009323EE"/>
    <w:rsid w:val="009329D9"/>
    <w:rsid w:val="00933580"/>
    <w:rsid w:val="00934925"/>
    <w:rsid w:val="00935558"/>
    <w:rsid w:val="00935620"/>
    <w:rsid w:val="0093586A"/>
    <w:rsid w:val="00936ADC"/>
    <w:rsid w:val="00937620"/>
    <w:rsid w:val="009377F6"/>
    <w:rsid w:val="00940ADD"/>
    <w:rsid w:val="00940B94"/>
    <w:rsid w:val="0094136D"/>
    <w:rsid w:val="009419FE"/>
    <w:rsid w:val="00942753"/>
    <w:rsid w:val="009428A7"/>
    <w:rsid w:val="00942A31"/>
    <w:rsid w:val="00942ACD"/>
    <w:rsid w:val="00942F3D"/>
    <w:rsid w:val="00943D28"/>
    <w:rsid w:val="0094447C"/>
    <w:rsid w:val="009448F5"/>
    <w:rsid w:val="00944975"/>
    <w:rsid w:val="00944A36"/>
    <w:rsid w:val="00945273"/>
    <w:rsid w:val="009457CE"/>
    <w:rsid w:val="00945DD5"/>
    <w:rsid w:val="0094600F"/>
    <w:rsid w:val="00946341"/>
    <w:rsid w:val="009464DC"/>
    <w:rsid w:val="0094711A"/>
    <w:rsid w:val="00947A14"/>
    <w:rsid w:val="00950E02"/>
    <w:rsid w:val="0095200F"/>
    <w:rsid w:val="0095248B"/>
    <w:rsid w:val="00952B69"/>
    <w:rsid w:val="00952B93"/>
    <w:rsid w:val="00952E71"/>
    <w:rsid w:val="00952FF8"/>
    <w:rsid w:val="0095305D"/>
    <w:rsid w:val="00954D8F"/>
    <w:rsid w:val="00955D20"/>
    <w:rsid w:val="00956B29"/>
    <w:rsid w:val="009601F0"/>
    <w:rsid w:val="00961931"/>
    <w:rsid w:val="00962A0D"/>
    <w:rsid w:val="00962D9D"/>
    <w:rsid w:val="009630D8"/>
    <w:rsid w:val="0096336E"/>
    <w:rsid w:val="0096387B"/>
    <w:rsid w:val="00963DCD"/>
    <w:rsid w:val="00963DF9"/>
    <w:rsid w:val="0096423E"/>
    <w:rsid w:val="0096429D"/>
    <w:rsid w:val="00964362"/>
    <w:rsid w:val="009644BA"/>
    <w:rsid w:val="00964612"/>
    <w:rsid w:val="00964A60"/>
    <w:rsid w:val="00964DD2"/>
    <w:rsid w:val="00965A8C"/>
    <w:rsid w:val="009665F5"/>
    <w:rsid w:val="00966D94"/>
    <w:rsid w:val="00967311"/>
    <w:rsid w:val="00970B93"/>
    <w:rsid w:val="0097160E"/>
    <w:rsid w:val="00971BAD"/>
    <w:rsid w:val="00973BF2"/>
    <w:rsid w:val="00974157"/>
    <w:rsid w:val="009750D2"/>
    <w:rsid w:val="00975832"/>
    <w:rsid w:val="00975F87"/>
    <w:rsid w:val="00976B01"/>
    <w:rsid w:val="009770A9"/>
    <w:rsid w:val="009776B5"/>
    <w:rsid w:val="00977D2D"/>
    <w:rsid w:val="009800B1"/>
    <w:rsid w:val="009802CE"/>
    <w:rsid w:val="00980DA7"/>
    <w:rsid w:val="0098130D"/>
    <w:rsid w:val="00981489"/>
    <w:rsid w:val="009814C4"/>
    <w:rsid w:val="009818BD"/>
    <w:rsid w:val="009819F9"/>
    <w:rsid w:val="009827D6"/>
    <w:rsid w:val="00982DD4"/>
    <w:rsid w:val="00982EA2"/>
    <w:rsid w:val="0098339B"/>
    <w:rsid w:val="009834FC"/>
    <w:rsid w:val="00983C6F"/>
    <w:rsid w:val="00984418"/>
    <w:rsid w:val="00985826"/>
    <w:rsid w:val="00985C56"/>
    <w:rsid w:val="009868CA"/>
    <w:rsid w:val="009873B8"/>
    <w:rsid w:val="009873E5"/>
    <w:rsid w:val="00990213"/>
    <w:rsid w:val="009907DB"/>
    <w:rsid w:val="00991834"/>
    <w:rsid w:val="00991F9D"/>
    <w:rsid w:val="0099231B"/>
    <w:rsid w:val="0099262F"/>
    <w:rsid w:val="00992BC7"/>
    <w:rsid w:val="00993E90"/>
    <w:rsid w:val="00993FDC"/>
    <w:rsid w:val="0099400C"/>
    <w:rsid w:val="00995144"/>
    <w:rsid w:val="00995B3B"/>
    <w:rsid w:val="0099656F"/>
    <w:rsid w:val="00997B66"/>
    <w:rsid w:val="009A01A2"/>
    <w:rsid w:val="009A0BF6"/>
    <w:rsid w:val="009A1698"/>
    <w:rsid w:val="009A1743"/>
    <w:rsid w:val="009A231B"/>
    <w:rsid w:val="009A2590"/>
    <w:rsid w:val="009A2890"/>
    <w:rsid w:val="009A3755"/>
    <w:rsid w:val="009A390B"/>
    <w:rsid w:val="009A3F83"/>
    <w:rsid w:val="009A421C"/>
    <w:rsid w:val="009A49BF"/>
    <w:rsid w:val="009A4B24"/>
    <w:rsid w:val="009A6827"/>
    <w:rsid w:val="009A690E"/>
    <w:rsid w:val="009A6C75"/>
    <w:rsid w:val="009A7116"/>
    <w:rsid w:val="009A7469"/>
    <w:rsid w:val="009A747C"/>
    <w:rsid w:val="009A77D5"/>
    <w:rsid w:val="009A7875"/>
    <w:rsid w:val="009B009C"/>
    <w:rsid w:val="009B0CFB"/>
    <w:rsid w:val="009B0DCD"/>
    <w:rsid w:val="009B17F5"/>
    <w:rsid w:val="009B1AE3"/>
    <w:rsid w:val="009B3DB1"/>
    <w:rsid w:val="009B4C56"/>
    <w:rsid w:val="009B4D6C"/>
    <w:rsid w:val="009B4D94"/>
    <w:rsid w:val="009B4E09"/>
    <w:rsid w:val="009B5A4F"/>
    <w:rsid w:val="009B6845"/>
    <w:rsid w:val="009C0132"/>
    <w:rsid w:val="009C04E8"/>
    <w:rsid w:val="009C0617"/>
    <w:rsid w:val="009C15C4"/>
    <w:rsid w:val="009C2591"/>
    <w:rsid w:val="009C2B59"/>
    <w:rsid w:val="009C315E"/>
    <w:rsid w:val="009C3376"/>
    <w:rsid w:val="009C3B42"/>
    <w:rsid w:val="009C3BCF"/>
    <w:rsid w:val="009C41DD"/>
    <w:rsid w:val="009C4461"/>
    <w:rsid w:val="009C4559"/>
    <w:rsid w:val="009C4D2D"/>
    <w:rsid w:val="009C558D"/>
    <w:rsid w:val="009C566B"/>
    <w:rsid w:val="009C5908"/>
    <w:rsid w:val="009C6441"/>
    <w:rsid w:val="009C64E4"/>
    <w:rsid w:val="009C6547"/>
    <w:rsid w:val="009C7110"/>
    <w:rsid w:val="009C75B7"/>
    <w:rsid w:val="009D0675"/>
    <w:rsid w:val="009D0A1F"/>
    <w:rsid w:val="009D0FCF"/>
    <w:rsid w:val="009D1BCA"/>
    <w:rsid w:val="009D1E76"/>
    <w:rsid w:val="009D21EC"/>
    <w:rsid w:val="009D241E"/>
    <w:rsid w:val="009D3160"/>
    <w:rsid w:val="009D356F"/>
    <w:rsid w:val="009D3E87"/>
    <w:rsid w:val="009D412C"/>
    <w:rsid w:val="009D4188"/>
    <w:rsid w:val="009D42FD"/>
    <w:rsid w:val="009D443B"/>
    <w:rsid w:val="009D48B0"/>
    <w:rsid w:val="009D5010"/>
    <w:rsid w:val="009D5039"/>
    <w:rsid w:val="009D57F5"/>
    <w:rsid w:val="009D663F"/>
    <w:rsid w:val="009D686A"/>
    <w:rsid w:val="009D720E"/>
    <w:rsid w:val="009E00BA"/>
    <w:rsid w:val="009E05FE"/>
    <w:rsid w:val="009E1619"/>
    <w:rsid w:val="009E17F8"/>
    <w:rsid w:val="009E1B51"/>
    <w:rsid w:val="009E2341"/>
    <w:rsid w:val="009E27F1"/>
    <w:rsid w:val="009E28EE"/>
    <w:rsid w:val="009E339F"/>
    <w:rsid w:val="009E3547"/>
    <w:rsid w:val="009E37BD"/>
    <w:rsid w:val="009E4149"/>
    <w:rsid w:val="009E4525"/>
    <w:rsid w:val="009E48DA"/>
    <w:rsid w:val="009E5B12"/>
    <w:rsid w:val="009E5B1F"/>
    <w:rsid w:val="009E68BE"/>
    <w:rsid w:val="009E6FDE"/>
    <w:rsid w:val="009E7B03"/>
    <w:rsid w:val="009E7FF2"/>
    <w:rsid w:val="009F180B"/>
    <w:rsid w:val="009F3237"/>
    <w:rsid w:val="009F3498"/>
    <w:rsid w:val="009F3C25"/>
    <w:rsid w:val="009F49C1"/>
    <w:rsid w:val="009F4F49"/>
    <w:rsid w:val="009F5447"/>
    <w:rsid w:val="009F56A7"/>
    <w:rsid w:val="009F5953"/>
    <w:rsid w:val="009F5B16"/>
    <w:rsid w:val="009F618E"/>
    <w:rsid w:val="009F6317"/>
    <w:rsid w:val="009F650E"/>
    <w:rsid w:val="009F70E7"/>
    <w:rsid w:val="009F7277"/>
    <w:rsid w:val="009F7325"/>
    <w:rsid w:val="009F78E6"/>
    <w:rsid w:val="00A00A73"/>
    <w:rsid w:val="00A00E76"/>
    <w:rsid w:val="00A013AB"/>
    <w:rsid w:val="00A01DF7"/>
    <w:rsid w:val="00A02035"/>
    <w:rsid w:val="00A023D7"/>
    <w:rsid w:val="00A0248F"/>
    <w:rsid w:val="00A0260A"/>
    <w:rsid w:val="00A034D3"/>
    <w:rsid w:val="00A03607"/>
    <w:rsid w:val="00A0394A"/>
    <w:rsid w:val="00A03D30"/>
    <w:rsid w:val="00A03DE4"/>
    <w:rsid w:val="00A04555"/>
    <w:rsid w:val="00A057C8"/>
    <w:rsid w:val="00A06C0E"/>
    <w:rsid w:val="00A071B3"/>
    <w:rsid w:val="00A074ED"/>
    <w:rsid w:val="00A0762B"/>
    <w:rsid w:val="00A102AF"/>
    <w:rsid w:val="00A10BCF"/>
    <w:rsid w:val="00A10CB0"/>
    <w:rsid w:val="00A11819"/>
    <w:rsid w:val="00A11EA4"/>
    <w:rsid w:val="00A12332"/>
    <w:rsid w:val="00A124E0"/>
    <w:rsid w:val="00A129A7"/>
    <w:rsid w:val="00A130F5"/>
    <w:rsid w:val="00A133EC"/>
    <w:rsid w:val="00A13670"/>
    <w:rsid w:val="00A140AC"/>
    <w:rsid w:val="00A1425B"/>
    <w:rsid w:val="00A149ED"/>
    <w:rsid w:val="00A16B10"/>
    <w:rsid w:val="00A16D4F"/>
    <w:rsid w:val="00A1708F"/>
    <w:rsid w:val="00A1757E"/>
    <w:rsid w:val="00A17B30"/>
    <w:rsid w:val="00A17C59"/>
    <w:rsid w:val="00A201C5"/>
    <w:rsid w:val="00A20823"/>
    <w:rsid w:val="00A20BBC"/>
    <w:rsid w:val="00A20F44"/>
    <w:rsid w:val="00A210F9"/>
    <w:rsid w:val="00A21538"/>
    <w:rsid w:val="00A220AD"/>
    <w:rsid w:val="00A24438"/>
    <w:rsid w:val="00A260EE"/>
    <w:rsid w:val="00A26316"/>
    <w:rsid w:val="00A26855"/>
    <w:rsid w:val="00A27AC6"/>
    <w:rsid w:val="00A302A8"/>
    <w:rsid w:val="00A31BC9"/>
    <w:rsid w:val="00A32B25"/>
    <w:rsid w:val="00A33463"/>
    <w:rsid w:val="00A3385C"/>
    <w:rsid w:val="00A3406B"/>
    <w:rsid w:val="00A34347"/>
    <w:rsid w:val="00A350A2"/>
    <w:rsid w:val="00A35269"/>
    <w:rsid w:val="00A3573B"/>
    <w:rsid w:val="00A35768"/>
    <w:rsid w:val="00A35E15"/>
    <w:rsid w:val="00A360BB"/>
    <w:rsid w:val="00A3613E"/>
    <w:rsid w:val="00A370AE"/>
    <w:rsid w:val="00A373BD"/>
    <w:rsid w:val="00A37C23"/>
    <w:rsid w:val="00A40B19"/>
    <w:rsid w:val="00A41256"/>
    <w:rsid w:val="00A41F6F"/>
    <w:rsid w:val="00A4257D"/>
    <w:rsid w:val="00A42A8D"/>
    <w:rsid w:val="00A43117"/>
    <w:rsid w:val="00A4319E"/>
    <w:rsid w:val="00A4370B"/>
    <w:rsid w:val="00A43741"/>
    <w:rsid w:val="00A43E87"/>
    <w:rsid w:val="00A441B8"/>
    <w:rsid w:val="00A4476F"/>
    <w:rsid w:val="00A4589E"/>
    <w:rsid w:val="00A466AF"/>
    <w:rsid w:val="00A46A06"/>
    <w:rsid w:val="00A46A29"/>
    <w:rsid w:val="00A46F8D"/>
    <w:rsid w:val="00A4739D"/>
    <w:rsid w:val="00A47B7C"/>
    <w:rsid w:val="00A50DEC"/>
    <w:rsid w:val="00A5196A"/>
    <w:rsid w:val="00A51E44"/>
    <w:rsid w:val="00A526B1"/>
    <w:rsid w:val="00A52747"/>
    <w:rsid w:val="00A527DB"/>
    <w:rsid w:val="00A531D8"/>
    <w:rsid w:val="00A53D51"/>
    <w:rsid w:val="00A53E2E"/>
    <w:rsid w:val="00A53FF1"/>
    <w:rsid w:val="00A544EF"/>
    <w:rsid w:val="00A54D9C"/>
    <w:rsid w:val="00A54EE6"/>
    <w:rsid w:val="00A55956"/>
    <w:rsid w:val="00A559CD"/>
    <w:rsid w:val="00A559FC"/>
    <w:rsid w:val="00A55EC6"/>
    <w:rsid w:val="00A563C2"/>
    <w:rsid w:val="00A56862"/>
    <w:rsid w:val="00A56A64"/>
    <w:rsid w:val="00A572DE"/>
    <w:rsid w:val="00A57F2C"/>
    <w:rsid w:val="00A57F79"/>
    <w:rsid w:val="00A607CA"/>
    <w:rsid w:val="00A608D2"/>
    <w:rsid w:val="00A6204B"/>
    <w:rsid w:val="00A62448"/>
    <w:rsid w:val="00A6273E"/>
    <w:rsid w:val="00A628C1"/>
    <w:rsid w:val="00A62A32"/>
    <w:rsid w:val="00A62B57"/>
    <w:rsid w:val="00A63224"/>
    <w:rsid w:val="00A63F8C"/>
    <w:rsid w:val="00A644B2"/>
    <w:rsid w:val="00A64796"/>
    <w:rsid w:val="00A64C91"/>
    <w:rsid w:val="00A65E2E"/>
    <w:rsid w:val="00A664F3"/>
    <w:rsid w:val="00A66B04"/>
    <w:rsid w:val="00A66FB2"/>
    <w:rsid w:val="00A67058"/>
    <w:rsid w:val="00A67070"/>
    <w:rsid w:val="00A671E7"/>
    <w:rsid w:val="00A67774"/>
    <w:rsid w:val="00A67D29"/>
    <w:rsid w:val="00A67E8D"/>
    <w:rsid w:val="00A714E2"/>
    <w:rsid w:val="00A71C7C"/>
    <w:rsid w:val="00A721E3"/>
    <w:rsid w:val="00A7235E"/>
    <w:rsid w:val="00A72886"/>
    <w:rsid w:val="00A73B22"/>
    <w:rsid w:val="00A759A8"/>
    <w:rsid w:val="00A75A2D"/>
    <w:rsid w:val="00A76137"/>
    <w:rsid w:val="00A768C9"/>
    <w:rsid w:val="00A76912"/>
    <w:rsid w:val="00A76C82"/>
    <w:rsid w:val="00A77BF1"/>
    <w:rsid w:val="00A77CAA"/>
    <w:rsid w:val="00A77E2B"/>
    <w:rsid w:val="00A77E32"/>
    <w:rsid w:val="00A81712"/>
    <w:rsid w:val="00A81B24"/>
    <w:rsid w:val="00A83B0F"/>
    <w:rsid w:val="00A83F76"/>
    <w:rsid w:val="00A83FEB"/>
    <w:rsid w:val="00A84059"/>
    <w:rsid w:val="00A84F8E"/>
    <w:rsid w:val="00A85774"/>
    <w:rsid w:val="00A85842"/>
    <w:rsid w:val="00A871BC"/>
    <w:rsid w:val="00A8733A"/>
    <w:rsid w:val="00A908F2"/>
    <w:rsid w:val="00A90E18"/>
    <w:rsid w:val="00A92799"/>
    <w:rsid w:val="00A927FE"/>
    <w:rsid w:val="00A92992"/>
    <w:rsid w:val="00A9341C"/>
    <w:rsid w:val="00A93B99"/>
    <w:rsid w:val="00A943BA"/>
    <w:rsid w:val="00A947F7"/>
    <w:rsid w:val="00A949C0"/>
    <w:rsid w:val="00A954D1"/>
    <w:rsid w:val="00A965C2"/>
    <w:rsid w:val="00A96D7A"/>
    <w:rsid w:val="00A96FC5"/>
    <w:rsid w:val="00A97E0E"/>
    <w:rsid w:val="00A97EC5"/>
    <w:rsid w:val="00AA0008"/>
    <w:rsid w:val="00AA076D"/>
    <w:rsid w:val="00AA0F63"/>
    <w:rsid w:val="00AA15A1"/>
    <w:rsid w:val="00AA20ED"/>
    <w:rsid w:val="00AA2ACB"/>
    <w:rsid w:val="00AA3305"/>
    <w:rsid w:val="00AA35CB"/>
    <w:rsid w:val="00AA3DAC"/>
    <w:rsid w:val="00AA4ADD"/>
    <w:rsid w:val="00AA4C88"/>
    <w:rsid w:val="00AA4E02"/>
    <w:rsid w:val="00AA5342"/>
    <w:rsid w:val="00AA53EF"/>
    <w:rsid w:val="00AA57E2"/>
    <w:rsid w:val="00AA6292"/>
    <w:rsid w:val="00AA680C"/>
    <w:rsid w:val="00AA74AF"/>
    <w:rsid w:val="00AA7949"/>
    <w:rsid w:val="00AB033E"/>
    <w:rsid w:val="00AB0B19"/>
    <w:rsid w:val="00AB0BE4"/>
    <w:rsid w:val="00AB0F94"/>
    <w:rsid w:val="00AB17F6"/>
    <w:rsid w:val="00AB1811"/>
    <w:rsid w:val="00AB32D0"/>
    <w:rsid w:val="00AB33E8"/>
    <w:rsid w:val="00AB3DE9"/>
    <w:rsid w:val="00AB3F7E"/>
    <w:rsid w:val="00AB4285"/>
    <w:rsid w:val="00AB4349"/>
    <w:rsid w:val="00AB511B"/>
    <w:rsid w:val="00AB51CD"/>
    <w:rsid w:val="00AB532D"/>
    <w:rsid w:val="00AB5DDB"/>
    <w:rsid w:val="00AB608E"/>
    <w:rsid w:val="00AB6C29"/>
    <w:rsid w:val="00AB74EF"/>
    <w:rsid w:val="00AB7DE7"/>
    <w:rsid w:val="00AC0B80"/>
    <w:rsid w:val="00AC0C3B"/>
    <w:rsid w:val="00AC0D23"/>
    <w:rsid w:val="00AC0D40"/>
    <w:rsid w:val="00AC1D27"/>
    <w:rsid w:val="00AC1DF9"/>
    <w:rsid w:val="00AC28E4"/>
    <w:rsid w:val="00AC3AAB"/>
    <w:rsid w:val="00AC3CEF"/>
    <w:rsid w:val="00AC477F"/>
    <w:rsid w:val="00AC4AE6"/>
    <w:rsid w:val="00AC5B4D"/>
    <w:rsid w:val="00AC7A66"/>
    <w:rsid w:val="00AD0190"/>
    <w:rsid w:val="00AD034D"/>
    <w:rsid w:val="00AD0A66"/>
    <w:rsid w:val="00AD0D96"/>
    <w:rsid w:val="00AD0FB6"/>
    <w:rsid w:val="00AD2050"/>
    <w:rsid w:val="00AD21D4"/>
    <w:rsid w:val="00AD2DDE"/>
    <w:rsid w:val="00AD3839"/>
    <w:rsid w:val="00AD4485"/>
    <w:rsid w:val="00AD4ECC"/>
    <w:rsid w:val="00AD4F95"/>
    <w:rsid w:val="00AD528A"/>
    <w:rsid w:val="00AD5923"/>
    <w:rsid w:val="00AD619A"/>
    <w:rsid w:val="00AD64E1"/>
    <w:rsid w:val="00AD79EE"/>
    <w:rsid w:val="00AD7EEF"/>
    <w:rsid w:val="00AE0FB8"/>
    <w:rsid w:val="00AE1126"/>
    <w:rsid w:val="00AE2A10"/>
    <w:rsid w:val="00AE42F0"/>
    <w:rsid w:val="00AE4C9A"/>
    <w:rsid w:val="00AE58AC"/>
    <w:rsid w:val="00AE5C82"/>
    <w:rsid w:val="00AE6459"/>
    <w:rsid w:val="00AE695B"/>
    <w:rsid w:val="00AE76A4"/>
    <w:rsid w:val="00AE78D1"/>
    <w:rsid w:val="00AE7CA1"/>
    <w:rsid w:val="00AF0190"/>
    <w:rsid w:val="00AF0D7B"/>
    <w:rsid w:val="00AF12D2"/>
    <w:rsid w:val="00AF1432"/>
    <w:rsid w:val="00AF31A1"/>
    <w:rsid w:val="00AF475C"/>
    <w:rsid w:val="00AF4797"/>
    <w:rsid w:val="00AF5299"/>
    <w:rsid w:val="00AF56F3"/>
    <w:rsid w:val="00AF58BB"/>
    <w:rsid w:val="00AF5F4F"/>
    <w:rsid w:val="00AF65F5"/>
    <w:rsid w:val="00AF6680"/>
    <w:rsid w:val="00AF68FE"/>
    <w:rsid w:val="00AF6B55"/>
    <w:rsid w:val="00AF6DE5"/>
    <w:rsid w:val="00AF7AD7"/>
    <w:rsid w:val="00B00100"/>
    <w:rsid w:val="00B0021E"/>
    <w:rsid w:val="00B00283"/>
    <w:rsid w:val="00B00CD8"/>
    <w:rsid w:val="00B00E8B"/>
    <w:rsid w:val="00B0124A"/>
    <w:rsid w:val="00B01B09"/>
    <w:rsid w:val="00B01DEA"/>
    <w:rsid w:val="00B02C24"/>
    <w:rsid w:val="00B02E10"/>
    <w:rsid w:val="00B0303A"/>
    <w:rsid w:val="00B03375"/>
    <w:rsid w:val="00B0426C"/>
    <w:rsid w:val="00B05402"/>
    <w:rsid w:val="00B0546B"/>
    <w:rsid w:val="00B06909"/>
    <w:rsid w:val="00B105EC"/>
    <w:rsid w:val="00B10A70"/>
    <w:rsid w:val="00B11659"/>
    <w:rsid w:val="00B12D95"/>
    <w:rsid w:val="00B1300F"/>
    <w:rsid w:val="00B13086"/>
    <w:rsid w:val="00B138D5"/>
    <w:rsid w:val="00B13BA8"/>
    <w:rsid w:val="00B13FCD"/>
    <w:rsid w:val="00B143B6"/>
    <w:rsid w:val="00B14C60"/>
    <w:rsid w:val="00B15736"/>
    <w:rsid w:val="00B1584E"/>
    <w:rsid w:val="00B15AE5"/>
    <w:rsid w:val="00B15DE4"/>
    <w:rsid w:val="00B16DE5"/>
    <w:rsid w:val="00B1789D"/>
    <w:rsid w:val="00B17FB5"/>
    <w:rsid w:val="00B20498"/>
    <w:rsid w:val="00B20DB4"/>
    <w:rsid w:val="00B20F38"/>
    <w:rsid w:val="00B212E6"/>
    <w:rsid w:val="00B21CF3"/>
    <w:rsid w:val="00B21ED3"/>
    <w:rsid w:val="00B23051"/>
    <w:rsid w:val="00B23DE1"/>
    <w:rsid w:val="00B24CB4"/>
    <w:rsid w:val="00B257D1"/>
    <w:rsid w:val="00B25907"/>
    <w:rsid w:val="00B25BFA"/>
    <w:rsid w:val="00B26A72"/>
    <w:rsid w:val="00B26BF8"/>
    <w:rsid w:val="00B26DFE"/>
    <w:rsid w:val="00B27346"/>
    <w:rsid w:val="00B274F9"/>
    <w:rsid w:val="00B27505"/>
    <w:rsid w:val="00B27545"/>
    <w:rsid w:val="00B300A0"/>
    <w:rsid w:val="00B30820"/>
    <w:rsid w:val="00B30FB6"/>
    <w:rsid w:val="00B31CB3"/>
    <w:rsid w:val="00B3305E"/>
    <w:rsid w:val="00B33545"/>
    <w:rsid w:val="00B33870"/>
    <w:rsid w:val="00B3431E"/>
    <w:rsid w:val="00B3489A"/>
    <w:rsid w:val="00B34CBD"/>
    <w:rsid w:val="00B3531E"/>
    <w:rsid w:val="00B3586B"/>
    <w:rsid w:val="00B35D9B"/>
    <w:rsid w:val="00B375B2"/>
    <w:rsid w:val="00B37F4C"/>
    <w:rsid w:val="00B4142E"/>
    <w:rsid w:val="00B41516"/>
    <w:rsid w:val="00B41A6C"/>
    <w:rsid w:val="00B41CC0"/>
    <w:rsid w:val="00B41D1D"/>
    <w:rsid w:val="00B41D79"/>
    <w:rsid w:val="00B432D1"/>
    <w:rsid w:val="00B44875"/>
    <w:rsid w:val="00B448BD"/>
    <w:rsid w:val="00B44EB6"/>
    <w:rsid w:val="00B45412"/>
    <w:rsid w:val="00B45745"/>
    <w:rsid w:val="00B4604C"/>
    <w:rsid w:val="00B46178"/>
    <w:rsid w:val="00B4638B"/>
    <w:rsid w:val="00B4649E"/>
    <w:rsid w:val="00B4660A"/>
    <w:rsid w:val="00B4686A"/>
    <w:rsid w:val="00B468D6"/>
    <w:rsid w:val="00B46C40"/>
    <w:rsid w:val="00B501C3"/>
    <w:rsid w:val="00B503D3"/>
    <w:rsid w:val="00B50847"/>
    <w:rsid w:val="00B508E2"/>
    <w:rsid w:val="00B50D47"/>
    <w:rsid w:val="00B510E4"/>
    <w:rsid w:val="00B513E5"/>
    <w:rsid w:val="00B51612"/>
    <w:rsid w:val="00B517BE"/>
    <w:rsid w:val="00B51840"/>
    <w:rsid w:val="00B5191A"/>
    <w:rsid w:val="00B51BDF"/>
    <w:rsid w:val="00B52407"/>
    <w:rsid w:val="00B5383E"/>
    <w:rsid w:val="00B546FE"/>
    <w:rsid w:val="00B5552E"/>
    <w:rsid w:val="00B56CD7"/>
    <w:rsid w:val="00B5724F"/>
    <w:rsid w:val="00B57832"/>
    <w:rsid w:val="00B61B61"/>
    <w:rsid w:val="00B62853"/>
    <w:rsid w:val="00B62E13"/>
    <w:rsid w:val="00B632E0"/>
    <w:rsid w:val="00B63569"/>
    <w:rsid w:val="00B6392C"/>
    <w:rsid w:val="00B64272"/>
    <w:rsid w:val="00B6428A"/>
    <w:rsid w:val="00B6508E"/>
    <w:rsid w:val="00B663BE"/>
    <w:rsid w:val="00B66434"/>
    <w:rsid w:val="00B664E4"/>
    <w:rsid w:val="00B66D0C"/>
    <w:rsid w:val="00B674C2"/>
    <w:rsid w:val="00B677D9"/>
    <w:rsid w:val="00B702D6"/>
    <w:rsid w:val="00B705C1"/>
    <w:rsid w:val="00B70631"/>
    <w:rsid w:val="00B70D76"/>
    <w:rsid w:val="00B7306F"/>
    <w:rsid w:val="00B7452A"/>
    <w:rsid w:val="00B7507D"/>
    <w:rsid w:val="00B75819"/>
    <w:rsid w:val="00B75A0D"/>
    <w:rsid w:val="00B76035"/>
    <w:rsid w:val="00B76ADE"/>
    <w:rsid w:val="00B772A6"/>
    <w:rsid w:val="00B77373"/>
    <w:rsid w:val="00B77E63"/>
    <w:rsid w:val="00B80A8C"/>
    <w:rsid w:val="00B80EA7"/>
    <w:rsid w:val="00B81315"/>
    <w:rsid w:val="00B82F04"/>
    <w:rsid w:val="00B8320B"/>
    <w:rsid w:val="00B83501"/>
    <w:rsid w:val="00B840D6"/>
    <w:rsid w:val="00B84C95"/>
    <w:rsid w:val="00B85BA6"/>
    <w:rsid w:val="00B861B3"/>
    <w:rsid w:val="00B86A95"/>
    <w:rsid w:val="00B90701"/>
    <w:rsid w:val="00B90C61"/>
    <w:rsid w:val="00B9185F"/>
    <w:rsid w:val="00B91F4B"/>
    <w:rsid w:val="00B92164"/>
    <w:rsid w:val="00B92794"/>
    <w:rsid w:val="00B93A40"/>
    <w:rsid w:val="00B93C47"/>
    <w:rsid w:val="00B943C7"/>
    <w:rsid w:val="00B94856"/>
    <w:rsid w:val="00B94F40"/>
    <w:rsid w:val="00B9539F"/>
    <w:rsid w:val="00B95A96"/>
    <w:rsid w:val="00B9671A"/>
    <w:rsid w:val="00B967E9"/>
    <w:rsid w:val="00B968EA"/>
    <w:rsid w:val="00B9694F"/>
    <w:rsid w:val="00B96AFA"/>
    <w:rsid w:val="00B97876"/>
    <w:rsid w:val="00B97C66"/>
    <w:rsid w:val="00B97D29"/>
    <w:rsid w:val="00BA0326"/>
    <w:rsid w:val="00BA0AEE"/>
    <w:rsid w:val="00BA0BF8"/>
    <w:rsid w:val="00BA12ED"/>
    <w:rsid w:val="00BA1932"/>
    <w:rsid w:val="00BA1992"/>
    <w:rsid w:val="00BA1B8F"/>
    <w:rsid w:val="00BA1E39"/>
    <w:rsid w:val="00BA2838"/>
    <w:rsid w:val="00BA2ADD"/>
    <w:rsid w:val="00BA33AE"/>
    <w:rsid w:val="00BA33D0"/>
    <w:rsid w:val="00BA34C0"/>
    <w:rsid w:val="00BA3A36"/>
    <w:rsid w:val="00BA3F0E"/>
    <w:rsid w:val="00BA5072"/>
    <w:rsid w:val="00BA6617"/>
    <w:rsid w:val="00BA6963"/>
    <w:rsid w:val="00BA6D30"/>
    <w:rsid w:val="00BA7068"/>
    <w:rsid w:val="00BA797F"/>
    <w:rsid w:val="00BB0BAC"/>
    <w:rsid w:val="00BB1458"/>
    <w:rsid w:val="00BB1BD1"/>
    <w:rsid w:val="00BB2092"/>
    <w:rsid w:val="00BB3291"/>
    <w:rsid w:val="00BB40C2"/>
    <w:rsid w:val="00BB4DA4"/>
    <w:rsid w:val="00BB51C7"/>
    <w:rsid w:val="00BB5622"/>
    <w:rsid w:val="00BB5804"/>
    <w:rsid w:val="00BB645C"/>
    <w:rsid w:val="00BB66DA"/>
    <w:rsid w:val="00BB6A15"/>
    <w:rsid w:val="00BB756B"/>
    <w:rsid w:val="00BB78B0"/>
    <w:rsid w:val="00BB7A19"/>
    <w:rsid w:val="00BB7A4A"/>
    <w:rsid w:val="00BC092A"/>
    <w:rsid w:val="00BC0930"/>
    <w:rsid w:val="00BC0DDE"/>
    <w:rsid w:val="00BC10BF"/>
    <w:rsid w:val="00BC18A6"/>
    <w:rsid w:val="00BC1DE4"/>
    <w:rsid w:val="00BC252F"/>
    <w:rsid w:val="00BC2931"/>
    <w:rsid w:val="00BC2F8F"/>
    <w:rsid w:val="00BC36D0"/>
    <w:rsid w:val="00BC3783"/>
    <w:rsid w:val="00BC44DE"/>
    <w:rsid w:val="00BC4DB5"/>
    <w:rsid w:val="00BC4EC2"/>
    <w:rsid w:val="00BC4F37"/>
    <w:rsid w:val="00BC5AFC"/>
    <w:rsid w:val="00BC64D8"/>
    <w:rsid w:val="00BC69E8"/>
    <w:rsid w:val="00BC7D5E"/>
    <w:rsid w:val="00BC7EFA"/>
    <w:rsid w:val="00BD1736"/>
    <w:rsid w:val="00BD185A"/>
    <w:rsid w:val="00BD18A3"/>
    <w:rsid w:val="00BD2AF7"/>
    <w:rsid w:val="00BD2FBF"/>
    <w:rsid w:val="00BD305E"/>
    <w:rsid w:val="00BD396D"/>
    <w:rsid w:val="00BD3DD2"/>
    <w:rsid w:val="00BD42EB"/>
    <w:rsid w:val="00BD45AD"/>
    <w:rsid w:val="00BD49A8"/>
    <w:rsid w:val="00BD4ED3"/>
    <w:rsid w:val="00BD58BE"/>
    <w:rsid w:val="00BD5912"/>
    <w:rsid w:val="00BE0130"/>
    <w:rsid w:val="00BE0526"/>
    <w:rsid w:val="00BE0894"/>
    <w:rsid w:val="00BE0CBD"/>
    <w:rsid w:val="00BE0E25"/>
    <w:rsid w:val="00BE0E74"/>
    <w:rsid w:val="00BE0F74"/>
    <w:rsid w:val="00BE17CE"/>
    <w:rsid w:val="00BE184D"/>
    <w:rsid w:val="00BE1953"/>
    <w:rsid w:val="00BE1961"/>
    <w:rsid w:val="00BE20CC"/>
    <w:rsid w:val="00BE2D55"/>
    <w:rsid w:val="00BE35E8"/>
    <w:rsid w:val="00BE4685"/>
    <w:rsid w:val="00BE4AD3"/>
    <w:rsid w:val="00BE4F5B"/>
    <w:rsid w:val="00BE515E"/>
    <w:rsid w:val="00BE5237"/>
    <w:rsid w:val="00BE5BA5"/>
    <w:rsid w:val="00BE6D9C"/>
    <w:rsid w:val="00BE6E0E"/>
    <w:rsid w:val="00BE6F99"/>
    <w:rsid w:val="00BE76D4"/>
    <w:rsid w:val="00BE7C08"/>
    <w:rsid w:val="00BE7CDF"/>
    <w:rsid w:val="00BE7DBF"/>
    <w:rsid w:val="00BF0038"/>
    <w:rsid w:val="00BF0D53"/>
    <w:rsid w:val="00BF0E75"/>
    <w:rsid w:val="00BF0F17"/>
    <w:rsid w:val="00BF12C1"/>
    <w:rsid w:val="00BF1DB5"/>
    <w:rsid w:val="00BF1E61"/>
    <w:rsid w:val="00BF2D17"/>
    <w:rsid w:val="00BF3B24"/>
    <w:rsid w:val="00BF3C1E"/>
    <w:rsid w:val="00BF42C3"/>
    <w:rsid w:val="00BF4774"/>
    <w:rsid w:val="00BF4AC4"/>
    <w:rsid w:val="00BF4C0B"/>
    <w:rsid w:val="00BF533E"/>
    <w:rsid w:val="00BF55DC"/>
    <w:rsid w:val="00BF6B26"/>
    <w:rsid w:val="00BF713E"/>
    <w:rsid w:val="00BF7A0C"/>
    <w:rsid w:val="00BF7F56"/>
    <w:rsid w:val="00C00D27"/>
    <w:rsid w:val="00C01266"/>
    <w:rsid w:val="00C01678"/>
    <w:rsid w:val="00C020F9"/>
    <w:rsid w:val="00C03520"/>
    <w:rsid w:val="00C03A2F"/>
    <w:rsid w:val="00C03B2F"/>
    <w:rsid w:val="00C03BE2"/>
    <w:rsid w:val="00C04931"/>
    <w:rsid w:val="00C04A14"/>
    <w:rsid w:val="00C04BF4"/>
    <w:rsid w:val="00C05ED8"/>
    <w:rsid w:val="00C05FFC"/>
    <w:rsid w:val="00C06A6F"/>
    <w:rsid w:val="00C075F5"/>
    <w:rsid w:val="00C07934"/>
    <w:rsid w:val="00C100BA"/>
    <w:rsid w:val="00C1023A"/>
    <w:rsid w:val="00C11111"/>
    <w:rsid w:val="00C11B7A"/>
    <w:rsid w:val="00C1210B"/>
    <w:rsid w:val="00C12EE5"/>
    <w:rsid w:val="00C134FA"/>
    <w:rsid w:val="00C13885"/>
    <w:rsid w:val="00C13B05"/>
    <w:rsid w:val="00C13B9B"/>
    <w:rsid w:val="00C14496"/>
    <w:rsid w:val="00C14632"/>
    <w:rsid w:val="00C15248"/>
    <w:rsid w:val="00C15F2B"/>
    <w:rsid w:val="00C165AB"/>
    <w:rsid w:val="00C16723"/>
    <w:rsid w:val="00C16ACC"/>
    <w:rsid w:val="00C170E0"/>
    <w:rsid w:val="00C174AA"/>
    <w:rsid w:val="00C209AB"/>
    <w:rsid w:val="00C209B9"/>
    <w:rsid w:val="00C21120"/>
    <w:rsid w:val="00C21D9C"/>
    <w:rsid w:val="00C2332E"/>
    <w:rsid w:val="00C24004"/>
    <w:rsid w:val="00C24067"/>
    <w:rsid w:val="00C24156"/>
    <w:rsid w:val="00C2419F"/>
    <w:rsid w:val="00C2608A"/>
    <w:rsid w:val="00C264C4"/>
    <w:rsid w:val="00C26B38"/>
    <w:rsid w:val="00C27018"/>
    <w:rsid w:val="00C2744A"/>
    <w:rsid w:val="00C27ADD"/>
    <w:rsid w:val="00C27EAE"/>
    <w:rsid w:val="00C30927"/>
    <w:rsid w:val="00C30A8E"/>
    <w:rsid w:val="00C31B56"/>
    <w:rsid w:val="00C32264"/>
    <w:rsid w:val="00C32C34"/>
    <w:rsid w:val="00C330E8"/>
    <w:rsid w:val="00C33C0F"/>
    <w:rsid w:val="00C33D37"/>
    <w:rsid w:val="00C33E23"/>
    <w:rsid w:val="00C342DA"/>
    <w:rsid w:val="00C34762"/>
    <w:rsid w:val="00C34879"/>
    <w:rsid w:val="00C35679"/>
    <w:rsid w:val="00C36566"/>
    <w:rsid w:val="00C37059"/>
    <w:rsid w:val="00C40077"/>
    <w:rsid w:val="00C4016E"/>
    <w:rsid w:val="00C402D6"/>
    <w:rsid w:val="00C4061C"/>
    <w:rsid w:val="00C41199"/>
    <w:rsid w:val="00C41593"/>
    <w:rsid w:val="00C41EB3"/>
    <w:rsid w:val="00C4385B"/>
    <w:rsid w:val="00C43B58"/>
    <w:rsid w:val="00C43CED"/>
    <w:rsid w:val="00C44DC1"/>
    <w:rsid w:val="00C44E87"/>
    <w:rsid w:val="00C46005"/>
    <w:rsid w:val="00C469DB"/>
    <w:rsid w:val="00C46D94"/>
    <w:rsid w:val="00C4746F"/>
    <w:rsid w:val="00C47D24"/>
    <w:rsid w:val="00C50253"/>
    <w:rsid w:val="00C502F8"/>
    <w:rsid w:val="00C50BEB"/>
    <w:rsid w:val="00C50E20"/>
    <w:rsid w:val="00C5149D"/>
    <w:rsid w:val="00C527EE"/>
    <w:rsid w:val="00C52929"/>
    <w:rsid w:val="00C52DE7"/>
    <w:rsid w:val="00C52E0A"/>
    <w:rsid w:val="00C530D9"/>
    <w:rsid w:val="00C53544"/>
    <w:rsid w:val="00C5361B"/>
    <w:rsid w:val="00C546D1"/>
    <w:rsid w:val="00C54C57"/>
    <w:rsid w:val="00C54F1C"/>
    <w:rsid w:val="00C552C0"/>
    <w:rsid w:val="00C56637"/>
    <w:rsid w:val="00C56E66"/>
    <w:rsid w:val="00C5733B"/>
    <w:rsid w:val="00C57AF2"/>
    <w:rsid w:val="00C60884"/>
    <w:rsid w:val="00C60929"/>
    <w:rsid w:val="00C618D4"/>
    <w:rsid w:val="00C631DC"/>
    <w:rsid w:val="00C6397D"/>
    <w:rsid w:val="00C63DAA"/>
    <w:rsid w:val="00C6429C"/>
    <w:rsid w:val="00C6478F"/>
    <w:rsid w:val="00C64D6C"/>
    <w:rsid w:val="00C65726"/>
    <w:rsid w:val="00C6657E"/>
    <w:rsid w:val="00C6714B"/>
    <w:rsid w:val="00C67171"/>
    <w:rsid w:val="00C67515"/>
    <w:rsid w:val="00C67588"/>
    <w:rsid w:val="00C678AB"/>
    <w:rsid w:val="00C70D1F"/>
    <w:rsid w:val="00C70F4D"/>
    <w:rsid w:val="00C70F8F"/>
    <w:rsid w:val="00C7144F"/>
    <w:rsid w:val="00C729E4"/>
    <w:rsid w:val="00C72C92"/>
    <w:rsid w:val="00C72F50"/>
    <w:rsid w:val="00C742EB"/>
    <w:rsid w:val="00C74385"/>
    <w:rsid w:val="00C75702"/>
    <w:rsid w:val="00C75E18"/>
    <w:rsid w:val="00C8106B"/>
    <w:rsid w:val="00C81949"/>
    <w:rsid w:val="00C82964"/>
    <w:rsid w:val="00C83767"/>
    <w:rsid w:val="00C839BE"/>
    <w:rsid w:val="00C83BB3"/>
    <w:rsid w:val="00C83CE6"/>
    <w:rsid w:val="00C841C2"/>
    <w:rsid w:val="00C843E8"/>
    <w:rsid w:val="00C844F3"/>
    <w:rsid w:val="00C8461C"/>
    <w:rsid w:val="00C85606"/>
    <w:rsid w:val="00C86013"/>
    <w:rsid w:val="00C861D2"/>
    <w:rsid w:val="00C865D4"/>
    <w:rsid w:val="00C87E07"/>
    <w:rsid w:val="00C9053B"/>
    <w:rsid w:val="00C9117D"/>
    <w:rsid w:val="00C91ABB"/>
    <w:rsid w:val="00C91C7B"/>
    <w:rsid w:val="00C91CAC"/>
    <w:rsid w:val="00C91DE9"/>
    <w:rsid w:val="00C92BC9"/>
    <w:rsid w:val="00C93126"/>
    <w:rsid w:val="00C94582"/>
    <w:rsid w:val="00C95155"/>
    <w:rsid w:val="00C95829"/>
    <w:rsid w:val="00C95DE4"/>
    <w:rsid w:val="00C9600E"/>
    <w:rsid w:val="00C96622"/>
    <w:rsid w:val="00C97416"/>
    <w:rsid w:val="00C9798E"/>
    <w:rsid w:val="00C97C90"/>
    <w:rsid w:val="00CA0AB6"/>
    <w:rsid w:val="00CA1262"/>
    <w:rsid w:val="00CA19F3"/>
    <w:rsid w:val="00CA2461"/>
    <w:rsid w:val="00CA2541"/>
    <w:rsid w:val="00CA2964"/>
    <w:rsid w:val="00CA2BD9"/>
    <w:rsid w:val="00CA2D35"/>
    <w:rsid w:val="00CA31AC"/>
    <w:rsid w:val="00CA3632"/>
    <w:rsid w:val="00CA3BD2"/>
    <w:rsid w:val="00CA58A7"/>
    <w:rsid w:val="00CA65AC"/>
    <w:rsid w:val="00CA6E0F"/>
    <w:rsid w:val="00CB0D34"/>
    <w:rsid w:val="00CB17DB"/>
    <w:rsid w:val="00CB2572"/>
    <w:rsid w:val="00CB28C2"/>
    <w:rsid w:val="00CB3788"/>
    <w:rsid w:val="00CB394C"/>
    <w:rsid w:val="00CB42E9"/>
    <w:rsid w:val="00CB5A80"/>
    <w:rsid w:val="00CB612F"/>
    <w:rsid w:val="00CB78B5"/>
    <w:rsid w:val="00CB7AAB"/>
    <w:rsid w:val="00CC01EA"/>
    <w:rsid w:val="00CC01F4"/>
    <w:rsid w:val="00CC0C9D"/>
    <w:rsid w:val="00CC17F6"/>
    <w:rsid w:val="00CC1940"/>
    <w:rsid w:val="00CC1B58"/>
    <w:rsid w:val="00CC2230"/>
    <w:rsid w:val="00CC2833"/>
    <w:rsid w:val="00CC2DE6"/>
    <w:rsid w:val="00CC37DD"/>
    <w:rsid w:val="00CC3B76"/>
    <w:rsid w:val="00CC4B41"/>
    <w:rsid w:val="00CC4EB0"/>
    <w:rsid w:val="00CC4EC9"/>
    <w:rsid w:val="00CC53DE"/>
    <w:rsid w:val="00CC61DD"/>
    <w:rsid w:val="00CC6344"/>
    <w:rsid w:val="00CC7E9E"/>
    <w:rsid w:val="00CD09D4"/>
    <w:rsid w:val="00CD0CF0"/>
    <w:rsid w:val="00CD117B"/>
    <w:rsid w:val="00CD222F"/>
    <w:rsid w:val="00CD286C"/>
    <w:rsid w:val="00CD2A82"/>
    <w:rsid w:val="00CD404E"/>
    <w:rsid w:val="00CD45A4"/>
    <w:rsid w:val="00CD48A3"/>
    <w:rsid w:val="00CD55A4"/>
    <w:rsid w:val="00CD5BED"/>
    <w:rsid w:val="00CD5EDC"/>
    <w:rsid w:val="00CD5FB2"/>
    <w:rsid w:val="00CD6576"/>
    <w:rsid w:val="00CD6644"/>
    <w:rsid w:val="00CD7523"/>
    <w:rsid w:val="00CD76CE"/>
    <w:rsid w:val="00CD7BFD"/>
    <w:rsid w:val="00CE1B3A"/>
    <w:rsid w:val="00CE204C"/>
    <w:rsid w:val="00CE2207"/>
    <w:rsid w:val="00CE26E4"/>
    <w:rsid w:val="00CE291F"/>
    <w:rsid w:val="00CE31B1"/>
    <w:rsid w:val="00CE375E"/>
    <w:rsid w:val="00CE3894"/>
    <w:rsid w:val="00CE3952"/>
    <w:rsid w:val="00CE3CA2"/>
    <w:rsid w:val="00CE5540"/>
    <w:rsid w:val="00CE5ABD"/>
    <w:rsid w:val="00CE6169"/>
    <w:rsid w:val="00CE648C"/>
    <w:rsid w:val="00CE74B0"/>
    <w:rsid w:val="00CE7A56"/>
    <w:rsid w:val="00CF002A"/>
    <w:rsid w:val="00CF06AE"/>
    <w:rsid w:val="00CF08E6"/>
    <w:rsid w:val="00CF0C06"/>
    <w:rsid w:val="00CF15D2"/>
    <w:rsid w:val="00CF1ABA"/>
    <w:rsid w:val="00CF1F71"/>
    <w:rsid w:val="00CF29D9"/>
    <w:rsid w:val="00CF2C2F"/>
    <w:rsid w:val="00CF50A5"/>
    <w:rsid w:val="00CF52F2"/>
    <w:rsid w:val="00CF5C5B"/>
    <w:rsid w:val="00CF689C"/>
    <w:rsid w:val="00CF6BD9"/>
    <w:rsid w:val="00CF6F3D"/>
    <w:rsid w:val="00CF7579"/>
    <w:rsid w:val="00D008E0"/>
    <w:rsid w:val="00D00C39"/>
    <w:rsid w:val="00D00DC6"/>
    <w:rsid w:val="00D00FAC"/>
    <w:rsid w:val="00D01015"/>
    <w:rsid w:val="00D01386"/>
    <w:rsid w:val="00D02154"/>
    <w:rsid w:val="00D028EC"/>
    <w:rsid w:val="00D02D2D"/>
    <w:rsid w:val="00D02D76"/>
    <w:rsid w:val="00D0331E"/>
    <w:rsid w:val="00D034CB"/>
    <w:rsid w:val="00D034F8"/>
    <w:rsid w:val="00D03823"/>
    <w:rsid w:val="00D03D0F"/>
    <w:rsid w:val="00D0400E"/>
    <w:rsid w:val="00D0470B"/>
    <w:rsid w:val="00D051A7"/>
    <w:rsid w:val="00D054BA"/>
    <w:rsid w:val="00D06622"/>
    <w:rsid w:val="00D06765"/>
    <w:rsid w:val="00D06B50"/>
    <w:rsid w:val="00D10A4A"/>
    <w:rsid w:val="00D1189F"/>
    <w:rsid w:val="00D11941"/>
    <w:rsid w:val="00D11BF1"/>
    <w:rsid w:val="00D135CD"/>
    <w:rsid w:val="00D13ACC"/>
    <w:rsid w:val="00D13BEC"/>
    <w:rsid w:val="00D13C35"/>
    <w:rsid w:val="00D1462E"/>
    <w:rsid w:val="00D14F08"/>
    <w:rsid w:val="00D15169"/>
    <w:rsid w:val="00D153AF"/>
    <w:rsid w:val="00D1587C"/>
    <w:rsid w:val="00D1602C"/>
    <w:rsid w:val="00D16042"/>
    <w:rsid w:val="00D16201"/>
    <w:rsid w:val="00D1648D"/>
    <w:rsid w:val="00D16A8B"/>
    <w:rsid w:val="00D16BFA"/>
    <w:rsid w:val="00D16C11"/>
    <w:rsid w:val="00D17613"/>
    <w:rsid w:val="00D211FF"/>
    <w:rsid w:val="00D22B5C"/>
    <w:rsid w:val="00D22C4A"/>
    <w:rsid w:val="00D22CA1"/>
    <w:rsid w:val="00D22DBB"/>
    <w:rsid w:val="00D22FD4"/>
    <w:rsid w:val="00D2304A"/>
    <w:rsid w:val="00D23623"/>
    <w:rsid w:val="00D23F0C"/>
    <w:rsid w:val="00D2433E"/>
    <w:rsid w:val="00D247FA"/>
    <w:rsid w:val="00D24A30"/>
    <w:rsid w:val="00D24B70"/>
    <w:rsid w:val="00D24C50"/>
    <w:rsid w:val="00D24EAC"/>
    <w:rsid w:val="00D254EB"/>
    <w:rsid w:val="00D259B8"/>
    <w:rsid w:val="00D260E9"/>
    <w:rsid w:val="00D267F6"/>
    <w:rsid w:val="00D272F2"/>
    <w:rsid w:val="00D27889"/>
    <w:rsid w:val="00D27AC3"/>
    <w:rsid w:val="00D30097"/>
    <w:rsid w:val="00D30BEF"/>
    <w:rsid w:val="00D30E75"/>
    <w:rsid w:val="00D3147E"/>
    <w:rsid w:val="00D32D2E"/>
    <w:rsid w:val="00D333E5"/>
    <w:rsid w:val="00D334E4"/>
    <w:rsid w:val="00D33C59"/>
    <w:rsid w:val="00D342AA"/>
    <w:rsid w:val="00D34CFA"/>
    <w:rsid w:val="00D3570B"/>
    <w:rsid w:val="00D35903"/>
    <w:rsid w:val="00D366E5"/>
    <w:rsid w:val="00D36DA4"/>
    <w:rsid w:val="00D377FB"/>
    <w:rsid w:val="00D37899"/>
    <w:rsid w:val="00D37A75"/>
    <w:rsid w:val="00D37BBE"/>
    <w:rsid w:val="00D37F68"/>
    <w:rsid w:val="00D40B0C"/>
    <w:rsid w:val="00D41031"/>
    <w:rsid w:val="00D42846"/>
    <w:rsid w:val="00D435AE"/>
    <w:rsid w:val="00D439DE"/>
    <w:rsid w:val="00D43BF0"/>
    <w:rsid w:val="00D4437C"/>
    <w:rsid w:val="00D448E2"/>
    <w:rsid w:val="00D45301"/>
    <w:rsid w:val="00D468AA"/>
    <w:rsid w:val="00D472E8"/>
    <w:rsid w:val="00D47852"/>
    <w:rsid w:val="00D47878"/>
    <w:rsid w:val="00D50066"/>
    <w:rsid w:val="00D50BAC"/>
    <w:rsid w:val="00D51EB6"/>
    <w:rsid w:val="00D5245C"/>
    <w:rsid w:val="00D52F7F"/>
    <w:rsid w:val="00D54276"/>
    <w:rsid w:val="00D545CE"/>
    <w:rsid w:val="00D5461B"/>
    <w:rsid w:val="00D5466C"/>
    <w:rsid w:val="00D54A61"/>
    <w:rsid w:val="00D54ED0"/>
    <w:rsid w:val="00D54FD4"/>
    <w:rsid w:val="00D55674"/>
    <w:rsid w:val="00D55947"/>
    <w:rsid w:val="00D55C18"/>
    <w:rsid w:val="00D55D3B"/>
    <w:rsid w:val="00D55DE4"/>
    <w:rsid w:val="00D5642D"/>
    <w:rsid w:val="00D56C1A"/>
    <w:rsid w:val="00D6043A"/>
    <w:rsid w:val="00D61452"/>
    <w:rsid w:val="00D61633"/>
    <w:rsid w:val="00D61731"/>
    <w:rsid w:val="00D6199A"/>
    <w:rsid w:val="00D61AFC"/>
    <w:rsid w:val="00D61FE7"/>
    <w:rsid w:val="00D622F5"/>
    <w:rsid w:val="00D62E07"/>
    <w:rsid w:val="00D64B9E"/>
    <w:rsid w:val="00D65040"/>
    <w:rsid w:val="00D652EC"/>
    <w:rsid w:val="00D65705"/>
    <w:rsid w:val="00D6576A"/>
    <w:rsid w:val="00D657CC"/>
    <w:rsid w:val="00D65E1F"/>
    <w:rsid w:val="00D67973"/>
    <w:rsid w:val="00D71569"/>
    <w:rsid w:val="00D71667"/>
    <w:rsid w:val="00D71998"/>
    <w:rsid w:val="00D71EB8"/>
    <w:rsid w:val="00D720A3"/>
    <w:rsid w:val="00D726CB"/>
    <w:rsid w:val="00D72D7F"/>
    <w:rsid w:val="00D72DCD"/>
    <w:rsid w:val="00D73898"/>
    <w:rsid w:val="00D74760"/>
    <w:rsid w:val="00D7504B"/>
    <w:rsid w:val="00D7521E"/>
    <w:rsid w:val="00D7587C"/>
    <w:rsid w:val="00D761ED"/>
    <w:rsid w:val="00D770D1"/>
    <w:rsid w:val="00D80F52"/>
    <w:rsid w:val="00D814C8"/>
    <w:rsid w:val="00D81830"/>
    <w:rsid w:val="00D8343C"/>
    <w:rsid w:val="00D83B0C"/>
    <w:rsid w:val="00D840FF"/>
    <w:rsid w:val="00D8613E"/>
    <w:rsid w:val="00D86602"/>
    <w:rsid w:val="00D90A37"/>
    <w:rsid w:val="00D90CF3"/>
    <w:rsid w:val="00D918B5"/>
    <w:rsid w:val="00D919B7"/>
    <w:rsid w:val="00D921BE"/>
    <w:rsid w:val="00D9263C"/>
    <w:rsid w:val="00D926C0"/>
    <w:rsid w:val="00D9279E"/>
    <w:rsid w:val="00D938C8"/>
    <w:rsid w:val="00D93CA1"/>
    <w:rsid w:val="00D94029"/>
    <w:rsid w:val="00D94030"/>
    <w:rsid w:val="00D973A4"/>
    <w:rsid w:val="00D97553"/>
    <w:rsid w:val="00DA0677"/>
    <w:rsid w:val="00DA0967"/>
    <w:rsid w:val="00DA0EE8"/>
    <w:rsid w:val="00DA14EC"/>
    <w:rsid w:val="00DA1BA3"/>
    <w:rsid w:val="00DA1D45"/>
    <w:rsid w:val="00DA2A26"/>
    <w:rsid w:val="00DA2B95"/>
    <w:rsid w:val="00DA2BEC"/>
    <w:rsid w:val="00DA346B"/>
    <w:rsid w:val="00DA3758"/>
    <w:rsid w:val="00DA46AB"/>
    <w:rsid w:val="00DA4B98"/>
    <w:rsid w:val="00DA4D61"/>
    <w:rsid w:val="00DA4E2D"/>
    <w:rsid w:val="00DA5BC9"/>
    <w:rsid w:val="00DA64FA"/>
    <w:rsid w:val="00DA6AEF"/>
    <w:rsid w:val="00DA6CD1"/>
    <w:rsid w:val="00DA6E36"/>
    <w:rsid w:val="00DA760B"/>
    <w:rsid w:val="00DB096F"/>
    <w:rsid w:val="00DB0A74"/>
    <w:rsid w:val="00DB18E4"/>
    <w:rsid w:val="00DB1D43"/>
    <w:rsid w:val="00DB2B63"/>
    <w:rsid w:val="00DB3A55"/>
    <w:rsid w:val="00DB44C8"/>
    <w:rsid w:val="00DB4508"/>
    <w:rsid w:val="00DB4BDD"/>
    <w:rsid w:val="00DB4F12"/>
    <w:rsid w:val="00DB4F30"/>
    <w:rsid w:val="00DB5455"/>
    <w:rsid w:val="00DB56C1"/>
    <w:rsid w:val="00DB60E5"/>
    <w:rsid w:val="00DB654D"/>
    <w:rsid w:val="00DB6ABA"/>
    <w:rsid w:val="00DB6E42"/>
    <w:rsid w:val="00DB7157"/>
    <w:rsid w:val="00DB7B7F"/>
    <w:rsid w:val="00DB7CE3"/>
    <w:rsid w:val="00DC0503"/>
    <w:rsid w:val="00DC0615"/>
    <w:rsid w:val="00DC117D"/>
    <w:rsid w:val="00DC1BEC"/>
    <w:rsid w:val="00DC1CD3"/>
    <w:rsid w:val="00DC22AE"/>
    <w:rsid w:val="00DC22FB"/>
    <w:rsid w:val="00DC2B74"/>
    <w:rsid w:val="00DC33AA"/>
    <w:rsid w:val="00DC3E18"/>
    <w:rsid w:val="00DC3F57"/>
    <w:rsid w:val="00DC468B"/>
    <w:rsid w:val="00DC490D"/>
    <w:rsid w:val="00DC49C6"/>
    <w:rsid w:val="00DC5072"/>
    <w:rsid w:val="00DC570F"/>
    <w:rsid w:val="00DC5FA0"/>
    <w:rsid w:val="00DC6138"/>
    <w:rsid w:val="00DC72C9"/>
    <w:rsid w:val="00DC7462"/>
    <w:rsid w:val="00DD122F"/>
    <w:rsid w:val="00DD1F31"/>
    <w:rsid w:val="00DD22D7"/>
    <w:rsid w:val="00DD3AD3"/>
    <w:rsid w:val="00DD403F"/>
    <w:rsid w:val="00DD489A"/>
    <w:rsid w:val="00DD4DC3"/>
    <w:rsid w:val="00DD5E26"/>
    <w:rsid w:val="00DD5FD5"/>
    <w:rsid w:val="00DD6AEF"/>
    <w:rsid w:val="00DD6DCF"/>
    <w:rsid w:val="00DD6DE2"/>
    <w:rsid w:val="00DE0216"/>
    <w:rsid w:val="00DE0828"/>
    <w:rsid w:val="00DE0DD0"/>
    <w:rsid w:val="00DE10AE"/>
    <w:rsid w:val="00DE14D5"/>
    <w:rsid w:val="00DE1CF8"/>
    <w:rsid w:val="00DE262A"/>
    <w:rsid w:val="00DE32E8"/>
    <w:rsid w:val="00DE36BF"/>
    <w:rsid w:val="00DE42C5"/>
    <w:rsid w:val="00DE46C6"/>
    <w:rsid w:val="00DE521B"/>
    <w:rsid w:val="00DE5E40"/>
    <w:rsid w:val="00DE6F7D"/>
    <w:rsid w:val="00DE7109"/>
    <w:rsid w:val="00DE7A68"/>
    <w:rsid w:val="00DE7DF8"/>
    <w:rsid w:val="00DF0602"/>
    <w:rsid w:val="00DF082F"/>
    <w:rsid w:val="00DF08DB"/>
    <w:rsid w:val="00DF0CA0"/>
    <w:rsid w:val="00DF1424"/>
    <w:rsid w:val="00DF1FFA"/>
    <w:rsid w:val="00DF2214"/>
    <w:rsid w:val="00DF3206"/>
    <w:rsid w:val="00DF3268"/>
    <w:rsid w:val="00DF3600"/>
    <w:rsid w:val="00DF3BC1"/>
    <w:rsid w:val="00DF4220"/>
    <w:rsid w:val="00DF46C7"/>
    <w:rsid w:val="00DF4AC4"/>
    <w:rsid w:val="00DF5014"/>
    <w:rsid w:val="00DF5264"/>
    <w:rsid w:val="00DF5956"/>
    <w:rsid w:val="00DF6429"/>
    <w:rsid w:val="00DF686B"/>
    <w:rsid w:val="00DF7767"/>
    <w:rsid w:val="00DF7E63"/>
    <w:rsid w:val="00E0012B"/>
    <w:rsid w:val="00E0052B"/>
    <w:rsid w:val="00E005D4"/>
    <w:rsid w:val="00E00679"/>
    <w:rsid w:val="00E006A8"/>
    <w:rsid w:val="00E01077"/>
    <w:rsid w:val="00E024FA"/>
    <w:rsid w:val="00E0289E"/>
    <w:rsid w:val="00E03742"/>
    <w:rsid w:val="00E03A0F"/>
    <w:rsid w:val="00E04062"/>
    <w:rsid w:val="00E04779"/>
    <w:rsid w:val="00E04CC5"/>
    <w:rsid w:val="00E053EB"/>
    <w:rsid w:val="00E05E56"/>
    <w:rsid w:val="00E06539"/>
    <w:rsid w:val="00E06B99"/>
    <w:rsid w:val="00E071BF"/>
    <w:rsid w:val="00E07270"/>
    <w:rsid w:val="00E07347"/>
    <w:rsid w:val="00E0788C"/>
    <w:rsid w:val="00E10AF0"/>
    <w:rsid w:val="00E11012"/>
    <w:rsid w:val="00E1123B"/>
    <w:rsid w:val="00E11CEE"/>
    <w:rsid w:val="00E11D3E"/>
    <w:rsid w:val="00E11D41"/>
    <w:rsid w:val="00E1212C"/>
    <w:rsid w:val="00E125B8"/>
    <w:rsid w:val="00E12CA1"/>
    <w:rsid w:val="00E12F49"/>
    <w:rsid w:val="00E13CE1"/>
    <w:rsid w:val="00E13DFC"/>
    <w:rsid w:val="00E1412D"/>
    <w:rsid w:val="00E146EC"/>
    <w:rsid w:val="00E14E7E"/>
    <w:rsid w:val="00E14EAE"/>
    <w:rsid w:val="00E14F2D"/>
    <w:rsid w:val="00E15480"/>
    <w:rsid w:val="00E15C16"/>
    <w:rsid w:val="00E16103"/>
    <w:rsid w:val="00E16A7D"/>
    <w:rsid w:val="00E172A1"/>
    <w:rsid w:val="00E17704"/>
    <w:rsid w:val="00E2027D"/>
    <w:rsid w:val="00E21606"/>
    <w:rsid w:val="00E2163C"/>
    <w:rsid w:val="00E216A9"/>
    <w:rsid w:val="00E21AD2"/>
    <w:rsid w:val="00E23134"/>
    <w:rsid w:val="00E239E4"/>
    <w:rsid w:val="00E23C14"/>
    <w:rsid w:val="00E23EB9"/>
    <w:rsid w:val="00E250EC"/>
    <w:rsid w:val="00E2551A"/>
    <w:rsid w:val="00E261D2"/>
    <w:rsid w:val="00E263A1"/>
    <w:rsid w:val="00E26BD6"/>
    <w:rsid w:val="00E26DC8"/>
    <w:rsid w:val="00E26E58"/>
    <w:rsid w:val="00E2702A"/>
    <w:rsid w:val="00E274AC"/>
    <w:rsid w:val="00E27916"/>
    <w:rsid w:val="00E3017D"/>
    <w:rsid w:val="00E30579"/>
    <w:rsid w:val="00E30694"/>
    <w:rsid w:val="00E31BC0"/>
    <w:rsid w:val="00E320EF"/>
    <w:rsid w:val="00E32C68"/>
    <w:rsid w:val="00E32E99"/>
    <w:rsid w:val="00E32FB7"/>
    <w:rsid w:val="00E33376"/>
    <w:rsid w:val="00E34A81"/>
    <w:rsid w:val="00E34ABC"/>
    <w:rsid w:val="00E352B4"/>
    <w:rsid w:val="00E3588E"/>
    <w:rsid w:val="00E35DE3"/>
    <w:rsid w:val="00E369ED"/>
    <w:rsid w:val="00E36F29"/>
    <w:rsid w:val="00E36F43"/>
    <w:rsid w:val="00E37AC7"/>
    <w:rsid w:val="00E40287"/>
    <w:rsid w:val="00E4097B"/>
    <w:rsid w:val="00E40D56"/>
    <w:rsid w:val="00E42DCF"/>
    <w:rsid w:val="00E4305C"/>
    <w:rsid w:val="00E43370"/>
    <w:rsid w:val="00E43E3D"/>
    <w:rsid w:val="00E443FF"/>
    <w:rsid w:val="00E44CF6"/>
    <w:rsid w:val="00E45131"/>
    <w:rsid w:val="00E4559C"/>
    <w:rsid w:val="00E45CA3"/>
    <w:rsid w:val="00E45F65"/>
    <w:rsid w:val="00E46152"/>
    <w:rsid w:val="00E46757"/>
    <w:rsid w:val="00E4701A"/>
    <w:rsid w:val="00E47145"/>
    <w:rsid w:val="00E4718B"/>
    <w:rsid w:val="00E4775E"/>
    <w:rsid w:val="00E47863"/>
    <w:rsid w:val="00E478F2"/>
    <w:rsid w:val="00E47B29"/>
    <w:rsid w:val="00E501C4"/>
    <w:rsid w:val="00E50F1E"/>
    <w:rsid w:val="00E513DE"/>
    <w:rsid w:val="00E51D2A"/>
    <w:rsid w:val="00E52058"/>
    <w:rsid w:val="00E525E2"/>
    <w:rsid w:val="00E52782"/>
    <w:rsid w:val="00E52A5E"/>
    <w:rsid w:val="00E52E0B"/>
    <w:rsid w:val="00E533D2"/>
    <w:rsid w:val="00E53879"/>
    <w:rsid w:val="00E54048"/>
    <w:rsid w:val="00E54CBF"/>
    <w:rsid w:val="00E54E17"/>
    <w:rsid w:val="00E55265"/>
    <w:rsid w:val="00E55273"/>
    <w:rsid w:val="00E558A3"/>
    <w:rsid w:val="00E55946"/>
    <w:rsid w:val="00E559F2"/>
    <w:rsid w:val="00E55AEB"/>
    <w:rsid w:val="00E5612E"/>
    <w:rsid w:val="00E56643"/>
    <w:rsid w:val="00E56D37"/>
    <w:rsid w:val="00E56F17"/>
    <w:rsid w:val="00E57641"/>
    <w:rsid w:val="00E57647"/>
    <w:rsid w:val="00E57C36"/>
    <w:rsid w:val="00E606B5"/>
    <w:rsid w:val="00E60CBD"/>
    <w:rsid w:val="00E61D87"/>
    <w:rsid w:val="00E634B6"/>
    <w:rsid w:val="00E638D6"/>
    <w:rsid w:val="00E647D6"/>
    <w:rsid w:val="00E65027"/>
    <w:rsid w:val="00E65313"/>
    <w:rsid w:val="00E654B4"/>
    <w:rsid w:val="00E6636E"/>
    <w:rsid w:val="00E6652A"/>
    <w:rsid w:val="00E668A9"/>
    <w:rsid w:val="00E6797E"/>
    <w:rsid w:val="00E67AF3"/>
    <w:rsid w:val="00E70148"/>
    <w:rsid w:val="00E71334"/>
    <w:rsid w:val="00E716DD"/>
    <w:rsid w:val="00E71BE2"/>
    <w:rsid w:val="00E72BF9"/>
    <w:rsid w:val="00E73CC0"/>
    <w:rsid w:val="00E73E32"/>
    <w:rsid w:val="00E74705"/>
    <w:rsid w:val="00E7557C"/>
    <w:rsid w:val="00E7638F"/>
    <w:rsid w:val="00E7669D"/>
    <w:rsid w:val="00E76B70"/>
    <w:rsid w:val="00E76CBE"/>
    <w:rsid w:val="00E76E5F"/>
    <w:rsid w:val="00E77026"/>
    <w:rsid w:val="00E77C69"/>
    <w:rsid w:val="00E77D41"/>
    <w:rsid w:val="00E8004C"/>
    <w:rsid w:val="00E80B93"/>
    <w:rsid w:val="00E8176B"/>
    <w:rsid w:val="00E819CD"/>
    <w:rsid w:val="00E81CDA"/>
    <w:rsid w:val="00E82B7B"/>
    <w:rsid w:val="00E82E3E"/>
    <w:rsid w:val="00E84021"/>
    <w:rsid w:val="00E842BA"/>
    <w:rsid w:val="00E845EA"/>
    <w:rsid w:val="00E847A3"/>
    <w:rsid w:val="00E848CE"/>
    <w:rsid w:val="00E84CAB"/>
    <w:rsid w:val="00E84D0A"/>
    <w:rsid w:val="00E84DCE"/>
    <w:rsid w:val="00E84E8F"/>
    <w:rsid w:val="00E8563F"/>
    <w:rsid w:val="00E86297"/>
    <w:rsid w:val="00E8694F"/>
    <w:rsid w:val="00E86F3F"/>
    <w:rsid w:val="00E90013"/>
    <w:rsid w:val="00E90AB4"/>
    <w:rsid w:val="00E90E3A"/>
    <w:rsid w:val="00E92077"/>
    <w:rsid w:val="00E920AB"/>
    <w:rsid w:val="00E92C36"/>
    <w:rsid w:val="00E934D7"/>
    <w:rsid w:val="00E9464F"/>
    <w:rsid w:val="00E94CE3"/>
    <w:rsid w:val="00E956EA"/>
    <w:rsid w:val="00E95D0B"/>
    <w:rsid w:val="00E96746"/>
    <w:rsid w:val="00E970F7"/>
    <w:rsid w:val="00E9775A"/>
    <w:rsid w:val="00E97B4B"/>
    <w:rsid w:val="00E97D91"/>
    <w:rsid w:val="00EA065C"/>
    <w:rsid w:val="00EA161C"/>
    <w:rsid w:val="00EA1747"/>
    <w:rsid w:val="00EA1C8E"/>
    <w:rsid w:val="00EA2426"/>
    <w:rsid w:val="00EA2532"/>
    <w:rsid w:val="00EA27FF"/>
    <w:rsid w:val="00EA3118"/>
    <w:rsid w:val="00EA365A"/>
    <w:rsid w:val="00EA42D5"/>
    <w:rsid w:val="00EA5B67"/>
    <w:rsid w:val="00EA6C2A"/>
    <w:rsid w:val="00EA6EBC"/>
    <w:rsid w:val="00EA78D3"/>
    <w:rsid w:val="00EA7E65"/>
    <w:rsid w:val="00EB0CDC"/>
    <w:rsid w:val="00EB1AE2"/>
    <w:rsid w:val="00EB2734"/>
    <w:rsid w:val="00EB3468"/>
    <w:rsid w:val="00EB3BEC"/>
    <w:rsid w:val="00EB4356"/>
    <w:rsid w:val="00EB4944"/>
    <w:rsid w:val="00EB4C9A"/>
    <w:rsid w:val="00EB6501"/>
    <w:rsid w:val="00EB7136"/>
    <w:rsid w:val="00EC00D0"/>
    <w:rsid w:val="00EC095D"/>
    <w:rsid w:val="00EC1296"/>
    <w:rsid w:val="00EC1D84"/>
    <w:rsid w:val="00EC207E"/>
    <w:rsid w:val="00EC20B5"/>
    <w:rsid w:val="00EC2260"/>
    <w:rsid w:val="00EC22C0"/>
    <w:rsid w:val="00EC2411"/>
    <w:rsid w:val="00EC25BA"/>
    <w:rsid w:val="00EC27DF"/>
    <w:rsid w:val="00EC2B8D"/>
    <w:rsid w:val="00EC2D82"/>
    <w:rsid w:val="00EC36D3"/>
    <w:rsid w:val="00EC3E62"/>
    <w:rsid w:val="00EC57B8"/>
    <w:rsid w:val="00EC5955"/>
    <w:rsid w:val="00EC6691"/>
    <w:rsid w:val="00EC6820"/>
    <w:rsid w:val="00EC6EA0"/>
    <w:rsid w:val="00ED05D5"/>
    <w:rsid w:val="00ED071C"/>
    <w:rsid w:val="00ED0824"/>
    <w:rsid w:val="00ED08EB"/>
    <w:rsid w:val="00ED1658"/>
    <w:rsid w:val="00ED2BCC"/>
    <w:rsid w:val="00ED2C38"/>
    <w:rsid w:val="00ED318D"/>
    <w:rsid w:val="00ED3BFB"/>
    <w:rsid w:val="00ED44DB"/>
    <w:rsid w:val="00ED4B3A"/>
    <w:rsid w:val="00ED4C44"/>
    <w:rsid w:val="00ED58DD"/>
    <w:rsid w:val="00ED5931"/>
    <w:rsid w:val="00ED6523"/>
    <w:rsid w:val="00ED69D5"/>
    <w:rsid w:val="00ED6C72"/>
    <w:rsid w:val="00ED7E57"/>
    <w:rsid w:val="00EE0B28"/>
    <w:rsid w:val="00EE1057"/>
    <w:rsid w:val="00EE154E"/>
    <w:rsid w:val="00EE1A24"/>
    <w:rsid w:val="00EE2A88"/>
    <w:rsid w:val="00EE3492"/>
    <w:rsid w:val="00EE3553"/>
    <w:rsid w:val="00EE39E8"/>
    <w:rsid w:val="00EE4251"/>
    <w:rsid w:val="00EE4B21"/>
    <w:rsid w:val="00EE4E25"/>
    <w:rsid w:val="00EE58FB"/>
    <w:rsid w:val="00EE5E51"/>
    <w:rsid w:val="00EE5F40"/>
    <w:rsid w:val="00EE65A8"/>
    <w:rsid w:val="00EE754A"/>
    <w:rsid w:val="00EE7A5B"/>
    <w:rsid w:val="00EE7F91"/>
    <w:rsid w:val="00EF048D"/>
    <w:rsid w:val="00EF0777"/>
    <w:rsid w:val="00EF0E71"/>
    <w:rsid w:val="00EF1482"/>
    <w:rsid w:val="00EF1637"/>
    <w:rsid w:val="00EF1B3B"/>
    <w:rsid w:val="00EF2575"/>
    <w:rsid w:val="00EF2A6B"/>
    <w:rsid w:val="00EF2D53"/>
    <w:rsid w:val="00EF3117"/>
    <w:rsid w:val="00EF33D5"/>
    <w:rsid w:val="00EF37E6"/>
    <w:rsid w:val="00EF41A5"/>
    <w:rsid w:val="00EF5FA5"/>
    <w:rsid w:val="00EF6A17"/>
    <w:rsid w:val="00EF6A94"/>
    <w:rsid w:val="00EF6CEE"/>
    <w:rsid w:val="00EF6D69"/>
    <w:rsid w:val="00EF773E"/>
    <w:rsid w:val="00EF794C"/>
    <w:rsid w:val="00EF7DEB"/>
    <w:rsid w:val="00EF7F13"/>
    <w:rsid w:val="00F008DE"/>
    <w:rsid w:val="00F0095C"/>
    <w:rsid w:val="00F00B85"/>
    <w:rsid w:val="00F00C38"/>
    <w:rsid w:val="00F0147E"/>
    <w:rsid w:val="00F01790"/>
    <w:rsid w:val="00F0225E"/>
    <w:rsid w:val="00F02283"/>
    <w:rsid w:val="00F022E0"/>
    <w:rsid w:val="00F028E4"/>
    <w:rsid w:val="00F02A60"/>
    <w:rsid w:val="00F032B4"/>
    <w:rsid w:val="00F035D2"/>
    <w:rsid w:val="00F038FC"/>
    <w:rsid w:val="00F03C6D"/>
    <w:rsid w:val="00F048C5"/>
    <w:rsid w:val="00F048C7"/>
    <w:rsid w:val="00F05A42"/>
    <w:rsid w:val="00F063F1"/>
    <w:rsid w:val="00F070C6"/>
    <w:rsid w:val="00F07B3F"/>
    <w:rsid w:val="00F10193"/>
    <w:rsid w:val="00F103E9"/>
    <w:rsid w:val="00F10945"/>
    <w:rsid w:val="00F10F1A"/>
    <w:rsid w:val="00F11027"/>
    <w:rsid w:val="00F110E3"/>
    <w:rsid w:val="00F11798"/>
    <w:rsid w:val="00F12DCE"/>
    <w:rsid w:val="00F12F19"/>
    <w:rsid w:val="00F13FEA"/>
    <w:rsid w:val="00F148D6"/>
    <w:rsid w:val="00F148EA"/>
    <w:rsid w:val="00F14AE9"/>
    <w:rsid w:val="00F1578E"/>
    <w:rsid w:val="00F15CB5"/>
    <w:rsid w:val="00F161CC"/>
    <w:rsid w:val="00F17257"/>
    <w:rsid w:val="00F172F6"/>
    <w:rsid w:val="00F17DE1"/>
    <w:rsid w:val="00F20D35"/>
    <w:rsid w:val="00F20DA4"/>
    <w:rsid w:val="00F20F59"/>
    <w:rsid w:val="00F215AD"/>
    <w:rsid w:val="00F2271E"/>
    <w:rsid w:val="00F24247"/>
    <w:rsid w:val="00F2451C"/>
    <w:rsid w:val="00F24D56"/>
    <w:rsid w:val="00F250BC"/>
    <w:rsid w:val="00F250C8"/>
    <w:rsid w:val="00F25598"/>
    <w:rsid w:val="00F25697"/>
    <w:rsid w:val="00F256DC"/>
    <w:rsid w:val="00F25829"/>
    <w:rsid w:val="00F258CF"/>
    <w:rsid w:val="00F25B06"/>
    <w:rsid w:val="00F25B33"/>
    <w:rsid w:val="00F25B48"/>
    <w:rsid w:val="00F267CB"/>
    <w:rsid w:val="00F2761F"/>
    <w:rsid w:val="00F27BB9"/>
    <w:rsid w:val="00F27E7F"/>
    <w:rsid w:val="00F30E09"/>
    <w:rsid w:val="00F316B4"/>
    <w:rsid w:val="00F31D92"/>
    <w:rsid w:val="00F32A83"/>
    <w:rsid w:val="00F345B5"/>
    <w:rsid w:val="00F34DF7"/>
    <w:rsid w:val="00F35067"/>
    <w:rsid w:val="00F353DA"/>
    <w:rsid w:val="00F35521"/>
    <w:rsid w:val="00F3563A"/>
    <w:rsid w:val="00F35D20"/>
    <w:rsid w:val="00F35E8A"/>
    <w:rsid w:val="00F36DFE"/>
    <w:rsid w:val="00F4089F"/>
    <w:rsid w:val="00F41513"/>
    <w:rsid w:val="00F41795"/>
    <w:rsid w:val="00F4184D"/>
    <w:rsid w:val="00F42192"/>
    <w:rsid w:val="00F4220E"/>
    <w:rsid w:val="00F4237C"/>
    <w:rsid w:val="00F42CDC"/>
    <w:rsid w:val="00F4353E"/>
    <w:rsid w:val="00F43EFC"/>
    <w:rsid w:val="00F43F6D"/>
    <w:rsid w:val="00F442AB"/>
    <w:rsid w:val="00F44796"/>
    <w:rsid w:val="00F449AA"/>
    <w:rsid w:val="00F45A4C"/>
    <w:rsid w:val="00F45D80"/>
    <w:rsid w:val="00F46156"/>
    <w:rsid w:val="00F4732D"/>
    <w:rsid w:val="00F47480"/>
    <w:rsid w:val="00F510E4"/>
    <w:rsid w:val="00F5312F"/>
    <w:rsid w:val="00F53A28"/>
    <w:rsid w:val="00F5456F"/>
    <w:rsid w:val="00F547D9"/>
    <w:rsid w:val="00F54B80"/>
    <w:rsid w:val="00F54CA7"/>
    <w:rsid w:val="00F5546E"/>
    <w:rsid w:val="00F554BC"/>
    <w:rsid w:val="00F55537"/>
    <w:rsid w:val="00F56C0C"/>
    <w:rsid w:val="00F603BC"/>
    <w:rsid w:val="00F61E3E"/>
    <w:rsid w:val="00F6200D"/>
    <w:rsid w:val="00F62F69"/>
    <w:rsid w:val="00F6308E"/>
    <w:rsid w:val="00F630F8"/>
    <w:rsid w:val="00F6348E"/>
    <w:rsid w:val="00F63916"/>
    <w:rsid w:val="00F642C4"/>
    <w:rsid w:val="00F6433B"/>
    <w:rsid w:val="00F643A7"/>
    <w:rsid w:val="00F654D6"/>
    <w:rsid w:val="00F6563B"/>
    <w:rsid w:val="00F66432"/>
    <w:rsid w:val="00F66DA3"/>
    <w:rsid w:val="00F67B34"/>
    <w:rsid w:val="00F67D90"/>
    <w:rsid w:val="00F7004A"/>
    <w:rsid w:val="00F70765"/>
    <w:rsid w:val="00F707E8"/>
    <w:rsid w:val="00F70EBF"/>
    <w:rsid w:val="00F71010"/>
    <w:rsid w:val="00F7202A"/>
    <w:rsid w:val="00F72704"/>
    <w:rsid w:val="00F72C71"/>
    <w:rsid w:val="00F731FF"/>
    <w:rsid w:val="00F73436"/>
    <w:rsid w:val="00F73886"/>
    <w:rsid w:val="00F74588"/>
    <w:rsid w:val="00F753B1"/>
    <w:rsid w:val="00F75446"/>
    <w:rsid w:val="00F75D00"/>
    <w:rsid w:val="00F760BE"/>
    <w:rsid w:val="00F76AD8"/>
    <w:rsid w:val="00F770B2"/>
    <w:rsid w:val="00F80019"/>
    <w:rsid w:val="00F80AA2"/>
    <w:rsid w:val="00F80F96"/>
    <w:rsid w:val="00F81790"/>
    <w:rsid w:val="00F81F38"/>
    <w:rsid w:val="00F834BA"/>
    <w:rsid w:val="00F838D6"/>
    <w:rsid w:val="00F84801"/>
    <w:rsid w:val="00F85735"/>
    <w:rsid w:val="00F859E8"/>
    <w:rsid w:val="00F85B8E"/>
    <w:rsid w:val="00F8649C"/>
    <w:rsid w:val="00F8655E"/>
    <w:rsid w:val="00F86983"/>
    <w:rsid w:val="00F86E39"/>
    <w:rsid w:val="00F87584"/>
    <w:rsid w:val="00F87904"/>
    <w:rsid w:val="00F87F8D"/>
    <w:rsid w:val="00F90239"/>
    <w:rsid w:val="00F91298"/>
    <w:rsid w:val="00F912D4"/>
    <w:rsid w:val="00F91488"/>
    <w:rsid w:val="00F9149F"/>
    <w:rsid w:val="00F91947"/>
    <w:rsid w:val="00F920B0"/>
    <w:rsid w:val="00F93127"/>
    <w:rsid w:val="00F936B8"/>
    <w:rsid w:val="00F93961"/>
    <w:rsid w:val="00F93A13"/>
    <w:rsid w:val="00F93B9A"/>
    <w:rsid w:val="00F9412F"/>
    <w:rsid w:val="00F9468F"/>
    <w:rsid w:val="00F94974"/>
    <w:rsid w:val="00F94AE3"/>
    <w:rsid w:val="00F95967"/>
    <w:rsid w:val="00F95C2B"/>
    <w:rsid w:val="00F96A95"/>
    <w:rsid w:val="00F9761E"/>
    <w:rsid w:val="00F9782B"/>
    <w:rsid w:val="00F97D77"/>
    <w:rsid w:val="00FA0A99"/>
    <w:rsid w:val="00FA0AA9"/>
    <w:rsid w:val="00FA0D8A"/>
    <w:rsid w:val="00FA1318"/>
    <w:rsid w:val="00FA25DF"/>
    <w:rsid w:val="00FA2CE0"/>
    <w:rsid w:val="00FA2E86"/>
    <w:rsid w:val="00FA40F4"/>
    <w:rsid w:val="00FA5D27"/>
    <w:rsid w:val="00FA6E1B"/>
    <w:rsid w:val="00FA7D66"/>
    <w:rsid w:val="00FA7E3E"/>
    <w:rsid w:val="00FB0476"/>
    <w:rsid w:val="00FB1442"/>
    <w:rsid w:val="00FB1546"/>
    <w:rsid w:val="00FB2467"/>
    <w:rsid w:val="00FB2752"/>
    <w:rsid w:val="00FB2F40"/>
    <w:rsid w:val="00FB30CC"/>
    <w:rsid w:val="00FB3977"/>
    <w:rsid w:val="00FB3C60"/>
    <w:rsid w:val="00FB4700"/>
    <w:rsid w:val="00FB4DD9"/>
    <w:rsid w:val="00FB4E98"/>
    <w:rsid w:val="00FB5708"/>
    <w:rsid w:val="00FB5C83"/>
    <w:rsid w:val="00FB6121"/>
    <w:rsid w:val="00FB613F"/>
    <w:rsid w:val="00FB6373"/>
    <w:rsid w:val="00FB647C"/>
    <w:rsid w:val="00FC0044"/>
    <w:rsid w:val="00FC06AB"/>
    <w:rsid w:val="00FC1614"/>
    <w:rsid w:val="00FC182F"/>
    <w:rsid w:val="00FC1A2D"/>
    <w:rsid w:val="00FC1A31"/>
    <w:rsid w:val="00FC1A7C"/>
    <w:rsid w:val="00FC2239"/>
    <w:rsid w:val="00FC232C"/>
    <w:rsid w:val="00FC2BC9"/>
    <w:rsid w:val="00FC328A"/>
    <w:rsid w:val="00FC42DA"/>
    <w:rsid w:val="00FC5016"/>
    <w:rsid w:val="00FC5438"/>
    <w:rsid w:val="00FC5B40"/>
    <w:rsid w:val="00FC5C0C"/>
    <w:rsid w:val="00FC5F12"/>
    <w:rsid w:val="00FC6FE0"/>
    <w:rsid w:val="00FC724B"/>
    <w:rsid w:val="00FC7429"/>
    <w:rsid w:val="00FD04C6"/>
    <w:rsid w:val="00FD0F81"/>
    <w:rsid w:val="00FD1141"/>
    <w:rsid w:val="00FD1457"/>
    <w:rsid w:val="00FD17B6"/>
    <w:rsid w:val="00FD1935"/>
    <w:rsid w:val="00FD2362"/>
    <w:rsid w:val="00FD3278"/>
    <w:rsid w:val="00FD3633"/>
    <w:rsid w:val="00FD4247"/>
    <w:rsid w:val="00FD4373"/>
    <w:rsid w:val="00FD4428"/>
    <w:rsid w:val="00FD4C4E"/>
    <w:rsid w:val="00FD4E03"/>
    <w:rsid w:val="00FD512C"/>
    <w:rsid w:val="00FD55E5"/>
    <w:rsid w:val="00FD6092"/>
    <w:rsid w:val="00FD7061"/>
    <w:rsid w:val="00FD761C"/>
    <w:rsid w:val="00FD7ACF"/>
    <w:rsid w:val="00FD7D88"/>
    <w:rsid w:val="00FE0289"/>
    <w:rsid w:val="00FE107B"/>
    <w:rsid w:val="00FE10AB"/>
    <w:rsid w:val="00FE153F"/>
    <w:rsid w:val="00FE1B1B"/>
    <w:rsid w:val="00FE1BA1"/>
    <w:rsid w:val="00FE292C"/>
    <w:rsid w:val="00FE314C"/>
    <w:rsid w:val="00FE37CC"/>
    <w:rsid w:val="00FE3894"/>
    <w:rsid w:val="00FE4441"/>
    <w:rsid w:val="00FE53D5"/>
    <w:rsid w:val="00FE5B3B"/>
    <w:rsid w:val="00FE5B62"/>
    <w:rsid w:val="00FE6391"/>
    <w:rsid w:val="00FE6DC8"/>
    <w:rsid w:val="00FE6E3A"/>
    <w:rsid w:val="00FE7B8E"/>
    <w:rsid w:val="00FF01C3"/>
    <w:rsid w:val="00FF09D3"/>
    <w:rsid w:val="00FF0EB5"/>
    <w:rsid w:val="00FF17C2"/>
    <w:rsid w:val="00FF18E4"/>
    <w:rsid w:val="00FF1EC0"/>
    <w:rsid w:val="00FF20A3"/>
    <w:rsid w:val="00FF225C"/>
    <w:rsid w:val="00FF39F2"/>
    <w:rsid w:val="00FF3ECF"/>
    <w:rsid w:val="00FF45E0"/>
    <w:rsid w:val="00FF4AD5"/>
    <w:rsid w:val="00FF5570"/>
    <w:rsid w:val="00FF6098"/>
    <w:rsid w:val="00FF610E"/>
    <w:rsid w:val="00FF70D6"/>
    <w:rsid w:val="00FF770D"/>
    <w:rsid w:val="00FF78C3"/>
    <w:rsid w:val="035B8307"/>
    <w:rsid w:val="04DA563D"/>
    <w:rsid w:val="05FD57E9"/>
    <w:rsid w:val="088BA256"/>
    <w:rsid w:val="11802912"/>
    <w:rsid w:val="11D5B9CA"/>
    <w:rsid w:val="121086F9"/>
    <w:rsid w:val="12271AA0"/>
    <w:rsid w:val="138F61BA"/>
    <w:rsid w:val="14A03D77"/>
    <w:rsid w:val="14DF8F0C"/>
    <w:rsid w:val="15FB44DD"/>
    <w:rsid w:val="16F036C0"/>
    <w:rsid w:val="173D9EC7"/>
    <w:rsid w:val="174B59F9"/>
    <w:rsid w:val="17BF5DBB"/>
    <w:rsid w:val="1A7D8002"/>
    <w:rsid w:val="1AE970EB"/>
    <w:rsid w:val="1B40DD42"/>
    <w:rsid w:val="1B4441D9"/>
    <w:rsid w:val="1CEA5115"/>
    <w:rsid w:val="1F117B9F"/>
    <w:rsid w:val="1F9C0100"/>
    <w:rsid w:val="208561BA"/>
    <w:rsid w:val="24584D97"/>
    <w:rsid w:val="2615163A"/>
    <w:rsid w:val="290A3998"/>
    <w:rsid w:val="29B5845F"/>
    <w:rsid w:val="2A577A70"/>
    <w:rsid w:val="30A7B8BC"/>
    <w:rsid w:val="30F12592"/>
    <w:rsid w:val="3114574B"/>
    <w:rsid w:val="328B7F02"/>
    <w:rsid w:val="339CD211"/>
    <w:rsid w:val="33D064DA"/>
    <w:rsid w:val="351A40BF"/>
    <w:rsid w:val="35212DE1"/>
    <w:rsid w:val="355ECF00"/>
    <w:rsid w:val="367B6D3F"/>
    <w:rsid w:val="36B411CB"/>
    <w:rsid w:val="36CF8832"/>
    <w:rsid w:val="38FD1008"/>
    <w:rsid w:val="3B28A3F5"/>
    <w:rsid w:val="3B38DCD9"/>
    <w:rsid w:val="3D6DBC0C"/>
    <w:rsid w:val="3E1E6F22"/>
    <w:rsid w:val="3EB00CEB"/>
    <w:rsid w:val="40A3504C"/>
    <w:rsid w:val="41C5C22D"/>
    <w:rsid w:val="41EF8D2E"/>
    <w:rsid w:val="43F41B88"/>
    <w:rsid w:val="442F2AC7"/>
    <w:rsid w:val="4485C320"/>
    <w:rsid w:val="449B844A"/>
    <w:rsid w:val="45550720"/>
    <w:rsid w:val="459E35E4"/>
    <w:rsid w:val="45D81CB0"/>
    <w:rsid w:val="4710B74C"/>
    <w:rsid w:val="47C2CFE0"/>
    <w:rsid w:val="484C7CBF"/>
    <w:rsid w:val="491BB7EC"/>
    <w:rsid w:val="4A1949BD"/>
    <w:rsid w:val="4EE10DA1"/>
    <w:rsid w:val="4F4DCB7D"/>
    <w:rsid w:val="532D79AD"/>
    <w:rsid w:val="5477A1E1"/>
    <w:rsid w:val="55AEAD4E"/>
    <w:rsid w:val="596181CD"/>
    <w:rsid w:val="59D1C94E"/>
    <w:rsid w:val="5E840179"/>
    <w:rsid w:val="5FE32452"/>
    <w:rsid w:val="613CCE56"/>
    <w:rsid w:val="618054C8"/>
    <w:rsid w:val="62C17C51"/>
    <w:rsid w:val="63443F87"/>
    <w:rsid w:val="670017EE"/>
    <w:rsid w:val="68E9282A"/>
    <w:rsid w:val="694A79D9"/>
    <w:rsid w:val="6A100C06"/>
    <w:rsid w:val="6AE3784B"/>
    <w:rsid w:val="6C879B14"/>
    <w:rsid w:val="6D40336A"/>
    <w:rsid w:val="6E6CA674"/>
    <w:rsid w:val="6F443AFE"/>
    <w:rsid w:val="70378537"/>
    <w:rsid w:val="71375AF1"/>
    <w:rsid w:val="7294CCD0"/>
    <w:rsid w:val="72A391DD"/>
    <w:rsid w:val="76763EE3"/>
    <w:rsid w:val="769C671B"/>
    <w:rsid w:val="7980DCF4"/>
    <w:rsid w:val="7A741786"/>
    <w:rsid w:val="7B5A55EA"/>
    <w:rsid w:val="7BC38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82A"/>
  <w15:docId w15:val="{EC891D82-55DA-41C8-87A9-380BB07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1F1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DF3600"/>
    <w:pPr>
      <w:keepNext/>
      <w:keepLines/>
      <w:pageBreakBefore/>
      <w:ind w:firstLine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F3600"/>
    <w:pPr>
      <w:keepNext/>
      <w:keepLines/>
      <w:spacing w:before="200"/>
      <w:ind w:firstLine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F3600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0F5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8B4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.С. Без отступа"/>
    <w:basedOn w:val="a1"/>
    <w:next w:val="a1"/>
    <w:qFormat/>
    <w:rsid w:val="00DF3600"/>
    <w:pPr>
      <w:ind w:firstLine="0"/>
    </w:pPr>
  </w:style>
  <w:style w:type="paragraph" w:customStyle="1" w:styleId="a6">
    <w:name w:val="М.С. по центру"/>
    <w:basedOn w:val="a5"/>
    <w:next w:val="a1"/>
    <w:qFormat/>
    <w:rsid w:val="00DF3600"/>
    <w:pPr>
      <w:jc w:val="center"/>
    </w:pPr>
  </w:style>
  <w:style w:type="character" w:customStyle="1" w:styleId="10">
    <w:name w:val="Заголовок 1 Знак"/>
    <w:basedOn w:val="a2"/>
    <w:link w:val="1"/>
    <w:uiPriority w:val="9"/>
    <w:rsid w:val="00DF360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DF360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DF3600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rsid w:val="000F51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2"/>
    <w:link w:val="5"/>
    <w:uiPriority w:val="9"/>
    <w:rsid w:val="008B42D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7">
    <w:name w:val="No Spacing"/>
    <w:uiPriority w:val="1"/>
    <w:qFormat/>
    <w:rsid w:val="0001034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0">
    <w:name w:val="М.С. Подпись к рисунку"/>
    <w:basedOn w:val="a1"/>
    <w:next w:val="a1"/>
    <w:qFormat/>
    <w:rsid w:val="005E662A"/>
    <w:pPr>
      <w:keepLines/>
      <w:numPr>
        <w:numId w:val="1"/>
      </w:numPr>
      <w:spacing w:after="240"/>
      <w:jc w:val="center"/>
    </w:pPr>
    <w:rPr>
      <w:i/>
    </w:rPr>
  </w:style>
  <w:style w:type="paragraph" w:customStyle="1" w:styleId="a8">
    <w:name w:val="М.С. Рисунок"/>
    <w:basedOn w:val="a1"/>
    <w:next w:val="a1"/>
    <w:qFormat/>
    <w:rsid w:val="007B51D5"/>
    <w:pPr>
      <w:keepLines/>
      <w:spacing w:before="240" w:after="120"/>
      <w:ind w:firstLine="0"/>
      <w:jc w:val="center"/>
    </w:pPr>
  </w:style>
  <w:style w:type="paragraph" w:customStyle="1" w:styleId="a">
    <w:name w:val="М.С. Подпись к таблице"/>
    <w:basedOn w:val="a1"/>
    <w:next w:val="a1"/>
    <w:qFormat/>
    <w:rsid w:val="009377F6"/>
    <w:pPr>
      <w:numPr>
        <w:numId w:val="2"/>
      </w:numPr>
      <w:spacing w:before="240" w:after="120"/>
      <w:jc w:val="right"/>
    </w:pPr>
  </w:style>
  <w:style w:type="table" w:styleId="a9">
    <w:name w:val="Table Grid"/>
    <w:basedOn w:val="a3"/>
    <w:uiPriority w:val="59"/>
    <w:rsid w:val="0093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937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9377F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1"/>
    <w:next w:val="a1"/>
    <w:qFormat/>
    <w:rsid w:val="009377F6"/>
    <w:pPr>
      <w:keepNext/>
    </w:pPr>
  </w:style>
  <w:style w:type="paragraph" w:customStyle="1" w:styleId="ac">
    <w:name w:val="М.С. Заголовок таблицы"/>
    <w:basedOn w:val="a1"/>
    <w:next w:val="a1"/>
    <w:qFormat/>
    <w:rsid w:val="00710D2A"/>
    <w:pPr>
      <w:ind w:firstLine="0"/>
      <w:jc w:val="center"/>
    </w:pPr>
    <w:rPr>
      <w:b/>
    </w:rPr>
  </w:style>
  <w:style w:type="paragraph" w:customStyle="1" w:styleId="ad">
    <w:name w:val="М.С. Содержимое таблицы"/>
    <w:basedOn w:val="a1"/>
    <w:qFormat/>
    <w:rsid w:val="009377F6"/>
    <w:pPr>
      <w:ind w:firstLine="0"/>
      <w:jc w:val="left"/>
    </w:pPr>
  </w:style>
  <w:style w:type="paragraph" w:styleId="ae">
    <w:name w:val="List Paragraph"/>
    <w:basedOn w:val="a1"/>
    <w:uiPriority w:val="34"/>
    <w:qFormat/>
    <w:rsid w:val="00BC69E8"/>
    <w:pPr>
      <w:ind w:left="720"/>
    </w:pPr>
  </w:style>
  <w:style w:type="paragraph" w:customStyle="1" w:styleId="af">
    <w:name w:val="М.С. выполнил..."/>
    <w:basedOn w:val="a5"/>
    <w:next w:val="a1"/>
    <w:qFormat/>
    <w:rsid w:val="00581F10"/>
    <w:pPr>
      <w:ind w:left="4536"/>
    </w:pPr>
  </w:style>
  <w:style w:type="character" w:customStyle="1" w:styleId="af0">
    <w:name w:val="М.С. подчеркнутый"/>
    <w:uiPriority w:val="1"/>
    <w:qFormat/>
    <w:rsid w:val="00833BE4"/>
    <w:rPr>
      <w:b/>
      <w:bCs/>
    </w:rPr>
  </w:style>
  <w:style w:type="character" w:customStyle="1" w:styleId="af1">
    <w:name w:val="М.С. полужирный"/>
    <w:basedOn w:val="a2"/>
    <w:uiPriority w:val="1"/>
    <w:qFormat/>
    <w:rsid w:val="00581F10"/>
    <w:rPr>
      <w:b/>
      <w:szCs w:val="24"/>
    </w:rPr>
  </w:style>
  <w:style w:type="character" w:styleId="af2">
    <w:name w:val="Placeholder Text"/>
    <w:basedOn w:val="a2"/>
    <w:uiPriority w:val="99"/>
    <w:semiHidden/>
    <w:rsid w:val="00C6478F"/>
    <w:rPr>
      <w:color w:val="808080"/>
    </w:rPr>
  </w:style>
  <w:style w:type="paragraph" w:styleId="af3">
    <w:name w:val="footnote text"/>
    <w:basedOn w:val="a1"/>
    <w:link w:val="af4"/>
    <w:uiPriority w:val="99"/>
    <w:semiHidden/>
    <w:unhideWhenUsed/>
    <w:rsid w:val="006D4BD3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6D4BD3"/>
    <w:rPr>
      <w:rFonts w:ascii="Times New Roman" w:hAnsi="Times New Roman"/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6D4BD3"/>
    <w:rPr>
      <w:vertAlign w:val="superscript"/>
    </w:rPr>
  </w:style>
  <w:style w:type="character" w:styleId="af6">
    <w:name w:val="Hyperlink"/>
    <w:basedOn w:val="a2"/>
    <w:uiPriority w:val="99"/>
    <w:unhideWhenUsed/>
    <w:rsid w:val="00B46C40"/>
    <w:rPr>
      <w:color w:val="0000FF" w:themeColor="hyperlink"/>
      <w:u w:val="single"/>
    </w:rPr>
  </w:style>
  <w:style w:type="character" w:styleId="af7">
    <w:name w:val="Unresolved Mention"/>
    <w:basedOn w:val="a2"/>
    <w:uiPriority w:val="99"/>
    <w:semiHidden/>
    <w:unhideWhenUsed/>
    <w:rsid w:val="00B46C40"/>
    <w:rPr>
      <w:color w:val="605E5C"/>
      <w:shd w:val="clear" w:color="auto" w:fill="E1DFDD"/>
    </w:rPr>
  </w:style>
  <w:style w:type="paragraph" w:customStyle="1" w:styleId="af8">
    <w:name w:val="Уравнение"/>
    <w:basedOn w:val="a1"/>
    <w:qFormat/>
    <w:rsid w:val="00F316B4"/>
    <w:pPr>
      <w:tabs>
        <w:tab w:val="center" w:pos="4678"/>
        <w:tab w:val="right" w:pos="9356"/>
      </w:tabs>
      <w:spacing w:before="240" w:after="240"/>
      <w:ind w:firstLine="0"/>
    </w:pPr>
    <w:rPr>
      <w:lang w:val="en-US"/>
    </w:rPr>
  </w:style>
  <w:style w:type="paragraph" w:styleId="af9">
    <w:name w:val="caption"/>
    <w:basedOn w:val="a1"/>
    <w:next w:val="a1"/>
    <w:uiPriority w:val="35"/>
    <w:unhideWhenUsed/>
    <w:qFormat/>
    <w:rsid w:val="00DB3A55"/>
    <w:pPr>
      <w:ind w:firstLine="0"/>
    </w:pPr>
    <w:rPr>
      <w:iCs/>
      <w:szCs w:val="18"/>
    </w:rPr>
  </w:style>
  <w:style w:type="paragraph" w:styleId="afa">
    <w:name w:val="header"/>
    <w:basedOn w:val="a1"/>
    <w:link w:val="afb"/>
    <w:uiPriority w:val="99"/>
    <w:unhideWhenUsed/>
    <w:rsid w:val="00BD305E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BD305E"/>
    <w:rPr>
      <w:rFonts w:ascii="Times New Roman" w:hAnsi="Times New Roman"/>
      <w:sz w:val="24"/>
    </w:rPr>
  </w:style>
  <w:style w:type="paragraph" w:styleId="afc">
    <w:name w:val="footer"/>
    <w:basedOn w:val="a1"/>
    <w:link w:val="afd"/>
    <w:uiPriority w:val="99"/>
    <w:unhideWhenUsed/>
    <w:rsid w:val="00BD305E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BD305E"/>
    <w:rPr>
      <w:rFonts w:ascii="Times New Roman" w:hAnsi="Times New Roman"/>
      <w:sz w:val="24"/>
    </w:rPr>
  </w:style>
  <w:style w:type="paragraph" w:styleId="afe">
    <w:name w:val="TOC Heading"/>
    <w:basedOn w:val="1"/>
    <w:next w:val="a1"/>
    <w:uiPriority w:val="39"/>
    <w:unhideWhenUsed/>
    <w:qFormat/>
    <w:rsid w:val="00A10CB0"/>
    <w:pPr>
      <w:pageBreakBefore w:val="0"/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D545CE"/>
    <w:pPr>
      <w:tabs>
        <w:tab w:val="right" w:leader="dot" w:pos="9345"/>
      </w:tabs>
      <w:spacing w:after="100"/>
      <w:ind w:firstLine="0"/>
    </w:pPr>
    <w:rPr>
      <w:caps/>
      <w:noProof/>
    </w:rPr>
  </w:style>
  <w:style w:type="paragraph" w:styleId="21">
    <w:name w:val="toc 2"/>
    <w:basedOn w:val="a1"/>
    <w:next w:val="a1"/>
    <w:autoRedefine/>
    <w:uiPriority w:val="39"/>
    <w:unhideWhenUsed/>
    <w:rsid w:val="00526B6F"/>
    <w:pPr>
      <w:tabs>
        <w:tab w:val="left" w:pos="709"/>
        <w:tab w:val="right" w:leader="dot" w:pos="9345"/>
      </w:tabs>
      <w:spacing w:after="100"/>
      <w:ind w:left="240" w:firstLine="44"/>
      <w:jc w:val="left"/>
    </w:pPr>
  </w:style>
  <w:style w:type="paragraph" w:styleId="31">
    <w:name w:val="toc 3"/>
    <w:basedOn w:val="a1"/>
    <w:next w:val="a1"/>
    <w:autoRedefine/>
    <w:uiPriority w:val="39"/>
    <w:unhideWhenUsed/>
    <w:rsid w:val="00C70F4D"/>
    <w:pPr>
      <w:tabs>
        <w:tab w:val="left" w:pos="1418"/>
        <w:tab w:val="right" w:leader="dot" w:pos="9345"/>
      </w:tabs>
      <w:spacing w:after="100"/>
      <w:ind w:left="480" w:firstLine="229"/>
    </w:pPr>
  </w:style>
  <w:style w:type="paragraph" w:customStyle="1" w:styleId="aff">
    <w:name w:val="Г.М. по центру"/>
    <w:basedOn w:val="a1"/>
    <w:next w:val="a1"/>
    <w:qFormat/>
    <w:rsid w:val="00816125"/>
    <w:pPr>
      <w:ind w:firstLine="0"/>
      <w:jc w:val="center"/>
    </w:pPr>
  </w:style>
  <w:style w:type="paragraph" w:customStyle="1" w:styleId="aff0">
    <w:name w:val="Г.М. Заголовок таблицы"/>
    <w:basedOn w:val="a1"/>
    <w:next w:val="a1"/>
    <w:qFormat/>
    <w:rsid w:val="00816125"/>
    <w:pPr>
      <w:ind w:firstLine="0"/>
      <w:jc w:val="center"/>
    </w:pPr>
    <w:rPr>
      <w:b/>
    </w:rPr>
  </w:style>
  <w:style w:type="paragraph" w:customStyle="1" w:styleId="aff1">
    <w:name w:val="Г.М. выполнил..."/>
    <w:basedOn w:val="a1"/>
    <w:next w:val="a1"/>
    <w:qFormat/>
    <w:rsid w:val="00816125"/>
    <w:pPr>
      <w:ind w:left="4536" w:firstLine="0"/>
    </w:pPr>
  </w:style>
  <w:style w:type="character" w:customStyle="1" w:styleId="aff2">
    <w:name w:val="Г.М. подчеркнутый"/>
    <w:basedOn w:val="a2"/>
    <w:uiPriority w:val="1"/>
    <w:qFormat/>
    <w:rsid w:val="00816125"/>
    <w:rPr>
      <w:u w:val="single"/>
    </w:rPr>
  </w:style>
  <w:style w:type="character" w:customStyle="1" w:styleId="aff3">
    <w:name w:val="Г.М. полужирный"/>
    <w:basedOn w:val="a2"/>
    <w:uiPriority w:val="1"/>
    <w:qFormat/>
    <w:rsid w:val="00816125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hail%20Kazakov\Desktop\&#1064;&#1072;&#1073;&#1083;&#1086;&#1085;%20&#1089;&#1090;&#1080;&#1083;&#1080;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hail%20Kazakov\Desktop\&#1042;&#1050;&#1056;\Lfyyst%20gj%20ujlfv%20&#1067;&#1047;&#1060;&#105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IPO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США </a:t>
            </a:r>
            <a:r>
              <a:rPr lang="en-US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2003-2021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SPAC</c:v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'Table 1'!$A$2:$A$20</c:f>
              <c:strCach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strCache>
            </c:strRef>
          </c:cat>
          <c:val>
            <c:numRef>
              <c:f>'Table 1'!$B$2:$B$20</c:f>
              <c:numCache>
                <c:formatCode>General</c:formatCode>
                <c:ptCount val="19"/>
                <c:pt idx="0">
                  <c:v>1</c:v>
                </c:pt>
                <c:pt idx="1">
                  <c:v>12</c:v>
                </c:pt>
                <c:pt idx="2">
                  <c:v>28</c:v>
                </c:pt>
                <c:pt idx="3">
                  <c:v>37</c:v>
                </c:pt>
                <c:pt idx="4">
                  <c:v>66</c:v>
                </c:pt>
                <c:pt idx="5">
                  <c:v>17</c:v>
                </c:pt>
                <c:pt idx="6">
                  <c:v>1</c:v>
                </c:pt>
                <c:pt idx="7">
                  <c:v>7</c:v>
                </c:pt>
                <c:pt idx="8">
                  <c:v>16</c:v>
                </c:pt>
                <c:pt idx="9">
                  <c:v>9</c:v>
                </c:pt>
                <c:pt idx="10">
                  <c:v>10</c:v>
                </c:pt>
                <c:pt idx="11">
                  <c:v>12</c:v>
                </c:pt>
                <c:pt idx="12">
                  <c:v>20</c:v>
                </c:pt>
                <c:pt idx="13">
                  <c:v>13</c:v>
                </c:pt>
                <c:pt idx="14">
                  <c:v>34</c:v>
                </c:pt>
                <c:pt idx="15">
                  <c:v>46</c:v>
                </c:pt>
                <c:pt idx="16">
                  <c:v>59</c:v>
                </c:pt>
                <c:pt idx="17">
                  <c:v>248</c:v>
                </c:pt>
                <c:pt idx="18">
                  <c:v>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0-407F-B7A4-15A576060BE4}"/>
            </c:ext>
          </c:extLst>
        </c:ser>
        <c:ser>
          <c:idx val="1"/>
          <c:order val="1"/>
          <c:tx>
            <c:v>Классическое IPO</c:v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C60-407F-B7A4-15A576060BE4}"/>
              </c:ext>
            </c:extLst>
          </c:dPt>
          <c:cat>
            <c:strRef>
              <c:f>'Table 1'!$A$2:$A$20</c:f>
              <c:strCach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strCache>
            </c:strRef>
          </c:cat>
          <c:val>
            <c:numRef>
              <c:f>'Table 1'!$D$2:$D$20</c:f>
              <c:numCache>
                <c:formatCode>General</c:formatCode>
                <c:ptCount val="19"/>
                <c:pt idx="0">
                  <c:v>126</c:v>
                </c:pt>
                <c:pt idx="1">
                  <c:v>256</c:v>
                </c:pt>
                <c:pt idx="2">
                  <c:v>224</c:v>
                </c:pt>
                <c:pt idx="3">
                  <c:v>177</c:v>
                </c:pt>
                <c:pt idx="4">
                  <c:v>233</c:v>
                </c:pt>
                <c:pt idx="5">
                  <c:v>30</c:v>
                </c:pt>
                <c:pt idx="6">
                  <c:v>69</c:v>
                </c:pt>
                <c:pt idx="7">
                  <c:v>159</c:v>
                </c:pt>
                <c:pt idx="8">
                  <c:v>128</c:v>
                </c:pt>
                <c:pt idx="9">
                  <c:v>138</c:v>
                </c:pt>
                <c:pt idx="10">
                  <c:v>210</c:v>
                </c:pt>
                <c:pt idx="11">
                  <c:v>246</c:v>
                </c:pt>
                <c:pt idx="12">
                  <c:v>153</c:v>
                </c:pt>
                <c:pt idx="13">
                  <c:v>98</c:v>
                </c:pt>
                <c:pt idx="14">
                  <c:v>155</c:v>
                </c:pt>
                <c:pt idx="15">
                  <c:v>179</c:v>
                </c:pt>
                <c:pt idx="16">
                  <c:v>154</c:v>
                </c:pt>
                <c:pt idx="17">
                  <c:v>202</c:v>
                </c:pt>
                <c:pt idx="18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60-407F-B7A4-15A576060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096510064"/>
        <c:axId val="2096506736"/>
      </c:barChart>
      <c:catAx>
        <c:axId val="209651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506736"/>
        <c:crosses val="autoZero"/>
        <c:auto val="1"/>
        <c:lblAlgn val="ctr"/>
        <c:lblOffset val="100"/>
        <c:noMultiLvlLbl val="0"/>
      </c:catAx>
      <c:valAx>
        <c:axId val="2096506736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2"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51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43681E7F30B94CBF4E46ED4B12E488" ma:contentTypeVersion="2" ma:contentTypeDescription="Создание документа." ma:contentTypeScope="" ma:versionID="89eeb382a476f0d7486693881956cdb9">
  <xsd:schema xmlns:xsd="http://www.w3.org/2001/XMLSchema" xmlns:xs="http://www.w3.org/2001/XMLSchema" xmlns:p="http://schemas.microsoft.com/office/2006/metadata/properties" xmlns:ns2="ca553c15-7525-43f5-9b56-ebd59d83bd5a" targetNamespace="http://schemas.microsoft.com/office/2006/metadata/properties" ma:root="true" ma:fieldsID="f3b9cb0b58e5e8bbbbc7cf6066b263fc" ns2:_="">
    <xsd:import namespace="ca553c15-7525-43f5-9b56-ebd59d83b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3c15-7525-43f5-9b56-ebd59d83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F9D6-D08D-4077-8FFF-9F17E7F75C8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ca553c15-7525-43f5-9b56-ebd59d83bd5a"/>
  </ds:schemaRefs>
</ds:datastoreItem>
</file>

<file path=customXml/itemProps2.xml><?xml version="1.0" encoding="utf-8"?>
<ds:datastoreItem xmlns:ds="http://schemas.openxmlformats.org/officeDocument/2006/customXml" ds:itemID="{5D43D6D6-97AA-415C-9E30-F09ACB8C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B587C-1C31-4052-8342-B5737344F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53c15-7525-43f5-9b56-ebd59d83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66919-3D2E-314B-8E44-304E850A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стили.dotx</Template>
  <TotalTime>0</TotalTime>
  <Pages>75</Pages>
  <Words>21789</Words>
  <Characters>124201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Kazakov</dc:creator>
  <cp:keywords/>
  <cp:lastModifiedBy>Mikhail Kazakov</cp:lastModifiedBy>
  <cp:revision>2</cp:revision>
  <dcterms:created xsi:type="dcterms:W3CDTF">2022-05-29T11:38:00Z</dcterms:created>
  <dcterms:modified xsi:type="dcterms:W3CDTF">2022-05-29T11:38:00Z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0x0101002D43681E7F30B94CBF4E46ED4B12E488</vt:lpwstr>
  </property>
</Properties>
</file>